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4A0" w:firstRow="1" w:lastRow="0" w:firstColumn="1" w:lastColumn="0" w:noHBand="0" w:noVBand="1"/>
      </w:tblPr>
      <w:tblGrid>
        <w:gridCol w:w="1488"/>
        <w:gridCol w:w="563"/>
        <w:gridCol w:w="423"/>
        <w:gridCol w:w="844"/>
        <w:gridCol w:w="845"/>
        <w:gridCol w:w="3231"/>
        <w:gridCol w:w="704"/>
        <w:gridCol w:w="1792"/>
      </w:tblGrid>
      <w:tr w:rsidR="00AC0C6D" w14:paraId="3AB2E7C5" w14:textId="77777777" w:rsidTr="00AC0C6D">
        <w:trPr>
          <w:cantSplit/>
          <w:trHeight w:val="1247"/>
          <w:jc w:val="right"/>
        </w:trPr>
        <w:tc>
          <w:tcPr>
            <w:tcW w:w="1488" w:type="dxa"/>
            <w:hideMark/>
          </w:tcPr>
          <w:p w14:paraId="47588D08" w14:textId="77777777" w:rsidR="00AC0C6D" w:rsidRDefault="00AC0C6D">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986" w:type="dxa"/>
            <w:gridSpan w:val="2"/>
            <w:vAlign w:val="center"/>
            <w:hideMark/>
          </w:tcPr>
          <w:p w14:paraId="2B273629" w14:textId="78372FC2" w:rsidR="00AC0C6D" w:rsidRDefault="00AC0C6D">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lang w:val="es-ES_tradnl"/>
              </w:rPr>
            </w:pPr>
            <w:r>
              <w:rPr>
                <w:rFonts w:ascii="Times New Roman" w:eastAsia="Times New Roman" w:hAnsi="Times New Roman"/>
                <w:noProof/>
                <w:sz w:val="20"/>
                <w:szCs w:val="20"/>
              </w:rPr>
              <w:drawing>
                <wp:inline distT="0" distB="0" distL="0" distR="0" wp14:anchorId="493DC8B0" wp14:editId="7ED62430">
                  <wp:extent cx="552450" cy="552450"/>
                  <wp:effectExtent l="0" t="0" r="0" b="0"/>
                  <wp:docPr id="4" name="Picture 4"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44" w:type="dxa"/>
            <w:vAlign w:val="center"/>
            <w:hideMark/>
          </w:tcPr>
          <w:p w14:paraId="1A559CF6" w14:textId="77777777" w:rsidR="00AC0C6D" w:rsidRDefault="00AC0C6D">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lang w:val="es-ES_tradnl"/>
              </w:rPr>
            </w:pPr>
            <w:r>
              <w:rPr>
                <w:lang w:val="es-ES"/>
              </w:rPr>
              <w:object w:dxaOrig="885" w:dyaOrig="885" w14:anchorId="6248D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0" o:title="" croptop="5897f" cropbottom="39980f" cropleft="24092f" cropright="26812f"/>
                </v:shape>
                <o:OLEObject Type="Embed" ProgID="PBrush" ShapeID="_x0000_i1025" DrawAspect="Content" ObjectID="_1546936933" r:id="rId11"/>
              </w:object>
            </w:r>
          </w:p>
        </w:tc>
        <w:tc>
          <w:tcPr>
            <w:tcW w:w="845" w:type="dxa"/>
            <w:vAlign w:val="center"/>
            <w:hideMark/>
          </w:tcPr>
          <w:p w14:paraId="61734994" w14:textId="502A89A6" w:rsidR="00AC0C6D" w:rsidRDefault="00AC0C6D">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lang w:val="es-ES_tradnl"/>
              </w:rPr>
            </w:pPr>
            <w:r>
              <w:rPr>
                <w:rFonts w:ascii="Times New Roman" w:eastAsia="Times New Roman" w:hAnsi="Times New Roman"/>
                <w:noProof/>
                <w:sz w:val="20"/>
                <w:szCs w:val="20"/>
              </w:rPr>
              <w:drawing>
                <wp:inline distT="0" distB="0" distL="0" distR="0" wp14:anchorId="1FFC2D20" wp14:editId="5CE82043">
                  <wp:extent cx="584200" cy="457200"/>
                  <wp:effectExtent l="0" t="0" r="6350" b="0"/>
                  <wp:docPr id="3" name="Picture 3"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31" w:type="dxa"/>
            <w:vAlign w:val="center"/>
            <w:hideMark/>
          </w:tcPr>
          <w:p w14:paraId="1EDAA628" w14:textId="77777777" w:rsidR="00AC0C6D" w:rsidRDefault="00AC0C6D">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135" w:dyaOrig="600" w14:anchorId="285BDB66">
                <v:shape id="_x0000_i1026" type="#_x0000_t75" style="width:156.75pt;height:30pt" o:ole="">
                  <v:imagedata r:id="rId13" o:title=""/>
                </v:shape>
                <o:OLEObject Type="Embed" ProgID="PBrush" ShapeID="_x0000_i1026" DrawAspect="Content" ObjectID="_1546936934" r:id="rId14"/>
              </w:object>
            </w:r>
          </w:p>
        </w:tc>
        <w:tc>
          <w:tcPr>
            <w:tcW w:w="704" w:type="dxa"/>
            <w:vAlign w:val="center"/>
            <w:hideMark/>
          </w:tcPr>
          <w:p w14:paraId="45251BE1" w14:textId="3BCC587A" w:rsidR="00AC0C6D" w:rsidRDefault="00AC0C6D">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_tradnl"/>
              </w:rPr>
            </w:pPr>
            <w:r>
              <w:rPr>
                <w:noProof/>
              </w:rPr>
              <w:drawing>
                <wp:inline distT="0" distB="0" distL="0" distR="0" wp14:anchorId="66FCA96D" wp14:editId="19F73581">
                  <wp:extent cx="317500"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92" w:type="dxa"/>
            <w:hideMark/>
          </w:tcPr>
          <w:p w14:paraId="3BAB6E4A" w14:textId="77777777" w:rsidR="00AC0C6D" w:rsidRDefault="00AC0C6D">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AC0C6D" w14:paraId="6FA5C1C4" w14:textId="77777777" w:rsidTr="00AC0C6D">
        <w:trPr>
          <w:cantSplit/>
          <w:trHeight w:val="282"/>
          <w:jc w:val="right"/>
        </w:trPr>
        <w:tc>
          <w:tcPr>
            <w:tcW w:w="1488" w:type="dxa"/>
            <w:tcBorders>
              <w:top w:val="nil"/>
              <w:left w:val="nil"/>
              <w:bottom w:val="single" w:sz="2" w:space="0" w:color="auto"/>
              <w:right w:val="nil"/>
            </w:tcBorders>
          </w:tcPr>
          <w:p w14:paraId="7C725711" w14:textId="77777777" w:rsidR="00AC0C6D" w:rsidRDefault="00AC0C6D">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_tradnl"/>
              </w:rPr>
            </w:pPr>
          </w:p>
        </w:tc>
        <w:tc>
          <w:tcPr>
            <w:tcW w:w="5906" w:type="dxa"/>
            <w:gridSpan w:val="5"/>
            <w:tcBorders>
              <w:top w:val="nil"/>
              <w:left w:val="nil"/>
              <w:bottom w:val="single" w:sz="2" w:space="0" w:color="auto"/>
              <w:right w:val="nil"/>
            </w:tcBorders>
          </w:tcPr>
          <w:p w14:paraId="49831399" w14:textId="77777777" w:rsidR="00AC0C6D" w:rsidRDefault="00AC0C6D">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_tradnl"/>
              </w:rPr>
            </w:pPr>
          </w:p>
        </w:tc>
        <w:tc>
          <w:tcPr>
            <w:tcW w:w="2496" w:type="dxa"/>
            <w:gridSpan w:val="2"/>
            <w:tcBorders>
              <w:top w:val="nil"/>
              <w:left w:val="nil"/>
              <w:bottom w:val="single" w:sz="2" w:space="0" w:color="auto"/>
              <w:right w:val="nil"/>
            </w:tcBorders>
            <w:hideMark/>
          </w:tcPr>
          <w:p w14:paraId="4493A821" w14:textId="1F13866F" w:rsidR="00AC0C6D" w:rsidRDefault="00AC0C6D" w:rsidP="00AC0C6D">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/5/10</w:t>
            </w:r>
          </w:p>
        </w:tc>
      </w:tr>
      <w:tr w:rsidR="00AC0C6D" w14:paraId="745FCA09" w14:textId="77777777" w:rsidTr="00AC0C6D">
        <w:trPr>
          <w:cantSplit/>
          <w:trHeight w:val="1433"/>
          <w:jc w:val="right"/>
        </w:trPr>
        <w:tc>
          <w:tcPr>
            <w:tcW w:w="2051" w:type="dxa"/>
            <w:gridSpan w:val="2"/>
            <w:tcBorders>
              <w:top w:val="single" w:sz="2" w:space="0" w:color="auto"/>
              <w:left w:val="nil"/>
              <w:bottom w:val="single" w:sz="24" w:space="0" w:color="auto"/>
              <w:right w:val="nil"/>
            </w:tcBorders>
            <w:hideMark/>
          </w:tcPr>
          <w:p w14:paraId="45077CDB" w14:textId="5AE00C1B" w:rsidR="00AC0C6D" w:rsidRDefault="00AC0C6D">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_tradnl"/>
              </w:rPr>
            </w:pPr>
            <w:r>
              <w:rPr>
                <w:rFonts w:ascii="Arial" w:hAnsi="Arial" w:cs="Arial"/>
                <w:b/>
                <w:noProof/>
                <w:sz w:val="28"/>
                <w:szCs w:val="28"/>
              </w:rPr>
              <w:drawing>
                <wp:inline distT="0" distB="0" distL="0" distR="0" wp14:anchorId="05FC9E7B" wp14:editId="67559FCB">
                  <wp:extent cx="1117600"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343" w:type="dxa"/>
            <w:gridSpan w:val="4"/>
            <w:tcBorders>
              <w:top w:val="single" w:sz="2" w:space="0" w:color="auto"/>
              <w:left w:val="nil"/>
              <w:bottom w:val="single" w:sz="24" w:space="0" w:color="auto"/>
              <w:right w:val="nil"/>
            </w:tcBorders>
            <w:hideMark/>
          </w:tcPr>
          <w:p w14:paraId="4B4DB2C0" w14:textId="2B6DDB56" w:rsidR="00AC0C6D" w:rsidRDefault="00AC0C6D">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sidR="00356A65">
              <w:rPr>
                <w:rFonts w:ascii="Arial" w:eastAsia="Times New Roman" w:hAnsi="Arial" w:cs="Arial"/>
                <w:b/>
                <w:sz w:val="28"/>
                <w:szCs w:val="28"/>
                <w:lang w:val="es-ES_tradnl"/>
              </w:rPr>
              <w:noBreakHyphen/>
            </w:r>
            <w:r>
              <w:rPr>
                <w:rFonts w:ascii="Arial" w:eastAsia="Times New Roman" w:hAnsi="Arial" w:cs="Arial"/>
                <w:b/>
                <w:sz w:val="28"/>
                <w:szCs w:val="28"/>
                <w:lang w:val="es-ES_tradnl"/>
              </w:rPr>
              <w:t>normativa sobre Diversidad Biológica y Servicios de los Ecosistemas</w:t>
            </w:r>
          </w:p>
        </w:tc>
        <w:tc>
          <w:tcPr>
            <w:tcW w:w="2496" w:type="dxa"/>
            <w:gridSpan w:val="2"/>
            <w:tcBorders>
              <w:top w:val="single" w:sz="2" w:space="0" w:color="auto"/>
              <w:left w:val="nil"/>
              <w:bottom w:val="single" w:sz="24" w:space="0" w:color="auto"/>
              <w:right w:val="nil"/>
            </w:tcBorders>
            <w:hideMark/>
          </w:tcPr>
          <w:p w14:paraId="7ECF5DBE" w14:textId="77777777" w:rsidR="00AC0C6D" w:rsidRDefault="00AC0C6D">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Distr. general</w:t>
            </w:r>
          </w:p>
          <w:p w14:paraId="744C34BC" w14:textId="23E0DA75" w:rsidR="00AC0C6D" w:rsidRDefault="00AC0C6D">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20 de diciembre de 2016</w:t>
            </w:r>
          </w:p>
          <w:p w14:paraId="2A901419" w14:textId="77777777" w:rsidR="00AC0C6D" w:rsidRDefault="00AC0C6D">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Español</w:t>
            </w:r>
            <w:r>
              <w:rPr>
                <w:rFonts w:ascii="Times New Roman" w:eastAsia="Times New Roman" w:hAnsi="Times New Roman"/>
                <w:sz w:val="20"/>
                <w:szCs w:val="20"/>
                <w:lang w:val="es-ES_tradnl"/>
              </w:rPr>
              <w:br/>
              <w:t>Original: inglés</w:t>
            </w:r>
          </w:p>
        </w:tc>
      </w:tr>
    </w:tbl>
    <w:p w14:paraId="19D6BC00" w14:textId="594BAE25" w:rsidR="00AC0C6D" w:rsidRDefault="00AC0C6D" w:rsidP="00AC0C6D">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lang w:val="es-ES_tradnl"/>
        </w:rPr>
      </w:pPr>
      <w:r>
        <w:rPr>
          <w:rFonts w:ascii="Times New Roman" w:hAnsi="Times New Roman"/>
          <w:b/>
          <w:sz w:val="20"/>
          <w:lang w:val="es-ES_tradnl"/>
        </w:rPr>
        <w:t>Plenario de la Plataforma Intergubernamental Científico</w:t>
      </w:r>
      <w:r w:rsidR="00356A65">
        <w:rPr>
          <w:rFonts w:ascii="Times New Roman" w:hAnsi="Times New Roman"/>
          <w:b/>
          <w:sz w:val="20"/>
          <w:lang w:val="es-ES_tradnl"/>
        </w:rPr>
        <w:noBreakHyphen/>
      </w:r>
      <w:r>
        <w:rPr>
          <w:rFonts w:ascii="Times New Roman" w:hAnsi="Times New Roman"/>
          <w:b/>
          <w:sz w:val="20"/>
          <w:lang w:val="es-ES_tradnl"/>
        </w:rPr>
        <w:t>normativa</w:t>
      </w:r>
    </w:p>
    <w:p w14:paraId="5DF701B9" w14:textId="77777777" w:rsidR="00AC0C6D" w:rsidRDefault="00AC0C6D" w:rsidP="00AC0C6D">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lang w:val="es-ES_tradnl"/>
        </w:rPr>
      </w:pPr>
      <w:r>
        <w:rPr>
          <w:rFonts w:ascii="Times New Roman" w:hAnsi="Times New Roman"/>
          <w:b/>
          <w:sz w:val="20"/>
          <w:lang w:val="es-ES_tradnl"/>
        </w:rPr>
        <w:t>sobre Diversidad Biológica y Servicios de los Ecosistemas</w:t>
      </w:r>
    </w:p>
    <w:p w14:paraId="6809F91C" w14:textId="77777777" w:rsidR="00AC0C6D" w:rsidRDefault="00AC0C6D" w:rsidP="00AC0C6D">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20"/>
          <w:szCs w:val="20"/>
          <w:lang w:val="es-ES_tradnl"/>
        </w:rPr>
      </w:pPr>
      <w:r>
        <w:rPr>
          <w:rFonts w:ascii="Times New Roman" w:hAnsi="Times New Roman"/>
          <w:b/>
          <w:sz w:val="20"/>
          <w:lang w:val="es-ES_tradnl"/>
        </w:rPr>
        <w:t>Quinto período de sesiones</w:t>
      </w:r>
    </w:p>
    <w:p w14:paraId="61A69E62" w14:textId="77777777" w:rsidR="00AC0C6D" w:rsidRDefault="00AC0C6D" w:rsidP="00AC0C6D">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sz w:val="18"/>
          <w:szCs w:val="20"/>
          <w:lang w:val="es-ES_tradnl"/>
        </w:rPr>
      </w:pPr>
      <w:r>
        <w:rPr>
          <w:rFonts w:ascii="Times New Roman" w:hAnsi="Times New Roman"/>
          <w:sz w:val="20"/>
          <w:lang w:val="es-ES_tradnl"/>
        </w:rPr>
        <w:t>Bonn (Alemania), 7 a 10 de marzo de 2017</w:t>
      </w:r>
    </w:p>
    <w:p w14:paraId="1F8A964A" w14:textId="5B47E976" w:rsidR="000958F5" w:rsidRPr="00AC0C6D" w:rsidRDefault="000958F5" w:rsidP="00AC0C6D">
      <w:pPr>
        <w:tabs>
          <w:tab w:val="left" w:pos="1247"/>
          <w:tab w:val="left" w:pos="1814"/>
          <w:tab w:val="left" w:pos="2381"/>
          <w:tab w:val="left" w:pos="2948"/>
          <w:tab w:val="left" w:pos="3515"/>
        </w:tabs>
        <w:suppressAutoHyphens/>
        <w:spacing w:after="0" w:line="240" w:lineRule="auto"/>
        <w:ind w:left="-180" w:right="3402"/>
        <w:rPr>
          <w:rFonts w:ascii="Times New Roman" w:hAnsi="Times New Roman"/>
          <w:sz w:val="20"/>
          <w:lang w:val="es-ES_tradnl"/>
        </w:rPr>
      </w:pPr>
      <w:r w:rsidRPr="00AC0C6D">
        <w:rPr>
          <w:rFonts w:ascii="Times New Roman" w:hAnsi="Times New Roman"/>
          <w:sz w:val="20"/>
          <w:lang w:val="es-ES_tradnl"/>
        </w:rPr>
        <w:t>Tema 7 del programa provisional</w:t>
      </w:r>
      <w:r w:rsidRPr="00AC0C6D">
        <w:rPr>
          <w:rFonts w:ascii="Times New Roman" w:hAnsi="Times New Roman"/>
          <w:sz w:val="20"/>
          <w:lang w:val="es-ES_tradnl"/>
        </w:rPr>
        <w:footnoteReference w:customMarkFollows="1" w:id="2"/>
        <w:t>*</w:t>
      </w:r>
    </w:p>
    <w:p w14:paraId="22B44EE1" w14:textId="64E2EB8B" w:rsidR="000958F5" w:rsidRPr="00AC0C6D" w:rsidRDefault="000958F5" w:rsidP="00AC0C6D">
      <w:pPr>
        <w:tabs>
          <w:tab w:val="left" w:pos="1247"/>
          <w:tab w:val="left" w:pos="1814"/>
          <w:tab w:val="left" w:pos="2381"/>
          <w:tab w:val="left" w:pos="2948"/>
          <w:tab w:val="left" w:pos="3515"/>
        </w:tabs>
        <w:suppressAutoHyphens/>
        <w:spacing w:after="0" w:line="240" w:lineRule="auto"/>
        <w:ind w:left="-180" w:right="3402"/>
        <w:rPr>
          <w:rFonts w:ascii="Times New Roman" w:hAnsi="Times New Roman"/>
          <w:b/>
          <w:sz w:val="20"/>
          <w:lang w:val="es-ES_tradnl"/>
        </w:rPr>
      </w:pPr>
      <w:r w:rsidRPr="00AC0C6D">
        <w:rPr>
          <w:rFonts w:ascii="Times New Roman" w:hAnsi="Times New Roman"/>
          <w:b/>
          <w:sz w:val="20"/>
          <w:lang w:val="es-ES_tradnl"/>
        </w:rPr>
        <w:t xml:space="preserve">Disposiciones financieras y presupuestarias para la Plataforma </w:t>
      </w:r>
    </w:p>
    <w:p w14:paraId="6EFDC709" w14:textId="6ABB1AB1" w:rsidR="000958F5" w:rsidRPr="00703A97" w:rsidRDefault="000958F5" w:rsidP="000958F5">
      <w:pPr>
        <w:pStyle w:val="BBTitle"/>
        <w:rPr>
          <w:lang w:val="es-ES_tradnl"/>
        </w:rPr>
      </w:pPr>
      <w:r w:rsidRPr="00703A97">
        <w:rPr>
          <w:bCs/>
          <w:lang w:val="es-ES_tradnl"/>
        </w:rPr>
        <w:t xml:space="preserve">Presupuesto y gastos para </w:t>
      </w:r>
      <w:r w:rsidR="00FB57B5">
        <w:rPr>
          <w:bCs/>
          <w:lang w:val="es-ES_tradnl"/>
        </w:rPr>
        <w:t xml:space="preserve">el período </w:t>
      </w:r>
      <w:r w:rsidRPr="00703A97">
        <w:rPr>
          <w:bCs/>
          <w:lang w:val="es-ES_tradnl"/>
        </w:rPr>
        <w:t>2014</w:t>
      </w:r>
      <w:r w:rsidR="00356A65">
        <w:rPr>
          <w:bCs/>
          <w:lang w:val="es-ES_tradnl"/>
        </w:rPr>
        <w:noBreakHyphen/>
      </w:r>
      <w:r w:rsidRPr="00703A97">
        <w:rPr>
          <w:bCs/>
          <w:lang w:val="es-ES_tradnl"/>
        </w:rPr>
        <w:t>2018</w:t>
      </w:r>
    </w:p>
    <w:p w14:paraId="18C996FD" w14:textId="423C2A33" w:rsidR="000958F5" w:rsidRPr="00703A97" w:rsidRDefault="000958F5" w:rsidP="000958F5">
      <w:pPr>
        <w:pStyle w:val="CH2"/>
        <w:rPr>
          <w:lang w:val="es-ES_tradnl"/>
        </w:rPr>
      </w:pPr>
      <w:r w:rsidRPr="00703A97">
        <w:rPr>
          <w:lang w:val="es-ES_tradnl"/>
        </w:rPr>
        <w:tab/>
      </w:r>
      <w:r w:rsidRPr="00703A97">
        <w:rPr>
          <w:lang w:val="es-ES_tradnl"/>
        </w:rPr>
        <w:tab/>
      </w:r>
      <w:r w:rsidRPr="00703A97">
        <w:rPr>
          <w:bCs/>
          <w:lang w:val="es-ES_tradnl"/>
        </w:rPr>
        <w:t>Nota de la Secretaría</w:t>
      </w:r>
    </w:p>
    <w:p w14:paraId="08B21EFC" w14:textId="1E90B1F8" w:rsidR="000958F5" w:rsidRPr="00703A97" w:rsidRDefault="00FB57B5" w:rsidP="00FB57B5">
      <w:pPr>
        <w:pStyle w:val="CH1"/>
        <w:tabs>
          <w:tab w:val="clear" w:pos="851"/>
          <w:tab w:val="clear" w:pos="1247"/>
          <w:tab w:val="clear" w:pos="1814"/>
          <w:tab w:val="clear" w:pos="2381"/>
          <w:tab w:val="clear" w:pos="2948"/>
          <w:tab w:val="clear" w:pos="3515"/>
          <w:tab w:val="clear" w:pos="4082"/>
        </w:tabs>
        <w:rPr>
          <w:lang w:val="es-ES_tradnl"/>
        </w:rPr>
      </w:pPr>
      <w:r>
        <w:rPr>
          <w:lang w:val="es-ES_tradnl"/>
        </w:rPr>
        <w:tab/>
      </w:r>
      <w:r>
        <w:rPr>
          <w:lang w:val="es-ES_tradnl"/>
        </w:rPr>
        <w:tab/>
      </w:r>
      <w:r w:rsidR="000958F5" w:rsidRPr="00703A97">
        <w:rPr>
          <w:bCs/>
          <w:lang w:val="es-ES_tradnl"/>
        </w:rPr>
        <w:t>Introducción</w:t>
      </w:r>
    </w:p>
    <w:p w14:paraId="345B706E" w14:textId="26E88E1E" w:rsidR="000958F5" w:rsidRPr="00703A97" w:rsidRDefault="000958F5" w:rsidP="00EB5AC0">
      <w:pPr>
        <w:pStyle w:val="Normalnumber"/>
        <w:numPr>
          <w:ilvl w:val="0"/>
          <w:numId w:val="5"/>
        </w:numPr>
        <w:spacing w:line="216" w:lineRule="auto"/>
        <w:ind w:left="1247" w:firstLine="0"/>
        <w:rPr>
          <w:lang w:val="es-ES_tradnl"/>
        </w:rPr>
      </w:pPr>
      <w:r w:rsidRPr="00703A97">
        <w:rPr>
          <w:lang w:val="es-ES_tradnl"/>
        </w:rPr>
        <w:t>En la decisión IPBES</w:t>
      </w:r>
      <w:r w:rsidR="00356A65">
        <w:rPr>
          <w:lang w:val="es-ES_tradnl"/>
        </w:rPr>
        <w:noBreakHyphen/>
      </w:r>
      <w:r w:rsidRPr="00703A97">
        <w:rPr>
          <w:lang w:val="es-ES_tradnl"/>
        </w:rPr>
        <w:t>4/2 sobre disposiciones financieras y presupuestarias, el Plenario de la Plataforma Intergubernamental Científico</w:t>
      </w:r>
      <w:r w:rsidR="00356A65">
        <w:rPr>
          <w:lang w:val="es-ES_tradnl"/>
        </w:rPr>
        <w:noBreakHyphen/>
      </w:r>
      <w:r w:rsidRPr="00703A97">
        <w:rPr>
          <w:lang w:val="es-ES_tradnl"/>
        </w:rPr>
        <w:t>normativa sobre Diversidad Biológica y Servicios de los Ecosistemas (IPBES) aprobó el presupuesto para el bienio 2016</w:t>
      </w:r>
      <w:r w:rsidR="00356A65">
        <w:rPr>
          <w:lang w:val="es-ES_tradnl"/>
        </w:rPr>
        <w:noBreakHyphen/>
      </w:r>
      <w:r w:rsidRPr="00703A97">
        <w:rPr>
          <w:lang w:val="es-ES_tradnl"/>
        </w:rPr>
        <w:t>2017 y tomó nota de los proyectos de presupuesto para 2018 y 2019. En la presente nota se informa sobre la ejecución del programa de trabajo de la Plataforma en relación con el presupuesto. Se proporciona</w:t>
      </w:r>
      <w:r w:rsidR="00AC0C6D">
        <w:rPr>
          <w:lang w:val="es-ES_tradnl"/>
        </w:rPr>
        <w:t xml:space="preserve"> información sobre el estado de </w:t>
      </w:r>
      <w:r w:rsidRPr="00703A97">
        <w:rPr>
          <w:lang w:val="es-ES_tradnl"/>
        </w:rPr>
        <w:t>las contribuciones en efectivo al Fondo Fiduciario de la Plataforma y las contribuciones en especie (sección II), los gastos incurridos en 2015 (sección III) y las estimacion</w:t>
      </w:r>
      <w:r w:rsidR="00AC0C6D">
        <w:rPr>
          <w:lang w:val="es-ES_tradnl"/>
        </w:rPr>
        <w:t>es de gastos correspondientes a </w:t>
      </w:r>
      <w:r w:rsidRPr="00703A97">
        <w:rPr>
          <w:lang w:val="es-ES_tradnl"/>
        </w:rPr>
        <w:t>2016 (sección IV). Se propone un presupuesto revisado para el bienio 2017</w:t>
      </w:r>
      <w:r w:rsidR="00356A65">
        <w:rPr>
          <w:lang w:val="es-ES_tradnl"/>
        </w:rPr>
        <w:noBreakHyphen/>
      </w:r>
      <w:r w:rsidRPr="00703A97">
        <w:rPr>
          <w:lang w:val="es-ES_tradnl"/>
        </w:rPr>
        <w:t>2018, para su aprobación en el Plenario (sección V), y un presupuesto indicativo revisado par</w:t>
      </w:r>
      <w:r w:rsidR="00AC0C6D">
        <w:rPr>
          <w:lang w:val="es-ES_tradnl"/>
        </w:rPr>
        <w:t>a enero a mayo de 2019 (sección </w:t>
      </w:r>
      <w:r w:rsidRPr="00703A97">
        <w:rPr>
          <w:lang w:val="es-ES_tradnl"/>
        </w:rPr>
        <w:t xml:space="preserve">VI), para su examen. </w:t>
      </w:r>
    </w:p>
    <w:p w14:paraId="32F4FF5B" w14:textId="31E2869E" w:rsidR="000958F5" w:rsidRPr="00703A97" w:rsidRDefault="00542437" w:rsidP="00EB5AC0">
      <w:pPr>
        <w:pStyle w:val="Normalnumber"/>
        <w:numPr>
          <w:ilvl w:val="0"/>
          <w:numId w:val="5"/>
        </w:numPr>
        <w:spacing w:line="216" w:lineRule="auto"/>
        <w:ind w:left="1247" w:firstLine="0"/>
        <w:rPr>
          <w:lang w:val="es-ES_tradnl"/>
        </w:rPr>
      </w:pPr>
      <w:r w:rsidRPr="00703A97">
        <w:rPr>
          <w:lang w:val="es-ES_tradnl"/>
        </w:rPr>
        <w:t>Asimismo, en la decisión IPBES</w:t>
      </w:r>
      <w:r w:rsidR="00356A65">
        <w:rPr>
          <w:lang w:val="es-ES_tradnl"/>
        </w:rPr>
        <w:noBreakHyphen/>
      </w:r>
      <w:r w:rsidRPr="00703A97">
        <w:rPr>
          <w:lang w:val="es-ES_tradnl"/>
        </w:rPr>
        <w:t>4/2, el Plenario solicitó a la Secretaria Ejecutiva que, con la orientación de la Mesa, se empeñara activamente en obtener fondos, aumentara constantemente la eficiencia de la Plataforma y formulara una estrategia de recaudación de fondos para que el Plenario la examinara en su quinto período de sesiones. En la sección VII de la presente nota se ofrece una descripción general de los gastos de la Plataforma hasta 2019 y una estimación de los fondos que será necesario recaudar. En la sección VIII se presenta un proyecto de estrategia de recaudación de fondos, que figura como anexo de la presente nota, para su examen por el P</w:t>
      </w:r>
      <w:r w:rsidR="00AC0C6D">
        <w:rPr>
          <w:lang w:val="es-ES_tradnl"/>
        </w:rPr>
        <w:t>lenario en su quinto período de </w:t>
      </w:r>
      <w:r w:rsidRPr="00703A97">
        <w:rPr>
          <w:lang w:val="es-ES_tradnl"/>
        </w:rPr>
        <w:t>sesiones.</w:t>
      </w:r>
    </w:p>
    <w:p w14:paraId="7BF52643" w14:textId="0423C7F6" w:rsidR="000958F5" w:rsidRPr="00703A97" w:rsidRDefault="000958F5" w:rsidP="00EB5AC0">
      <w:pPr>
        <w:pStyle w:val="Normalnumber"/>
        <w:numPr>
          <w:ilvl w:val="0"/>
          <w:numId w:val="5"/>
        </w:numPr>
        <w:spacing w:line="216" w:lineRule="auto"/>
        <w:ind w:left="1247" w:firstLine="0"/>
        <w:rPr>
          <w:lang w:val="es-ES_tradnl"/>
        </w:rPr>
      </w:pPr>
      <w:r w:rsidRPr="00703A97">
        <w:rPr>
          <w:lang w:val="es-ES_tradnl"/>
        </w:rPr>
        <w:t>En la sección VII de la presente nota se llega a la conclusión de que la financiación que es necesario recaudar desde ahora hasta el séptimo período de sesiones del Plenario (mayo de 2019) para completar el primer programa de trabajo asciende a 10.755.622 dólares</w:t>
      </w:r>
      <w:r w:rsidR="00FE74ED">
        <w:rPr>
          <w:lang w:val="es-ES_tradnl"/>
        </w:rPr>
        <w:t xml:space="preserve"> de los Estados Unidos</w:t>
      </w:r>
      <w:r w:rsidRPr="00703A97">
        <w:rPr>
          <w:lang w:val="es-ES_tradnl"/>
        </w:rPr>
        <w:t>, equivalente a la diferencia entre el costo total (40.506.766 dólares) y el total de recursos recibidos o prometidos hasta la fecha (29.751.144 dólares), suponiendo que no se inicien nuevas evaluaciones antes del séptimo período de sesiones. Si no se logran nuevas promesas de contribuciones, el déficit ascendería a 1.880.157 dólares en 2017, 7.820.969 dólares en 2018 dólares y, como se señaló anteriormente, 10.755.622 dólares en 2019. En respuesta a esta situación delicada, la Mesa tiene a bien instar a los gobiernos y a los interesados que estén en condiciones de hacerlo a que se comprometan a aportar contribuciones al Fondo Fiduciario durante 2017 y los años siguientes.</w:t>
      </w:r>
    </w:p>
    <w:p w14:paraId="06C9E13D" w14:textId="5146C2C3" w:rsidR="000958F5" w:rsidRPr="00703A97" w:rsidRDefault="000958F5" w:rsidP="00EB5AC0">
      <w:pPr>
        <w:pStyle w:val="Normalnumber"/>
        <w:numPr>
          <w:ilvl w:val="0"/>
          <w:numId w:val="5"/>
        </w:numPr>
        <w:spacing w:line="216" w:lineRule="auto"/>
        <w:ind w:left="1247" w:firstLine="0"/>
        <w:rPr>
          <w:lang w:val="es-ES_tradnl"/>
        </w:rPr>
      </w:pPr>
      <w:r w:rsidRPr="00703A97">
        <w:rPr>
          <w:lang w:val="es-ES_tradnl"/>
        </w:rPr>
        <w:t>En la sección IX de la presente nota se propone un conjunto de medidas que el Plenario podría considerar la posibilidad de adoptar.</w:t>
      </w:r>
    </w:p>
    <w:p w14:paraId="09D28F3F" w14:textId="7073155A" w:rsidR="000958F5" w:rsidRPr="00703A97" w:rsidRDefault="000958F5" w:rsidP="00EB5AC0">
      <w:pPr>
        <w:pStyle w:val="CH1"/>
        <w:rPr>
          <w:lang w:val="es-ES_tradnl"/>
        </w:rPr>
      </w:pPr>
      <w:r w:rsidRPr="00703A97">
        <w:rPr>
          <w:lang w:val="es-ES_tradnl"/>
        </w:rPr>
        <w:lastRenderedPageBreak/>
        <w:tab/>
      </w:r>
      <w:r w:rsidRPr="00703A97">
        <w:rPr>
          <w:bCs/>
          <w:lang w:val="es-ES_tradnl"/>
        </w:rPr>
        <w:t>I.</w:t>
      </w:r>
      <w:r w:rsidRPr="00703A97">
        <w:rPr>
          <w:lang w:val="es-ES_tradnl"/>
        </w:rPr>
        <w:tab/>
      </w:r>
      <w:r w:rsidRPr="00703A97">
        <w:rPr>
          <w:bCs/>
          <w:lang w:val="es-ES_tradnl"/>
        </w:rPr>
        <w:t>Estado de las contribuciones en efectivo y en especie recibidas por la Plataforma</w:t>
      </w:r>
    </w:p>
    <w:p w14:paraId="6DCE0C32" w14:textId="3C3701B5" w:rsidR="000958F5" w:rsidRPr="00703A97" w:rsidRDefault="000958F5" w:rsidP="004D359B">
      <w:pPr>
        <w:pStyle w:val="Normalnumber"/>
        <w:numPr>
          <w:ilvl w:val="0"/>
          <w:numId w:val="5"/>
        </w:numPr>
        <w:ind w:left="1247" w:firstLine="0"/>
        <w:rPr>
          <w:lang w:val="es-ES_tradnl"/>
        </w:rPr>
      </w:pPr>
      <w:r w:rsidRPr="00703A97">
        <w:rPr>
          <w:lang w:val="es-ES_tradnl"/>
        </w:rPr>
        <w:t xml:space="preserve">En el cuadro 1 </w:t>
      </w:r>
      <w:r w:rsidR="007D1C83" w:rsidRPr="00703A97">
        <w:rPr>
          <w:lang w:val="es-ES_tradnl"/>
        </w:rPr>
        <w:t>figura</w:t>
      </w:r>
      <w:r w:rsidRPr="00703A97">
        <w:rPr>
          <w:lang w:val="es-ES_tradnl"/>
        </w:rPr>
        <w:t xml:space="preserve"> el estado de las contribuciones en efectivo recibidas y las promesas de contribuciones hechas desde el establecimiento de la Plataforma en 2012, al 15 de diciembre de 2016.</w:t>
      </w:r>
    </w:p>
    <w:p w14:paraId="14B6CFBB" w14:textId="3E6EC0E1" w:rsidR="000958F5" w:rsidRPr="00703A97" w:rsidRDefault="000958F5" w:rsidP="004D359B">
      <w:pPr>
        <w:pStyle w:val="Normalnumber"/>
        <w:numPr>
          <w:ilvl w:val="0"/>
          <w:numId w:val="5"/>
        </w:numPr>
        <w:ind w:left="1247" w:firstLine="0"/>
        <w:rPr>
          <w:lang w:val="es-ES_tradnl"/>
        </w:rPr>
      </w:pPr>
      <w:r w:rsidRPr="00703A97">
        <w:rPr>
          <w:lang w:val="es-ES_tradnl"/>
        </w:rPr>
        <w:t>En el cuadro 2 se reflejan las contribuciones en especie recibidas en 2016 y sus valores en dólares de los Estados Unidos, notificados o estimados de conformidad con los costos equivalentes previstos en el programa de trabajo. Las contribuciones en especie consisten en apoyo prestado directamente por el donante y, por consiguiente, no recibidas por el Fondo Fiduciario, para actividades, ya sea las programadas como parte del programa de trabaj</w:t>
      </w:r>
      <w:r w:rsidR="00FE74ED">
        <w:rPr>
          <w:lang w:val="es-ES_tradnl"/>
        </w:rPr>
        <w:t>o o las organizadas en apoyo de </w:t>
      </w:r>
      <w:r w:rsidRPr="00703A97">
        <w:rPr>
          <w:lang w:val="es-ES_tradnl"/>
        </w:rPr>
        <w:t>este; algunos ejemplos son el apoyo técnico, instalaciones p</w:t>
      </w:r>
      <w:r w:rsidR="00FE74ED">
        <w:rPr>
          <w:lang w:val="es-ES_tradnl"/>
        </w:rPr>
        <w:t>ara reuniones y apoyo local. El </w:t>
      </w:r>
      <w:r w:rsidRPr="00703A97">
        <w:rPr>
          <w:lang w:val="es-ES_tradnl"/>
        </w:rPr>
        <w:t>valor total de las contribuciones en especie recibidas en 2016, enum</w:t>
      </w:r>
      <w:r w:rsidR="00FE74ED">
        <w:rPr>
          <w:lang w:val="es-ES_tradnl"/>
        </w:rPr>
        <w:t>eradas en el cuadro 2 se estima </w:t>
      </w:r>
      <w:r w:rsidRPr="00703A97">
        <w:rPr>
          <w:lang w:val="es-ES_tradnl"/>
        </w:rPr>
        <w:t xml:space="preserve">en 5.486.645 dólares. </w:t>
      </w:r>
    </w:p>
    <w:p w14:paraId="444BEC42" w14:textId="671CB03D" w:rsidR="000958F5" w:rsidRPr="00703A97" w:rsidRDefault="000958F5" w:rsidP="004D359B">
      <w:pPr>
        <w:pStyle w:val="Normalnumber"/>
        <w:numPr>
          <w:ilvl w:val="0"/>
          <w:numId w:val="5"/>
        </w:numPr>
        <w:ind w:left="1247" w:firstLine="0"/>
        <w:rPr>
          <w:lang w:val="es-ES_tradnl"/>
        </w:rPr>
      </w:pPr>
      <w:r w:rsidRPr="00703A97">
        <w:rPr>
          <w:lang w:val="es-ES_tradnl"/>
        </w:rPr>
        <w:t>En 2016, todos los expertos de todo el mundo (</w:t>
      </w:r>
      <w:r w:rsidR="00703A97" w:rsidRPr="00703A97">
        <w:rPr>
          <w:lang w:val="es-ES_tradnl"/>
        </w:rPr>
        <w:t>entre</w:t>
      </w:r>
      <w:r w:rsidRPr="00703A97">
        <w:rPr>
          <w:lang w:val="es-ES_tradnl"/>
        </w:rPr>
        <w:t xml:space="preserve"> ellos los expertos que participaron en las evaluaciones, los grupos de expertos y los equipos de tareas, así como los miembros de la Mesa y el Grupo Multidisciplinario de Expertos) contribuyeron en especie un mo</w:t>
      </w:r>
      <w:r w:rsidR="00FE74ED">
        <w:rPr>
          <w:lang w:val="es-ES_tradnl"/>
        </w:rPr>
        <w:t>nto adicional estimado de entre </w:t>
      </w:r>
      <w:r w:rsidRPr="00703A97">
        <w:rPr>
          <w:lang w:val="es-ES_tradnl"/>
        </w:rPr>
        <w:t>6,1 millones de dólares y 12,2 millones de dólares a la labor de</w:t>
      </w:r>
      <w:r w:rsidR="00FE74ED">
        <w:rPr>
          <w:lang w:val="es-ES_tradnl"/>
        </w:rPr>
        <w:t xml:space="preserve"> la Plataforma trabajando entre </w:t>
      </w:r>
      <w:r w:rsidRPr="00703A97">
        <w:rPr>
          <w:lang w:val="es-ES_tradnl"/>
        </w:rPr>
        <w:t>10% y 20% de su tiempo con carácter voluntario</w:t>
      </w:r>
      <w:r w:rsidRPr="00703A97">
        <w:rPr>
          <w:rStyle w:val="FootnoteReference"/>
          <w:lang w:val="es-ES_tradnl"/>
        </w:rPr>
        <w:footnoteReference w:id="3"/>
      </w:r>
      <w:r w:rsidR="00FE74ED">
        <w:rPr>
          <w:lang w:val="es-ES_tradnl"/>
        </w:rPr>
        <w:t>.</w:t>
      </w:r>
      <w:r w:rsidRPr="00703A97">
        <w:rPr>
          <w:lang w:val="es-ES_tradnl"/>
        </w:rPr>
        <w:t xml:space="preserve"> La contribución total representada por ese servicio voluntario desde 2014 se estima entre 14,1 millones de dólares y 28,2 millones de dólares</w:t>
      </w:r>
      <w:r w:rsidRPr="00703A97">
        <w:rPr>
          <w:rStyle w:val="FootnoteReference"/>
          <w:lang w:val="es-ES_tradnl"/>
        </w:rPr>
        <w:footnoteReference w:id="4"/>
      </w:r>
      <w:r w:rsidR="00FE74ED">
        <w:rPr>
          <w:lang w:val="es-ES_tradnl"/>
        </w:rPr>
        <w:t>.</w:t>
      </w:r>
      <w:r w:rsidRPr="00703A97">
        <w:rPr>
          <w:lang w:val="es-ES_tradnl"/>
        </w:rPr>
        <w:t xml:space="preserve"> </w:t>
      </w:r>
    </w:p>
    <w:p w14:paraId="2FB38A14" w14:textId="464ACA07" w:rsidR="000958F5" w:rsidRPr="00703A97" w:rsidRDefault="000958F5" w:rsidP="004D359B">
      <w:pPr>
        <w:pStyle w:val="Normalnumber"/>
        <w:numPr>
          <w:ilvl w:val="0"/>
          <w:numId w:val="5"/>
        </w:numPr>
        <w:ind w:left="1247" w:firstLine="0"/>
        <w:rPr>
          <w:lang w:val="es-ES_tradnl"/>
        </w:rPr>
      </w:pPr>
      <w:r w:rsidRPr="00703A97">
        <w:rPr>
          <w:lang w:val="es-ES_tradnl"/>
        </w:rPr>
        <w:t xml:space="preserve">Por otra parte, muchas organizaciones han prestado apoyo en especie a la labor en materia de conocimientos y datos de la Plataforma respaldando la utilización de indicadores en las evaluaciones de la Plataforma. </w:t>
      </w:r>
      <w:r w:rsidRPr="00703A97">
        <w:rPr>
          <w:bCs/>
          <w:lang w:val="es-ES_tradnl"/>
        </w:rPr>
        <w:t>Se trata de la</w:t>
      </w:r>
      <w:r w:rsidR="00EE6305" w:rsidRPr="00703A97">
        <w:rPr>
          <w:bCs/>
          <w:lang w:val="es-ES_tradnl"/>
        </w:rPr>
        <w:t xml:space="preserve">s siguientes: </w:t>
      </w:r>
      <w:r w:rsidR="00E752CC" w:rsidRPr="00703A97">
        <w:rPr>
          <w:bCs/>
          <w:lang w:val="es-ES_tradnl"/>
        </w:rPr>
        <w:t>Agencia de Evaluación Ambiental de los Países Bajos (PBL), Alianza sobre Indicadores de Biodiversidad, Banco Mundial, BioTime, BirdLife International, Centro Alemán para la Investigación Integradora de la Diversidad Biológica, Centro Mundial de Vigilancia de la Conservación del Programa de las Naciones Unidas para el Medio Ambiente (CMVC</w:t>
      </w:r>
      <w:r w:rsidR="00356A65">
        <w:rPr>
          <w:bCs/>
          <w:lang w:val="es-ES_tradnl"/>
        </w:rPr>
        <w:noBreakHyphen/>
      </w:r>
      <w:r w:rsidR="00E752CC" w:rsidRPr="00703A97">
        <w:rPr>
          <w:bCs/>
          <w:lang w:val="es-ES_tradnl"/>
        </w:rPr>
        <w:t>PNUMA), Consejo de Administración Forestal, División de Estadística de las Naciones Unidas, Fondo Mundial para la Naturaleza (WWF), Global Footprint Network, Grupo para las Observaciones Terrestres de la Red de Observación de la Diversidad Biológica, Indicadores del Programa de Mares Regionales (IndiSeas), Infraestructura Mundial de Información sobre Biodiversidad, Iniciativa de Investigaciones El Mar que Nos Rodea, Instituto de Ecología Social en la Universidad Alpen Adria de Viena, Instituto de Recursos Mundiales, Map of Life, Marine Stewardship Council (MSC), Organización de Cooperación y Desarrollo Económicos (OCDE), Organización de Investigación Científica e Industrial del Commonwealth (CSIRO), Organización de las Naciones Unidas para la Alimentación y la Agricultura (FAO), Programa de Reconocimiento de Sistemas de Certificación Forestal, proyecto de colaboración Previsión de respuestas de la diversidad ecológica a los cambios en los sistemas terrestres (PREDICTS), Red de Evaluación y Vigilancia de la Ecología Tropical (TEAM), Secretaría del Convenio sobre la Diversidad Biológica (CDB), Terralingua, Unión Internacional para la Conservación de la Naturaleza (UICN), Universidad de Saint Andrews, Water Footprint Network, Yale Center for Environmental Law and Policy y Zoological Society of London (ZSL</w:t>
      </w:r>
      <w:r w:rsidRPr="00703A97">
        <w:rPr>
          <w:bCs/>
          <w:lang w:val="es-ES_tradnl"/>
        </w:rPr>
        <w:t>)</w:t>
      </w:r>
      <w:r w:rsidR="00E752CC" w:rsidRPr="00703A97">
        <w:rPr>
          <w:bCs/>
          <w:lang w:val="es-ES_tradnl"/>
        </w:rPr>
        <w:t>.</w:t>
      </w:r>
    </w:p>
    <w:p w14:paraId="15C4DC89" w14:textId="26B64612" w:rsidR="000958F5" w:rsidRPr="00703A97" w:rsidRDefault="00A85A37" w:rsidP="004D359B">
      <w:pPr>
        <w:pStyle w:val="Normalnumber"/>
        <w:numPr>
          <w:ilvl w:val="0"/>
          <w:numId w:val="5"/>
        </w:numPr>
        <w:ind w:left="1247" w:firstLine="0"/>
        <w:rPr>
          <w:lang w:val="es-ES_tradnl"/>
        </w:rPr>
      </w:pPr>
      <w:r w:rsidRPr="00703A97">
        <w:rPr>
          <w:lang w:val="es-ES_tradnl"/>
        </w:rPr>
        <w:t xml:space="preserve">Por último, en 2016 los gobiernos y los interesados organizaron numerosas actividades para informar a diversos colectivos sobre distintos aspectos de la Plataforma a nivel nacional, regional e internacional. Estas actividades no se detallan en el presente documento, ya que no forman parte del programa de trabajo acordado, pero han sido muy útiles para dar a conocer la Plataforma y fomentar la participación en ella. </w:t>
      </w:r>
    </w:p>
    <w:p w14:paraId="7ACCE0AE" w14:textId="73C8393D" w:rsidR="000958F5" w:rsidRPr="00703A97" w:rsidRDefault="000958F5" w:rsidP="000958F5">
      <w:pPr>
        <w:pStyle w:val="Normalnumber"/>
        <w:numPr>
          <w:ilvl w:val="0"/>
          <w:numId w:val="5"/>
        </w:numPr>
        <w:ind w:left="1247" w:firstLine="0"/>
        <w:rPr>
          <w:lang w:val="es-ES_tradnl"/>
        </w:rPr>
      </w:pPr>
      <w:r w:rsidRPr="00703A97">
        <w:rPr>
          <w:lang w:val="es-ES_tradnl"/>
        </w:rPr>
        <w:t xml:space="preserve">En 2016, la Plataforma recibió 4.950.113 dólares de la </w:t>
      </w:r>
      <w:r w:rsidRPr="00703A97">
        <w:rPr>
          <w:bCs/>
          <w:lang w:val="es-ES_tradnl"/>
        </w:rPr>
        <w:t xml:space="preserve">Iniciativa Internacional para el Clima de Alemania </w:t>
      </w:r>
      <w:r w:rsidRPr="00703A97">
        <w:rPr>
          <w:lang w:val="es-ES_tradnl"/>
        </w:rPr>
        <w:t>por medio del Programa de las Naciones Unidas para el Desarrollo (PNUD) para el Centro Mundial de Vigilancia de la Conservación del PNUMA, con destino a proyectos de creación de capacidad centrados específicamente en la labor de la Plataforma (producto previsto 1 a))</w:t>
      </w:r>
      <w:r w:rsidR="007D1C83" w:rsidRPr="00703A97">
        <w:rPr>
          <w:lang w:val="es-ES_tradnl"/>
        </w:rPr>
        <w:t>.</w:t>
      </w:r>
    </w:p>
    <w:p w14:paraId="20D46867" w14:textId="77777777" w:rsidR="000958F5" w:rsidRPr="00703A97" w:rsidRDefault="000958F5" w:rsidP="000958F5">
      <w:pPr>
        <w:pStyle w:val="Normalnumber"/>
        <w:keepNext/>
        <w:keepLines/>
        <w:tabs>
          <w:tab w:val="left" w:pos="1701"/>
        </w:tabs>
        <w:ind w:left="1253"/>
        <w:rPr>
          <w:lang w:val="es-ES_tradnl"/>
        </w:rPr>
        <w:sectPr w:rsidR="000958F5" w:rsidRPr="00703A97" w:rsidSect="000958F5">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907" w:right="992" w:bottom="1418" w:left="1418" w:header="539" w:footer="975" w:gutter="0"/>
          <w:cols w:space="720"/>
          <w:titlePg/>
          <w:docGrid w:linePitch="360"/>
        </w:sectPr>
      </w:pPr>
    </w:p>
    <w:p w14:paraId="0FB5EE32" w14:textId="7274020B" w:rsidR="000958F5" w:rsidRPr="00703A97" w:rsidRDefault="000958F5" w:rsidP="000F1CF2">
      <w:pPr>
        <w:pStyle w:val="Titletable"/>
        <w:spacing w:before="120" w:after="0"/>
        <w:rPr>
          <w:lang w:val="es-ES_tradnl"/>
        </w:rPr>
      </w:pPr>
      <w:r w:rsidRPr="000F1CF2">
        <w:rPr>
          <w:b w:val="0"/>
          <w:lang w:val="es-ES_tradnl"/>
        </w:rPr>
        <w:lastRenderedPageBreak/>
        <w:t>Cuadro 1</w:t>
      </w:r>
      <w:r w:rsidRPr="00703A97">
        <w:rPr>
          <w:lang w:val="es-ES_tradnl"/>
        </w:rPr>
        <w:t xml:space="preserve"> </w:t>
      </w:r>
      <w:r w:rsidR="000F1CF2">
        <w:rPr>
          <w:lang w:val="es-ES_tradnl"/>
        </w:rPr>
        <w:br/>
      </w:r>
      <w:r w:rsidRPr="00703A97">
        <w:rPr>
          <w:lang w:val="es-ES_tradnl"/>
        </w:rPr>
        <w:t>Estado de las contribuciones en efectivo recibidas y las promesas de contribuciones hechas desde el establecimiento de la P</w:t>
      </w:r>
      <w:r w:rsidR="00FE74ED">
        <w:rPr>
          <w:lang w:val="es-ES_tradnl"/>
        </w:rPr>
        <w:t>lataforma en abril de 2012 (del </w:t>
      </w:r>
      <w:r w:rsidRPr="00703A97">
        <w:rPr>
          <w:lang w:val="es-ES_tradnl"/>
        </w:rPr>
        <w:t>1 de mayo de 2012 al 15 de diciembre de 2016)</w:t>
      </w:r>
    </w:p>
    <w:p w14:paraId="517F9F2C" w14:textId="497C5B68" w:rsidR="000958F5" w:rsidRPr="000F1CF2" w:rsidRDefault="000958F5" w:rsidP="000958F5">
      <w:pPr>
        <w:pStyle w:val="Titletable"/>
        <w:rPr>
          <w:b w:val="0"/>
          <w:sz w:val="18"/>
          <w:szCs w:val="18"/>
          <w:lang w:val="es-ES_tradnl"/>
        </w:rPr>
      </w:pPr>
      <w:r w:rsidRPr="000F1CF2">
        <w:rPr>
          <w:b w:val="0"/>
          <w:sz w:val="18"/>
          <w:szCs w:val="18"/>
          <w:lang w:val="es-ES_tradnl"/>
        </w:rPr>
        <w:t>(en dólares de los E</w:t>
      </w:r>
      <w:r w:rsidR="00FE74ED">
        <w:rPr>
          <w:b w:val="0"/>
          <w:sz w:val="18"/>
          <w:szCs w:val="18"/>
          <w:lang w:val="es-ES_tradnl"/>
        </w:rPr>
        <w:t>stados Unidos</w:t>
      </w:r>
      <w:r w:rsidRPr="000F1CF2">
        <w:rPr>
          <w:b w:val="0"/>
          <w:sz w:val="18"/>
          <w:szCs w:val="18"/>
          <w:lang w:val="es-ES_tradnl"/>
        </w:rPr>
        <w:t>)</w:t>
      </w:r>
    </w:p>
    <w:tbl>
      <w:tblPr>
        <w:tblW w:w="5000" w:type="pct"/>
        <w:shd w:val="clear" w:color="auto" w:fill="FFFFFF" w:themeFill="background1"/>
        <w:tblLayout w:type="fixed"/>
        <w:tblLook w:val="04A0" w:firstRow="1" w:lastRow="0" w:firstColumn="1" w:lastColumn="0" w:noHBand="0" w:noVBand="1"/>
      </w:tblPr>
      <w:tblGrid>
        <w:gridCol w:w="2375"/>
        <w:gridCol w:w="1277"/>
        <w:gridCol w:w="1137"/>
        <w:gridCol w:w="1221"/>
        <w:gridCol w:w="1046"/>
        <w:gridCol w:w="1134"/>
        <w:gridCol w:w="1274"/>
        <w:gridCol w:w="934"/>
        <w:gridCol w:w="1049"/>
        <w:gridCol w:w="993"/>
        <w:gridCol w:w="993"/>
        <w:gridCol w:w="1213"/>
      </w:tblGrid>
      <w:tr w:rsidR="002144BF" w:rsidRPr="000930FA" w14:paraId="2FFB0F68" w14:textId="77777777" w:rsidTr="00FB57B5">
        <w:trPr>
          <w:trHeight w:hRule="exact" w:val="593"/>
        </w:trPr>
        <w:tc>
          <w:tcPr>
            <w:tcW w:w="811" w:type="pct"/>
            <w:vMerge w:val="restart"/>
            <w:tcBorders>
              <w:top w:val="single" w:sz="4" w:space="0" w:color="auto"/>
              <w:bottom w:val="single" w:sz="12" w:space="0" w:color="auto"/>
              <w:right w:val="nil"/>
            </w:tcBorders>
            <w:shd w:val="clear" w:color="auto" w:fill="FFFFFF" w:themeFill="background1"/>
            <w:vAlign w:val="bottom"/>
            <w:hideMark/>
          </w:tcPr>
          <w:p w14:paraId="280A3EDE" w14:textId="76AB4B07" w:rsidR="002144BF" w:rsidRPr="00E930DA" w:rsidRDefault="002144BF" w:rsidP="00536253">
            <w:pPr>
              <w:spacing w:after="0" w:line="240" w:lineRule="auto"/>
              <w:rPr>
                <w:rFonts w:ascii="Times New Roman" w:eastAsia="Times New Roman" w:hAnsi="Times New Roman"/>
                <w:bCs/>
                <w:i/>
                <w:color w:val="000000"/>
                <w:sz w:val="18"/>
                <w:szCs w:val="18"/>
                <w:lang w:val="es-ES_tradnl"/>
              </w:rPr>
            </w:pPr>
            <w:r w:rsidRPr="00E930DA">
              <w:rPr>
                <w:rFonts w:ascii="Times New Roman" w:hAnsi="Times New Roman"/>
                <w:i/>
                <w:iCs/>
                <w:sz w:val="18"/>
                <w:szCs w:val="18"/>
                <w:lang w:val="es-ES_tradnl"/>
              </w:rPr>
              <w:t>País</w:t>
            </w:r>
          </w:p>
        </w:tc>
        <w:tc>
          <w:tcPr>
            <w:tcW w:w="2420" w:type="pct"/>
            <w:gridSpan w:val="6"/>
            <w:vMerge w:val="restart"/>
            <w:tcBorders>
              <w:top w:val="single" w:sz="4" w:space="0" w:color="auto"/>
              <w:bottom w:val="single" w:sz="4" w:space="0" w:color="auto"/>
            </w:tcBorders>
            <w:shd w:val="clear" w:color="auto" w:fill="FFFFFF" w:themeFill="background1"/>
            <w:vAlign w:val="bottom"/>
            <w:hideMark/>
          </w:tcPr>
          <w:p w14:paraId="2C1A82FF" w14:textId="77777777" w:rsidR="002144BF" w:rsidRPr="00E930DA" w:rsidRDefault="002144BF" w:rsidP="00536253">
            <w:pPr>
              <w:spacing w:after="0" w:line="240" w:lineRule="auto"/>
              <w:jc w:val="center"/>
              <w:rPr>
                <w:rFonts w:ascii="Times New Roman" w:hAnsi="Times New Roman"/>
                <w:i/>
                <w:color w:val="000000"/>
                <w:sz w:val="18"/>
                <w:szCs w:val="18"/>
                <w:lang w:val="es-ES_tradnl"/>
              </w:rPr>
            </w:pPr>
            <w:r w:rsidRPr="00E930DA">
              <w:rPr>
                <w:rFonts w:ascii="Times New Roman" w:hAnsi="Times New Roman"/>
                <w:i/>
                <w:iCs/>
                <w:sz w:val="18"/>
                <w:szCs w:val="18"/>
                <w:lang w:val="es-ES_tradnl"/>
              </w:rPr>
              <w:t>Contribuciones</w:t>
            </w:r>
          </w:p>
        </w:tc>
        <w:tc>
          <w:tcPr>
            <w:tcW w:w="1355" w:type="pct"/>
            <w:gridSpan w:val="4"/>
            <w:tcBorders>
              <w:top w:val="single" w:sz="4" w:space="0" w:color="auto"/>
            </w:tcBorders>
            <w:shd w:val="clear" w:color="auto" w:fill="FFFFFF" w:themeFill="background1"/>
            <w:vAlign w:val="center"/>
            <w:hideMark/>
          </w:tcPr>
          <w:p w14:paraId="10203AE5" w14:textId="55BF2BDB" w:rsidR="002144BF" w:rsidRPr="00E930DA" w:rsidRDefault="002144BF" w:rsidP="00E930DA">
            <w:pPr>
              <w:spacing w:after="0" w:line="240" w:lineRule="auto"/>
              <w:jc w:val="center"/>
              <w:rPr>
                <w:rFonts w:ascii="Times New Roman" w:hAnsi="Times New Roman"/>
                <w:i/>
                <w:color w:val="000000"/>
                <w:sz w:val="18"/>
                <w:szCs w:val="18"/>
                <w:lang w:val="es-ES_tradnl"/>
              </w:rPr>
            </w:pPr>
            <w:r w:rsidRPr="00E930DA">
              <w:rPr>
                <w:rFonts w:ascii="Times New Roman" w:hAnsi="Times New Roman"/>
                <w:i/>
                <w:iCs/>
                <w:sz w:val="18"/>
                <w:szCs w:val="18"/>
                <w:lang w:val="es-ES_tradnl"/>
              </w:rPr>
              <w:t xml:space="preserve">Promesas de contribuciones al tipo de cambio </w:t>
            </w:r>
            <w:r w:rsidR="00E930DA">
              <w:rPr>
                <w:rFonts w:ascii="Times New Roman" w:hAnsi="Times New Roman"/>
                <w:i/>
                <w:iCs/>
                <w:sz w:val="18"/>
                <w:szCs w:val="18"/>
                <w:lang w:val="es-ES_tradnl"/>
              </w:rPr>
              <w:br/>
            </w:r>
            <w:r w:rsidRPr="00E930DA">
              <w:rPr>
                <w:rFonts w:ascii="Times New Roman" w:hAnsi="Times New Roman"/>
                <w:i/>
                <w:iCs/>
                <w:sz w:val="18"/>
                <w:szCs w:val="18"/>
                <w:lang w:val="es-ES_tradnl"/>
              </w:rPr>
              <w:t>de las Naciones Unidas</w:t>
            </w:r>
          </w:p>
        </w:tc>
        <w:tc>
          <w:tcPr>
            <w:tcW w:w="414" w:type="pct"/>
            <w:vMerge w:val="restart"/>
            <w:tcBorders>
              <w:top w:val="single" w:sz="4" w:space="0" w:color="auto"/>
              <w:bottom w:val="single" w:sz="4" w:space="0" w:color="auto"/>
            </w:tcBorders>
            <w:shd w:val="clear" w:color="auto" w:fill="FFFFFF" w:themeFill="background1"/>
            <w:hideMark/>
          </w:tcPr>
          <w:p w14:paraId="3F8016E4" w14:textId="2960F8F7" w:rsidR="002144BF" w:rsidRPr="00E930DA" w:rsidRDefault="002144BF" w:rsidP="00536253">
            <w:pPr>
              <w:spacing w:after="0" w:line="240" w:lineRule="auto"/>
              <w:rPr>
                <w:rFonts w:ascii="Times New Roman" w:hAnsi="Times New Roman"/>
                <w:b/>
                <w:i/>
                <w:color w:val="000000"/>
                <w:sz w:val="18"/>
                <w:szCs w:val="18"/>
                <w:u w:val="single"/>
                <w:lang w:val="es-ES_tradnl"/>
              </w:rPr>
            </w:pPr>
          </w:p>
        </w:tc>
      </w:tr>
      <w:tr w:rsidR="002144BF" w:rsidRPr="00703A97" w14:paraId="6DD56F68" w14:textId="77777777" w:rsidTr="00FB57B5">
        <w:trPr>
          <w:trHeight w:hRule="exact" w:val="311"/>
        </w:trPr>
        <w:tc>
          <w:tcPr>
            <w:tcW w:w="811" w:type="pct"/>
            <w:vMerge/>
            <w:tcBorders>
              <w:bottom w:val="single" w:sz="12" w:space="0" w:color="auto"/>
              <w:right w:val="single" w:sz="4" w:space="0" w:color="7F7F7F"/>
            </w:tcBorders>
            <w:shd w:val="clear" w:color="auto" w:fill="FFFFFF" w:themeFill="background1"/>
            <w:hideMark/>
          </w:tcPr>
          <w:p w14:paraId="4D8AD5CF" w14:textId="28175B3F" w:rsidR="002144BF" w:rsidRPr="00E930DA" w:rsidRDefault="002144BF" w:rsidP="00536253">
            <w:pPr>
              <w:spacing w:after="0" w:line="240" w:lineRule="auto"/>
              <w:jc w:val="right"/>
              <w:rPr>
                <w:rFonts w:ascii="Times New Roman" w:hAnsi="Times New Roman"/>
                <w:b/>
                <w:i/>
                <w:color w:val="000000"/>
                <w:sz w:val="18"/>
                <w:szCs w:val="18"/>
                <w:lang w:val="es-ES_tradnl"/>
              </w:rPr>
            </w:pPr>
          </w:p>
        </w:tc>
        <w:tc>
          <w:tcPr>
            <w:tcW w:w="2420" w:type="pct"/>
            <w:gridSpan w:val="6"/>
            <w:vMerge/>
            <w:tcBorders>
              <w:top w:val="single" w:sz="4" w:space="0" w:color="7F7F7F"/>
              <w:bottom w:val="single" w:sz="4" w:space="0" w:color="auto"/>
            </w:tcBorders>
            <w:shd w:val="clear" w:color="auto" w:fill="FFFFFF" w:themeFill="background1"/>
            <w:hideMark/>
          </w:tcPr>
          <w:p w14:paraId="6239358C" w14:textId="77777777" w:rsidR="002144BF" w:rsidRPr="00E930DA" w:rsidRDefault="002144BF" w:rsidP="00536253">
            <w:pPr>
              <w:keepNext/>
              <w:keepLines/>
              <w:tabs>
                <w:tab w:val="right" w:pos="851"/>
                <w:tab w:val="left" w:pos="1247"/>
                <w:tab w:val="left" w:pos="1814"/>
                <w:tab w:val="left" w:pos="2381"/>
                <w:tab w:val="left" w:pos="2948"/>
                <w:tab w:val="left" w:pos="3515"/>
                <w:tab w:val="left" w:pos="4082"/>
              </w:tabs>
              <w:suppressAutoHyphens/>
              <w:spacing w:after="0" w:line="240" w:lineRule="auto"/>
              <w:rPr>
                <w:rFonts w:ascii="Times New Roman" w:hAnsi="Times New Roman"/>
                <w:b/>
                <w:color w:val="000000"/>
                <w:sz w:val="18"/>
                <w:szCs w:val="18"/>
                <w:lang w:val="es-ES_tradnl"/>
              </w:rPr>
            </w:pPr>
          </w:p>
        </w:tc>
        <w:tc>
          <w:tcPr>
            <w:tcW w:w="1355" w:type="pct"/>
            <w:gridSpan w:val="4"/>
            <w:tcBorders>
              <w:bottom w:val="single" w:sz="4" w:space="0" w:color="auto"/>
            </w:tcBorders>
            <w:shd w:val="clear" w:color="auto" w:fill="FFFFFF" w:themeFill="background1"/>
            <w:vAlign w:val="bottom"/>
            <w:hideMark/>
          </w:tcPr>
          <w:p w14:paraId="47C82369" w14:textId="20683B27" w:rsidR="002144BF" w:rsidRPr="00E930DA" w:rsidRDefault="00024D90" w:rsidP="001C03A1">
            <w:pPr>
              <w:spacing w:after="20" w:line="240" w:lineRule="auto"/>
              <w:jc w:val="center"/>
              <w:rPr>
                <w:rFonts w:ascii="Times New Roman" w:hAnsi="Times New Roman"/>
                <w:i/>
                <w:color w:val="000000"/>
                <w:sz w:val="18"/>
                <w:szCs w:val="18"/>
                <w:lang w:val="es-ES_tradnl"/>
              </w:rPr>
            </w:pPr>
            <w:r>
              <w:rPr>
                <w:rFonts w:ascii="Times New Roman" w:hAnsi="Times New Roman"/>
                <w:i/>
                <w:iCs/>
                <w:sz w:val="18"/>
                <w:szCs w:val="18"/>
                <w:lang w:val="es-ES_tradnl"/>
              </w:rPr>
              <w:t>A</w:t>
            </w:r>
            <w:r w:rsidR="002144BF" w:rsidRPr="00E930DA">
              <w:rPr>
                <w:rFonts w:ascii="Times New Roman" w:hAnsi="Times New Roman"/>
                <w:i/>
                <w:iCs/>
                <w:sz w:val="18"/>
                <w:szCs w:val="18"/>
                <w:lang w:val="es-ES_tradnl"/>
              </w:rPr>
              <w:t>l 1 de diciembre de 2016</w:t>
            </w:r>
          </w:p>
        </w:tc>
        <w:tc>
          <w:tcPr>
            <w:tcW w:w="414" w:type="pct"/>
            <w:vMerge/>
            <w:tcBorders>
              <w:top w:val="single" w:sz="4" w:space="0" w:color="7F7F7F"/>
              <w:bottom w:val="single" w:sz="4" w:space="0" w:color="auto"/>
            </w:tcBorders>
            <w:shd w:val="clear" w:color="auto" w:fill="FFFFFF" w:themeFill="background1"/>
            <w:hideMark/>
          </w:tcPr>
          <w:p w14:paraId="64034E08" w14:textId="77777777" w:rsidR="002144BF" w:rsidRPr="00E930DA" w:rsidRDefault="002144BF" w:rsidP="00536253">
            <w:pPr>
              <w:keepNext/>
              <w:keepLines/>
              <w:tabs>
                <w:tab w:val="right" w:pos="851"/>
                <w:tab w:val="left" w:pos="1247"/>
                <w:tab w:val="left" w:pos="1814"/>
                <w:tab w:val="left" w:pos="2381"/>
                <w:tab w:val="left" w:pos="2948"/>
                <w:tab w:val="left" w:pos="3515"/>
                <w:tab w:val="left" w:pos="4082"/>
              </w:tabs>
              <w:suppressAutoHyphens/>
              <w:spacing w:after="0" w:line="240" w:lineRule="auto"/>
              <w:rPr>
                <w:rFonts w:ascii="Times New Roman" w:hAnsi="Times New Roman"/>
                <w:b/>
                <w:color w:val="000000"/>
                <w:sz w:val="18"/>
                <w:szCs w:val="18"/>
                <w:u w:val="single"/>
                <w:lang w:val="es-ES_tradnl"/>
              </w:rPr>
            </w:pPr>
          </w:p>
        </w:tc>
      </w:tr>
      <w:tr w:rsidR="002144BF" w:rsidRPr="00703A97" w14:paraId="5C1257FA" w14:textId="77777777" w:rsidTr="00FB57B5">
        <w:trPr>
          <w:trHeight w:hRule="exact" w:val="311"/>
        </w:trPr>
        <w:tc>
          <w:tcPr>
            <w:tcW w:w="811" w:type="pct"/>
            <w:vMerge/>
            <w:tcBorders>
              <w:bottom w:val="single" w:sz="12" w:space="0" w:color="auto"/>
              <w:right w:val="single" w:sz="4" w:space="0" w:color="7F7F7F"/>
            </w:tcBorders>
            <w:shd w:val="clear" w:color="auto" w:fill="FFFFFF" w:themeFill="background1"/>
            <w:hideMark/>
          </w:tcPr>
          <w:p w14:paraId="301FD534" w14:textId="3AED9E16" w:rsidR="002144BF" w:rsidRPr="00E930DA" w:rsidRDefault="002144BF" w:rsidP="00536253">
            <w:pPr>
              <w:spacing w:after="0" w:line="240" w:lineRule="auto"/>
              <w:jc w:val="right"/>
              <w:rPr>
                <w:rFonts w:ascii="Times New Roman" w:hAnsi="Times New Roman"/>
                <w:i/>
                <w:color w:val="000000"/>
                <w:sz w:val="18"/>
                <w:szCs w:val="18"/>
                <w:lang w:val="es-ES_tradnl"/>
              </w:rPr>
            </w:pPr>
          </w:p>
        </w:tc>
        <w:tc>
          <w:tcPr>
            <w:tcW w:w="436" w:type="pct"/>
            <w:tcBorders>
              <w:top w:val="single" w:sz="4" w:space="0" w:color="auto"/>
            </w:tcBorders>
            <w:shd w:val="clear" w:color="auto" w:fill="FFFFFF" w:themeFill="background1"/>
            <w:hideMark/>
          </w:tcPr>
          <w:p w14:paraId="5042FF6F"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2012</w:t>
            </w:r>
          </w:p>
        </w:tc>
        <w:tc>
          <w:tcPr>
            <w:tcW w:w="388" w:type="pct"/>
            <w:tcBorders>
              <w:top w:val="single" w:sz="4" w:space="0" w:color="auto"/>
            </w:tcBorders>
            <w:shd w:val="clear" w:color="auto" w:fill="FFFFFF" w:themeFill="background1"/>
            <w:hideMark/>
          </w:tcPr>
          <w:p w14:paraId="354E3378"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2013</w:t>
            </w:r>
          </w:p>
        </w:tc>
        <w:tc>
          <w:tcPr>
            <w:tcW w:w="417" w:type="pct"/>
            <w:tcBorders>
              <w:top w:val="single" w:sz="4" w:space="0" w:color="auto"/>
            </w:tcBorders>
            <w:shd w:val="clear" w:color="auto" w:fill="FFFFFF" w:themeFill="background1"/>
            <w:hideMark/>
          </w:tcPr>
          <w:p w14:paraId="14195CE3"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2014</w:t>
            </w:r>
          </w:p>
        </w:tc>
        <w:tc>
          <w:tcPr>
            <w:tcW w:w="357" w:type="pct"/>
            <w:tcBorders>
              <w:top w:val="single" w:sz="4" w:space="0" w:color="auto"/>
            </w:tcBorders>
            <w:shd w:val="clear" w:color="auto" w:fill="FFFFFF" w:themeFill="background1"/>
            <w:hideMark/>
          </w:tcPr>
          <w:p w14:paraId="2C0D1F39"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2015</w:t>
            </w:r>
          </w:p>
        </w:tc>
        <w:tc>
          <w:tcPr>
            <w:tcW w:w="387" w:type="pct"/>
            <w:tcBorders>
              <w:top w:val="single" w:sz="4" w:space="0" w:color="auto"/>
            </w:tcBorders>
            <w:shd w:val="clear" w:color="auto" w:fill="FFFFFF" w:themeFill="background1"/>
            <w:hideMark/>
          </w:tcPr>
          <w:p w14:paraId="0E738E60"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2016</w:t>
            </w:r>
          </w:p>
        </w:tc>
        <w:tc>
          <w:tcPr>
            <w:tcW w:w="435" w:type="pct"/>
            <w:tcBorders>
              <w:top w:val="single" w:sz="4" w:space="0" w:color="auto"/>
            </w:tcBorders>
            <w:shd w:val="clear" w:color="auto" w:fill="FFFFFF" w:themeFill="background1"/>
            <w:hideMark/>
          </w:tcPr>
          <w:p w14:paraId="0229A2FD" w14:textId="4BE87CE2" w:rsidR="002144BF" w:rsidRPr="00E930DA" w:rsidRDefault="002144BF" w:rsidP="00E930DA">
            <w:pPr>
              <w:spacing w:after="0" w:line="240" w:lineRule="auto"/>
              <w:ind w:left="-113"/>
              <w:jc w:val="right"/>
              <w:rPr>
                <w:rFonts w:ascii="Times New Roman" w:hAnsi="Times New Roman"/>
                <w:b/>
                <w:i/>
                <w:color w:val="000000"/>
                <w:sz w:val="18"/>
                <w:szCs w:val="18"/>
                <w:lang w:val="es-ES_tradnl"/>
              </w:rPr>
            </w:pPr>
            <w:r w:rsidRPr="00E930DA">
              <w:rPr>
                <w:rFonts w:ascii="Times New Roman" w:hAnsi="Times New Roman"/>
                <w:b/>
                <w:i/>
                <w:sz w:val="18"/>
                <w:szCs w:val="18"/>
                <w:lang w:val="es-ES_tradnl"/>
              </w:rPr>
              <w:t>Total (2012-16)</w:t>
            </w:r>
          </w:p>
        </w:tc>
        <w:tc>
          <w:tcPr>
            <w:tcW w:w="319" w:type="pct"/>
            <w:tcBorders>
              <w:top w:val="single" w:sz="4" w:space="0" w:color="auto"/>
            </w:tcBorders>
            <w:shd w:val="clear" w:color="auto" w:fill="FFFFFF" w:themeFill="background1"/>
            <w:hideMark/>
          </w:tcPr>
          <w:p w14:paraId="125E7A89"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2016</w:t>
            </w:r>
          </w:p>
        </w:tc>
        <w:tc>
          <w:tcPr>
            <w:tcW w:w="358" w:type="pct"/>
            <w:tcBorders>
              <w:top w:val="single" w:sz="4" w:space="0" w:color="auto"/>
            </w:tcBorders>
            <w:shd w:val="clear" w:color="auto" w:fill="FFFFFF" w:themeFill="background1"/>
            <w:hideMark/>
          </w:tcPr>
          <w:p w14:paraId="4D8F9D35"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2017</w:t>
            </w:r>
          </w:p>
        </w:tc>
        <w:tc>
          <w:tcPr>
            <w:tcW w:w="339" w:type="pct"/>
            <w:tcBorders>
              <w:top w:val="single" w:sz="4" w:space="0" w:color="auto"/>
            </w:tcBorders>
            <w:shd w:val="clear" w:color="auto" w:fill="FFFFFF" w:themeFill="background1"/>
            <w:hideMark/>
          </w:tcPr>
          <w:p w14:paraId="198ED705"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2018</w:t>
            </w:r>
          </w:p>
        </w:tc>
        <w:tc>
          <w:tcPr>
            <w:tcW w:w="339" w:type="pct"/>
            <w:tcBorders>
              <w:top w:val="single" w:sz="4" w:space="0" w:color="auto"/>
            </w:tcBorders>
            <w:shd w:val="clear" w:color="auto" w:fill="FFFFFF" w:themeFill="background1"/>
            <w:hideMark/>
          </w:tcPr>
          <w:p w14:paraId="17DB895A" w14:textId="77777777" w:rsidR="002144BF" w:rsidRPr="00E930DA" w:rsidRDefault="002144BF" w:rsidP="00536253">
            <w:pPr>
              <w:spacing w:after="0" w:line="240" w:lineRule="auto"/>
              <w:jc w:val="right"/>
              <w:rPr>
                <w:rFonts w:ascii="Times New Roman" w:hAnsi="Times New Roman"/>
                <w:b/>
                <w:i/>
                <w:color w:val="000000"/>
                <w:sz w:val="18"/>
                <w:szCs w:val="18"/>
                <w:lang w:val="es-ES_tradnl"/>
              </w:rPr>
            </w:pPr>
            <w:r w:rsidRPr="00E930DA">
              <w:rPr>
                <w:rFonts w:ascii="Times New Roman" w:hAnsi="Times New Roman"/>
                <w:i/>
                <w:sz w:val="18"/>
                <w:szCs w:val="18"/>
                <w:lang w:val="es-ES_tradnl"/>
              </w:rPr>
              <w:t>Total</w:t>
            </w:r>
          </w:p>
        </w:tc>
        <w:tc>
          <w:tcPr>
            <w:tcW w:w="414" w:type="pct"/>
            <w:tcBorders>
              <w:top w:val="single" w:sz="4" w:space="0" w:color="auto"/>
            </w:tcBorders>
            <w:shd w:val="clear" w:color="auto" w:fill="FFFFFF" w:themeFill="background1"/>
            <w:hideMark/>
          </w:tcPr>
          <w:p w14:paraId="5C30ED74" w14:textId="77777777" w:rsidR="002144BF" w:rsidRPr="00E930DA" w:rsidRDefault="002144BF" w:rsidP="00536253">
            <w:pPr>
              <w:spacing w:after="0" w:line="240" w:lineRule="auto"/>
              <w:jc w:val="right"/>
              <w:rPr>
                <w:rFonts w:ascii="Times New Roman" w:hAnsi="Times New Roman"/>
                <w:b/>
                <w:i/>
                <w:color w:val="000000"/>
                <w:sz w:val="18"/>
                <w:szCs w:val="18"/>
                <w:lang w:val="es-ES_tradnl"/>
              </w:rPr>
            </w:pPr>
            <w:r w:rsidRPr="00E930DA">
              <w:rPr>
                <w:rFonts w:ascii="Times New Roman" w:hAnsi="Times New Roman"/>
                <w:i/>
                <w:sz w:val="18"/>
                <w:szCs w:val="18"/>
                <w:lang w:val="es-ES_tradnl"/>
              </w:rPr>
              <w:t>Total</w:t>
            </w:r>
          </w:p>
        </w:tc>
      </w:tr>
      <w:tr w:rsidR="002144BF" w:rsidRPr="001C03A1" w14:paraId="4A47A3E9" w14:textId="77777777" w:rsidTr="00FB57B5">
        <w:trPr>
          <w:trHeight w:hRule="exact" w:val="359"/>
        </w:trPr>
        <w:tc>
          <w:tcPr>
            <w:tcW w:w="811" w:type="pct"/>
            <w:vMerge/>
            <w:tcBorders>
              <w:bottom w:val="single" w:sz="12" w:space="0" w:color="auto"/>
              <w:right w:val="single" w:sz="4" w:space="0" w:color="7F7F7F"/>
            </w:tcBorders>
            <w:shd w:val="clear" w:color="auto" w:fill="FFFFFF" w:themeFill="background1"/>
            <w:hideMark/>
          </w:tcPr>
          <w:p w14:paraId="46C5EDAF" w14:textId="2229C2E5" w:rsidR="002144BF" w:rsidRPr="00E930DA" w:rsidRDefault="002144BF" w:rsidP="00536253">
            <w:pPr>
              <w:spacing w:after="0" w:line="240" w:lineRule="auto"/>
              <w:jc w:val="right"/>
              <w:rPr>
                <w:rFonts w:ascii="Times New Roman" w:hAnsi="Times New Roman"/>
                <w:i/>
                <w:color w:val="000000"/>
                <w:sz w:val="18"/>
                <w:szCs w:val="18"/>
                <w:lang w:val="es-ES_tradnl"/>
              </w:rPr>
            </w:pPr>
          </w:p>
        </w:tc>
        <w:tc>
          <w:tcPr>
            <w:tcW w:w="436" w:type="pct"/>
            <w:tcBorders>
              <w:bottom w:val="single" w:sz="12" w:space="0" w:color="auto"/>
            </w:tcBorders>
            <w:shd w:val="clear" w:color="auto" w:fill="FFFFFF" w:themeFill="background1"/>
            <w:hideMark/>
          </w:tcPr>
          <w:p w14:paraId="323C2093"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1</w:t>
            </w:r>
          </w:p>
        </w:tc>
        <w:tc>
          <w:tcPr>
            <w:tcW w:w="388" w:type="pct"/>
            <w:tcBorders>
              <w:bottom w:val="single" w:sz="12" w:space="0" w:color="auto"/>
            </w:tcBorders>
            <w:shd w:val="clear" w:color="auto" w:fill="FFFFFF" w:themeFill="background1"/>
            <w:hideMark/>
          </w:tcPr>
          <w:p w14:paraId="47BA849D"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2</w:t>
            </w:r>
          </w:p>
        </w:tc>
        <w:tc>
          <w:tcPr>
            <w:tcW w:w="417" w:type="pct"/>
            <w:tcBorders>
              <w:bottom w:val="single" w:sz="12" w:space="0" w:color="auto"/>
            </w:tcBorders>
            <w:shd w:val="clear" w:color="auto" w:fill="FFFFFF" w:themeFill="background1"/>
            <w:hideMark/>
          </w:tcPr>
          <w:p w14:paraId="597E5360"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3</w:t>
            </w:r>
          </w:p>
        </w:tc>
        <w:tc>
          <w:tcPr>
            <w:tcW w:w="357" w:type="pct"/>
            <w:tcBorders>
              <w:bottom w:val="single" w:sz="12" w:space="0" w:color="auto"/>
            </w:tcBorders>
            <w:shd w:val="clear" w:color="auto" w:fill="FFFFFF" w:themeFill="background1"/>
            <w:hideMark/>
          </w:tcPr>
          <w:p w14:paraId="5E5169A2"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4</w:t>
            </w:r>
          </w:p>
        </w:tc>
        <w:tc>
          <w:tcPr>
            <w:tcW w:w="387" w:type="pct"/>
            <w:tcBorders>
              <w:bottom w:val="single" w:sz="12" w:space="0" w:color="auto"/>
            </w:tcBorders>
            <w:shd w:val="clear" w:color="auto" w:fill="FFFFFF" w:themeFill="background1"/>
            <w:hideMark/>
          </w:tcPr>
          <w:p w14:paraId="744E4AEF"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5</w:t>
            </w:r>
          </w:p>
        </w:tc>
        <w:tc>
          <w:tcPr>
            <w:tcW w:w="435" w:type="pct"/>
            <w:tcBorders>
              <w:bottom w:val="single" w:sz="12" w:space="0" w:color="auto"/>
            </w:tcBorders>
            <w:shd w:val="clear" w:color="auto" w:fill="FFFFFF" w:themeFill="background1"/>
            <w:hideMark/>
          </w:tcPr>
          <w:p w14:paraId="7A9D9FEB" w14:textId="068B3F5E" w:rsidR="002144BF" w:rsidRPr="00E930DA" w:rsidRDefault="001C03A1" w:rsidP="00536253">
            <w:pPr>
              <w:spacing w:after="0" w:line="240" w:lineRule="auto"/>
              <w:jc w:val="right"/>
              <w:rPr>
                <w:rFonts w:ascii="Times New Roman" w:hAnsi="Times New Roman"/>
                <w:b/>
                <w:i/>
                <w:color w:val="000000"/>
                <w:sz w:val="18"/>
                <w:szCs w:val="18"/>
                <w:lang w:val="es-ES_tradnl"/>
              </w:rPr>
            </w:pPr>
            <w:r>
              <w:rPr>
                <w:rFonts w:ascii="Times New Roman" w:hAnsi="Times New Roman"/>
                <w:b/>
                <w:i/>
                <w:sz w:val="18"/>
                <w:szCs w:val="18"/>
                <w:lang w:val="es-ES_tradnl"/>
              </w:rPr>
              <w:t>(</w:t>
            </w:r>
            <w:r w:rsidR="002144BF" w:rsidRPr="00E930DA">
              <w:rPr>
                <w:rFonts w:ascii="Times New Roman" w:hAnsi="Times New Roman"/>
                <w:b/>
                <w:i/>
                <w:sz w:val="18"/>
                <w:szCs w:val="18"/>
                <w:lang w:val="es-ES_tradnl"/>
              </w:rPr>
              <w:t>6)</w:t>
            </w:r>
          </w:p>
        </w:tc>
        <w:tc>
          <w:tcPr>
            <w:tcW w:w="319" w:type="pct"/>
            <w:tcBorders>
              <w:bottom w:val="single" w:sz="12" w:space="0" w:color="auto"/>
            </w:tcBorders>
            <w:shd w:val="clear" w:color="auto" w:fill="FFFFFF" w:themeFill="background1"/>
            <w:hideMark/>
          </w:tcPr>
          <w:p w14:paraId="0C0CE632"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7</w:t>
            </w:r>
          </w:p>
        </w:tc>
        <w:tc>
          <w:tcPr>
            <w:tcW w:w="358" w:type="pct"/>
            <w:tcBorders>
              <w:bottom w:val="single" w:sz="12" w:space="0" w:color="auto"/>
            </w:tcBorders>
            <w:shd w:val="clear" w:color="auto" w:fill="FFFFFF" w:themeFill="background1"/>
            <w:hideMark/>
          </w:tcPr>
          <w:p w14:paraId="65E7CE53"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8</w:t>
            </w:r>
          </w:p>
        </w:tc>
        <w:tc>
          <w:tcPr>
            <w:tcW w:w="339" w:type="pct"/>
            <w:tcBorders>
              <w:bottom w:val="single" w:sz="12" w:space="0" w:color="auto"/>
            </w:tcBorders>
            <w:shd w:val="clear" w:color="auto" w:fill="FFFFFF" w:themeFill="background1"/>
            <w:hideMark/>
          </w:tcPr>
          <w:p w14:paraId="08E32EE8" w14:textId="77777777" w:rsidR="002144BF" w:rsidRPr="00E930DA" w:rsidRDefault="002144BF" w:rsidP="00536253">
            <w:pPr>
              <w:spacing w:after="0" w:line="240" w:lineRule="auto"/>
              <w:jc w:val="right"/>
              <w:rPr>
                <w:rFonts w:ascii="Times New Roman" w:hAnsi="Times New Roman"/>
                <w:i/>
                <w:color w:val="000000"/>
                <w:sz w:val="18"/>
                <w:szCs w:val="18"/>
                <w:lang w:val="es-ES_tradnl"/>
              </w:rPr>
            </w:pPr>
            <w:r w:rsidRPr="00E930DA">
              <w:rPr>
                <w:rFonts w:ascii="Times New Roman" w:hAnsi="Times New Roman"/>
                <w:i/>
                <w:sz w:val="18"/>
                <w:szCs w:val="18"/>
                <w:lang w:val="es-ES_tradnl"/>
              </w:rPr>
              <w:t>9</w:t>
            </w:r>
          </w:p>
        </w:tc>
        <w:tc>
          <w:tcPr>
            <w:tcW w:w="339" w:type="pct"/>
            <w:tcBorders>
              <w:bottom w:val="single" w:sz="12" w:space="0" w:color="auto"/>
            </w:tcBorders>
            <w:shd w:val="clear" w:color="auto" w:fill="FFFFFF" w:themeFill="background1"/>
            <w:hideMark/>
          </w:tcPr>
          <w:p w14:paraId="0E8B2B36" w14:textId="77777777" w:rsidR="002144BF" w:rsidRPr="00E930DA" w:rsidRDefault="002144BF" w:rsidP="00536253">
            <w:pPr>
              <w:spacing w:after="0" w:line="240" w:lineRule="auto"/>
              <w:jc w:val="right"/>
              <w:rPr>
                <w:rFonts w:ascii="Times New Roman" w:hAnsi="Times New Roman"/>
                <w:b/>
                <w:i/>
                <w:sz w:val="18"/>
                <w:szCs w:val="18"/>
                <w:lang w:val="es-ES_tradnl"/>
              </w:rPr>
            </w:pPr>
            <w:r w:rsidRPr="00E930DA">
              <w:rPr>
                <w:rFonts w:ascii="Times New Roman" w:hAnsi="Times New Roman"/>
                <w:i/>
                <w:sz w:val="18"/>
                <w:szCs w:val="18"/>
                <w:lang w:val="es-ES_tradnl"/>
              </w:rPr>
              <w:t>(10)</w:t>
            </w:r>
          </w:p>
        </w:tc>
        <w:tc>
          <w:tcPr>
            <w:tcW w:w="414" w:type="pct"/>
            <w:tcBorders>
              <w:bottom w:val="single" w:sz="12" w:space="0" w:color="auto"/>
            </w:tcBorders>
            <w:shd w:val="clear" w:color="auto" w:fill="FFFFFF" w:themeFill="background1"/>
            <w:hideMark/>
          </w:tcPr>
          <w:p w14:paraId="0C05818D" w14:textId="57D8AC8C" w:rsidR="002144BF" w:rsidRPr="001C03A1" w:rsidRDefault="002144BF" w:rsidP="00E4581C">
            <w:pPr>
              <w:spacing w:after="0" w:line="240" w:lineRule="auto"/>
              <w:ind w:left="-57" w:right="-57"/>
              <w:rPr>
                <w:rFonts w:ascii="Times New Roman" w:hAnsi="Times New Roman"/>
                <w:b/>
                <w:i/>
                <w:color w:val="000000"/>
                <w:sz w:val="18"/>
                <w:szCs w:val="18"/>
                <w:lang w:val="es-ES_tradnl"/>
              </w:rPr>
            </w:pPr>
            <w:r w:rsidRPr="001C03A1">
              <w:rPr>
                <w:rFonts w:ascii="Times New Roman" w:hAnsi="Times New Roman"/>
                <w:b/>
                <w:i/>
                <w:sz w:val="18"/>
                <w:szCs w:val="18"/>
                <w:lang w:val="es-ES_tradnl"/>
              </w:rPr>
              <w:t>(11)=(6)+(10)</w:t>
            </w:r>
          </w:p>
        </w:tc>
      </w:tr>
      <w:tr w:rsidR="000958F5" w:rsidRPr="001C03A1" w14:paraId="07C27172" w14:textId="77777777" w:rsidTr="00FB57B5">
        <w:trPr>
          <w:trHeight w:hRule="exact" w:val="284"/>
        </w:trPr>
        <w:tc>
          <w:tcPr>
            <w:tcW w:w="811" w:type="pct"/>
            <w:tcBorders>
              <w:top w:val="single" w:sz="12" w:space="0" w:color="auto"/>
              <w:right w:val="single" w:sz="4" w:space="0" w:color="7F7F7F"/>
            </w:tcBorders>
            <w:shd w:val="clear" w:color="auto" w:fill="FFFFFF" w:themeFill="background1"/>
            <w:vAlign w:val="center"/>
            <w:hideMark/>
          </w:tcPr>
          <w:p w14:paraId="3968097F" w14:textId="7A0D0997" w:rsidR="000958F5" w:rsidRPr="00E930DA" w:rsidRDefault="000958F5" w:rsidP="00FE74ED">
            <w:pPr>
              <w:spacing w:before="20"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Australia </w:t>
            </w:r>
          </w:p>
        </w:tc>
        <w:tc>
          <w:tcPr>
            <w:tcW w:w="436" w:type="pct"/>
            <w:tcBorders>
              <w:top w:val="single" w:sz="12" w:space="0" w:color="auto"/>
            </w:tcBorders>
            <w:shd w:val="clear" w:color="auto" w:fill="FFFFFF" w:themeFill="background1"/>
            <w:hideMark/>
          </w:tcPr>
          <w:p w14:paraId="67411D88" w14:textId="77777777" w:rsidR="000958F5" w:rsidRPr="00E930DA" w:rsidRDefault="000958F5" w:rsidP="00D3693E">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8"/>
                <w:szCs w:val="18"/>
                <w:lang w:val="es-ES_tradnl"/>
              </w:rPr>
            </w:pPr>
          </w:p>
        </w:tc>
        <w:tc>
          <w:tcPr>
            <w:tcW w:w="388" w:type="pct"/>
            <w:tcBorders>
              <w:top w:val="single" w:sz="12" w:space="0" w:color="auto"/>
            </w:tcBorders>
            <w:shd w:val="clear" w:color="auto" w:fill="FFFFFF" w:themeFill="background1"/>
            <w:hideMark/>
          </w:tcPr>
          <w:p w14:paraId="4816E6C9" w14:textId="6B0427FD" w:rsidR="000958F5" w:rsidRPr="00E930DA" w:rsidRDefault="000958F5" w:rsidP="00D3693E">
            <w:pPr>
              <w:spacing w:before="20"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97 860</w:t>
            </w:r>
          </w:p>
        </w:tc>
        <w:tc>
          <w:tcPr>
            <w:tcW w:w="417" w:type="pct"/>
            <w:tcBorders>
              <w:top w:val="single" w:sz="12" w:space="0" w:color="auto"/>
            </w:tcBorders>
            <w:shd w:val="clear" w:color="auto" w:fill="FFFFFF" w:themeFill="background1"/>
            <w:hideMark/>
          </w:tcPr>
          <w:p w14:paraId="31A09AF1" w14:textId="77777777" w:rsidR="000958F5" w:rsidRPr="00E930DA" w:rsidRDefault="000958F5" w:rsidP="00D3693E">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8"/>
                <w:szCs w:val="18"/>
                <w:lang w:val="es-ES_tradnl"/>
              </w:rPr>
            </w:pPr>
          </w:p>
        </w:tc>
        <w:tc>
          <w:tcPr>
            <w:tcW w:w="357" w:type="pct"/>
            <w:tcBorders>
              <w:top w:val="single" w:sz="12" w:space="0" w:color="auto"/>
            </w:tcBorders>
            <w:shd w:val="clear" w:color="auto" w:fill="FFFFFF" w:themeFill="background1"/>
            <w:hideMark/>
          </w:tcPr>
          <w:p w14:paraId="7964D4EE" w14:textId="77777777" w:rsidR="000958F5" w:rsidRPr="00E930DA" w:rsidRDefault="000958F5" w:rsidP="00D3693E">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8"/>
                <w:szCs w:val="18"/>
                <w:lang w:val="es-ES_tradnl"/>
              </w:rPr>
            </w:pPr>
          </w:p>
        </w:tc>
        <w:tc>
          <w:tcPr>
            <w:tcW w:w="387" w:type="pct"/>
            <w:tcBorders>
              <w:top w:val="single" w:sz="12" w:space="0" w:color="auto"/>
            </w:tcBorders>
            <w:shd w:val="clear" w:color="auto" w:fill="FFFFFF" w:themeFill="background1"/>
            <w:hideMark/>
          </w:tcPr>
          <w:p w14:paraId="2C49B64F" w14:textId="38548DFF" w:rsidR="000958F5" w:rsidRPr="00E930DA" w:rsidRDefault="000958F5" w:rsidP="00D3693E">
            <w:pPr>
              <w:spacing w:before="20"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68 706</w:t>
            </w:r>
          </w:p>
        </w:tc>
        <w:tc>
          <w:tcPr>
            <w:tcW w:w="435" w:type="pct"/>
            <w:tcBorders>
              <w:top w:val="single" w:sz="12" w:space="0" w:color="auto"/>
            </w:tcBorders>
            <w:shd w:val="clear" w:color="auto" w:fill="FFFFFF" w:themeFill="background1"/>
            <w:hideMark/>
          </w:tcPr>
          <w:p w14:paraId="22E3B451" w14:textId="69DE069F" w:rsidR="000958F5" w:rsidRPr="00E930DA" w:rsidRDefault="000958F5" w:rsidP="00D3693E">
            <w:pPr>
              <w:spacing w:before="20"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166 566</w:t>
            </w:r>
          </w:p>
        </w:tc>
        <w:tc>
          <w:tcPr>
            <w:tcW w:w="319" w:type="pct"/>
            <w:tcBorders>
              <w:top w:val="single" w:sz="12" w:space="0" w:color="auto"/>
            </w:tcBorders>
            <w:shd w:val="clear" w:color="auto" w:fill="FFFFFF" w:themeFill="background1"/>
            <w:hideMark/>
          </w:tcPr>
          <w:p w14:paraId="14894312" w14:textId="77777777" w:rsidR="000958F5" w:rsidRPr="00E930DA" w:rsidRDefault="000958F5" w:rsidP="00D3693E">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8"/>
                <w:szCs w:val="18"/>
                <w:lang w:val="es-ES_tradnl"/>
              </w:rPr>
            </w:pPr>
          </w:p>
        </w:tc>
        <w:tc>
          <w:tcPr>
            <w:tcW w:w="358" w:type="pct"/>
            <w:tcBorders>
              <w:top w:val="single" w:sz="12" w:space="0" w:color="auto"/>
            </w:tcBorders>
            <w:shd w:val="clear" w:color="auto" w:fill="FFFFFF" w:themeFill="background1"/>
            <w:hideMark/>
          </w:tcPr>
          <w:p w14:paraId="70DED37E" w14:textId="77777777" w:rsidR="000958F5" w:rsidRPr="00E930DA" w:rsidRDefault="000958F5" w:rsidP="00D3693E">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8"/>
                <w:szCs w:val="18"/>
                <w:lang w:val="es-ES_tradnl"/>
              </w:rPr>
            </w:pPr>
          </w:p>
        </w:tc>
        <w:tc>
          <w:tcPr>
            <w:tcW w:w="339" w:type="pct"/>
            <w:tcBorders>
              <w:top w:val="single" w:sz="12" w:space="0" w:color="auto"/>
            </w:tcBorders>
            <w:shd w:val="clear" w:color="auto" w:fill="FFFFFF" w:themeFill="background1"/>
            <w:hideMark/>
          </w:tcPr>
          <w:p w14:paraId="2F646D54" w14:textId="77777777" w:rsidR="000958F5" w:rsidRPr="00E930DA" w:rsidRDefault="000958F5" w:rsidP="00D3693E">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8"/>
                <w:szCs w:val="18"/>
                <w:lang w:val="es-ES_tradnl"/>
              </w:rPr>
            </w:pPr>
          </w:p>
        </w:tc>
        <w:tc>
          <w:tcPr>
            <w:tcW w:w="339" w:type="pct"/>
            <w:tcBorders>
              <w:top w:val="single" w:sz="12" w:space="0" w:color="auto"/>
            </w:tcBorders>
            <w:shd w:val="clear" w:color="auto" w:fill="FFFFFF" w:themeFill="background1"/>
            <w:hideMark/>
          </w:tcPr>
          <w:p w14:paraId="3AC3005D" w14:textId="77777777" w:rsidR="000958F5" w:rsidRPr="00E930DA" w:rsidRDefault="000958F5" w:rsidP="00D3693E">
            <w:pPr>
              <w:spacing w:before="20"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0</w:t>
            </w:r>
          </w:p>
        </w:tc>
        <w:tc>
          <w:tcPr>
            <w:tcW w:w="414" w:type="pct"/>
            <w:tcBorders>
              <w:top w:val="single" w:sz="12" w:space="0" w:color="auto"/>
            </w:tcBorders>
            <w:shd w:val="clear" w:color="auto" w:fill="FFFFFF" w:themeFill="background1"/>
            <w:hideMark/>
          </w:tcPr>
          <w:p w14:paraId="65F1C93F" w14:textId="6EC57F04" w:rsidR="000958F5" w:rsidRPr="001C03A1" w:rsidRDefault="000958F5" w:rsidP="00D3693E">
            <w:pPr>
              <w:spacing w:before="20"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166 566</w:t>
            </w:r>
          </w:p>
        </w:tc>
      </w:tr>
      <w:tr w:rsidR="00536253" w:rsidRPr="001C03A1" w14:paraId="0DED4EC5"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4986EA0C"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Bélgica</w:t>
            </w:r>
          </w:p>
        </w:tc>
        <w:tc>
          <w:tcPr>
            <w:tcW w:w="436" w:type="pct"/>
            <w:shd w:val="clear" w:color="auto" w:fill="FFFFFF" w:themeFill="background1"/>
            <w:hideMark/>
          </w:tcPr>
          <w:p w14:paraId="57CD9AB6"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05B5157B"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17" w:type="pct"/>
            <w:shd w:val="clear" w:color="auto" w:fill="FFFFFF" w:themeFill="background1"/>
            <w:hideMark/>
          </w:tcPr>
          <w:p w14:paraId="0F05CF9A"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57" w:type="pct"/>
            <w:shd w:val="clear" w:color="auto" w:fill="FFFFFF" w:themeFill="background1"/>
            <w:hideMark/>
          </w:tcPr>
          <w:p w14:paraId="6CF9F819"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87" w:type="pct"/>
            <w:shd w:val="clear" w:color="auto" w:fill="FFFFFF" w:themeFill="background1"/>
            <w:hideMark/>
          </w:tcPr>
          <w:p w14:paraId="4CAFB6EA" w14:textId="7CE82777"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44 252</w:t>
            </w:r>
          </w:p>
        </w:tc>
        <w:tc>
          <w:tcPr>
            <w:tcW w:w="435" w:type="pct"/>
            <w:shd w:val="clear" w:color="auto" w:fill="FFFFFF" w:themeFill="background1"/>
            <w:hideMark/>
          </w:tcPr>
          <w:p w14:paraId="0C091523" w14:textId="1ABDFFF4"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44 252</w:t>
            </w:r>
          </w:p>
        </w:tc>
        <w:tc>
          <w:tcPr>
            <w:tcW w:w="319" w:type="pct"/>
            <w:shd w:val="clear" w:color="auto" w:fill="FFFFFF" w:themeFill="background1"/>
            <w:hideMark/>
          </w:tcPr>
          <w:p w14:paraId="537CA94B" w14:textId="53736511"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73 991</w:t>
            </w:r>
          </w:p>
        </w:tc>
        <w:tc>
          <w:tcPr>
            <w:tcW w:w="358" w:type="pct"/>
            <w:shd w:val="clear" w:color="auto" w:fill="FFFFFF" w:themeFill="background1"/>
            <w:hideMark/>
          </w:tcPr>
          <w:p w14:paraId="70778A52"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39" w:type="pct"/>
            <w:shd w:val="clear" w:color="auto" w:fill="FFFFFF" w:themeFill="background1"/>
            <w:hideMark/>
          </w:tcPr>
          <w:p w14:paraId="3502511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34EDCF60" w14:textId="4CA9B278"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73 991</w:t>
            </w:r>
          </w:p>
        </w:tc>
        <w:tc>
          <w:tcPr>
            <w:tcW w:w="414" w:type="pct"/>
            <w:shd w:val="clear" w:color="auto" w:fill="FFFFFF" w:themeFill="background1"/>
            <w:hideMark/>
          </w:tcPr>
          <w:p w14:paraId="22395E8F" w14:textId="4EA16D80"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118 243</w:t>
            </w:r>
          </w:p>
        </w:tc>
      </w:tr>
      <w:tr w:rsidR="000958F5" w:rsidRPr="001C03A1" w14:paraId="1B3ED3B3"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63F3A598" w14:textId="724CED7C"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Canadá </w:t>
            </w:r>
          </w:p>
        </w:tc>
        <w:tc>
          <w:tcPr>
            <w:tcW w:w="436" w:type="pct"/>
            <w:shd w:val="clear" w:color="auto" w:fill="FFFFFF" w:themeFill="background1"/>
            <w:hideMark/>
          </w:tcPr>
          <w:p w14:paraId="1524A3BE"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39AA7C9A" w14:textId="7FC7F91E"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38 914</w:t>
            </w:r>
          </w:p>
        </w:tc>
        <w:tc>
          <w:tcPr>
            <w:tcW w:w="417" w:type="pct"/>
            <w:shd w:val="clear" w:color="auto" w:fill="FFFFFF" w:themeFill="background1"/>
            <w:hideMark/>
          </w:tcPr>
          <w:p w14:paraId="5C7AEBD9" w14:textId="465CC3C8"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36 496</w:t>
            </w:r>
          </w:p>
        </w:tc>
        <w:tc>
          <w:tcPr>
            <w:tcW w:w="357" w:type="pct"/>
            <w:shd w:val="clear" w:color="auto" w:fill="FFFFFF" w:themeFill="background1"/>
            <w:hideMark/>
          </w:tcPr>
          <w:p w14:paraId="72B6BDBE" w14:textId="0DB75287"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30 098</w:t>
            </w:r>
          </w:p>
        </w:tc>
        <w:tc>
          <w:tcPr>
            <w:tcW w:w="387" w:type="pct"/>
            <w:shd w:val="clear" w:color="auto" w:fill="FFFFFF" w:themeFill="background1"/>
            <w:hideMark/>
          </w:tcPr>
          <w:p w14:paraId="679A2106" w14:textId="22A86637"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30 616</w:t>
            </w:r>
          </w:p>
        </w:tc>
        <w:tc>
          <w:tcPr>
            <w:tcW w:w="435" w:type="pct"/>
            <w:shd w:val="clear" w:color="auto" w:fill="FFFFFF" w:themeFill="background1"/>
            <w:hideMark/>
          </w:tcPr>
          <w:p w14:paraId="1EF1DEE3" w14:textId="35A647E5"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136 124</w:t>
            </w:r>
          </w:p>
        </w:tc>
        <w:tc>
          <w:tcPr>
            <w:tcW w:w="319" w:type="pct"/>
            <w:shd w:val="clear" w:color="auto" w:fill="FFFFFF" w:themeFill="background1"/>
            <w:hideMark/>
          </w:tcPr>
          <w:p w14:paraId="40008009"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6E3C9D60" w14:textId="54FEB46D"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30 098</w:t>
            </w:r>
          </w:p>
        </w:tc>
        <w:tc>
          <w:tcPr>
            <w:tcW w:w="339" w:type="pct"/>
            <w:shd w:val="clear" w:color="auto" w:fill="FFFFFF" w:themeFill="background1"/>
            <w:hideMark/>
          </w:tcPr>
          <w:p w14:paraId="266E705A"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39" w:type="pct"/>
            <w:shd w:val="clear" w:color="auto" w:fill="FFFFFF" w:themeFill="background1"/>
            <w:hideMark/>
          </w:tcPr>
          <w:p w14:paraId="75D8E590" w14:textId="5B7D0DC6"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30 098</w:t>
            </w:r>
          </w:p>
        </w:tc>
        <w:tc>
          <w:tcPr>
            <w:tcW w:w="414" w:type="pct"/>
            <w:shd w:val="clear" w:color="auto" w:fill="FFFFFF" w:themeFill="background1"/>
            <w:hideMark/>
          </w:tcPr>
          <w:p w14:paraId="1CEBC059" w14:textId="25DD8953"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166 222</w:t>
            </w:r>
          </w:p>
        </w:tc>
      </w:tr>
      <w:tr w:rsidR="00536253" w:rsidRPr="001C03A1" w14:paraId="4ECCF1D2"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544C4ACD"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Chile</w:t>
            </w:r>
          </w:p>
        </w:tc>
        <w:tc>
          <w:tcPr>
            <w:tcW w:w="436" w:type="pct"/>
            <w:shd w:val="clear" w:color="auto" w:fill="FFFFFF" w:themeFill="background1"/>
            <w:hideMark/>
          </w:tcPr>
          <w:p w14:paraId="0DDE6CF9"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29073F69"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17" w:type="pct"/>
            <w:shd w:val="clear" w:color="auto" w:fill="FFFFFF" w:themeFill="background1"/>
            <w:hideMark/>
          </w:tcPr>
          <w:p w14:paraId="16186667"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57" w:type="pct"/>
            <w:shd w:val="clear" w:color="auto" w:fill="FFFFFF" w:themeFill="background1"/>
            <w:hideMark/>
          </w:tcPr>
          <w:p w14:paraId="411D4D4B" w14:textId="311D9CAD"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23 136</w:t>
            </w:r>
          </w:p>
        </w:tc>
        <w:tc>
          <w:tcPr>
            <w:tcW w:w="387" w:type="pct"/>
            <w:shd w:val="clear" w:color="auto" w:fill="FFFFFF" w:themeFill="background1"/>
            <w:hideMark/>
          </w:tcPr>
          <w:p w14:paraId="1C2B01DA" w14:textId="0726FCFB"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12 150</w:t>
            </w:r>
          </w:p>
        </w:tc>
        <w:tc>
          <w:tcPr>
            <w:tcW w:w="435" w:type="pct"/>
            <w:shd w:val="clear" w:color="auto" w:fill="FFFFFF" w:themeFill="background1"/>
            <w:hideMark/>
          </w:tcPr>
          <w:p w14:paraId="38F2C63D" w14:textId="5C4024B9"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35 286</w:t>
            </w:r>
          </w:p>
        </w:tc>
        <w:tc>
          <w:tcPr>
            <w:tcW w:w="319" w:type="pct"/>
            <w:shd w:val="clear" w:color="auto" w:fill="FFFFFF" w:themeFill="background1"/>
            <w:hideMark/>
          </w:tcPr>
          <w:p w14:paraId="54ABD4EC"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5F143581" w14:textId="255FF415"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15 000</w:t>
            </w:r>
          </w:p>
        </w:tc>
        <w:tc>
          <w:tcPr>
            <w:tcW w:w="339" w:type="pct"/>
            <w:shd w:val="clear" w:color="auto" w:fill="FFFFFF" w:themeFill="background1"/>
            <w:hideMark/>
          </w:tcPr>
          <w:p w14:paraId="2555728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39" w:type="pct"/>
            <w:shd w:val="clear" w:color="auto" w:fill="FFFFFF" w:themeFill="background1"/>
            <w:hideMark/>
          </w:tcPr>
          <w:p w14:paraId="5A185926" w14:textId="08E19FB0"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15 000</w:t>
            </w:r>
          </w:p>
        </w:tc>
        <w:tc>
          <w:tcPr>
            <w:tcW w:w="414" w:type="pct"/>
            <w:shd w:val="clear" w:color="auto" w:fill="FFFFFF" w:themeFill="background1"/>
            <w:hideMark/>
          </w:tcPr>
          <w:p w14:paraId="7320DD0B" w14:textId="704AC1F4"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50 286</w:t>
            </w:r>
          </w:p>
        </w:tc>
      </w:tr>
      <w:tr w:rsidR="000958F5" w:rsidRPr="001C03A1" w14:paraId="1FD88C30"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2765E4D3"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China</w:t>
            </w:r>
          </w:p>
        </w:tc>
        <w:tc>
          <w:tcPr>
            <w:tcW w:w="436" w:type="pct"/>
            <w:shd w:val="clear" w:color="auto" w:fill="FFFFFF" w:themeFill="background1"/>
            <w:hideMark/>
          </w:tcPr>
          <w:p w14:paraId="0B083CD6"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56128A79"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17" w:type="pct"/>
            <w:shd w:val="clear" w:color="auto" w:fill="FFFFFF" w:themeFill="background1"/>
            <w:hideMark/>
          </w:tcPr>
          <w:p w14:paraId="20572EA8" w14:textId="32470302"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160 000</w:t>
            </w:r>
          </w:p>
        </w:tc>
        <w:tc>
          <w:tcPr>
            <w:tcW w:w="357" w:type="pct"/>
            <w:shd w:val="clear" w:color="auto" w:fill="FFFFFF" w:themeFill="background1"/>
            <w:hideMark/>
          </w:tcPr>
          <w:p w14:paraId="4BA5AFAF" w14:textId="069CB451"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60 000</w:t>
            </w:r>
          </w:p>
        </w:tc>
        <w:tc>
          <w:tcPr>
            <w:tcW w:w="387" w:type="pct"/>
            <w:shd w:val="clear" w:color="auto" w:fill="FFFFFF" w:themeFill="background1"/>
            <w:hideMark/>
          </w:tcPr>
          <w:p w14:paraId="2E519F72" w14:textId="51A4390E"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2 005</w:t>
            </w:r>
          </w:p>
        </w:tc>
        <w:tc>
          <w:tcPr>
            <w:tcW w:w="435" w:type="pct"/>
            <w:shd w:val="clear" w:color="auto" w:fill="FFFFFF" w:themeFill="background1"/>
            <w:hideMark/>
          </w:tcPr>
          <w:p w14:paraId="0C5EAE36" w14:textId="05FA8780"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222 005</w:t>
            </w:r>
          </w:p>
        </w:tc>
        <w:tc>
          <w:tcPr>
            <w:tcW w:w="319" w:type="pct"/>
            <w:shd w:val="clear" w:color="auto" w:fill="FFFFFF" w:themeFill="background1"/>
            <w:hideMark/>
          </w:tcPr>
          <w:p w14:paraId="274E0045"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766D28C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54C393EB"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6E0E8EFC"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3F9059F9" w14:textId="0F1960B0"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222 005</w:t>
            </w:r>
          </w:p>
        </w:tc>
      </w:tr>
      <w:tr w:rsidR="00536253" w:rsidRPr="001C03A1" w14:paraId="5D3485ED"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5186C209"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Dinamarca</w:t>
            </w:r>
          </w:p>
        </w:tc>
        <w:tc>
          <w:tcPr>
            <w:tcW w:w="436" w:type="pct"/>
            <w:shd w:val="clear" w:color="auto" w:fill="FFFFFF" w:themeFill="background1"/>
            <w:hideMark/>
          </w:tcPr>
          <w:p w14:paraId="39CEC0BE"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4BC4FAF6"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17" w:type="pct"/>
            <w:shd w:val="clear" w:color="auto" w:fill="FFFFFF" w:themeFill="background1"/>
            <w:hideMark/>
          </w:tcPr>
          <w:p w14:paraId="5EDC8336" w14:textId="7E42E047"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37 037</w:t>
            </w:r>
          </w:p>
        </w:tc>
        <w:tc>
          <w:tcPr>
            <w:tcW w:w="357" w:type="pct"/>
            <w:shd w:val="clear" w:color="auto" w:fill="FFFFFF" w:themeFill="background1"/>
            <w:hideMark/>
          </w:tcPr>
          <w:p w14:paraId="4CA29245"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7" w:type="pct"/>
            <w:shd w:val="clear" w:color="auto" w:fill="FFFFFF" w:themeFill="background1"/>
            <w:hideMark/>
          </w:tcPr>
          <w:p w14:paraId="13D2513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35" w:type="pct"/>
            <w:shd w:val="clear" w:color="auto" w:fill="FFFFFF" w:themeFill="background1"/>
            <w:hideMark/>
          </w:tcPr>
          <w:p w14:paraId="0683416B" w14:textId="14D1F6EC"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37 037</w:t>
            </w:r>
          </w:p>
        </w:tc>
        <w:tc>
          <w:tcPr>
            <w:tcW w:w="319" w:type="pct"/>
            <w:shd w:val="clear" w:color="auto" w:fill="FFFFFF" w:themeFill="background1"/>
            <w:hideMark/>
          </w:tcPr>
          <w:p w14:paraId="74715872"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3B5AFE8E"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2CE47237"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52FE7FA5"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0873CAB7" w14:textId="07ADEC92"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37 037</w:t>
            </w:r>
          </w:p>
        </w:tc>
      </w:tr>
      <w:tr w:rsidR="000958F5" w:rsidRPr="001C03A1" w14:paraId="05EDAA08"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4302BED2" w14:textId="1D75327A"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Finlandia </w:t>
            </w:r>
          </w:p>
        </w:tc>
        <w:tc>
          <w:tcPr>
            <w:tcW w:w="436" w:type="pct"/>
            <w:shd w:val="clear" w:color="auto" w:fill="FFFFFF" w:themeFill="background1"/>
            <w:hideMark/>
          </w:tcPr>
          <w:p w14:paraId="5B5F6371"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7576C821" w14:textId="07FB027A"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25 885</w:t>
            </w:r>
          </w:p>
        </w:tc>
        <w:tc>
          <w:tcPr>
            <w:tcW w:w="417" w:type="pct"/>
            <w:shd w:val="clear" w:color="auto" w:fill="FFFFFF" w:themeFill="background1"/>
            <w:hideMark/>
          </w:tcPr>
          <w:p w14:paraId="68E89146" w14:textId="22653776"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275 626</w:t>
            </w:r>
          </w:p>
        </w:tc>
        <w:tc>
          <w:tcPr>
            <w:tcW w:w="357" w:type="pct"/>
            <w:shd w:val="clear" w:color="auto" w:fill="FFFFFF" w:themeFill="background1"/>
            <w:hideMark/>
          </w:tcPr>
          <w:p w14:paraId="3D1A0AD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7" w:type="pct"/>
            <w:shd w:val="clear" w:color="auto" w:fill="FFFFFF" w:themeFill="background1"/>
            <w:hideMark/>
          </w:tcPr>
          <w:p w14:paraId="2B1F915C"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35" w:type="pct"/>
            <w:shd w:val="clear" w:color="auto" w:fill="FFFFFF" w:themeFill="background1"/>
            <w:hideMark/>
          </w:tcPr>
          <w:p w14:paraId="75183E6D" w14:textId="41126D78"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301 511</w:t>
            </w:r>
          </w:p>
        </w:tc>
        <w:tc>
          <w:tcPr>
            <w:tcW w:w="319" w:type="pct"/>
            <w:shd w:val="clear" w:color="auto" w:fill="FFFFFF" w:themeFill="background1"/>
            <w:hideMark/>
          </w:tcPr>
          <w:p w14:paraId="3E1FCACB"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64B39680"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58A194A6"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49D09093"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6147434C" w14:textId="0EE4FE3B"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301 511</w:t>
            </w:r>
          </w:p>
        </w:tc>
      </w:tr>
      <w:tr w:rsidR="00536253" w:rsidRPr="001C03A1" w14:paraId="66AF81A0"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09A0AC35" w14:textId="690C7E1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Francia </w:t>
            </w:r>
          </w:p>
        </w:tc>
        <w:tc>
          <w:tcPr>
            <w:tcW w:w="436" w:type="pct"/>
            <w:shd w:val="clear" w:color="auto" w:fill="FFFFFF" w:themeFill="background1"/>
            <w:hideMark/>
          </w:tcPr>
          <w:p w14:paraId="73FB22A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046E343F" w14:textId="1219E576"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270 680</w:t>
            </w:r>
          </w:p>
        </w:tc>
        <w:tc>
          <w:tcPr>
            <w:tcW w:w="417" w:type="pct"/>
            <w:shd w:val="clear" w:color="auto" w:fill="FFFFFF" w:themeFill="background1"/>
            <w:hideMark/>
          </w:tcPr>
          <w:p w14:paraId="12D70FDC" w14:textId="28CD34DB"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247 631</w:t>
            </w:r>
          </w:p>
        </w:tc>
        <w:tc>
          <w:tcPr>
            <w:tcW w:w="357" w:type="pct"/>
            <w:shd w:val="clear" w:color="auto" w:fill="FFFFFF" w:themeFill="background1"/>
            <w:hideMark/>
          </w:tcPr>
          <w:p w14:paraId="5F881C86" w14:textId="1404CB58"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264 291</w:t>
            </w:r>
          </w:p>
        </w:tc>
        <w:tc>
          <w:tcPr>
            <w:tcW w:w="387" w:type="pct"/>
            <w:shd w:val="clear" w:color="auto" w:fill="FFFFFF" w:themeFill="background1"/>
            <w:hideMark/>
          </w:tcPr>
          <w:p w14:paraId="03BB23F7" w14:textId="053AFA2A"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252 218</w:t>
            </w:r>
          </w:p>
        </w:tc>
        <w:tc>
          <w:tcPr>
            <w:tcW w:w="435" w:type="pct"/>
            <w:shd w:val="clear" w:color="auto" w:fill="FFFFFF" w:themeFill="background1"/>
            <w:hideMark/>
          </w:tcPr>
          <w:p w14:paraId="3D5F61B2" w14:textId="717BBB61"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1 034 819</w:t>
            </w:r>
          </w:p>
        </w:tc>
        <w:tc>
          <w:tcPr>
            <w:tcW w:w="319" w:type="pct"/>
            <w:shd w:val="clear" w:color="auto" w:fill="FFFFFF" w:themeFill="background1"/>
            <w:hideMark/>
          </w:tcPr>
          <w:p w14:paraId="0F33AE87"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4CBB21B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420A78C6"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26C81C59"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65F442B2" w14:textId="7A4BC170"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1 034 819</w:t>
            </w:r>
          </w:p>
        </w:tc>
      </w:tr>
      <w:tr w:rsidR="000958F5" w:rsidRPr="001C03A1" w14:paraId="07A759C1"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760CC498"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Alemania</w:t>
            </w:r>
          </w:p>
        </w:tc>
        <w:tc>
          <w:tcPr>
            <w:tcW w:w="436" w:type="pct"/>
            <w:shd w:val="clear" w:color="auto" w:fill="FFFFFF" w:themeFill="background1"/>
            <w:hideMark/>
          </w:tcPr>
          <w:p w14:paraId="62DEE384" w14:textId="2BC35182" w:rsidR="000958F5" w:rsidRPr="00E930DA" w:rsidRDefault="000958F5" w:rsidP="00FE74ED">
            <w:pPr>
              <w:spacing w:after="0" w:line="240" w:lineRule="auto"/>
              <w:ind w:left="-113"/>
              <w:jc w:val="right"/>
              <w:rPr>
                <w:rFonts w:ascii="Times New Roman" w:hAnsi="Times New Roman"/>
                <w:color w:val="000000"/>
                <w:sz w:val="18"/>
                <w:szCs w:val="18"/>
                <w:lang w:val="es-ES_tradnl"/>
              </w:rPr>
            </w:pPr>
            <w:r w:rsidRPr="00E930DA">
              <w:rPr>
                <w:rFonts w:ascii="Times New Roman" w:hAnsi="Times New Roman"/>
                <w:sz w:val="18"/>
                <w:szCs w:val="18"/>
                <w:lang w:val="es-ES_tradnl"/>
              </w:rPr>
              <w:t>1 736 102</w:t>
            </w:r>
          </w:p>
        </w:tc>
        <w:tc>
          <w:tcPr>
            <w:tcW w:w="388" w:type="pct"/>
            <w:shd w:val="clear" w:color="auto" w:fill="FFFFFF" w:themeFill="background1"/>
            <w:hideMark/>
          </w:tcPr>
          <w:p w14:paraId="1BCB392A" w14:textId="6BAFEDBF" w:rsidR="000958F5" w:rsidRPr="00E930DA" w:rsidRDefault="000958F5" w:rsidP="00FE74ED">
            <w:pPr>
              <w:spacing w:after="0" w:line="240" w:lineRule="auto"/>
              <w:ind w:left="-113"/>
              <w:jc w:val="right"/>
              <w:rPr>
                <w:rFonts w:ascii="Times New Roman" w:hAnsi="Times New Roman"/>
                <w:color w:val="000000"/>
                <w:sz w:val="18"/>
                <w:szCs w:val="18"/>
                <w:lang w:val="es-ES_tradnl"/>
              </w:rPr>
            </w:pPr>
            <w:r w:rsidRPr="00E930DA">
              <w:rPr>
                <w:rFonts w:ascii="Times New Roman" w:hAnsi="Times New Roman"/>
                <w:sz w:val="18"/>
                <w:szCs w:val="18"/>
                <w:lang w:val="es-ES_tradnl"/>
              </w:rPr>
              <w:t>1 298 721</w:t>
            </w:r>
          </w:p>
        </w:tc>
        <w:tc>
          <w:tcPr>
            <w:tcW w:w="417" w:type="pct"/>
            <w:shd w:val="clear" w:color="auto" w:fill="FFFFFF" w:themeFill="background1"/>
            <w:hideMark/>
          </w:tcPr>
          <w:p w14:paraId="5E5CBD8C" w14:textId="03AEEDD3" w:rsidR="000958F5" w:rsidRPr="00E930DA" w:rsidRDefault="000958F5" w:rsidP="00FE74ED">
            <w:pPr>
              <w:spacing w:after="0" w:line="240" w:lineRule="auto"/>
              <w:ind w:left="-113"/>
              <w:jc w:val="right"/>
              <w:rPr>
                <w:rFonts w:ascii="Times New Roman" w:hAnsi="Times New Roman"/>
                <w:color w:val="000000"/>
                <w:sz w:val="18"/>
                <w:szCs w:val="18"/>
                <w:lang w:val="es-ES_tradnl"/>
              </w:rPr>
            </w:pPr>
            <w:r w:rsidRPr="00E930DA">
              <w:rPr>
                <w:rFonts w:ascii="Times New Roman" w:hAnsi="Times New Roman"/>
                <w:sz w:val="18"/>
                <w:szCs w:val="18"/>
                <w:lang w:val="es-ES_tradnl"/>
              </w:rPr>
              <w:t>1 850 129</w:t>
            </w:r>
          </w:p>
        </w:tc>
        <w:tc>
          <w:tcPr>
            <w:tcW w:w="357" w:type="pct"/>
            <w:shd w:val="clear" w:color="auto" w:fill="FFFFFF" w:themeFill="background1"/>
            <w:hideMark/>
          </w:tcPr>
          <w:p w14:paraId="26E09407" w14:textId="0A421740" w:rsidR="000958F5" w:rsidRPr="00E930DA" w:rsidRDefault="000958F5" w:rsidP="00FE74ED">
            <w:pPr>
              <w:spacing w:after="0" w:line="240" w:lineRule="auto"/>
              <w:ind w:left="-113"/>
              <w:jc w:val="right"/>
              <w:rPr>
                <w:rFonts w:ascii="Times New Roman" w:hAnsi="Times New Roman"/>
                <w:color w:val="000000"/>
                <w:sz w:val="18"/>
                <w:szCs w:val="18"/>
                <w:lang w:val="es-ES_tradnl"/>
              </w:rPr>
            </w:pPr>
            <w:r w:rsidRPr="00E930DA">
              <w:rPr>
                <w:rFonts w:ascii="Times New Roman" w:hAnsi="Times New Roman"/>
                <w:sz w:val="18"/>
                <w:szCs w:val="18"/>
                <w:lang w:val="es-ES_tradnl"/>
              </w:rPr>
              <w:t>1 582 840</w:t>
            </w:r>
          </w:p>
        </w:tc>
        <w:tc>
          <w:tcPr>
            <w:tcW w:w="387" w:type="pct"/>
            <w:shd w:val="clear" w:color="auto" w:fill="FFFFFF" w:themeFill="background1"/>
            <w:hideMark/>
          </w:tcPr>
          <w:p w14:paraId="109BA72A" w14:textId="09AFBA6E" w:rsidR="000958F5" w:rsidRPr="00E930DA" w:rsidRDefault="000958F5" w:rsidP="00FE74ED">
            <w:pPr>
              <w:spacing w:after="0" w:line="240" w:lineRule="auto"/>
              <w:ind w:left="-113"/>
              <w:jc w:val="right"/>
              <w:rPr>
                <w:rFonts w:ascii="Times New Roman" w:hAnsi="Times New Roman"/>
                <w:color w:val="000000"/>
                <w:sz w:val="18"/>
                <w:szCs w:val="18"/>
                <w:lang w:val="es-ES_tradnl"/>
              </w:rPr>
            </w:pPr>
            <w:r w:rsidRPr="00E930DA">
              <w:rPr>
                <w:rFonts w:ascii="Times New Roman" w:hAnsi="Times New Roman"/>
                <w:sz w:val="18"/>
                <w:szCs w:val="18"/>
                <w:lang w:val="es-ES_tradnl"/>
              </w:rPr>
              <w:t>1 119 991</w:t>
            </w:r>
          </w:p>
        </w:tc>
        <w:tc>
          <w:tcPr>
            <w:tcW w:w="435" w:type="pct"/>
            <w:shd w:val="clear" w:color="auto" w:fill="FFFFFF" w:themeFill="background1"/>
            <w:hideMark/>
          </w:tcPr>
          <w:p w14:paraId="3E68A8D6" w14:textId="36CBDFF8" w:rsidR="000958F5" w:rsidRPr="00E930DA" w:rsidRDefault="000958F5" w:rsidP="00FE74ED">
            <w:pPr>
              <w:spacing w:after="0" w:line="240" w:lineRule="auto"/>
              <w:ind w:left="-113"/>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7 587 783</w:t>
            </w:r>
          </w:p>
        </w:tc>
        <w:tc>
          <w:tcPr>
            <w:tcW w:w="319" w:type="pct"/>
            <w:shd w:val="clear" w:color="auto" w:fill="FFFFFF" w:themeFill="background1"/>
            <w:hideMark/>
          </w:tcPr>
          <w:p w14:paraId="5021E485" w14:textId="77777777" w:rsidR="000958F5" w:rsidRPr="00E930DA" w:rsidRDefault="000958F5" w:rsidP="00FE74ED">
            <w:pPr>
              <w:keepNext/>
              <w:keepLines/>
              <w:tabs>
                <w:tab w:val="right" w:pos="851"/>
                <w:tab w:val="left" w:pos="1247"/>
                <w:tab w:val="left" w:pos="1814"/>
                <w:tab w:val="left" w:pos="2381"/>
                <w:tab w:val="left" w:pos="2948"/>
                <w:tab w:val="left" w:pos="3515"/>
                <w:tab w:val="left" w:pos="4082"/>
              </w:tabs>
              <w:suppressAutoHyphens/>
              <w:spacing w:after="0" w:line="240" w:lineRule="auto"/>
              <w:ind w:left="-113"/>
              <w:jc w:val="right"/>
              <w:rPr>
                <w:rFonts w:ascii="Times New Roman" w:hAnsi="Times New Roman"/>
                <w:color w:val="000000"/>
                <w:sz w:val="18"/>
                <w:szCs w:val="18"/>
                <w:lang w:val="es-ES_tradnl"/>
              </w:rPr>
            </w:pPr>
          </w:p>
        </w:tc>
        <w:tc>
          <w:tcPr>
            <w:tcW w:w="358" w:type="pct"/>
            <w:shd w:val="clear" w:color="auto" w:fill="FFFFFF" w:themeFill="background1"/>
            <w:hideMark/>
          </w:tcPr>
          <w:p w14:paraId="3F48A6CC" w14:textId="52678398" w:rsidR="000958F5" w:rsidRPr="00E930DA" w:rsidRDefault="000958F5" w:rsidP="00FE74ED">
            <w:pPr>
              <w:spacing w:after="0" w:line="240" w:lineRule="auto"/>
              <w:ind w:left="-113"/>
              <w:jc w:val="right"/>
              <w:rPr>
                <w:rFonts w:ascii="Times New Roman" w:hAnsi="Times New Roman"/>
                <w:color w:val="000000"/>
                <w:sz w:val="18"/>
                <w:szCs w:val="18"/>
                <w:lang w:val="es-ES_tradnl"/>
              </w:rPr>
            </w:pPr>
            <w:r w:rsidRPr="00E930DA">
              <w:rPr>
                <w:rFonts w:ascii="Times New Roman" w:hAnsi="Times New Roman"/>
                <w:sz w:val="18"/>
                <w:szCs w:val="18"/>
                <w:lang w:val="es-ES_tradnl"/>
              </w:rPr>
              <w:t>1 096 491</w:t>
            </w:r>
          </w:p>
        </w:tc>
        <w:tc>
          <w:tcPr>
            <w:tcW w:w="339" w:type="pct"/>
            <w:shd w:val="clear" w:color="auto" w:fill="FFFFFF" w:themeFill="background1"/>
            <w:hideMark/>
          </w:tcPr>
          <w:p w14:paraId="6133A9D6" w14:textId="20A7FE2A" w:rsidR="000958F5" w:rsidRPr="00E930DA" w:rsidRDefault="000958F5" w:rsidP="00FE74ED">
            <w:pPr>
              <w:spacing w:after="0" w:line="240" w:lineRule="auto"/>
              <w:ind w:left="-113"/>
              <w:jc w:val="right"/>
              <w:rPr>
                <w:rFonts w:ascii="Times New Roman" w:hAnsi="Times New Roman"/>
                <w:color w:val="000000"/>
                <w:sz w:val="18"/>
                <w:szCs w:val="18"/>
                <w:lang w:val="es-ES_tradnl"/>
              </w:rPr>
            </w:pPr>
            <w:r w:rsidRPr="00E930DA">
              <w:rPr>
                <w:rFonts w:ascii="Times New Roman" w:hAnsi="Times New Roman"/>
                <w:sz w:val="18"/>
                <w:szCs w:val="18"/>
                <w:lang w:val="es-ES_tradnl"/>
              </w:rPr>
              <w:t>1 096 491</w:t>
            </w:r>
          </w:p>
        </w:tc>
        <w:tc>
          <w:tcPr>
            <w:tcW w:w="339" w:type="pct"/>
            <w:shd w:val="clear" w:color="auto" w:fill="FFFFFF" w:themeFill="background1"/>
            <w:hideMark/>
          </w:tcPr>
          <w:p w14:paraId="16076CC2" w14:textId="430A8FA4" w:rsidR="000958F5" w:rsidRPr="00E930DA" w:rsidRDefault="000958F5" w:rsidP="00FE74ED">
            <w:pPr>
              <w:spacing w:after="0" w:line="240" w:lineRule="auto"/>
              <w:ind w:left="-113"/>
              <w:jc w:val="right"/>
              <w:rPr>
                <w:rFonts w:ascii="Times New Roman" w:hAnsi="Times New Roman"/>
                <w:color w:val="000000"/>
                <w:sz w:val="18"/>
                <w:szCs w:val="18"/>
                <w:lang w:val="es-ES_tradnl"/>
              </w:rPr>
            </w:pPr>
            <w:r w:rsidRPr="00E930DA">
              <w:rPr>
                <w:rFonts w:ascii="Times New Roman" w:hAnsi="Times New Roman"/>
                <w:sz w:val="18"/>
                <w:szCs w:val="18"/>
                <w:lang w:val="es-ES_tradnl"/>
              </w:rPr>
              <w:t>2 192 982</w:t>
            </w:r>
          </w:p>
        </w:tc>
        <w:tc>
          <w:tcPr>
            <w:tcW w:w="414" w:type="pct"/>
            <w:shd w:val="clear" w:color="auto" w:fill="FFFFFF" w:themeFill="background1"/>
            <w:hideMark/>
          </w:tcPr>
          <w:p w14:paraId="35E4052D" w14:textId="61CE0923" w:rsidR="000958F5" w:rsidRPr="001C03A1" w:rsidRDefault="000958F5" w:rsidP="00FE74ED">
            <w:pPr>
              <w:spacing w:after="0" w:line="240" w:lineRule="auto"/>
              <w:ind w:left="-113"/>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9 780 765</w:t>
            </w:r>
          </w:p>
        </w:tc>
      </w:tr>
      <w:tr w:rsidR="00536253" w:rsidRPr="001C03A1" w14:paraId="76899A35"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3A2B02C0"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India</w:t>
            </w:r>
          </w:p>
        </w:tc>
        <w:tc>
          <w:tcPr>
            <w:tcW w:w="436" w:type="pct"/>
            <w:shd w:val="clear" w:color="auto" w:fill="FFFFFF" w:themeFill="background1"/>
            <w:hideMark/>
          </w:tcPr>
          <w:p w14:paraId="1F155E16"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11C73FC5" w14:textId="3F193D79"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10 000</w:t>
            </w:r>
          </w:p>
        </w:tc>
        <w:tc>
          <w:tcPr>
            <w:tcW w:w="417" w:type="pct"/>
            <w:shd w:val="clear" w:color="auto" w:fill="FFFFFF" w:themeFill="background1"/>
            <w:hideMark/>
          </w:tcPr>
          <w:p w14:paraId="23E630E0" w14:textId="3E9C96E0"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10 000</w:t>
            </w:r>
          </w:p>
        </w:tc>
        <w:tc>
          <w:tcPr>
            <w:tcW w:w="357" w:type="pct"/>
            <w:shd w:val="clear" w:color="auto" w:fill="FFFFFF" w:themeFill="background1"/>
            <w:hideMark/>
          </w:tcPr>
          <w:p w14:paraId="50EDBFB7"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7" w:type="pct"/>
            <w:shd w:val="clear" w:color="auto" w:fill="FFFFFF" w:themeFill="background1"/>
            <w:hideMark/>
          </w:tcPr>
          <w:p w14:paraId="4BE0AE1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35" w:type="pct"/>
            <w:shd w:val="clear" w:color="auto" w:fill="FFFFFF" w:themeFill="background1"/>
            <w:hideMark/>
          </w:tcPr>
          <w:p w14:paraId="05847830" w14:textId="0DDF8502"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20 000</w:t>
            </w:r>
          </w:p>
        </w:tc>
        <w:tc>
          <w:tcPr>
            <w:tcW w:w="319" w:type="pct"/>
            <w:shd w:val="clear" w:color="auto" w:fill="FFFFFF" w:themeFill="background1"/>
            <w:hideMark/>
          </w:tcPr>
          <w:p w14:paraId="46038142"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0F82A72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22546043"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19FDA7E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33203B24" w14:textId="016FAA37"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20 000</w:t>
            </w:r>
          </w:p>
        </w:tc>
      </w:tr>
      <w:tr w:rsidR="000958F5" w:rsidRPr="001C03A1" w14:paraId="382927D6"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17EDE40F" w14:textId="71F3E09A"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Japón </w:t>
            </w:r>
          </w:p>
        </w:tc>
        <w:tc>
          <w:tcPr>
            <w:tcW w:w="436" w:type="pct"/>
            <w:shd w:val="clear" w:color="auto" w:fill="FFFFFF" w:themeFill="background1"/>
            <w:hideMark/>
          </w:tcPr>
          <w:p w14:paraId="1C52D03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300AB3BC" w14:textId="73813FCC"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267 900</w:t>
            </w:r>
          </w:p>
        </w:tc>
        <w:tc>
          <w:tcPr>
            <w:tcW w:w="417" w:type="pct"/>
            <w:shd w:val="clear" w:color="auto" w:fill="FFFFFF" w:themeFill="background1"/>
            <w:hideMark/>
          </w:tcPr>
          <w:p w14:paraId="259E0066" w14:textId="0BF2CE21"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330 000</w:t>
            </w:r>
          </w:p>
        </w:tc>
        <w:tc>
          <w:tcPr>
            <w:tcW w:w="357" w:type="pct"/>
            <w:shd w:val="clear" w:color="auto" w:fill="FFFFFF" w:themeFill="background1"/>
            <w:hideMark/>
          </w:tcPr>
          <w:p w14:paraId="39821F5F" w14:textId="66156683"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300 000</w:t>
            </w:r>
          </w:p>
        </w:tc>
        <w:tc>
          <w:tcPr>
            <w:tcW w:w="387" w:type="pct"/>
            <w:shd w:val="clear" w:color="auto" w:fill="FFFFFF" w:themeFill="background1"/>
            <w:hideMark/>
          </w:tcPr>
          <w:p w14:paraId="4FFA62F1" w14:textId="5677C4EC"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300 000</w:t>
            </w:r>
          </w:p>
        </w:tc>
        <w:tc>
          <w:tcPr>
            <w:tcW w:w="435" w:type="pct"/>
            <w:shd w:val="clear" w:color="auto" w:fill="FFFFFF" w:themeFill="background1"/>
            <w:hideMark/>
          </w:tcPr>
          <w:p w14:paraId="53B292D0" w14:textId="7B25ABEC"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1 197 900</w:t>
            </w:r>
          </w:p>
        </w:tc>
        <w:tc>
          <w:tcPr>
            <w:tcW w:w="319" w:type="pct"/>
            <w:shd w:val="clear" w:color="auto" w:fill="FFFFFF" w:themeFill="background1"/>
            <w:hideMark/>
          </w:tcPr>
          <w:p w14:paraId="04B7188C"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7F35644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3E56266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0A0C396E"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1203D5AE" w14:textId="1A62B38B"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1 197 900</w:t>
            </w:r>
          </w:p>
        </w:tc>
      </w:tr>
      <w:tr w:rsidR="00536253" w:rsidRPr="001C03A1" w14:paraId="774A6E8D"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1DEA1C5A"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Letonia</w:t>
            </w:r>
          </w:p>
        </w:tc>
        <w:tc>
          <w:tcPr>
            <w:tcW w:w="436" w:type="pct"/>
            <w:shd w:val="clear" w:color="auto" w:fill="FFFFFF" w:themeFill="background1"/>
            <w:hideMark/>
          </w:tcPr>
          <w:p w14:paraId="394E79D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12A52272"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17" w:type="pct"/>
            <w:shd w:val="clear" w:color="auto" w:fill="FFFFFF" w:themeFill="background1"/>
            <w:hideMark/>
          </w:tcPr>
          <w:p w14:paraId="6427341F" w14:textId="16C44D74"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4 299</w:t>
            </w:r>
          </w:p>
        </w:tc>
        <w:tc>
          <w:tcPr>
            <w:tcW w:w="357" w:type="pct"/>
            <w:shd w:val="clear" w:color="auto" w:fill="FFFFFF" w:themeFill="background1"/>
            <w:hideMark/>
          </w:tcPr>
          <w:p w14:paraId="4F0778C1" w14:textId="2F42F161"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3 944</w:t>
            </w:r>
          </w:p>
        </w:tc>
        <w:tc>
          <w:tcPr>
            <w:tcW w:w="387" w:type="pct"/>
            <w:shd w:val="clear" w:color="auto" w:fill="FFFFFF" w:themeFill="background1"/>
            <w:hideMark/>
          </w:tcPr>
          <w:p w14:paraId="6CB068BD" w14:textId="57656CA6"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3 889</w:t>
            </w:r>
          </w:p>
        </w:tc>
        <w:tc>
          <w:tcPr>
            <w:tcW w:w="435" w:type="pct"/>
            <w:shd w:val="clear" w:color="auto" w:fill="FFFFFF" w:themeFill="background1"/>
            <w:hideMark/>
          </w:tcPr>
          <w:p w14:paraId="46AF18B1" w14:textId="2675A775"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12 132</w:t>
            </w:r>
          </w:p>
        </w:tc>
        <w:tc>
          <w:tcPr>
            <w:tcW w:w="319" w:type="pct"/>
            <w:shd w:val="clear" w:color="auto" w:fill="FFFFFF" w:themeFill="background1"/>
            <w:hideMark/>
          </w:tcPr>
          <w:p w14:paraId="465305DB"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7A148E4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01A427D2"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119862E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1E1719EE" w14:textId="1D669125"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12 132</w:t>
            </w:r>
          </w:p>
        </w:tc>
      </w:tr>
      <w:tr w:rsidR="000958F5" w:rsidRPr="001C03A1" w14:paraId="4AA95829"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7D800A6C"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Malasia</w:t>
            </w:r>
          </w:p>
        </w:tc>
        <w:tc>
          <w:tcPr>
            <w:tcW w:w="436" w:type="pct"/>
            <w:shd w:val="clear" w:color="auto" w:fill="FFFFFF" w:themeFill="background1"/>
            <w:hideMark/>
          </w:tcPr>
          <w:p w14:paraId="341CC8B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4F4E166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17" w:type="pct"/>
            <w:shd w:val="clear" w:color="auto" w:fill="FFFFFF" w:themeFill="background1"/>
            <w:hideMark/>
          </w:tcPr>
          <w:p w14:paraId="01BF925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57" w:type="pct"/>
            <w:shd w:val="clear" w:color="auto" w:fill="FFFFFF" w:themeFill="background1"/>
            <w:hideMark/>
          </w:tcPr>
          <w:p w14:paraId="2D5EE529" w14:textId="2781BB0A"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100 000</w:t>
            </w:r>
          </w:p>
        </w:tc>
        <w:tc>
          <w:tcPr>
            <w:tcW w:w="387" w:type="pct"/>
            <w:shd w:val="clear" w:color="auto" w:fill="FFFFFF" w:themeFill="background1"/>
            <w:hideMark/>
          </w:tcPr>
          <w:p w14:paraId="2C8A148A"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35" w:type="pct"/>
            <w:shd w:val="clear" w:color="auto" w:fill="FFFFFF" w:themeFill="background1"/>
            <w:hideMark/>
          </w:tcPr>
          <w:p w14:paraId="4842B6EB" w14:textId="5F318CC1"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100 000</w:t>
            </w:r>
          </w:p>
        </w:tc>
        <w:tc>
          <w:tcPr>
            <w:tcW w:w="319" w:type="pct"/>
            <w:shd w:val="clear" w:color="auto" w:fill="FFFFFF" w:themeFill="background1"/>
            <w:hideMark/>
          </w:tcPr>
          <w:p w14:paraId="4270257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635A4D19"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1A4CB67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0C019D4C"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34FC35D1" w14:textId="7576E16F"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100 000</w:t>
            </w:r>
          </w:p>
        </w:tc>
      </w:tr>
      <w:tr w:rsidR="00536253" w:rsidRPr="001C03A1" w14:paraId="262657C4"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5DA7F070"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Países Bajos</w:t>
            </w:r>
          </w:p>
        </w:tc>
        <w:tc>
          <w:tcPr>
            <w:tcW w:w="436" w:type="pct"/>
            <w:shd w:val="clear" w:color="auto" w:fill="FFFFFF" w:themeFill="background1"/>
            <w:hideMark/>
          </w:tcPr>
          <w:p w14:paraId="0EBFE6D6"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730753AA"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17" w:type="pct"/>
            <w:shd w:val="clear" w:color="auto" w:fill="FFFFFF" w:themeFill="background1"/>
            <w:hideMark/>
          </w:tcPr>
          <w:p w14:paraId="7B219C3D" w14:textId="39646435"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678 426</w:t>
            </w:r>
          </w:p>
        </w:tc>
        <w:tc>
          <w:tcPr>
            <w:tcW w:w="357" w:type="pct"/>
            <w:shd w:val="clear" w:color="auto" w:fill="FFFFFF" w:themeFill="background1"/>
            <w:hideMark/>
          </w:tcPr>
          <w:p w14:paraId="5373B730"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7" w:type="pct"/>
            <w:shd w:val="clear" w:color="auto" w:fill="FFFFFF" w:themeFill="background1"/>
            <w:hideMark/>
          </w:tcPr>
          <w:p w14:paraId="19477CF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35" w:type="pct"/>
            <w:shd w:val="clear" w:color="auto" w:fill="FFFFFF" w:themeFill="background1"/>
            <w:hideMark/>
          </w:tcPr>
          <w:p w14:paraId="6692B380" w14:textId="4E1F5327"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678 426</w:t>
            </w:r>
          </w:p>
        </w:tc>
        <w:tc>
          <w:tcPr>
            <w:tcW w:w="319" w:type="pct"/>
            <w:shd w:val="clear" w:color="auto" w:fill="FFFFFF" w:themeFill="background1"/>
            <w:hideMark/>
          </w:tcPr>
          <w:p w14:paraId="24FD1B2E" w14:textId="1D2E1BDD"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636 943</w:t>
            </w:r>
          </w:p>
        </w:tc>
        <w:tc>
          <w:tcPr>
            <w:tcW w:w="358" w:type="pct"/>
            <w:shd w:val="clear" w:color="auto" w:fill="FFFFFF" w:themeFill="background1"/>
            <w:hideMark/>
          </w:tcPr>
          <w:p w14:paraId="1D0879D9"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39" w:type="pct"/>
            <w:shd w:val="clear" w:color="auto" w:fill="FFFFFF" w:themeFill="background1"/>
            <w:hideMark/>
          </w:tcPr>
          <w:p w14:paraId="69372DE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04E90057" w14:textId="627B0D8A"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636 943</w:t>
            </w:r>
          </w:p>
        </w:tc>
        <w:tc>
          <w:tcPr>
            <w:tcW w:w="414" w:type="pct"/>
            <w:shd w:val="clear" w:color="auto" w:fill="FFFFFF" w:themeFill="background1"/>
            <w:hideMark/>
          </w:tcPr>
          <w:p w14:paraId="79BEC206" w14:textId="72478892"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1 315 369</w:t>
            </w:r>
          </w:p>
        </w:tc>
      </w:tr>
      <w:tr w:rsidR="000958F5" w:rsidRPr="001C03A1" w14:paraId="754D8F8D"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2801D026" w14:textId="7ACDF045"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Nueva Zelandia </w:t>
            </w:r>
          </w:p>
        </w:tc>
        <w:tc>
          <w:tcPr>
            <w:tcW w:w="436" w:type="pct"/>
            <w:shd w:val="clear" w:color="auto" w:fill="FFFFFF" w:themeFill="background1"/>
            <w:hideMark/>
          </w:tcPr>
          <w:p w14:paraId="689B0264"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1DB7A633" w14:textId="6F1556F8"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16 094</w:t>
            </w:r>
          </w:p>
        </w:tc>
        <w:tc>
          <w:tcPr>
            <w:tcW w:w="417" w:type="pct"/>
            <w:shd w:val="clear" w:color="auto" w:fill="FFFFFF" w:themeFill="background1"/>
            <w:hideMark/>
          </w:tcPr>
          <w:p w14:paraId="296FAD46" w14:textId="0EEBF2E2"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17 134</w:t>
            </w:r>
          </w:p>
        </w:tc>
        <w:tc>
          <w:tcPr>
            <w:tcW w:w="357" w:type="pct"/>
            <w:shd w:val="clear" w:color="auto" w:fill="FFFFFF" w:themeFill="background1"/>
            <w:hideMark/>
          </w:tcPr>
          <w:p w14:paraId="3C57197E" w14:textId="5B145339"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18 727</w:t>
            </w:r>
          </w:p>
        </w:tc>
        <w:tc>
          <w:tcPr>
            <w:tcW w:w="387" w:type="pct"/>
            <w:shd w:val="clear" w:color="auto" w:fill="FFFFFF" w:themeFill="background1"/>
            <w:hideMark/>
          </w:tcPr>
          <w:p w14:paraId="7479C00D" w14:textId="0FC4ADFE"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34 091</w:t>
            </w:r>
          </w:p>
        </w:tc>
        <w:tc>
          <w:tcPr>
            <w:tcW w:w="435" w:type="pct"/>
            <w:shd w:val="clear" w:color="auto" w:fill="FFFFFF" w:themeFill="background1"/>
            <w:hideMark/>
          </w:tcPr>
          <w:p w14:paraId="7DC9A549" w14:textId="2DDC617C"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86 046</w:t>
            </w:r>
          </w:p>
        </w:tc>
        <w:tc>
          <w:tcPr>
            <w:tcW w:w="319" w:type="pct"/>
            <w:shd w:val="clear" w:color="auto" w:fill="FFFFFF" w:themeFill="background1"/>
            <w:hideMark/>
          </w:tcPr>
          <w:p w14:paraId="3BD6D762"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3C1199C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0A462717"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40565A1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4BCC3D04" w14:textId="30FDFE65"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86 046</w:t>
            </w:r>
          </w:p>
        </w:tc>
      </w:tr>
      <w:tr w:rsidR="00536253" w:rsidRPr="001C03A1" w14:paraId="1F0B2101"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3B8910E7" w14:textId="1561DE3A"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Noruega </w:t>
            </w:r>
          </w:p>
        </w:tc>
        <w:tc>
          <w:tcPr>
            <w:tcW w:w="436" w:type="pct"/>
            <w:shd w:val="clear" w:color="auto" w:fill="FFFFFF" w:themeFill="background1"/>
            <w:hideMark/>
          </w:tcPr>
          <w:p w14:paraId="145A515A"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67EF9E98" w14:textId="4A62BB34"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140 458</w:t>
            </w:r>
          </w:p>
        </w:tc>
        <w:tc>
          <w:tcPr>
            <w:tcW w:w="417" w:type="pct"/>
            <w:shd w:val="clear" w:color="auto" w:fill="FFFFFF" w:themeFill="background1"/>
            <w:hideMark/>
          </w:tcPr>
          <w:p w14:paraId="6EA41032" w14:textId="42F1EBC8"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8 118 860</w:t>
            </w:r>
          </w:p>
        </w:tc>
        <w:tc>
          <w:tcPr>
            <w:tcW w:w="357" w:type="pct"/>
            <w:shd w:val="clear" w:color="auto" w:fill="FFFFFF" w:themeFill="background1"/>
            <w:hideMark/>
          </w:tcPr>
          <w:p w14:paraId="270E4C58" w14:textId="56950C6D"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58 357</w:t>
            </w:r>
          </w:p>
        </w:tc>
        <w:tc>
          <w:tcPr>
            <w:tcW w:w="387" w:type="pct"/>
            <w:shd w:val="clear" w:color="auto" w:fill="FFFFFF" w:themeFill="background1"/>
            <w:hideMark/>
          </w:tcPr>
          <w:p w14:paraId="6A93A14F" w14:textId="43015472"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372 420</w:t>
            </w:r>
          </w:p>
        </w:tc>
        <w:tc>
          <w:tcPr>
            <w:tcW w:w="435" w:type="pct"/>
            <w:shd w:val="clear" w:color="auto" w:fill="FFFFFF" w:themeFill="background1"/>
            <w:hideMark/>
          </w:tcPr>
          <w:p w14:paraId="3CA04FA2" w14:textId="1DD33A24"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8 690 095</w:t>
            </w:r>
          </w:p>
        </w:tc>
        <w:tc>
          <w:tcPr>
            <w:tcW w:w="319" w:type="pct"/>
            <w:shd w:val="clear" w:color="auto" w:fill="FFFFFF" w:themeFill="background1"/>
            <w:hideMark/>
          </w:tcPr>
          <w:p w14:paraId="6D1BBDF5"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5C53647A"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06427B8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3F8ACB41"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4AA46031" w14:textId="3D7F446E"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8 690 095</w:t>
            </w:r>
          </w:p>
        </w:tc>
      </w:tr>
      <w:tr w:rsidR="000958F5" w:rsidRPr="001C03A1" w14:paraId="4ADB30B5"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08FDD7BE" w14:textId="2F00FF85"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República de Corea</w:t>
            </w:r>
          </w:p>
        </w:tc>
        <w:tc>
          <w:tcPr>
            <w:tcW w:w="436" w:type="pct"/>
            <w:shd w:val="clear" w:color="auto" w:fill="FFFFFF" w:themeFill="background1"/>
            <w:hideMark/>
          </w:tcPr>
          <w:p w14:paraId="0D4A463B"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7574ED5E" w14:textId="33FF6585"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20 000</w:t>
            </w:r>
          </w:p>
        </w:tc>
        <w:tc>
          <w:tcPr>
            <w:tcW w:w="417" w:type="pct"/>
            <w:shd w:val="clear" w:color="auto" w:fill="FFFFFF" w:themeFill="background1"/>
            <w:hideMark/>
          </w:tcPr>
          <w:p w14:paraId="21C3283C"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7" w:type="pct"/>
            <w:shd w:val="clear" w:color="auto" w:fill="FFFFFF" w:themeFill="background1"/>
            <w:hideMark/>
          </w:tcPr>
          <w:p w14:paraId="56EB4DA7"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87" w:type="pct"/>
            <w:shd w:val="clear" w:color="auto" w:fill="FFFFFF" w:themeFill="background1"/>
            <w:hideMark/>
          </w:tcPr>
          <w:p w14:paraId="1C0EE0ED"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35" w:type="pct"/>
            <w:shd w:val="clear" w:color="auto" w:fill="FFFFFF" w:themeFill="background1"/>
            <w:hideMark/>
          </w:tcPr>
          <w:p w14:paraId="01D7B519" w14:textId="105DFE39"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20 000</w:t>
            </w:r>
          </w:p>
        </w:tc>
        <w:tc>
          <w:tcPr>
            <w:tcW w:w="319" w:type="pct"/>
            <w:shd w:val="clear" w:color="auto" w:fill="FFFFFF" w:themeFill="background1"/>
            <w:hideMark/>
          </w:tcPr>
          <w:p w14:paraId="4B4B411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210E0F3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336A905E"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1A312265"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6A0131AA" w14:textId="5A65C454"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20 000</w:t>
            </w:r>
          </w:p>
        </w:tc>
      </w:tr>
      <w:tr w:rsidR="00536253" w:rsidRPr="001C03A1" w14:paraId="7AD1F679"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55E86373" w14:textId="389F38CF"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Sudáfrica </w:t>
            </w:r>
          </w:p>
        </w:tc>
        <w:tc>
          <w:tcPr>
            <w:tcW w:w="436" w:type="pct"/>
            <w:shd w:val="clear" w:color="auto" w:fill="FFFFFF" w:themeFill="background1"/>
            <w:hideMark/>
          </w:tcPr>
          <w:p w14:paraId="4F3C087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4D1EC22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17" w:type="pct"/>
            <w:shd w:val="clear" w:color="auto" w:fill="FFFFFF" w:themeFill="background1"/>
            <w:hideMark/>
          </w:tcPr>
          <w:p w14:paraId="300C5AF1" w14:textId="42CD1656"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30 000</w:t>
            </w:r>
          </w:p>
        </w:tc>
        <w:tc>
          <w:tcPr>
            <w:tcW w:w="357" w:type="pct"/>
            <w:shd w:val="clear" w:color="auto" w:fill="FFFFFF" w:themeFill="background1"/>
            <w:hideMark/>
          </w:tcPr>
          <w:p w14:paraId="6509AF88"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7" w:type="pct"/>
            <w:shd w:val="clear" w:color="auto" w:fill="FFFFFF" w:themeFill="background1"/>
            <w:hideMark/>
          </w:tcPr>
          <w:p w14:paraId="3F9FE865"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435" w:type="pct"/>
            <w:shd w:val="clear" w:color="auto" w:fill="FFFFFF" w:themeFill="background1"/>
            <w:hideMark/>
          </w:tcPr>
          <w:p w14:paraId="74A34B6C" w14:textId="0B294CE6"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30 000</w:t>
            </w:r>
          </w:p>
        </w:tc>
        <w:tc>
          <w:tcPr>
            <w:tcW w:w="319" w:type="pct"/>
            <w:shd w:val="clear" w:color="auto" w:fill="FFFFFF" w:themeFill="background1"/>
            <w:hideMark/>
          </w:tcPr>
          <w:p w14:paraId="37915B2E"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5E63D1B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367264A7"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5D8C3375"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669EF2B5" w14:textId="72CA50AB"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30 000</w:t>
            </w:r>
          </w:p>
        </w:tc>
      </w:tr>
      <w:tr w:rsidR="000958F5" w:rsidRPr="001C03A1" w14:paraId="75BC649C"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63E96F4C" w14:textId="77777777"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Suecia</w:t>
            </w:r>
          </w:p>
        </w:tc>
        <w:tc>
          <w:tcPr>
            <w:tcW w:w="436" w:type="pct"/>
            <w:shd w:val="clear" w:color="auto" w:fill="FFFFFF" w:themeFill="background1"/>
            <w:hideMark/>
          </w:tcPr>
          <w:p w14:paraId="0D5FB3D1"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2B822069" w14:textId="5DD93F37"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228 349</w:t>
            </w:r>
          </w:p>
        </w:tc>
        <w:tc>
          <w:tcPr>
            <w:tcW w:w="417" w:type="pct"/>
            <w:shd w:val="clear" w:color="auto" w:fill="FFFFFF" w:themeFill="background1"/>
            <w:hideMark/>
          </w:tcPr>
          <w:p w14:paraId="3A221A8F" w14:textId="2B518E0D"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194 368</w:t>
            </w:r>
          </w:p>
        </w:tc>
        <w:tc>
          <w:tcPr>
            <w:tcW w:w="357" w:type="pct"/>
            <w:shd w:val="clear" w:color="auto" w:fill="FFFFFF" w:themeFill="background1"/>
            <w:hideMark/>
          </w:tcPr>
          <w:p w14:paraId="4961C58D" w14:textId="4BD4498E"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128 535</w:t>
            </w:r>
          </w:p>
        </w:tc>
        <w:tc>
          <w:tcPr>
            <w:tcW w:w="387" w:type="pct"/>
            <w:shd w:val="clear" w:color="auto" w:fill="FFFFFF" w:themeFill="background1"/>
            <w:hideMark/>
          </w:tcPr>
          <w:p w14:paraId="46E497C0" w14:textId="419F7968"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116 421</w:t>
            </w:r>
          </w:p>
        </w:tc>
        <w:tc>
          <w:tcPr>
            <w:tcW w:w="435" w:type="pct"/>
            <w:shd w:val="clear" w:color="auto" w:fill="FFFFFF" w:themeFill="background1"/>
            <w:hideMark/>
          </w:tcPr>
          <w:p w14:paraId="4A9E7F4F" w14:textId="38F09D3E"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667 673</w:t>
            </w:r>
          </w:p>
        </w:tc>
        <w:tc>
          <w:tcPr>
            <w:tcW w:w="319" w:type="pct"/>
            <w:shd w:val="clear" w:color="auto" w:fill="FFFFFF" w:themeFill="background1"/>
            <w:hideMark/>
          </w:tcPr>
          <w:p w14:paraId="3D86DC61"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79C1578A"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hideMark/>
          </w:tcPr>
          <w:p w14:paraId="09485554"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shd w:val="clear" w:color="auto" w:fill="FFFFFF" w:themeFill="background1"/>
          </w:tcPr>
          <w:p w14:paraId="36FE254C"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shd w:val="clear" w:color="auto" w:fill="FFFFFF" w:themeFill="background1"/>
            <w:hideMark/>
          </w:tcPr>
          <w:p w14:paraId="4EE9ADC6" w14:textId="34D9B6E9"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667 673</w:t>
            </w:r>
          </w:p>
        </w:tc>
      </w:tr>
      <w:tr w:rsidR="00536253" w:rsidRPr="001C03A1" w14:paraId="108F5813" w14:textId="77777777" w:rsidTr="00FB57B5">
        <w:trPr>
          <w:trHeight w:hRule="exact" w:val="284"/>
        </w:trPr>
        <w:tc>
          <w:tcPr>
            <w:tcW w:w="811" w:type="pct"/>
            <w:tcBorders>
              <w:right w:val="single" w:sz="4" w:space="0" w:color="7F7F7F"/>
            </w:tcBorders>
            <w:shd w:val="clear" w:color="auto" w:fill="FFFFFF" w:themeFill="background1"/>
            <w:vAlign w:val="center"/>
            <w:hideMark/>
          </w:tcPr>
          <w:p w14:paraId="576CB326" w14:textId="14B1F0D0" w:rsidR="000958F5" w:rsidRPr="00E930DA" w:rsidRDefault="000958F5" w:rsidP="00FE74ED">
            <w:pPr>
              <w:spacing w:after="0" w:line="240" w:lineRule="auto"/>
              <w:ind w:left="-57"/>
              <w:rPr>
                <w:rFonts w:ascii="Times New Roman" w:hAnsi="Times New Roman"/>
                <w:color w:val="000000"/>
                <w:sz w:val="18"/>
                <w:szCs w:val="18"/>
                <w:lang w:val="es-ES_tradnl"/>
              </w:rPr>
            </w:pPr>
            <w:r w:rsidRPr="00E930DA">
              <w:rPr>
                <w:rFonts w:ascii="Times New Roman" w:hAnsi="Times New Roman"/>
                <w:sz w:val="18"/>
                <w:szCs w:val="18"/>
                <w:lang w:val="es-ES_tradnl"/>
              </w:rPr>
              <w:t xml:space="preserve">Suiza </w:t>
            </w:r>
          </w:p>
        </w:tc>
        <w:tc>
          <w:tcPr>
            <w:tcW w:w="436" w:type="pct"/>
            <w:shd w:val="clear" w:color="auto" w:fill="FFFFFF" w:themeFill="background1"/>
            <w:hideMark/>
          </w:tcPr>
          <w:p w14:paraId="0021AA07"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88" w:type="pct"/>
            <w:shd w:val="clear" w:color="auto" w:fill="FFFFFF" w:themeFill="background1"/>
            <w:hideMark/>
          </w:tcPr>
          <w:p w14:paraId="26846D44" w14:textId="2E64BD1F"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76 144</w:t>
            </w:r>
          </w:p>
        </w:tc>
        <w:tc>
          <w:tcPr>
            <w:tcW w:w="417" w:type="pct"/>
            <w:shd w:val="clear" w:color="auto" w:fill="FFFFFF" w:themeFill="background1"/>
            <w:hideMark/>
          </w:tcPr>
          <w:p w14:paraId="41608F50" w14:textId="55AE443C"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84 793</w:t>
            </w:r>
          </w:p>
        </w:tc>
        <w:tc>
          <w:tcPr>
            <w:tcW w:w="357" w:type="pct"/>
            <w:shd w:val="clear" w:color="auto" w:fill="FFFFFF" w:themeFill="background1"/>
            <w:hideMark/>
          </w:tcPr>
          <w:p w14:paraId="3066CE79" w14:textId="58FA69EA"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84 000</w:t>
            </w:r>
          </w:p>
        </w:tc>
        <w:tc>
          <w:tcPr>
            <w:tcW w:w="387" w:type="pct"/>
            <w:shd w:val="clear" w:color="auto" w:fill="FFFFFF" w:themeFill="background1"/>
            <w:hideMark/>
          </w:tcPr>
          <w:p w14:paraId="730BCCB3" w14:textId="2B532AEE"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84 000</w:t>
            </w:r>
          </w:p>
        </w:tc>
        <w:tc>
          <w:tcPr>
            <w:tcW w:w="435" w:type="pct"/>
            <w:shd w:val="clear" w:color="auto" w:fill="FFFFFF" w:themeFill="background1"/>
            <w:hideMark/>
          </w:tcPr>
          <w:p w14:paraId="26B8D994" w14:textId="6AD8A09B"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328 937</w:t>
            </w:r>
          </w:p>
        </w:tc>
        <w:tc>
          <w:tcPr>
            <w:tcW w:w="319" w:type="pct"/>
            <w:shd w:val="clear" w:color="auto" w:fill="FFFFFF" w:themeFill="background1"/>
            <w:hideMark/>
          </w:tcPr>
          <w:p w14:paraId="1C7FC1A2"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shd w:val="clear" w:color="auto" w:fill="FFFFFF" w:themeFill="background1"/>
            <w:hideMark/>
          </w:tcPr>
          <w:p w14:paraId="6C342689" w14:textId="080D1CEF"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84 000</w:t>
            </w:r>
          </w:p>
        </w:tc>
        <w:tc>
          <w:tcPr>
            <w:tcW w:w="339" w:type="pct"/>
            <w:shd w:val="clear" w:color="auto" w:fill="FFFFFF" w:themeFill="background1"/>
            <w:hideMark/>
          </w:tcPr>
          <w:p w14:paraId="27B748F0" w14:textId="113F030E"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83 207</w:t>
            </w:r>
          </w:p>
        </w:tc>
        <w:tc>
          <w:tcPr>
            <w:tcW w:w="339" w:type="pct"/>
            <w:shd w:val="clear" w:color="auto" w:fill="FFFFFF" w:themeFill="background1"/>
            <w:hideMark/>
          </w:tcPr>
          <w:p w14:paraId="3D75D9B5" w14:textId="70F90045"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167 207</w:t>
            </w:r>
          </w:p>
        </w:tc>
        <w:tc>
          <w:tcPr>
            <w:tcW w:w="414" w:type="pct"/>
            <w:shd w:val="clear" w:color="auto" w:fill="FFFFFF" w:themeFill="background1"/>
            <w:hideMark/>
          </w:tcPr>
          <w:p w14:paraId="6D2DC945" w14:textId="72CBBA80"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496 144</w:t>
            </w:r>
          </w:p>
        </w:tc>
      </w:tr>
      <w:tr w:rsidR="000958F5" w:rsidRPr="00F931EB" w14:paraId="3D8E7FBF" w14:textId="77777777" w:rsidTr="00FB57B5">
        <w:trPr>
          <w:trHeight w:hRule="exact" w:val="519"/>
        </w:trPr>
        <w:tc>
          <w:tcPr>
            <w:tcW w:w="811" w:type="pct"/>
            <w:tcBorders>
              <w:right w:val="single" w:sz="4" w:space="0" w:color="7F7F7F"/>
            </w:tcBorders>
            <w:shd w:val="clear" w:color="auto" w:fill="FFFFFF" w:themeFill="background1"/>
            <w:vAlign w:val="center"/>
            <w:hideMark/>
          </w:tcPr>
          <w:p w14:paraId="3E99A60B" w14:textId="328B28BC" w:rsidR="000958F5" w:rsidRPr="00E930DA" w:rsidRDefault="000958F5" w:rsidP="00FE74ED">
            <w:pPr>
              <w:spacing w:after="0" w:line="240" w:lineRule="auto"/>
              <w:ind w:left="-57" w:right="-113"/>
              <w:rPr>
                <w:rFonts w:ascii="Times New Roman" w:eastAsia="Times New Roman" w:hAnsi="Times New Roman"/>
                <w:iCs/>
                <w:color w:val="000000"/>
                <w:sz w:val="18"/>
                <w:szCs w:val="18"/>
                <w:lang w:val="es-ES_tradnl"/>
              </w:rPr>
            </w:pPr>
            <w:r w:rsidRPr="00E930DA">
              <w:rPr>
                <w:rFonts w:ascii="Times New Roman" w:hAnsi="Times New Roman"/>
                <w:sz w:val="18"/>
                <w:szCs w:val="18"/>
                <w:lang w:val="es-ES_tradnl"/>
              </w:rPr>
              <w:t>Reino Unido de Gran Bretaña e Irlanda del Norte</w:t>
            </w:r>
          </w:p>
        </w:tc>
        <w:tc>
          <w:tcPr>
            <w:tcW w:w="824" w:type="pct"/>
            <w:gridSpan w:val="2"/>
            <w:shd w:val="clear" w:color="auto" w:fill="FFFFFF" w:themeFill="background1"/>
            <w:hideMark/>
          </w:tcPr>
          <w:p w14:paraId="2783CF7C" w14:textId="6EDBE0AD" w:rsidR="000958F5" w:rsidRPr="00E930DA" w:rsidRDefault="00076985" w:rsidP="00536253">
            <w:pPr>
              <w:spacing w:after="0" w:line="240" w:lineRule="auto"/>
              <w:jc w:val="right"/>
              <w:rPr>
                <w:rFonts w:ascii="Times New Roman" w:eastAsia="Times New Roman" w:hAnsi="Times New Roman"/>
                <w:color w:val="000000"/>
                <w:sz w:val="18"/>
                <w:szCs w:val="18"/>
                <w:lang w:val="es-ES_tradnl"/>
              </w:rPr>
            </w:pPr>
            <w:r>
              <w:rPr>
                <w:rFonts w:ascii="Times New Roman" w:hAnsi="Times New Roman"/>
                <w:sz w:val="18"/>
                <w:szCs w:val="18"/>
                <w:lang w:val="es-ES_tradnl"/>
              </w:rPr>
              <w:br/>
            </w:r>
            <w:r w:rsidR="000958F5" w:rsidRPr="00E930DA">
              <w:rPr>
                <w:rFonts w:ascii="Times New Roman" w:hAnsi="Times New Roman"/>
                <w:sz w:val="18"/>
                <w:szCs w:val="18"/>
                <w:lang w:val="es-ES_tradnl"/>
              </w:rPr>
              <w:t>1 285 694</w:t>
            </w:r>
          </w:p>
        </w:tc>
        <w:tc>
          <w:tcPr>
            <w:tcW w:w="417" w:type="pct"/>
            <w:shd w:val="clear" w:color="auto" w:fill="FFFFFF" w:themeFill="background1"/>
            <w:hideMark/>
          </w:tcPr>
          <w:p w14:paraId="06BB9993" w14:textId="04474436" w:rsidR="000958F5" w:rsidRPr="00E930DA" w:rsidRDefault="00076985" w:rsidP="00536253">
            <w:pPr>
              <w:spacing w:after="0" w:line="240" w:lineRule="auto"/>
              <w:jc w:val="right"/>
              <w:rPr>
                <w:rFonts w:ascii="Times New Roman" w:eastAsia="Times New Roman" w:hAnsi="Times New Roman"/>
                <w:color w:val="000000"/>
                <w:sz w:val="18"/>
                <w:szCs w:val="18"/>
                <w:lang w:val="es-ES_tradnl"/>
              </w:rPr>
            </w:pPr>
            <w:r>
              <w:rPr>
                <w:rFonts w:ascii="Times New Roman" w:hAnsi="Times New Roman"/>
                <w:sz w:val="18"/>
                <w:szCs w:val="18"/>
                <w:lang w:val="es-ES_tradnl"/>
              </w:rPr>
              <w:br/>
            </w:r>
            <w:r w:rsidR="000958F5" w:rsidRPr="00E930DA">
              <w:rPr>
                <w:rFonts w:ascii="Times New Roman" w:hAnsi="Times New Roman"/>
                <w:sz w:val="18"/>
                <w:szCs w:val="18"/>
                <w:lang w:val="es-ES_tradnl"/>
              </w:rPr>
              <w:t>1 046 145</w:t>
            </w:r>
          </w:p>
        </w:tc>
        <w:tc>
          <w:tcPr>
            <w:tcW w:w="357" w:type="pct"/>
            <w:shd w:val="clear" w:color="auto" w:fill="FFFFFF" w:themeFill="background1"/>
            <w:hideMark/>
          </w:tcPr>
          <w:p w14:paraId="65FF417D" w14:textId="77777777" w:rsidR="000958F5" w:rsidRPr="00E930DA" w:rsidRDefault="000958F5" w:rsidP="00536253">
            <w:pPr>
              <w:spacing w:after="0" w:line="240" w:lineRule="auto"/>
              <w:jc w:val="right"/>
              <w:rPr>
                <w:rFonts w:ascii="Times New Roman" w:eastAsia="Times New Roman" w:hAnsi="Times New Roman"/>
                <w:color w:val="000000"/>
                <w:sz w:val="18"/>
                <w:szCs w:val="18"/>
                <w:lang w:val="es-ES_tradnl"/>
              </w:rPr>
            </w:pPr>
          </w:p>
        </w:tc>
        <w:tc>
          <w:tcPr>
            <w:tcW w:w="387" w:type="pct"/>
            <w:shd w:val="clear" w:color="auto" w:fill="FFFFFF" w:themeFill="background1"/>
            <w:hideMark/>
          </w:tcPr>
          <w:p w14:paraId="0C80553F" w14:textId="3D108CBB" w:rsidR="000958F5" w:rsidRPr="00E930DA" w:rsidRDefault="00076985" w:rsidP="00536253">
            <w:pPr>
              <w:spacing w:after="0" w:line="240" w:lineRule="auto"/>
              <w:jc w:val="right"/>
              <w:rPr>
                <w:rFonts w:ascii="Times New Roman" w:eastAsia="Times New Roman" w:hAnsi="Times New Roman"/>
                <w:sz w:val="18"/>
                <w:szCs w:val="18"/>
                <w:lang w:val="es-ES_tradnl"/>
              </w:rPr>
            </w:pPr>
            <w:r>
              <w:rPr>
                <w:rFonts w:ascii="Times New Roman" w:hAnsi="Times New Roman"/>
                <w:sz w:val="18"/>
                <w:szCs w:val="18"/>
                <w:lang w:val="es-ES_tradnl"/>
              </w:rPr>
              <w:br/>
            </w:r>
            <w:r w:rsidR="000958F5" w:rsidRPr="00E930DA">
              <w:rPr>
                <w:rFonts w:ascii="Times New Roman" w:hAnsi="Times New Roman"/>
                <w:sz w:val="18"/>
                <w:szCs w:val="18"/>
                <w:lang w:val="es-ES_tradnl"/>
              </w:rPr>
              <w:t>228 956</w:t>
            </w:r>
          </w:p>
        </w:tc>
        <w:tc>
          <w:tcPr>
            <w:tcW w:w="435" w:type="pct"/>
            <w:shd w:val="clear" w:color="auto" w:fill="FFFFFF" w:themeFill="background1"/>
            <w:hideMark/>
          </w:tcPr>
          <w:p w14:paraId="3252F687" w14:textId="3EF3B5DB" w:rsidR="000958F5" w:rsidRPr="00E930DA" w:rsidRDefault="00076985" w:rsidP="00536253">
            <w:pPr>
              <w:spacing w:after="0" w:line="240" w:lineRule="auto"/>
              <w:jc w:val="right"/>
              <w:rPr>
                <w:rFonts w:ascii="Times New Roman" w:eastAsia="Times New Roman" w:hAnsi="Times New Roman"/>
                <w:b/>
                <w:color w:val="000000"/>
                <w:sz w:val="18"/>
                <w:szCs w:val="18"/>
                <w:lang w:val="es-ES_tradnl"/>
              </w:rPr>
            </w:pPr>
            <w:r>
              <w:rPr>
                <w:rFonts w:ascii="Times New Roman" w:hAnsi="Times New Roman"/>
                <w:b/>
                <w:sz w:val="18"/>
                <w:szCs w:val="18"/>
                <w:lang w:val="es-ES_tradnl"/>
              </w:rPr>
              <w:br/>
            </w:r>
            <w:r w:rsidR="000958F5" w:rsidRPr="00E930DA">
              <w:rPr>
                <w:rFonts w:ascii="Times New Roman" w:hAnsi="Times New Roman"/>
                <w:b/>
                <w:sz w:val="18"/>
                <w:szCs w:val="18"/>
                <w:lang w:val="es-ES_tradnl"/>
              </w:rPr>
              <w:t>2 560 795</w:t>
            </w:r>
          </w:p>
        </w:tc>
        <w:tc>
          <w:tcPr>
            <w:tcW w:w="319" w:type="pct"/>
            <w:shd w:val="clear" w:color="auto" w:fill="FFFFFF" w:themeFill="background1"/>
            <w:hideMark/>
          </w:tcPr>
          <w:p w14:paraId="33C86C11" w14:textId="77777777" w:rsidR="000958F5" w:rsidRPr="00E930DA" w:rsidRDefault="000958F5" w:rsidP="00536253">
            <w:pPr>
              <w:spacing w:after="0" w:line="240" w:lineRule="auto"/>
              <w:jc w:val="right"/>
              <w:rPr>
                <w:rFonts w:ascii="Times New Roman" w:eastAsia="Times New Roman" w:hAnsi="Times New Roman"/>
                <w:color w:val="000000"/>
                <w:sz w:val="18"/>
                <w:szCs w:val="18"/>
                <w:lang w:val="es-ES_tradnl"/>
              </w:rPr>
            </w:pPr>
          </w:p>
        </w:tc>
        <w:tc>
          <w:tcPr>
            <w:tcW w:w="358" w:type="pct"/>
            <w:shd w:val="clear" w:color="auto" w:fill="FFFFFF" w:themeFill="background1"/>
            <w:hideMark/>
          </w:tcPr>
          <w:p w14:paraId="2AE6858B" w14:textId="6B720FD7" w:rsidR="000958F5" w:rsidRPr="00E930DA" w:rsidRDefault="00F931EB" w:rsidP="00536253">
            <w:pPr>
              <w:spacing w:after="0" w:line="240" w:lineRule="auto"/>
              <w:jc w:val="right"/>
              <w:rPr>
                <w:rFonts w:ascii="Times New Roman" w:eastAsia="Times New Roman" w:hAnsi="Times New Roman"/>
                <w:color w:val="000000"/>
                <w:sz w:val="18"/>
                <w:szCs w:val="18"/>
                <w:lang w:val="es-ES_tradnl"/>
              </w:rPr>
            </w:pPr>
            <w:r>
              <w:rPr>
                <w:rFonts w:ascii="Times New Roman" w:hAnsi="Times New Roman"/>
                <w:sz w:val="18"/>
                <w:szCs w:val="18"/>
                <w:lang w:val="es-ES_tradnl"/>
              </w:rPr>
              <w:br/>
            </w:r>
            <w:r w:rsidR="000958F5" w:rsidRPr="00E930DA">
              <w:rPr>
                <w:rFonts w:ascii="Times New Roman" w:hAnsi="Times New Roman"/>
                <w:sz w:val="18"/>
                <w:szCs w:val="18"/>
                <w:lang w:val="es-ES_tradnl"/>
              </w:rPr>
              <w:t>158 730</w:t>
            </w:r>
          </w:p>
        </w:tc>
        <w:tc>
          <w:tcPr>
            <w:tcW w:w="339" w:type="pct"/>
            <w:shd w:val="clear" w:color="auto" w:fill="FFFFFF" w:themeFill="background1"/>
            <w:hideMark/>
          </w:tcPr>
          <w:p w14:paraId="689DF644" w14:textId="77777777" w:rsidR="000958F5" w:rsidRPr="00E930DA" w:rsidRDefault="000958F5" w:rsidP="00536253">
            <w:pPr>
              <w:spacing w:after="0" w:line="240" w:lineRule="auto"/>
              <w:jc w:val="right"/>
              <w:rPr>
                <w:rFonts w:ascii="Times New Roman" w:eastAsia="Times New Roman" w:hAnsi="Times New Roman"/>
                <w:color w:val="000000"/>
                <w:sz w:val="18"/>
                <w:szCs w:val="18"/>
                <w:lang w:val="es-ES_tradnl"/>
              </w:rPr>
            </w:pPr>
          </w:p>
        </w:tc>
        <w:tc>
          <w:tcPr>
            <w:tcW w:w="339" w:type="pct"/>
            <w:shd w:val="clear" w:color="auto" w:fill="FFFFFF" w:themeFill="background1"/>
            <w:hideMark/>
          </w:tcPr>
          <w:p w14:paraId="0EFD8791" w14:textId="11D6AD30" w:rsidR="000958F5" w:rsidRPr="00E930DA" w:rsidRDefault="00F931EB" w:rsidP="00536253">
            <w:pPr>
              <w:spacing w:after="0" w:line="240" w:lineRule="auto"/>
              <w:jc w:val="right"/>
              <w:rPr>
                <w:rFonts w:ascii="Times New Roman" w:eastAsia="Times New Roman" w:hAnsi="Times New Roman"/>
                <w:color w:val="000000"/>
                <w:sz w:val="18"/>
                <w:szCs w:val="18"/>
                <w:lang w:val="es-ES_tradnl"/>
              </w:rPr>
            </w:pPr>
            <w:r>
              <w:rPr>
                <w:rFonts w:ascii="Times New Roman" w:hAnsi="Times New Roman"/>
                <w:sz w:val="18"/>
                <w:szCs w:val="18"/>
                <w:lang w:val="es-ES_tradnl"/>
              </w:rPr>
              <w:br/>
            </w:r>
            <w:r w:rsidR="000958F5" w:rsidRPr="00E930DA">
              <w:rPr>
                <w:rFonts w:ascii="Times New Roman" w:hAnsi="Times New Roman"/>
                <w:sz w:val="18"/>
                <w:szCs w:val="18"/>
                <w:lang w:val="es-ES_tradnl"/>
              </w:rPr>
              <w:t>158 730</w:t>
            </w:r>
          </w:p>
        </w:tc>
        <w:tc>
          <w:tcPr>
            <w:tcW w:w="414" w:type="pct"/>
            <w:shd w:val="clear" w:color="auto" w:fill="FFFFFF" w:themeFill="background1"/>
            <w:hideMark/>
          </w:tcPr>
          <w:p w14:paraId="2F4678A1" w14:textId="73BEBB10" w:rsidR="000958F5" w:rsidRPr="001C03A1" w:rsidRDefault="00F931EB" w:rsidP="00536253">
            <w:pPr>
              <w:spacing w:after="0" w:line="240" w:lineRule="auto"/>
              <w:jc w:val="right"/>
              <w:rPr>
                <w:rFonts w:ascii="Times New Roman" w:eastAsia="Times New Roman" w:hAnsi="Times New Roman"/>
                <w:b/>
                <w:color w:val="000000"/>
                <w:sz w:val="18"/>
                <w:szCs w:val="18"/>
                <w:lang w:val="es-ES_tradnl"/>
              </w:rPr>
            </w:pPr>
            <w:r>
              <w:rPr>
                <w:rFonts w:ascii="Times New Roman" w:hAnsi="Times New Roman"/>
                <w:b/>
                <w:sz w:val="18"/>
                <w:szCs w:val="18"/>
                <w:lang w:val="es-ES_tradnl"/>
              </w:rPr>
              <w:br/>
            </w:r>
            <w:r w:rsidR="000958F5" w:rsidRPr="001C03A1">
              <w:rPr>
                <w:rFonts w:ascii="Times New Roman" w:hAnsi="Times New Roman"/>
                <w:b/>
                <w:sz w:val="18"/>
                <w:szCs w:val="18"/>
                <w:lang w:val="es-ES_tradnl"/>
              </w:rPr>
              <w:t>2 719 525</w:t>
            </w:r>
          </w:p>
        </w:tc>
      </w:tr>
      <w:tr w:rsidR="003D0C8F" w:rsidRPr="00F931EB" w14:paraId="027BEFB9" w14:textId="77777777" w:rsidTr="00FB57B5">
        <w:trPr>
          <w:trHeight w:hRule="exact" w:val="284"/>
        </w:trPr>
        <w:tc>
          <w:tcPr>
            <w:tcW w:w="811" w:type="pct"/>
            <w:tcBorders>
              <w:bottom w:val="single" w:sz="4" w:space="0" w:color="auto"/>
              <w:right w:val="single" w:sz="4" w:space="0" w:color="7F7F7F"/>
            </w:tcBorders>
            <w:shd w:val="clear" w:color="auto" w:fill="FFFFFF" w:themeFill="background1"/>
            <w:vAlign w:val="center"/>
            <w:hideMark/>
          </w:tcPr>
          <w:p w14:paraId="1EC79243" w14:textId="57FF868C" w:rsidR="000958F5" w:rsidRPr="00E930DA" w:rsidRDefault="000958F5" w:rsidP="00FE74ED">
            <w:pPr>
              <w:spacing w:after="0" w:line="240" w:lineRule="auto"/>
              <w:ind w:left="-57" w:right="-113"/>
              <w:rPr>
                <w:rFonts w:ascii="Times New Roman" w:hAnsi="Times New Roman"/>
                <w:color w:val="000000"/>
                <w:sz w:val="18"/>
                <w:szCs w:val="18"/>
                <w:lang w:val="es-ES_tradnl"/>
              </w:rPr>
            </w:pPr>
            <w:r w:rsidRPr="00E930DA">
              <w:rPr>
                <w:rFonts w:ascii="Times New Roman" w:hAnsi="Times New Roman"/>
                <w:sz w:val="18"/>
                <w:szCs w:val="18"/>
                <w:lang w:val="es-ES_tradnl"/>
              </w:rPr>
              <w:t>Estados Unidos de América</w:t>
            </w:r>
          </w:p>
        </w:tc>
        <w:tc>
          <w:tcPr>
            <w:tcW w:w="436" w:type="pct"/>
            <w:tcBorders>
              <w:bottom w:val="single" w:sz="4" w:space="0" w:color="auto"/>
            </w:tcBorders>
            <w:shd w:val="clear" w:color="auto" w:fill="FFFFFF" w:themeFill="background1"/>
            <w:hideMark/>
          </w:tcPr>
          <w:p w14:paraId="6942DFF1" w14:textId="61CEB31F"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 xml:space="preserve">500 000 </w:t>
            </w:r>
          </w:p>
        </w:tc>
        <w:tc>
          <w:tcPr>
            <w:tcW w:w="388" w:type="pct"/>
            <w:tcBorders>
              <w:bottom w:val="single" w:sz="4" w:space="0" w:color="auto"/>
            </w:tcBorders>
            <w:shd w:val="clear" w:color="auto" w:fill="FFFFFF" w:themeFill="background1"/>
            <w:hideMark/>
          </w:tcPr>
          <w:p w14:paraId="459604F4" w14:textId="43DC56CB"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 xml:space="preserve">500 000 </w:t>
            </w:r>
          </w:p>
        </w:tc>
        <w:tc>
          <w:tcPr>
            <w:tcW w:w="417" w:type="pct"/>
            <w:tcBorders>
              <w:bottom w:val="single" w:sz="4" w:space="0" w:color="auto"/>
            </w:tcBorders>
            <w:shd w:val="clear" w:color="auto" w:fill="FFFFFF" w:themeFill="background1"/>
            <w:hideMark/>
          </w:tcPr>
          <w:p w14:paraId="2748EDC4" w14:textId="7A32AF39"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 xml:space="preserve">500 000 </w:t>
            </w:r>
          </w:p>
        </w:tc>
        <w:tc>
          <w:tcPr>
            <w:tcW w:w="357" w:type="pct"/>
            <w:tcBorders>
              <w:bottom w:val="single" w:sz="4" w:space="0" w:color="auto"/>
            </w:tcBorders>
            <w:shd w:val="clear" w:color="auto" w:fill="FFFFFF" w:themeFill="background1"/>
            <w:hideMark/>
          </w:tcPr>
          <w:p w14:paraId="33D64BF9" w14:textId="165203D2"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 xml:space="preserve">477 500 </w:t>
            </w:r>
          </w:p>
        </w:tc>
        <w:tc>
          <w:tcPr>
            <w:tcW w:w="387" w:type="pct"/>
            <w:tcBorders>
              <w:bottom w:val="single" w:sz="4" w:space="0" w:color="auto"/>
            </w:tcBorders>
            <w:shd w:val="clear" w:color="auto" w:fill="FFFFFF" w:themeFill="background1"/>
            <w:hideMark/>
          </w:tcPr>
          <w:p w14:paraId="3F2D6C25" w14:textId="56EE597D" w:rsidR="000958F5" w:rsidRPr="00E930DA" w:rsidRDefault="000958F5" w:rsidP="00536253">
            <w:pPr>
              <w:spacing w:after="0" w:line="240" w:lineRule="auto"/>
              <w:jc w:val="right"/>
              <w:rPr>
                <w:rFonts w:ascii="Times New Roman" w:hAnsi="Times New Roman"/>
                <w:color w:val="000000"/>
                <w:sz w:val="18"/>
                <w:szCs w:val="18"/>
                <w:lang w:val="es-ES_tradnl"/>
              </w:rPr>
            </w:pPr>
            <w:r w:rsidRPr="00E930DA">
              <w:rPr>
                <w:rFonts w:ascii="Times New Roman" w:hAnsi="Times New Roman"/>
                <w:sz w:val="18"/>
                <w:szCs w:val="18"/>
                <w:lang w:val="es-ES_tradnl"/>
              </w:rPr>
              <w:t>541 306</w:t>
            </w:r>
          </w:p>
        </w:tc>
        <w:tc>
          <w:tcPr>
            <w:tcW w:w="435" w:type="pct"/>
            <w:tcBorders>
              <w:bottom w:val="single" w:sz="4" w:space="0" w:color="auto"/>
            </w:tcBorders>
            <w:shd w:val="clear" w:color="auto" w:fill="FFFFFF" w:themeFill="background1"/>
            <w:hideMark/>
          </w:tcPr>
          <w:p w14:paraId="4C9A955E" w14:textId="2141CF2D" w:rsidR="000958F5" w:rsidRPr="00E930DA" w:rsidRDefault="000958F5" w:rsidP="00536253">
            <w:pPr>
              <w:spacing w:after="0" w:line="240" w:lineRule="auto"/>
              <w:jc w:val="right"/>
              <w:rPr>
                <w:rFonts w:ascii="Times New Roman" w:hAnsi="Times New Roman"/>
                <w:b/>
                <w:color w:val="000000"/>
                <w:sz w:val="18"/>
                <w:szCs w:val="18"/>
                <w:lang w:val="es-ES_tradnl"/>
              </w:rPr>
            </w:pPr>
            <w:r w:rsidRPr="00E930DA">
              <w:rPr>
                <w:rFonts w:ascii="Times New Roman" w:hAnsi="Times New Roman"/>
                <w:b/>
                <w:sz w:val="18"/>
                <w:szCs w:val="18"/>
                <w:lang w:val="es-ES_tradnl"/>
              </w:rPr>
              <w:t xml:space="preserve">2 518 806 </w:t>
            </w:r>
          </w:p>
        </w:tc>
        <w:tc>
          <w:tcPr>
            <w:tcW w:w="319" w:type="pct"/>
            <w:tcBorders>
              <w:bottom w:val="single" w:sz="4" w:space="0" w:color="auto"/>
            </w:tcBorders>
            <w:shd w:val="clear" w:color="auto" w:fill="FFFFFF" w:themeFill="background1"/>
            <w:hideMark/>
          </w:tcPr>
          <w:p w14:paraId="61610D64"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358" w:type="pct"/>
            <w:tcBorders>
              <w:bottom w:val="single" w:sz="4" w:space="0" w:color="auto"/>
            </w:tcBorders>
            <w:shd w:val="clear" w:color="auto" w:fill="FFFFFF" w:themeFill="background1"/>
            <w:hideMark/>
          </w:tcPr>
          <w:p w14:paraId="634B91CA"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8"/>
                <w:szCs w:val="18"/>
                <w:lang w:val="es-ES_tradnl"/>
              </w:rPr>
            </w:pPr>
          </w:p>
        </w:tc>
        <w:tc>
          <w:tcPr>
            <w:tcW w:w="339" w:type="pct"/>
            <w:tcBorders>
              <w:bottom w:val="single" w:sz="4" w:space="0" w:color="auto"/>
            </w:tcBorders>
            <w:shd w:val="clear" w:color="auto" w:fill="FFFFFF" w:themeFill="background1"/>
            <w:hideMark/>
          </w:tcPr>
          <w:p w14:paraId="6524D1C4" w14:textId="77777777" w:rsidR="000958F5" w:rsidRPr="00E930DA" w:rsidRDefault="000958F5" w:rsidP="00536253">
            <w:pPr>
              <w:spacing w:after="0" w:line="240" w:lineRule="auto"/>
              <w:jc w:val="right"/>
              <w:rPr>
                <w:rFonts w:ascii="Times New Roman" w:hAnsi="Times New Roman"/>
                <w:sz w:val="18"/>
                <w:szCs w:val="18"/>
                <w:lang w:val="es-ES_tradnl"/>
              </w:rPr>
            </w:pPr>
          </w:p>
        </w:tc>
        <w:tc>
          <w:tcPr>
            <w:tcW w:w="339" w:type="pct"/>
            <w:tcBorders>
              <w:bottom w:val="single" w:sz="4" w:space="0" w:color="auto"/>
            </w:tcBorders>
            <w:shd w:val="clear" w:color="auto" w:fill="FFFFFF" w:themeFill="background1"/>
            <w:hideMark/>
          </w:tcPr>
          <w:p w14:paraId="50902ECF" w14:textId="77777777" w:rsidR="000958F5" w:rsidRPr="00E930DA" w:rsidRDefault="000958F5" w:rsidP="00536253">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8"/>
                <w:szCs w:val="18"/>
                <w:lang w:val="es-ES_tradnl"/>
              </w:rPr>
            </w:pPr>
          </w:p>
        </w:tc>
        <w:tc>
          <w:tcPr>
            <w:tcW w:w="414" w:type="pct"/>
            <w:tcBorders>
              <w:bottom w:val="single" w:sz="4" w:space="0" w:color="auto"/>
            </w:tcBorders>
            <w:shd w:val="clear" w:color="auto" w:fill="FFFFFF" w:themeFill="background1"/>
            <w:hideMark/>
          </w:tcPr>
          <w:p w14:paraId="46609689" w14:textId="60C3E0E4" w:rsidR="000958F5" w:rsidRPr="001C03A1" w:rsidRDefault="000958F5" w:rsidP="00536253">
            <w:pPr>
              <w:spacing w:after="0" w:line="240" w:lineRule="auto"/>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2 518 806 </w:t>
            </w:r>
          </w:p>
        </w:tc>
      </w:tr>
      <w:tr w:rsidR="000958F5" w:rsidRPr="001C03A1" w14:paraId="675A12C6" w14:textId="77777777" w:rsidTr="00FB57B5">
        <w:trPr>
          <w:trHeight w:hRule="exact" w:val="284"/>
        </w:trPr>
        <w:tc>
          <w:tcPr>
            <w:tcW w:w="811" w:type="pct"/>
            <w:tcBorders>
              <w:top w:val="single" w:sz="4" w:space="0" w:color="auto"/>
              <w:bottom w:val="single" w:sz="12" w:space="0" w:color="auto"/>
              <w:right w:val="single" w:sz="4" w:space="0" w:color="7F7F7F"/>
            </w:tcBorders>
            <w:shd w:val="clear" w:color="auto" w:fill="FFFFFF" w:themeFill="background1"/>
            <w:vAlign w:val="center"/>
            <w:hideMark/>
          </w:tcPr>
          <w:p w14:paraId="67A83989" w14:textId="77777777" w:rsidR="000958F5" w:rsidRPr="001C03A1" w:rsidRDefault="000958F5" w:rsidP="00FE74ED">
            <w:pPr>
              <w:spacing w:before="20" w:after="20" w:line="240" w:lineRule="auto"/>
              <w:ind w:left="-57"/>
              <w:rPr>
                <w:rFonts w:ascii="Times New Roman" w:hAnsi="Times New Roman"/>
                <w:b/>
                <w:color w:val="000000"/>
                <w:sz w:val="18"/>
                <w:szCs w:val="18"/>
                <w:lang w:val="es-ES_tradnl"/>
              </w:rPr>
            </w:pPr>
            <w:r w:rsidRPr="001C03A1">
              <w:rPr>
                <w:rFonts w:ascii="Times New Roman" w:hAnsi="Times New Roman"/>
                <w:b/>
                <w:sz w:val="18"/>
                <w:szCs w:val="18"/>
                <w:lang w:val="es-ES_tradnl"/>
              </w:rPr>
              <w:t>Total</w:t>
            </w:r>
          </w:p>
        </w:tc>
        <w:tc>
          <w:tcPr>
            <w:tcW w:w="436" w:type="pct"/>
            <w:tcBorders>
              <w:top w:val="single" w:sz="4" w:space="0" w:color="auto"/>
              <w:bottom w:val="single" w:sz="12" w:space="0" w:color="auto"/>
            </w:tcBorders>
            <w:shd w:val="clear" w:color="auto" w:fill="FFFFFF" w:themeFill="background1"/>
            <w:hideMark/>
          </w:tcPr>
          <w:p w14:paraId="3BB438DB" w14:textId="4E0D23F2"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2 236 102 </w:t>
            </w:r>
          </w:p>
        </w:tc>
        <w:tc>
          <w:tcPr>
            <w:tcW w:w="388" w:type="pct"/>
            <w:tcBorders>
              <w:top w:val="single" w:sz="4" w:space="0" w:color="auto"/>
              <w:bottom w:val="single" w:sz="12" w:space="0" w:color="auto"/>
            </w:tcBorders>
            <w:shd w:val="clear" w:color="auto" w:fill="FFFFFF" w:themeFill="background1"/>
            <w:hideMark/>
          </w:tcPr>
          <w:p w14:paraId="0BF5EC40" w14:textId="5498D07C"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4 276 699 </w:t>
            </w:r>
          </w:p>
        </w:tc>
        <w:tc>
          <w:tcPr>
            <w:tcW w:w="417" w:type="pct"/>
            <w:tcBorders>
              <w:top w:val="single" w:sz="4" w:space="0" w:color="auto"/>
              <w:bottom w:val="single" w:sz="12" w:space="0" w:color="auto"/>
            </w:tcBorders>
            <w:shd w:val="clear" w:color="auto" w:fill="FFFFFF" w:themeFill="background1"/>
            <w:hideMark/>
          </w:tcPr>
          <w:p w14:paraId="7474F9AF" w14:textId="1F1ACEBB"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13 620 944 </w:t>
            </w:r>
          </w:p>
        </w:tc>
        <w:tc>
          <w:tcPr>
            <w:tcW w:w="357" w:type="pct"/>
            <w:tcBorders>
              <w:top w:val="single" w:sz="4" w:space="0" w:color="auto"/>
              <w:bottom w:val="single" w:sz="12" w:space="0" w:color="auto"/>
            </w:tcBorders>
            <w:shd w:val="clear" w:color="auto" w:fill="FFFFFF" w:themeFill="background1"/>
            <w:hideMark/>
          </w:tcPr>
          <w:p w14:paraId="469BB5BF" w14:textId="6D03A1CD"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3 131 427 </w:t>
            </w:r>
          </w:p>
        </w:tc>
        <w:tc>
          <w:tcPr>
            <w:tcW w:w="387" w:type="pct"/>
            <w:tcBorders>
              <w:top w:val="single" w:sz="4" w:space="0" w:color="auto"/>
              <w:bottom w:val="single" w:sz="12" w:space="0" w:color="auto"/>
            </w:tcBorders>
            <w:shd w:val="clear" w:color="auto" w:fill="FFFFFF" w:themeFill="background1"/>
            <w:hideMark/>
          </w:tcPr>
          <w:p w14:paraId="5E982DF0" w14:textId="67A30F58"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3 211 021 </w:t>
            </w:r>
          </w:p>
        </w:tc>
        <w:tc>
          <w:tcPr>
            <w:tcW w:w="435" w:type="pct"/>
            <w:tcBorders>
              <w:top w:val="single" w:sz="4" w:space="0" w:color="auto"/>
              <w:bottom w:val="single" w:sz="12" w:space="0" w:color="auto"/>
            </w:tcBorders>
            <w:shd w:val="clear" w:color="auto" w:fill="FFFFFF" w:themeFill="background1"/>
            <w:hideMark/>
          </w:tcPr>
          <w:p w14:paraId="0F2729F4" w14:textId="76F76845"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26 476 193 </w:t>
            </w:r>
          </w:p>
        </w:tc>
        <w:tc>
          <w:tcPr>
            <w:tcW w:w="319" w:type="pct"/>
            <w:tcBorders>
              <w:top w:val="single" w:sz="4" w:space="0" w:color="auto"/>
              <w:bottom w:val="single" w:sz="12" w:space="0" w:color="auto"/>
            </w:tcBorders>
            <w:shd w:val="clear" w:color="auto" w:fill="FFFFFF" w:themeFill="background1"/>
          </w:tcPr>
          <w:p w14:paraId="6C814057" w14:textId="10D233D6" w:rsidR="000958F5" w:rsidRPr="001C03A1" w:rsidRDefault="000958F5" w:rsidP="00076985">
            <w:pPr>
              <w:spacing w:before="20" w:after="20" w:line="240" w:lineRule="auto"/>
              <w:ind w:right="57"/>
              <w:rPr>
                <w:rFonts w:ascii="Times New Roman" w:hAnsi="Times New Roman"/>
                <w:b/>
                <w:color w:val="000000"/>
                <w:sz w:val="18"/>
                <w:szCs w:val="18"/>
                <w:lang w:val="es-ES_tradnl"/>
              </w:rPr>
            </w:pPr>
            <w:r w:rsidRPr="001C03A1">
              <w:rPr>
                <w:rFonts w:ascii="Times New Roman" w:hAnsi="Times New Roman"/>
                <w:b/>
                <w:sz w:val="18"/>
                <w:szCs w:val="18"/>
                <w:lang w:val="es-ES_tradnl"/>
              </w:rPr>
              <w:t>710 934</w:t>
            </w:r>
          </w:p>
        </w:tc>
        <w:tc>
          <w:tcPr>
            <w:tcW w:w="358" w:type="pct"/>
            <w:tcBorders>
              <w:top w:val="single" w:sz="4" w:space="0" w:color="auto"/>
              <w:bottom w:val="single" w:sz="12" w:space="0" w:color="auto"/>
            </w:tcBorders>
            <w:shd w:val="clear" w:color="auto" w:fill="FFFFFF" w:themeFill="background1"/>
            <w:hideMark/>
          </w:tcPr>
          <w:p w14:paraId="358E4D7B" w14:textId="00363832"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1 384 319 </w:t>
            </w:r>
          </w:p>
        </w:tc>
        <w:tc>
          <w:tcPr>
            <w:tcW w:w="339" w:type="pct"/>
            <w:tcBorders>
              <w:top w:val="single" w:sz="4" w:space="0" w:color="auto"/>
              <w:bottom w:val="single" w:sz="12" w:space="0" w:color="auto"/>
            </w:tcBorders>
            <w:shd w:val="clear" w:color="auto" w:fill="FFFFFF" w:themeFill="background1"/>
            <w:hideMark/>
          </w:tcPr>
          <w:p w14:paraId="2F3F3589" w14:textId="290D1040"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1 179 698 </w:t>
            </w:r>
          </w:p>
        </w:tc>
        <w:tc>
          <w:tcPr>
            <w:tcW w:w="339" w:type="pct"/>
            <w:tcBorders>
              <w:top w:val="single" w:sz="4" w:space="0" w:color="auto"/>
              <w:bottom w:val="single" w:sz="12" w:space="0" w:color="auto"/>
            </w:tcBorders>
            <w:shd w:val="clear" w:color="auto" w:fill="FFFFFF" w:themeFill="background1"/>
            <w:hideMark/>
          </w:tcPr>
          <w:p w14:paraId="26F5980C" w14:textId="38FD95F4"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 xml:space="preserve">3 274 951 </w:t>
            </w:r>
          </w:p>
        </w:tc>
        <w:tc>
          <w:tcPr>
            <w:tcW w:w="414" w:type="pct"/>
            <w:tcBorders>
              <w:top w:val="single" w:sz="4" w:space="0" w:color="auto"/>
              <w:bottom w:val="single" w:sz="12" w:space="0" w:color="auto"/>
            </w:tcBorders>
            <w:shd w:val="clear" w:color="auto" w:fill="FFFFFF" w:themeFill="background1"/>
            <w:hideMark/>
          </w:tcPr>
          <w:p w14:paraId="36D6BE94" w14:textId="552D985B" w:rsidR="000958F5" w:rsidRPr="001C03A1" w:rsidRDefault="000958F5" w:rsidP="00FE74ED">
            <w:pPr>
              <w:spacing w:before="20" w:after="20" w:line="240" w:lineRule="auto"/>
              <w:ind w:right="57"/>
              <w:jc w:val="right"/>
              <w:rPr>
                <w:rFonts w:ascii="Times New Roman" w:hAnsi="Times New Roman"/>
                <w:b/>
                <w:color w:val="000000"/>
                <w:sz w:val="18"/>
                <w:szCs w:val="18"/>
                <w:lang w:val="es-ES_tradnl"/>
              </w:rPr>
            </w:pPr>
            <w:r w:rsidRPr="001C03A1">
              <w:rPr>
                <w:rFonts w:ascii="Times New Roman" w:hAnsi="Times New Roman"/>
                <w:b/>
                <w:sz w:val="18"/>
                <w:szCs w:val="18"/>
                <w:lang w:val="es-ES_tradnl"/>
              </w:rPr>
              <w:t>29 751 144</w:t>
            </w:r>
          </w:p>
        </w:tc>
      </w:tr>
    </w:tbl>
    <w:p w14:paraId="058F1C10" w14:textId="77777777" w:rsidR="000958F5" w:rsidRPr="00703A97" w:rsidRDefault="000958F5" w:rsidP="000958F5">
      <w:pPr>
        <w:pStyle w:val="Titletable"/>
        <w:ind w:left="0"/>
        <w:rPr>
          <w:b w:val="0"/>
          <w:lang w:val="es-ES_tradnl"/>
        </w:rPr>
        <w:sectPr w:rsidR="000958F5" w:rsidRPr="00703A97" w:rsidSect="006863A3">
          <w:headerReference w:type="even" r:id="rId23"/>
          <w:headerReference w:type="default" r:id="rId24"/>
          <w:headerReference w:type="first" r:id="rId25"/>
          <w:footerReference w:type="first" r:id="rId26"/>
          <w:pgSz w:w="16840" w:h="11907" w:orient="landscape" w:code="9"/>
          <w:pgMar w:top="907" w:right="992" w:bottom="1418" w:left="1418" w:header="539" w:footer="975" w:gutter="0"/>
          <w:cols w:space="720"/>
          <w:titlePg/>
          <w:docGrid w:linePitch="360"/>
        </w:sectPr>
      </w:pPr>
    </w:p>
    <w:p w14:paraId="5E343507" w14:textId="6137D0FF" w:rsidR="000958F5" w:rsidRPr="00703A97" w:rsidRDefault="000958F5" w:rsidP="000F1CF2">
      <w:pPr>
        <w:pStyle w:val="Titletable"/>
        <w:spacing w:after="0"/>
        <w:ind w:left="0"/>
        <w:rPr>
          <w:lang w:val="es-ES_tradnl"/>
        </w:rPr>
      </w:pPr>
      <w:r w:rsidRPr="000F1CF2">
        <w:rPr>
          <w:b w:val="0"/>
          <w:lang w:val="es-ES_tradnl"/>
        </w:rPr>
        <w:lastRenderedPageBreak/>
        <w:t>Cuadro 2</w:t>
      </w:r>
      <w:r w:rsidRPr="00703A97">
        <w:rPr>
          <w:lang w:val="es-ES_tradnl"/>
        </w:rPr>
        <w:t xml:space="preserve"> </w:t>
      </w:r>
      <w:r w:rsidR="000F1CF2">
        <w:rPr>
          <w:lang w:val="es-ES_tradnl"/>
        </w:rPr>
        <w:br/>
      </w:r>
      <w:r w:rsidRPr="00703A97">
        <w:rPr>
          <w:lang w:val="es-ES_tradnl"/>
        </w:rPr>
        <w:t>Contribuciones en especie recibidas en 2016</w:t>
      </w:r>
    </w:p>
    <w:p w14:paraId="13E3359F" w14:textId="40A3FDC6" w:rsidR="000958F5" w:rsidRPr="000F1CF2" w:rsidRDefault="000958F5" w:rsidP="00BB1F26">
      <w:pPr>
        <w:pStyle w:val="Titletable"/>
        <w:ind w:left="0"/>
        <w:rPr>
          <w:b w:val="0"/>
          <w:sz w:val="18"/>
          <w:szCs w:val="18"/>
          <w:lang w:val="es-ES_tradnl"/>
        </w:rPr>
      </w:pPr>
      <w:r w:rsidRPr="000F1CF2">
        <w:rPr>
          <w:b w:val="0"/>
          <w:sz w:val="18"/>
          <w:szCs w:val="18"/>
          <w:lang w:val="es-ES_tradnl"/>
        </w:rPr>
        <w:t>(en dólares de los E</w:t>
      </w:r>
      <w:r w:rsidR="00024D90">
        <w:rPr>
          <w:b w:val="0"/>
          <w:sz w:val="18"/>
          <w:szCs w:val="18"/>
          <w:lang w:val="es-ES_tradnl"/>
        </w:rPr>
        <w:t>stados Unidos</w:t>
      </w:r>
      <w:r w:rsidRPr="000F1CF2">
        <w:rPr>
          <w:b w:val="0"/>
          <w:sz w:val="18"/>
          <w:szCs w:val="18"/>
          <w:lang w:val="es-ES_tradnl"/>
        </w:rPr>
        <w:t xml:space="preserve">) </w:t>
      </w:r>
    </w:p>
    <w:tbl>
      <w:tblPr>
        <w:tblW w:w="0" w:type="auto"/>
        <w:tblLayout w:type="fixed"/>
        <w:tblLook w:val="04A0" w:firstRow="1" w:lastRow="0" w:firstColumn="1" w:lastColumn="0" w:noHBand="0" w:noVBand="1"/>
      </w:tblPr>
      <w:tblGrid>
        <w:gridCol w:w="2235"/>
        <w:gridCol w:w="4424"/>
        <w:gridCol w:w="1639"/>
        <w:gridCol w:w="1734"/>
        <w:gridCol w:w="14"/>
      </w:tblGrid>
      <w:tr w:rsidR="000958F5" w:rsidRPr="000930FA" w14:paraId="14521E2A" w14:textId="77777777" w:rsidTr="006E5666">
        <w:trPr>
          <w:trHeight w:val="57"/>
          <w:tblHeader/>
        </w:trPr>
        <w:tc>
          <w:tcPr>
            <w:tcW w:w="2235" w:type="dxa"/>
            <w:tcBorders>
              <w:top w:val="single" w:sz="4" w:space="0" w:color="auto"/>
              <w:bottom w:val="single" w:sz="12" w:space="0" w:color="auto"/>
            </w:tcBorders>
            <w:vAlign w:val="bottom"/>
            <w:hideMark/>
          </w:tcPr>
          <w:p w14:paraId="4BA26A0B" w14:textId="77777777" w:rsidR="000958F5" w:rsidRPr="00E4581C" w:rsidRDefault="000958F5" w:rsidP="00536253">
            <w:pPr>
              <w:spacing w:before="40" w:after="40" w:line="240" w:lineRule="auto"/>
              <w:rPr>
                <w:rFonts w:ascii="Times New Roman" w:hAnsi="Times New Roman"/>
                <w:i/>
                <w:color w:val="000000"/>
                <w:sz w:val="18"/>
                <w:szCs w:val="18"/>
                <w:lang w:val="es-ES_tradnl"/>
              </w:rPr>
            </w:pPr>
            <w:r w:rsidRPr="00E4581C">
              <w:rPr>
                <w:rFonts w:ascii="Times New Roman" w:hAnsi="Times New Roman"/>
                <w:i/>
                <w:iCs/>
                <w:sz w:val="18"/>
                <w:szCs w:val="18"/>
                <w:lang w:val="es-ES_tradnl"/>
              </w:rPr>
              <w:t>Gobierno/institución</w:t>
            </w:r>
          </w:p>
        </w:tc>
        <w:tc>
          <w:tcPr>
            <w:tcW w:w="4424" w:type="dxa"/>
            <w:tcBorders>
              <w:top w:val="single" w:sz="4" w:space="0" w:color="auto"/>
              <w:bottom w:val="single" w:sz="12" w:space="0" w:color="auto"/>
            </w:tcBorders>
            <w:vAlign w:val="bottom"/>
            <w:hideMark/>
          </w:tcPr>
          <w:p w14:paraId="30CB170B" w14:textId="77777777" w:rsidR="000958F5" w:rsidRPr="00E4581C" w:rsidRDefault="000958F5" w:rsidP="00536253">
            <w:pPr>
              <w:spacing w:before="40" w:after="40" w:line="240" w:lineRule="auto"/>
              <w:rPr>
                <w:rFonts w:ascii="Times New Roman" w:hAnsi="Times New Roman"/>
                <w:i/>
                <w:color w:val="000000"/>
                <w:sz w:val="18"/>
                <w:szCs w:val="18"/>
                <w:lang w:val="es-ES_tradnl"/>
              </w:rPr>
            </w:pPr>
            <w:r w:rsidRPr="00E4581C">
              <w:rPr>
                <w:rFonts w:ascii="Times New Roman" w:hAnsi="Times New Roman"/>
                <w:i/>
                <w:iCs/>
                <w:sz w:val="18"/>
                <w:szCs w:val="18"/>
                <w:lang w:val="es-ES_tradnl"/>
              </w:rPr>
              <w:t>Actividad</w:t>
            </w:r>
          </w:p>
        </w:tc>
        <w:tc>
          <w:tcPr>
            <w:tcW w:w="1639" w:type="dxa"/>
            <w:tcBorders>
              <w:top w:val="single" w:sz="4" w:space="0" w:color="auto"/>
              <w:bottom w:val="single" w:sz="12" w:space="0" w:color="auto"/>
            </w:tcBorders>
            <w:vAlign w:val="bottom"/>
            <w:hideMark/>
          </w:tcPr>
          <w:p w14:paraId="7A3FBBD0" w14:textId="36A85B0F" w:rsidR="000958F5" w:rsidRPr="00E4581C" w:rsidRDefault="000958F5" w:rsidP="00536253">
            <w:pPr>
              <w:spacing w:before="40" w:after="40" w:line="240" w:lineRule="auto"/>
              <w:rPr>
                <w:rFonts w:ascii="Times New Roman" w:hAnsi="Times New Roman"/>
                <w:i/>
                <w:color w:val="000000"/>
                <w:sz w:val="18"/>
                <w:szCs w:val="18"/>
                <w:lang w:val="es-ES_tradnl"/>
              </w:rPr>
            </w:pPr>
            <w:r w:rsidRPr="00E4581C">
              <w:rPr>
                <w:rFonts w:ascii="Times New Roman" w:hAnsi="Times New Roman"/>
                <w:i/>
                <w:iCs/>
                <w:sz w:val="18"/>
                <w:szCs w:val="18"/>
                <w:lang w:val="es-ES_tradnl"/>
              </w:rPr>
              <w:t>Tipo de apoyo</w:t>
            </w:r>
          </w:p>
        </w:tc>
        <w:tc>
          <w:tcPr>
            <w:tcW w:w="1748" w:type="dxa"/>
            <w:gridSpan w:val="2"/>
            <w:tcBorders>
              <w:top w:val="single" w:sz="4" w:space="0" w:color="auto"/>
              <w:bottom w:val="single" w:sz="12" w:space="0" w:color="auto"/>
            </w:tcBorders>
            <w:vAlign w:val="bottom"/>
            <w:hideMark/>
          </w:tcPr>
          <w:p w14:paraId="7A150AF4" w14:textId="35EF534C" w:rsidR="000958F5" w:rsidRPr="00E4581C" w:rsidRDefault="000958F5" w:rsidP="007D1C83">
            <w:pPr>
              <w:tabs>
                <w:tab w:val="left" w:pos="109"/>
              </w:tabs>
              <w:spacing w:before="40" w:after="40" w:line="240" w:lineRule="auto"/>
              <w:ind w:left="109" w:right="-70"/>
              <w:jc w:val="right"/>
              <w:rPr>
                <w:rFonts w:ascii="Times New Roman" w:hAnsi="Times New Roman"/>
                <w:i/>
                <w:color w:val="000000"/>
                <w:sz w:val="18"/>
                <w:szCs w:val="18"/>
                <w:lang w:val="es-ES_tradnl"/>
              </w:rPr>
            </w:pPr>
            <w:r w:rsidRPr="00E4581C">
              <w:rPr>
                <w:rFonts w:ascii="Times New Roman" w:hAnsi="Times New Roman"/>
                <w:i/>
                <w:iCs/>
                <w:sz w:val="18"/>
                <w:szCs w:val="18"/>
                <w:lang w:val="es-ES_tradnl"/>
              </w:rPr>
              <w:t>Valor correspondiente notificado o estimado en 2016</w:t>
            </w:r>
          </w:p>
        </w:tc>
      </w:tr>
      <w:tr w:rsidR="000958F5" w:rsidRPr="000930FA" w14:paraId="3D28A684" w14:textId="77777777" w:rsidTr="00846A75">
        <w:trPr>
          <w:gridAfter w:val="1"/>
          <w:wAfter w:w="14" w:type="dxa"/>
          <w:trHeight w:val="57"/>
        </w:trPr>
        <w:tc>
          <w:tcPr>
            <w:tcW w:w="10032" w:type="dxa"/>
            <w:gridSpan w:val="4"/>
            <w:hideMark/>
          </w:tcPr>
          <w:p w14:paraId="2D5BFDE9" w14:textId="1F2860D4"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b/>
                <w:bCs/>
                <w:sz w:val="18"/>
                <w:szCs w:val="18"/>
                <w:lang w:val="es-ES_tradnl"/>
              </w:rPr>
              <w:t>1.</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Contribuciones en especie relacionadas con el apoyo técnico</w:t>
            </w:r>
            <w:r w:rsidRPr="00E4581C">
              <w:rPr>
                <w:rFonts w:ascii="Times New Roman" w:hAnsi="Times New Roman"/>
                <w:sz w:val="18"/>
                <w:szCs w:val="18"/>
                <w:lang w:val="es-ES_tradnl"/>
              </w:rPr>
              <w:t xml:space="preserve"> </w:t>
            </w:r>
          </w:p>
        </w:tc>
      </w:tr>
      <w:tr w:rsidR="000958F5" w:rsidRPr="00E4581C" w14:paraId="748D5280" w14:textId="77777777" w:rsidTr="006E5666">
        <w:trPr>
          <w:gridAfter w:val="1"/>
          <w:wAfter w:w="14" w:type="dxa"/>
          <w:trHeight w:val="57"/>
        </w:trPr>
        <w:tc>
          <w:tcPr>
            <w:tcW w:w="2235" w:type="dxa"/>
            <w:hideMark/>
          </w:tcPr>
          <w:p w14:paraId="5B88EBBF" w14:textId="7777777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Noruega</w:t>
            </w:r>
          </w:p>
        </w:tc>
        <w:tc>
          <w:tcPr>
            <w:tcW w:w="4424" w:type="dxa"/>
            <w:hideMark/>
          </w:tcPr>
          <w:p w14:paraId="2EC8D767" w14:textId="03468C11"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al equipo de tareas sobre creación de capacidad (productos previstos 1 a) y b))</w:t>
            </w:r>
          </w:p>
        </w:tc>
        <w:tc>
          <w:tcPr>
            <w:tcW w:w="1639" w:type="dxa"/>
            <w:hideMark/>
          </w:tcPr>
          <w:p w14:paraId="69FC5C2A" w14:textId="4CB2FF65"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1168979E" w14:textId="4FA5B0A1"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300 000</w:t>
            </w:r>
          </w:p>
        </w:tc>
      </w:tr>
      <w:tr w:rsidR="000958F5" w:rsidRPr="00E4581C" w14:paraId="653E3B03" w14:textId="77777777" w:rsidTr="006E5666">
        <w:trPr>
          <w:gridAfter w:val="1"/>
          <w:wAfter w:w="14" w:type="dxa"/>
          <w:trHeight w:val="57"/>
        </w:trPr>
        <w:tc>
          <w:tcPr>
            <w:tcW w:w="2235" w:type="dxa"/>
            <w:hideMark/>
          </w:tcPr>
          <w:p w14:paraId="6CA2EAFD" w14:textId="6B175C16" w:rsidR="000958F5" w:rsidRPr="00E4581C" w:rsidRDefault="00A85A37"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UNESCO</w:t>
            </w:r>
          </w:p>
        </w:tc>
        <w:tc>
          <w:tcPr>
            <w:tcW w:w="4424" w:type="dxa"/>
            <w:hideMark/>
          </w:tcPr>
          <w:p w14:paraId="411DDABB" w14:textId="1BAFCC32"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al equipo de tareas sobre los sistemas de conocimientos indígenas y locales (producto previsto 1 c))</w:t>
            </w:r>
          </w:p>
        </w:tc>
        <w:tc>
          <w:tcPr>
            <w:tcW w:w="1639" w:type="dxa"/>
            <w:hideMark/>
          </w:tcPr>
          <w:p w14:paraId="315D0449" w14:textId="2C729218"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587A41E1" w14:textId="2018D0C9"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150 000</w:t>
            </w:r>
          </w:p>
        </w:tc>
      </w:tr>
      <w:tr w:rsidR="000958F5" w:rsidRPr="00E4581C" w14:paraId="7109267D" w14:textId="77777777" w:rsidTr="006E5666">
        <w:trPr>
          <w:gridAfter w:val="1"/>
          <w:wAfter w:w="14" w:type="dxa"/>
          <w:trHeight w:val="57"/>
        </w:trPr>
        <w:tc>
          <w:tcPr>
            <w:tcW w:w="2235" w:type="dxa"/>
            <w:hideMark/>
          </w:tcPr>
          <w:p w14:paraId="1F6ADFF9" w14:textId="1D5AA6A2"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República de Corea</w:t>
            </w:r>
          </w:p>
        </w:tc>
        <w:tc>
          <w:tcPr>
            <w:tcW w:w="4424" w:type="dxa"/>
            <w:hideMark/>
          </w:tcPr>
          <w:p w14:paraId="621F0CED" w14:textId="269456D2" w:rsidR="000958F5" w:rsidRPr="00E4581C" w:rsidRDefault="000958F5" w:rsidP="00076985">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al equipo de tareas sobre conocimientos y datos (producto previsto 1 d))</w:t>
            </w:r>
          </w:p>
        </w:tc>
        <w:tc>
          <w:tcPr>
            <w:tcW w:w="1639" w:type="dxa"/>
            <w:hideMark/>
          </w:tcPr>
          <w:p w14:paraId="5C3FC626" w14:textId="6A684EDA"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15A188C8" w14:textId="0C9474E7"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300 000</w:t>
            </w:r>
          </w:p>
        </w:tc>
      </w:tr>
      <w:tr w:rsidR="000958F5" w:rsidRPr="00E4581C" w14:paraId="4BD2FFC4" w14:textId="77777777" w:rsidTr="006E5666">
        <w:trPr>
          <w:gridAfter w:val="1"/>
          <w:wAfter w:w="14" w:type="dxa"/>
          <w:trHeight w:val="57"/>
        </w:trPr>
        <w:tc>
          <w:tcPr>
            <w:tcW w:w="2235" w:type="dxa"/>
            <w:hideMark/>
          </w:tcPr>
          <w:p w14:paraId="07166E58" w14:textId="187EC12D"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Sudáfrica</w:t>
            </w:r>
          </w:p>
        </w:tc>
        <w:tc>
          <w:tcPr>
            <w:tcW w:w="4424" w:type="dxa"/>
            <w:hideMark/>
          </w:tcPr>
          <w:p w14:paraId="0293CCDC" w14:textId="21C66A8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para la evaluación regional de África (producto previsto 2 b))</w:t>
            </w:r>
          </w:p>
        </w:tc>
        <w:tc>
          <w:tcPr>
            <w:tcW w:w="1639" w:type="dxa"/>
            <w:hideMark/>
          </w:tcPr>
          <w:p w14:paraId="7B26D1CF" w14:textId="5EFE7734"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instalaciones para reuniones</w:t>
            </w:r>
          </w:p>
        </w:tc>
        <w:tc>
          <w:tcPr>
            <w:tcW w:w="1734" w:type="dxa"/>
            <w:vAlign w:val="bottom"/>
            <w:hideMark/>
          </w:tcPr>
          <w:p w14:paraId="1B4BF3C1" w14:textId="0957206B"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150 000</w:t>
            </w:r>
          </w:p>
        </w:tc>
      </w:tr>
      <w:tr w:rsidR="000958F5" w:rsidRPr="00E4581C" w14:paraId="77128D40" w14:textId="77777777" w:rsidTr="006E5666">
        <w:trPr>
          <w:gridAfter w:val="1"/>
          <w:wAfter w:w="14" w:type="dxa"/>
          <w:trHeight w:val="57"/>
        </w:trPr>
        <w:tc>
          <w:tcPr>
            <w:tcW w:w="2235" w:type="dxa"/>
            <w:hideMark/>
          </w:tcPr>
          <w:p w14:paraId="78AAD512" w14:textId="7777777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China</w:t>
            </w:r>
          </w:p>
        </w:tc>
        <w:tc>
          <w:tcPr>
            <w:tcW w:w="4424" w:type="dxa"/>
            <w:hideMark/>
          </w:tcPr>
          <w:p w14:paraId="4CBD0FB2" w14:textId="2D0A29A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Consultor en la Secretaría de la Plataforma para facilitar la realización de evaluaciones regionales (producto previsto 2 b))</w:t>
            </w:r>
          </w:p>
        </w:tc>
        <w:tc>
          <w:tcPr>
            <w:tcW w:w="1639" w:type="dxa"/>
            <w:hideMark/>
          </w:tcPr>
          <w:p w14:paraId="0C0FF8C2" w14:textId="06CA32CC"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5BC6DCD4" w14:textId="3E192F6C"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140 000 </w:t>
            </w:r>
          </w:p>
        </w:tc>
      </w:tr>
      <w:tr w:rsidR="000958F5" w:rsidRPr="00E4581C" w14:paraId="46BA532A" w14:textId="77777777" w:rsidTr="006E5666">
        <w:trPr>
          <w:gridAfter w:val="1"/>
          <w:wAfter w:w="14" w:type="dxa"/>
          <w:trHeight w:val="57"/>
        </w:trPr>
        <w:tc>
          <w:tcPr>
            <w:tcW w:w="2235" w:type="dxa"/>
            <w:hideMark/>
          </w:tcPr>
          <w:p w14:paraId="1DC1C118" w14:textId="7777777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Colombia</w:t>
            </w:r>
          </w:p>
        </w:tc>
        <w:tc>
          <w:tcPr>
            <w:tcW w:w="4424" w:type="dxa"/>
            <w:hideMark/>
          </w:tcPr>
          <w:p w14:paraId="2D197E7A" w14:textId="4305D28E"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para la evaluación regional de las Américas (producto previsto 2 b))</w:t>
            </w:r>
          </w:p>
        </w:tc>
        <w:tc>
          <w:tcPr>
            <w:tcW w:w="1639" w:type="dxa"/>
            <w:hideMark/>
          </w:tcPr>
          <w:p w14:paraId="4615D01B" w14:textId="4632FAA1"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instalaciones para reuniones</w:t>
            </w:r>
          </w:p>
        </w:tc>
        <w:tc>
          <w:tcPr>
            <w:tcW w:w="1734" w:type="dxa"/>
            <w:vAlign w:val="bottom"/>
            <w:hideMark/>
          </w:tcPr>
          <w:p w14:paraId="4DDD8814" w14:textId="2D0C265A"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150 000</w:t>
            </w:r>
          </w:p>
        </w:tc>
      </w:tr>
      <w:tr w:rsidR="000958F5" w:rsidRPr="00E4581C" w14:paraId="3FC5DF3C" w14:textId="77777777" w:rsidTr="006E5666">
        <w:trPr>
          <w:gridAfter w:val="1"/>
          <w:wAfter w:w="14" w:type="dxa"/>
          <w:trHeight w:val="57"/>
        </w:trPr>
        <w:tc>
          <w:tcPr>
            <w:tcW w:w="2235" w:type="dxa"/>
            <w:hideMark/>
          </w:tcPr>
          <w:p w14:paraId="75153B4F" w14:textId="7777777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Japón</w:t>
            </w:r>
          </w:p>
        </w:tc>
        <w:tc>
          <w:tcPr>
            <w:tcW w:w="4424" w:type="dxa"/>
            <w:hideMark/>
          </w:tcPr>
          <w:p w14:paraId="4A9149B9" w14:textId="2FAE7FD5"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para la evaluación regional de Asia y el Pacífico (producto previsto 2 b))</w:t>
            </w:r>
          </w:p>
        </w:tc>
        <w:tc>
          <w:tcPr>
            <w:tcW w:w="1639" w:type="dxa"/>
            <w:hideMark/>
          </w:tcPr>
          <w:p w14:paraId="42C61A25" w14:textId="2312CEA5"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instalaciones para reuniones</w:t>
            </w:r>
          </w:p>
        </w:tc>
        <w:tc>
          <w:tcPr>
            <w:tcW w:w="1734" w:type="dxa"/>
            <w:vAlign w:val="bottom"/>
            <w:hideMark/>
          </w:tcPr>
          <w:p w14:paraId="44E5D269" w14:textId="0D98673D" w:rsidR="000958F5" w:rsidRPr="00E4581C" w:rsidRDefault="00B3392C"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150 000</w:t>
            </w:r>
          </w:p>
        </w:tc>
      </w:tr>
      <w:tr w:rsidR="000958F5" w:rsidRPr="00E4581C" w14:paraId="1D52C451" w14:textId="77777777" w:rsidTr="006E5666">
        <w:trPr>
          <w:gridAfter w:val="1"/>
          <w:wAfter w:w="14" w:type="dxa"/>
          <w:trHeight w:val="57"/>
        </w:trPr>
        <w:tc>
          <w:tcPr>
            <w:tcW w:w="2235" w:type="dxa"/>
            <w:hideMark/>
          </w:tcPr>
          <w:p w14:paraId="2511D984" w14:textId="5E144E09"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Suiza </w:t>
            </w:r>
          </w:p>
        </w:tc>
        <w:tc>
          <w:tcPr>
            <w:tcW w:w="4424" w:type="dxa"/>
            <w:hideMark/>
          </w:tcPr>
          <w:p w14:paraId="38D252D4" w14:textId="2B8C912F"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para la evaluación regional de Europa y Asia central (producto previsto 2 b))</w:t>
            </w:r>
          </w:p>
        </w:tc>
        <w:tc>
          <w:tcPr>
            <w:tcW w:w="1639" w:type="dxa"/>
            <w:hideMark/>
          </w:tcPr>
          <w:p w14:paraId="77C0597E" w14:textId="0CBBF260"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Apoyo técnico, instalaciones para reuniones </w:t>
            </w:r>
          </w:p>
        </w:tc>
        <w:tc>
          <w:tcPr>
            <w:tcW w:w="1734" w:type="dxa"/>
            <w:vAlign w:val="bottom"/>
            <w:hideMark/>
          </w:tcPr>
          <w:p w14:paraId="293625BE" w14:textId="38BB0402"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271 429</w:t>
            </w:r>
          </w:p>
        </w:tc>
      </w:tr>
      <w:tr w:rsidR="000958F5" w:rsidRPr="00E4581C" w14:paraId="3A72E5DC" w14:textId="77777777" w:rsidTr="006E5666">
        <w:trPr>
          <w:gridAfter w:val="1"/>
          <w:wAfter w:w="14" w:type="dxa"/>
          <w:trHeight w:val="57"/>
        </w:trPr>
        <w:tc>
          <w:tcPr>
            <w:tcW w:w="2235" w:type="dxa"/>
            <w:hideMark/>
          </w:tcPr>
          <w:p w14:paraId="0B42062F" w14:textId="7FA51E5E"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Alemania </w:t>
            </w:r>
          </w:p>
        </w:tc>
        <w:tc>
          <w:tcPr>
            <w:tcW w:w="4424" w:type="dxa"/>
            <w:hideMark/>
          </w:tcPr>
          <w:p w14:paraId="7EF3F9BC" w14:textId="69C3033B"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para la evaluación mundial (producto previsto 2 c))</w:t>
            </w:r>
          </w:p>
        </w:tc>
        <w:tc>
          <w:tcPr>
            <w:tcW w:w="1639" w:type="dxa"/>
            <w:hideMark/>
          </w:tcPr>
          <w:p w14:paraId="70C09821" w14:textId="6C64A226"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27992D7D" w14:textId="7995A341" w:rsidR="000958F5" w:rsidRPr="00E4581C" w:rsidRDefault="000958F5" w:rsidP="00F931EB">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7 560</w:t>
            </w:r>
          </w:p>
        </w:tc>
      </w:tr>
      <w:tr w:rsidR="000958F5" w:rsidRPr="00E4581C" w14:paraId="637C40BB" w14:textId="77777777" w:rsidTr="006E5666">
        <w:trPr>
          <w:gridAfter w:val="1"/>
          <w:wAfter w:w="14" w:type="dxa"/>
          <w:trHeight w:val="57"/>
        </w:trPr>
        <w:tc>
          <w:tcPr>
            <w:tcW w:w="2235" w:type="dxa"/>
            <w:hideMark/>
          </w:tcPr>
          <w:p w14:paraId="64E8ED68" w14:textId="36AF667D"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Países Bajos </w:t>
            </w:r>
          </w:p>
        </w:tc>
        <w:tc>
          <w:tcPr>
            <w:tcW w:w="4424" w:type="dxa"/>
            <w:hideMark/>
          </w:tcPr>
          <w:p w14:paraId="56E8895E" w14:textId="42644FF4"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Dependencia de apoyo técnico para la evaluación sobre el análisis de hipótesis y la elaboración de modelos (producto previsto 3 c))</w:t>
            </w:r>
          </w:p>
        </w:tc>
        <w:tc>
          <w:tcPr>
            <w:tcW w:w="1639" w:type="dxa"/>
            <w:hideMark/>
          </w:tcPr>
          <w:p w14:paraId="31EACC24" w14:textId="71796E23"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17A657A0" w14:textId="5E7EF109"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250 000</w:t>
            </w:r>
          </w:p>
        </w:tc>
      </w:tr>
      <w:tr w:rsidR="000958F5" w:rsidRPr="00E4581C" w14:paraId="7D76D265" w14:textId="77777777" w:rsidTr="006E5666">
        <w:trPr>
          <w:gridAfter w:val="1"/>
          <w:wAfter w:w="14" w:type="dxa"/>
          <w:trHeight w:val="57"/>
        </w:trPr>
        <w:tc>
          <w:tcPr>
            <w:tcW w:w="2235" w:type="dxa"/>
            <w:hideMark/>
          </w:tcPr>
          <w:p w14:paraId="30CC3B33" w14:textId="77777777" w:rsidR="000958F5" w:rsidRPr="00E4581C" w:rsidRDefault="0078512A" w:rsidP="00536253">
            <w:pPr>
              <w:spacing w:before="40" w:after="40" w:line="240" w:lineRule="auto"/>
              <w:rPr>
                <w:rFonts w:ascii="Times New Roman" w:eastAsia="Times New Roman" w:hAnsi="Times New Roman"/>
                <w:color w:val="000000"/>
                <w:sz w:val="18"/>
                <w:szCs w:val="18"/>
                <w:lang w:val="es-ES_tradnl"/>
              </w:rPr>
            </w:pPr>
            <w:hyperlink r:id="rId27" w:anchor="RANGE!_ftn1" w:history="1">
              <w:r w:rsidR="00635234" w:rsidRPr="00E4581C">
                <w:rPr>
                  <w:rFonts w:ascii="Times New Roman" w:hAnsi="Times New Roman"/>
                  <w:sz w:val="18"/>
                  <w:szCs w:val="18"/>
                  <w:lang w:val="es-ES_tradnl"/>
                </w:rPr>
                <w:t>México</w:t>
              </w:r>
            </w:hyperlink>
          </w:p>
        </w:tc>
        <w:tc>
          <w:tcPr>
            <w:tcW w:w="4424" w:type="dxa"/>
            <w:hideMark/>
          </w:tcPr>
          <w:p w14:paraId="2607D145" w14:textId="6300912B"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relacionado con la labor sobre valores (producto previsto 3 d))</w:t>
            </w:r>
          </w:p>
        </w:tc>
        <w:tc>
          <w:tcPr>
            <w:tcW w:w="1639" w:type="dxa"/>
            <w:hideMark/>
          </w:tcPr>
          <w:p w14:paraId="14F41152" w14:textId="28EEBCEC"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724934AD" w14:textId="46F1E007"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22 180</w:t>
            </w:r>
          </w:p>
        </w:tc>
      </w:tr>
      <w:tr w:rsidR="000958F5" w:rsidRPr="00E4581C" w14:paraId="4AD4E5ED" w14:textId="77777777" w:rsidTr="006E5666">
        <w:trPr>
          <w:gridAfter w:val="1"/>
          <w:wAfter w:w="14" w:type="dxa"/>
          <w:trHeight w:val="57"/>
        </w:trPr>
        <w:tc>
          <w:tcPr>
            <w:tcW w:w="2235" w:type="dxa"/>
            <w:hideMark/>
          </w:tcPr>
          <w:p w14:paraId="52726F24" w14:textId="4CFB4835"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CMVC</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PNUMA</w:t>
            </w:r>
          </w:p>
        </w:tc>
        <w:tc>
          <w:tcPr>
            <w:tcW w:w="4424" w:type="dxa"/>
            <w:hideMark/>
          </w:tcPr>
          <w:p w14:paraId="0B1E9B10" w14:textId="4FE98126"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para la labor sobre el catálogo de evaluaciones y el catálogo de instrumentos y metodologías de apoyo normativo (producto previsto 4 c))</w:t>
            </w:r>
          </w:p>
        </w:tc>
        <w:tc>
          <w:tcPr>
            <w:tcW w:w="1639" w:type="dxa"/>
            <w:hideMark/>
          </w:tcPr>
          <w:p w14:paraId="302F6644" w14:textId="0D8B6EB6"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2573140C" w14:textId="3E7E9BE9"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30 000</w:t>
            </w:r>
          </w:p>
        </w:tc>
      </w:tr>
      <w:tr w:rsidR="000958F5" w:rsidRPr="00E4581C" w14:paraId="035E346D" w14:textId="77777777" w:rsidTr="006E5666">
        <w:trPr>
          <w:gridAfter w:val="1"/>
          <w:wAfter w:w="14" w:type="dxa"/>
          <w:trHeight w:val="57"/>
        </w:trPr>
        <w:tc>
          <w:tcPr>
            <w:tcW w:w="2235" w:type="dxa"/>
            <w:hideMark/>
          </w:tcPr>
          <w:p w14:paraId="64859F92" w14:textId="4C0C5F0D"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PNUMA</w:t>
            </w:r>
          </w:p>
        </w:tc>
        <w:tc>
          <w:tcPr>
            <w:tcW w:w="4424" w:type="dxa"/>
            <w:hideMark/>
          </w:tcPr>
          <w:p w14:paraId="75478225" w14:textId="11A7642C"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a la Secretaría de la Plataforma</w:t>
            </w:r>
          </w:p>
        </w:tc>
        <w:tc>
          <w:tcPr>
            <w:tcW w:w="1639" w:type="dxa"/>
            <w:hideMark/>
          </w:tcPr>
          <w:p w14:paraId="5358CB0A" w14:textId="6C394D3A"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10721361" w14:textId="643A6F6B"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223 100</w:t>
            </w:r>
          </w:p>
        </w:tc>
      </w:tr>
      <w:tr w:rsidR="000958F5" w:rsidRPr="00E4581C" w14:paraId="41716D7E" w14:textId="77777777" w:rsidTr="006E5666">
        <w:trPr>
          <w:gridAfter w:val="1"/>
          <w:wAfter w:w="14" w:type="dxa"/>
          <w:trHeight w:val="57"/>
        </w:trPr>
        <w:tc>
          <w:tcPr>
            <w:tcW w:w="2235" w:type="dxa"/>
            <w:tcBorders>
              <w:top w:val="single" w:sz="4" w:space="0" w:color="auto"/>
              <w:bottom w:val="single" w:sz="4" w:space="0" w:color="auto"/>
            </w:tcBorders>
            <w:noWrap/>
            <w:hideMark/>
          </w:tcPr>
          <w:p w14:paraId="162F9791" w14:textId="5DBA956B" w:rsidR="000958F5" w:rsidRPr="00E4581C" w:rsidRDefault="004123E9" w:rsidP="00536253">
            <w:pPr>
              <w:spacing w:before="40" w:after="40" w:line="240" w:lineRule="auto"/>
              <w:rPr>
                <w:rFonts w:ascii="Times New Roman" w:eastAsia="Times New Roman" w:hAnsi="Times New Roman"/>
                <w:b/>
                <w:bCs/>
                <w:color w:val="000000"/>
                <w:sz w:val="18"/>
                <w:szCs w:val="18"/>
                <w:lang w:val="es-ES_tradnl"/>
              </w:rPr>
            </w:pPr>
            <w:r w:rsidRPr="00E4581C">
              <w:rPr>
                <w:rFonts w:ascii="Times New Roman" w:hAnsi="Times New Roman"/>
                <w:b/>
                <w:sz w:val="18"/>
                <w:szCs w:val="18"/>
                <w:lang w:val="es-ES_tradnl"/>
              </w:rPr>
              <w:t xml:space="preserve">Total parcial </w:t>
            </w:r>
          </w:p>
        </w:tc>
        <w:tc>
          <w:tcPr>
            <w:tcW w:w="4424" w:type="dxa"/>
            <w:tcBorders>
              <w:top w:val="single" w:sz="4" w:space="0" w:color="auto"/>
              <w:bottom w:val="single" w:sz="4" w:space="0" w:color="auto"/>
            </w:tcBorders>
            <w:noWrap/>
            <w:hideMark/>
          </w:tcPr>
          <w:p w14:paraId="3AD641CF" w14:textId="77777777" w:rsidR="000958F5" w:rsidRPr="00E4581C" w:rsidRDefault="000958F5" w:rsidP="00536253">
            <w:pPr>
              <w:spacing w:before="40" w:after="40" w:line="240" w:lineRule="auto"/>
              <w:rPr>
                <w:rFonts w:ascii="Times New Roman" w:eastAsia="Times New Roman" w:hAnsi="Times New Roman"/>
                <w:b/>
                <w:bCs/>
                <w:color w:val="000000"/>
                <w:sz w:val="18"/>
                <w:szCs w:val="18"/>
                <w:lang w:val="es-ES_tradnl"/>
              </w:rPr>
            </w:pPr>
          </w:p>
        </w:tc>
        <w:tc>
          <w:tcPr>
            <w:tcW w:w="1639" w:type="dxa"/>
            <w:tcBorders>
              <w:top w:val="single" w:sz="4" w:space="0" w:color="auto"/>
              <w:bottom w:val="single" w:sz="4" w:space="0" w:color="auto"/>
            </w:tcBorders>
            <w:noWrap/>
            <w:hideMark/>
          </w:tcPr>
          <w:p w14:paraId="48A77B83" w14:textId="77777777" w:rsidR="000958F5" w:rsidRPr="00E4581C" w:rsidRDefault="000958F5" w:rsidP="00536253">
            <w:pPr>
              <w:spacing w:before="40" w:after="40" w:line="240" w:lineRule="auto"/>
              <w:rPr>
                <w:rFonts w:ascii="Times New Roman" w:eastAsia="Times New Roman" w:hAnsi="Times New Roman"/>
                <w:b/>
                <w:sz w:val="18"/>
                <w:szCs w:val="18"/>
                <w:lang w:val="es-ES_tradnl"/>
              </w:rPr>
            </w:pPr>
          </w:p>
        </w:tc>
        <w:tc>
          <w:tcPr>
            <w:tcW w:w="1734" w:type="dxa"/>
            <w:tcBorders>
              <w:top w:val="single" w:sz="4" w:space="0" w:color="auto"/>
              <w:bottom w:val="single" w:sz="4" w:space="0" w:color="auto"/>
            </w:tcBorders>
            <w:noWrap/>
            <w:vAlign w:val="bottom"/>
            <w:hideMark/>
          </w:tcPr>
          <w:p w14:paraId="5C3A3E35" w14:textId="4344712C" w:rsidR="000958F5" w:rsidRPr="00E4581C" w:rsidRDefault="000958F5" w:rsidP="00536253">
            <w:pPr>
              <w:spacing w:before="40" w:after="40" w:line="240" w:lineRule="auto"/>
              <w:jc w:val="right"/>
              <w:rPr>
                <w:rFonts w:ascii="Times New Roman" w:eastAsia="Times New Roman" w:hAnsi="Times New Roman"/>
                <w:b/>
                <w:bCs/>
                <w:color w:val="000000"/>
                <w:sz w:val="18"/>
                <w:szCs w:val="18"/>
                <w:lang w:val="es-ES_tradnl"/>
              </w:rPr>
            </w:pPr>
            <w:r w:rsidRPr="00E4581C">
              <w:rPr>
                <w:rFonts w:ascii="Times New Roman" w:hAnsi="Times New Roman"/>
                <w:b/>
                <w:sz w:val="18"/>
                <w:szCs w:val="18"/>
                <w:lang w:val="es-ES_tradnl"/>
              </w:rPr>
              <w:t xml:space="preserve">2 144 269 </w:t>
            </w:r>
          </w:p>
        </w:tc>
      </w:tr>
      <w:tr w:rsidR="000958F5" w:rsidRPr="000930FA" w14:paraId="11041204" w14:textId="77777777" w:rsidTr="00846A75">
        <w:trPr>
          <w:gridAfter w:val="1"/>
          <w:wAfter w:w="14" w:type="dxa"/>
          <w:trHeight w:val="57"/>
        </w:trPr>
        <w:tc>
          <w:tcPr>
            <w:tcW w:w="10032" w:type="dxa"/>
            <w:gridSpan w:val="4"/>
            <w:hideMark/>
          </w:tcPr>
          <w:p w14:paraId="1AFDADDF" w14:textId="33B68DBC" w:rsidR="000958F5" w:rsidRPr="00E4581C" w:rsidRDefault="000958F5" w:rsidP="00F931EB">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b/>
                <w:bCs/>
                <w:sz w:val="18"/>
                <w:szCs w:val="18"/>
                <w:lang w:val="es-ES_tradnl"/>
              </w:rPr>
              <w:t>2.</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Contribuciones en especie relacionadas con reuniones programadas como parte del programa de trabajo aprobado</w:t>
            </w:r>
          </w:p>
        </w:tc>
      </w:tr>
      <w:tr w:rsidR="000958F5" w:rsidRPr="00E4581C" w14:paraId="1926649C" w14:textId="77777777" w:rsidTr="006E5666">
        <w:trPr>
          <w:gridAfter w:val="1"/>
          <w:wAfter w:w="14" w:type="dxa"/>
          <w:trHeight w:val="57"/>
        </w:trPr>
        <w:tc>
          <w:tcPr>
            <w:tcW w:w="2235" w:type="dxa"/>
            <w:hideMark/>
          </w:tcPr>
          <w:p w14:paraId="6433DA4C" w14:textId="7D683C96" w:rsidR="000958F5" w:rsidRPr="00E4581C" w:rsidRDefault="00A85A37" w:rsidP="00F931EB">
            <w:pPr>
              <w:keepNext/>
              <w:keepLines/>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PNUD</w:t>
            </w:r>
          </w:p>
        </w:tc>
        <w:tc>
          <w:tcPr>
            <w:tcW w:w="4424" w:type="dxa"/>
            <w:hideMark/>
          </w:tcPr>
          <w:p w14:paraId="344A9450" w14:textId="22E937C9" w:rsidR="000958F5" w:rsidRPr="00E4581C" w:rsidRDefault="000958F5" w:rsidP="00F931EB">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Segunda reunión del foro sobre creación de capacidad de la Plataforma, Nueva York (producto previsto 1 a))</w:t>
            </w:r>
          </w:p>
        </w:tc>
        <w:tc>
          <w:tcPr>
            <w:tcW w:w="1639" w:type="dxa"/>
            <w:hideMark/>
          </w:tcPr>
          <w:p w14:paraId="2C28A0D3" w14:textId="3B4693D1" w:rsidR="000958F5" w:rsidRPr="00E4581C" w:rsidRDefault="000958F5" w:rsidP="00F931EB">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Instalaciones para reuniones, apoyo técnico y local</w:t>
            </w:r>
          </w:p>
        </w:tc>
        <w:tc>
          <w:tcPr>
            <w:tcW w:w="1734" w:type="dxa"/>
            <w:vAlign w:val="bottom"/>
            <w:hideMark/>
          </w:tcPr>
          <w:p w14:paraId="2DAE7760" w14:textId="41AF1A9C" w:rsidR="000958F5" w:rsidRPr="00E4581C" w:rsidRDefault="000958F5" w:rsidP="00F931EB">
            <w:pPr>
              <w:keepNext/>
              <w:keepLines/>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2 500</w:t>
            </w:r>
          </w:p>
        </w:tc>
      </w:tr>
      <w:tr w:rsidR="000958F5" w:rsidRPr="00E4581C" w14:paraId="79F55C0F" w14:textId="77777777" w:rsidTr="006E5666">
        <w:trPr>
          <w:gridAfter w:val="1"/>
          <w:wAfter w:w="14" w:type="dxa"/>
          <w:trHeight w:val="57"/>
        </w:trPr>
        <w:tc>
          <w:tcPr>
            <w:tcW w:w="2235" w:type="dxa"/>
            <w:hideMark/>
          </w:tcPr>
          <w:p w14:paraId="70EE7A21" w14:textId="680DE612"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Academia Húngara de Ciencias </w:t>
            </w:r>
          </w:p>
        </w:tc>
        <w:tc>
          <w:tcPr>
            <w:tcW w:w="4424" w:type="dxa"/>
            <w:hideMark/>
          </w:tcPr>
          <w:p w14:paraId="07D02C71" w14:textId="78402863"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Cuarta reunión del equipo de tareas sobre creación de capacidad, Budapest (producto previsto 1 a))</w:t>
            </w:r>
          </w:p>
        </w:tc>
        <w:tc>
          <w:tcPr>
            <w:tcW w:w="1639" w:type="dxa"/>
            <w:hideMark/>
          </w:tcPr>
          <w:p w14:paraId="5845A69E" w14:textId="2CC129BA"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Instalaciones para reuniones, servicio de comidas y apoyo local </w:t>
            </w:r>
          </w:p>
        </w:tc>
        <w:tc>
          <w:tcPr>
            <w:tcW w:w="1734" w:type="dxa"/>
            <w:vAlign w:val="bottom"/>
            <w:hideMark/>
          </w:tcPr>
          <w:p w14:paraId="0315E4C0" w14:textId="759CAA09" w:rsidR="000958F5" w:rsidRPr="00E4581C" w:rsidRDefault="000958F5" w:rsidP="00536253">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7 320</w:t>
            </w:r>
          </w:p>
        </w:tc>
      </w:tr>
      <w:tr w:rsidR="000958F5" w:rsidRPr="00E4581C" w14:paraId="2C795693" w14:textId="77777777" w:rsidTr="006E5666">
        <w:trPr>
          <w:gridAfter w:val="1"/>
          <w:wAfter w:w="14" w:type="dxa"/>
          <w:trHeight w:val="57"/>
        </w:trPr>
        <w:tc>
          <w:tcPr>
            <w:tcW w:w="2235" w:type="dxa"/>
            <w:hideMark/>
          </w:tcPr>
          <w:p w14:paraId="66386F24" w14:textId="505A54BA" w:rsidR="000958F5" w:rsidRPr="00E4581C" w:rsidRDefault="000958F5" w:rsidP="00E4581C">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lastRenderedPageBreak/>
              <w:t xml:space="preserve">Academia Húngara de Ciencias </w:t>
            </w:r>
          </w:p>
        </w:tc>
        <w:tc>
          <w:tcPr>
            <w:tcW w:w="4424" w:type="dxa"/>
            <w:hideMark/>
          </w:tcPr>
          <w:p w14:paraId="1E0CA720" w14:textId="400DA723" w:rsidR="000958F5" w:rsidRPr="00E4581C" w:rsidRDefault="000958F5" w:rsidP="00E4581C">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Diálogo de la Plataforma sobre creación de capacidad con los interesados de Europa oriental (producto previsto 1 a))</w:t>
            </w:r>
          </w:p>
        </w:tc>
        <w:tc>
          <w:tcPr>
            <w:tcW w:w="1639" w:type="dxa"/>
            <w:hideMark/>
          </w:tcPr>
          <w:p w14:paraId="66743171" w14:textId="0660CF4C" w:rsidR="000958F5" w:rsidRPr="00E4581C" w:rsidRDefault="000958F5" w:rsidP="00E4581C">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Instalaciones para reuniones, servicio de comidas y apoyo local </w:t>
            </w:r>
          </w:p>
        </w:tc>
        <w:tc>
          <w:tcPr>
            <w:tcW w:w="1734" w:type="dxa"/>
            <w:vAlign w:val="bottom"/>
            <w:hideMark/>
          </w:tcPr>
          <w:p w14:paraId="1299AC72" w14:textId="16341388" w:rsidR="000958F5" w:rsidRPr="00E4581C" w:rsidRDefault="000958F5" w:rsidP="00E4581C">
            <w:pPr>
              <w:keepNext/>
              <w:keepLines/>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2 440</w:t>
            </w:r>
          </w:p>
        </w:tc>
      </w:tr>
      <w:tr w:rsidR="000958F5" w:rsidRPr="00E4581C" w14:paraId="0D75DA15" w14:textId="77777777" w:rsidTr="006E5666">
        <w:trPr>
          <w:gridAfter w:val="1"/>
          <w:wAfter w:w="14" w:type="dxa"/>
          <w:trHeight w:val="57"/>
        </w:trPr>
        <w:tc>
          <w:tcPr>
            <w:tcW w:w="2235" w:type="dxa"/>
            <w:tcBorders>
              <w:bottom w:val="single" w:sz="4" w:space="0" w:color="auto"/>
            </w:tcBorders>
            <w:hideMark/>
          </w:tcPr>
          <w:p w14:paraId="45FB11FB" w14:textId="77777777" w:rsidR="000958F5" w:rsidRPr="00E4581C" w:rsidRDefault="000958F5" w:rsidP="00E4581C">
            <w:pPr>
              <w:keepNext/>
              <w:keepLines/>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Alemania</w:t>
            </w:r>
          </w:p>
        </w:tc>
        <w:tc>
          <w:tcPr>
            <w:tcW w:w="4424" w:type="dxa"/>
            <w:tcBorders>
              <w:bottom w:val="single" w:sz="4" w:space="0" w:color="auto"/>
            </w:tcBorders>
            <w:hideMark/>
          </w:tcPr>
          <w:p w14:paraId="4BED9616" w14:textId="32F53EAC" w:rsidR="000958F5" w:rsidRPr="00E4581C" w:rsidRDefault="000958F5" w:rsidP="00E4581C">
            <w:pPr>
              <w:keepNext/>
              <w:keepLines/>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Segunda reunión de autores de las evaluaciones regionales (producto previsto 2 b)) y de la evaluación de la degradación y restauración de la tierra (producto previsto 3 b) i))</w:t>
            </w:r>
          </w:p>
        </w:tc>
        <w:tc>
          <w:tcPr>
            <w:tcW w:w="1639" w:type="dxa"/>
            <w:tcBorders>
              <w:bottom w:val="single" w:sz="4" w:space="0" w:color="auto"/>
            </w:tcBorders>
            <w:hideMark/>
          </w:tcPr>
          <w:p w14:paraId="74A3A3E7" w14:textId="394375B5" w:rsidR="000958F5" w:rsidRPr="00E4581C" w:rsidRDefault="000958F5" w:rsidP="00E4581C">
            <w:pPr>
              <w:keepNext/>
              <w:keepLines/>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Instalaciones para reuniones, apoyo local</w:t>
            </w:r>
          </w:p>
        </w:tc>
        <w:tc>
          <w:tcPr>
            <w:tcW w:w="1734" w:type="dxa"/>
            <w:tcBorders>
              <w:bottom w:val="single" w:sz="4" w:space="0" w:color="auto"/>
            </w:tcBorders>
            <w:vAlign w:val="bottom"/>
            <w:hideMark/>
          </w:tcPr>
          <w:p w14:paraId="44D3D3EC" w14:textId="66DE1069" w:rsidR="000958F5" w:rsidRPr="00E4581C" w:rsidRDefault="000958F5" w:rsidP="00E4581C">
            <w:pPr>
              <w:keepNext/>
              <w:keepLines/>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176 471 </w:t>
            </w:r>
          </w:p>
        </w:tc>
      </w:tr>
      <w:tr w:rsidR="000958F5" w:rsidRPr="00E4581C" w14:paraId="7427C999" w14:textId="77777777" w:rsidTr="006E5666">
        <w:trPr>
          <w:gridAfter w:val="1"/>
          <w:wAfter w:w="14" w:type="dxa"/>
          <w:trHeight w:val="57"/>
        </w:trPr>
        <w:tc>
          <w:tcPr>
            <w:tcW w:w="2235" w:type="dxa"/>
            <w:tcBorders>
              <w:top w:val="single" w:sz="4" w:space="0" w:color="auto"/>
              <w:bottom w:val="single" w:sz="4" w:space="0" w:color="auto"/>
            </w:tcBorders>
            <w:noWrap/>
            <w:hideMark/>
          </w:tcPr>
          <w:p w14:paraId="7D3C06D5" w14:textId="76BDFD48" w:rsidR="000958F5" w:rsidRPr="00E4581C" w:rsidRDefault="00C11CEC" w:rsidP="00536253">
            <w:pPr>
              <w:spacing w:before="40" w:after="40" w:line="240" w:lineRule="auto"/>
              <w:rPr>
                <w:rFonts w:ascii="Times New Roman" w:eastAsia="Times New Roman" w:hAnsi="Times New Roman"/>
                <w:b/>
                <w:bCs/>
                <w:color w:val="000000"/>
                <w:sz w:val="18"/>
                <w:szCs w:val="18"/>
                <w:lang w:val="es-ES_tradnl"/>
              </w:rPr>
            </w:pPr>
            <w:r w:rsidRPr="00E4581C">
              <w:rPr>
                <w:rFonts w:ascii="Times New Roman" w:hAnsi="Times New Roman"/>
                <w:b/>
                <w:bCs/>
                <w:sz w:val="18"/>
                <w:szCs w:val="18"/>
                <w:lang w:val="es-ES_tradnl"/>
              </w:rPr>
              <w:t>Total parcial</w:t>
            </w:r>
            <w:r w:rsidRPr="00E4581C">
              <w:rPr>
                <w:rFonts w:ascii="Times New Roman" w:hAnsi="Times New Roman"/>
                <w:sz w:val="18"/>
                <w:szCs w:val="18"/>
                <w:lang w:val="es-ES_tradnl"/>
              </w:rPr>
              <w:t xml:space="preserve"> </w:t>
            </w:r>
          </w:p>
        </w:tc>
        <w:tc>
          <w:tcPr>
            <w:tcW w:w="4424" w:type="dxa"/>
            <w:tcBorders>
              <w:top w:val="single" w:sz="4" w:space="0" w:color="auto"/>
              <w:bottom w:val="single" w:sz="4" w:space="0" w:color="auto"/>
            </w:tcBorders>
            <w:noWrap/>
            <w:hideMark/>
          </w:tcPr>
          <w:p w14:paraId="02DF03DB" w14:textId="77777777" w:rsidR="000958F5" w:rsidRPr="00E4581C" w:rsidRDefault="000958F5" w:rsidP="00536253">
            <w:pPr>
              <w:spacing w:before="40" w:after="40" w:line="240" w:lineRule="auto"/>
              <w:rPr>
                <w:rFonts w:ascii="Times New Roman" w:eastAsia="Times New Roman" w:hAnsi="Times New Roman"/>
                <w:b/>
                <w:bCs/>
                <w:color w:val="000000"/>
                <w:sz w:val="18"/>
                <w:szCs w:val="18"/>
                <w:lang w:val="es-ES_tradnl"/>
              </w:rPr>
            </w:pPr>
          </w:p>
        </w:tc>
        <w:tc>
          <w:tcPr>
            <w:tcW w:w="1639" w:type="dxa"/>
            <w:tcBorders>
              <w:top w:val="single" w:sz="4" w:space="0" w:color="auto"/>
              <w:bottom w:val="single" w:sz="4" w:space="0" w:color="auto"/>
            </w:tcBorders>
            <w:noWrap/>
            <w:hideMark/>
          </w:tcPr>
          <w:p w14:paraId="40A3A061" w14:textId="77777777" w:rsidR="000958F5" w:rsidRPr="00E4581C" w:rsidRDefault="000958F5" w:rsidP="00536253">
            <w:pPr>
              <w:spacing w:before="40" w:after="40" w:line="240" w:lineRule="auto"/>
              <w:rPr>
                <w:rFonts w:ascii="Times New Roman" w:eastAsia="Times New Roman" w:hAnsi="Times New Roman"/>
                <w:sz w:val="18"/>
                <w:szCs w:val="18"/>
                <w:lang w:val="es-ES_tradnl"/>
              </w:rPr>
            </w:pPr>
          </w:p>
        </w:tc>
        <w:tc>
          <w:tcPr>
            <w:tcW w:w="1734" w:type="dxa"/>
            <w:tcBorders>
              <w:top w:val="single" w:sz="4" w:space="0" w:color="auto"/>
              <w:bottom w:val="single" w:sz="4" w:space="0" w:color="auto"/>
            </w:tcBorders>
            <w:noWrap/>
            <w:vAlign w:val="bottom"/>
            <w:hideMark/>
          </w:tcPr>
          <w:p w14:paraId="604C8F71" w14:textId="19045054" w:rsidR="000958F5" w:rsidRPr="00E4581C" w:rsidRDefault="000958F5" w:rsidP="00536253">
            <w:pPr>
              <w:spacing w:before="40" w:after="40" w:line="240" w:lineRule="auto"/>
              <w:jc w:val="right"/>
              <w:rPr>
                <w:rFonts w:ascii="Times New Roman" w:eastAsia="Times New Roman" w:hAnsi="Times New Roman"/>
                <w:b/>
                <w:bCs/>
                <w:color w:val="000000"/>
                <w:sz w:val="18"/>
                <w:szCs w:val="18"/>
                <w:lang w:val="es-ES_tradnl"/>
              </w:rPr>
            </w:pPr>
            <w:r w:rsidRPr="00E4581C">
              <w:rPr>
                <w:rFonts w:ascii="Times New Roman" w:hAnsi="Times New Roman"/>
                <w:b/>
                <w:sz w:val="18"/>
                <w:szCs w:val="18"/>
                <w:lang w:val="es-ES_tradnl"/>
              </w:rPr>
              <w:t xml:space="preserve">188 731 </w:t>
            </w:r>
          </w:p>
        </w:tc>
      </w:tr>
      <w:tr w:rsidR="000958F5" w:rsidRPr="00E4581C" w14:paraId="717E7B29" w14:textId="77777777" w:rsidTr="006E5666">
        <w:trPr>
          <w:gridAfter w:val="1"/>
          <w:wAfter w:w="14" w:type="dxa"/>
          <w:trHeight w:val="139"/>
        </w:trPr>
        <w:tc>
          <w:tcPr>
            <w:tcW w:w="2235" w:type="dxa"/>
            <w:tcBorders>
              <w:top w:val="single" w:sz="4" w:space="0" w:color="auto"/>
            </w:tcBorders>
            <w:noWrap/>
            <w:hideMark/>
          </w:tcPr>
          <w:p w14:paraId="356DF3D6" w14:textId="77777777" w:rsidR="000958F5" w:rsidRPr="00E4581C" w:rsidRDefault="000958F5" w:rsidP="00024D90">
            <w:pPr>
              <w:tabs>
                <w:tab w:val="right" w:pos="851"/>
                <w:tab w:val="left" w:pos="1247"/>
                <w:tab w:val="left" w:pos="1814"/>
                <w:tab w:val="left" w:pos="2381"/>
                <w:tab w:val="left" w:pos="2948"/>
                <w:tab w:val="left" w:pos="3515"/>
                <w:tab w:val="left" w:pos="4082"/>
              </w:tabs>
              <w:suppressAutoHyphens/>
              <w:spacing w:after="0" w:line="240" w:lineRule="auto"/>
              <w:ind w:left="1247" w:right="284" w:hanging="1247"/>
              <w:rPr>
                <w:rFonts w:ascii="Times New Roman" w:hAnsi="Times New Roman"/>
                <w:b/>
                <w:color w:val="000000"/>
                <w:sz w:val="18"/>
                <w:szCs w:val="18"/>
                <w:lang w:val="es-ES_tradnl"/>
              </w:rPr>
            </w:pPr>
          </w:p>
        </w:tc>
        <w:tc>
          <w:tcPr>
            <w:tcW w:w="4424" w:type="dxa"/>
            <w:tcBorders>
              <w:top w:val="single" w:sz="4" w:space="0" w:color="auto"/>
            </w:tcBorders>
            <w:noWrap/>
            <w:hideMark/>
          </w:tcPr>
          <w:p w14:paraId="563018F4" w14:textId="77777777" w:rsidR="000958F5" w:rsidRPr="00E4581C" w:rsidRDefault="000958F5" w:rsidP="00024D90">
            <w:pPr>
              <w:tabs>
                <w:tab w:val="right" w:pos="851"/>
                <w:tab w:val="left" w:pos="1247"/>
                <w:tab w:val="left" w:pos="1814"/>
                <w:tab w:val="left" w:pos="2381"/>
                <w:tab w:val="left" w:pos="2948"/>
                <w:tab w:val="left" w:pos="3515"/>
                <w:tab w:val="left" w:pos="4082"/>
              </w:tabs>
              <w:suppressAutoHyphens/>
              <w:spacing w:after="0" w:line="240" w:lineRule="auto"/>
              <w:ind w:left="1247" w:right="284" w:hanging="1247"/>
              <w:rPr>
                <w:rFonts w:ascii="Times New Roman" w:hAnsi="Times New Roman"/>
                <w:sz w:val="18"/>
                <w:szCs w:val="18"/>
                <w:lang w:val="es-ES_tradnl"/>
              </w:rPr>
            </w:pPr>
          </w:p>
        </w:tc>
        <w:tc>
          <w:tcPr>
            <w:tcW w:w="1639" w:type="dxa"/>
            <w:tcBorders>
              <w:top w:val="single" w:sz="4" w:space="0" w:color="auto"/>
            </w:tcBorders>
            <w:noWrap/>
            <w:hideMark/>
          </w:tcPr>
          <w:p w14:paraId="0E3A3C09" w14:textId="77777777" w:rsidR="000958F5" w:rsidRPr="00E4581C" w:rsidRDefault="000958F5" w:rsidP="00024D90">
            <w:pPr>
              <w:tabs>
                <w:tab w:val="right" w:pos="851"/>
                <w:tab w:val="left" w:pos="1247"/>
                <w:tab w:val="left" w:pos="1814"/>
                <w:tab w:val="left" w:pos="2381"/>
                <w:tab w:val="left" w:pos="2948"/>
                <w:tab w:val="left" w:pos="3515"/>
                <w:tab w:val="left" w:pos="4082"/>
              </w:tabs>
              <w:suppressAutoHyphens/>
              <w:spacing w:after="0" w:line="240" w:lineRule="auto"/>
              <w:ind w:left="1247" w:right="284" w:hanging="1247"/>
              <w:rPr>
                <w:rFonts w:ascii="Times New Roman" w:hAnsi="Times New Roman"/>
                <w:sz w:val="18"/>
                <w:szCs w:val="18"/>
                <w:lang w:val="es-ES_tradnl"/>
              </w:rPr>
            </w:pPr>
          </w:p>
        </w:tc>
        <w:tc>
          <w:tcPr>
            <w:tcW w:w="1734" w:type="dxa"/>
            <w:tcBorders>
              <w:top w:val="single" w:sz="4" w:space="0" w:color="auto"/>
            </w:tcBorders>
            <w:noWrap/>
            <w:hideMark/>
          </w:tcPr>
          <w:p w14:paraId="6B1DCE41" w14:textId="77777777" w:rsidR="000958F5" w:rsidRPr="00E4581C" w:rsidRDefault="000958F5" w:rsidP="00024D90">
            <w:pPr>
              <w:tabs>
                <w:tab w:val="right" w:pos="851"/>
                <w:tab w:val="left" w:pos="1247"/>
                <w:tab w:val="left" w:pos="1814"/>
                <w:tab w:val="left" w:pos="2381"/>
                <w:tab w:val="left" w:pos="2948"/>
                <w:tab w:val="left" w:pos="3515"/>
                <w:tab w:val="left" w:pos="4082"/>
              </w:tabs>
              <w:suppressAutoHyphens/>
              <w:spacing w:after="0" w:line="240" w:lineRule="auto"/>
              <w:ind w:left="1247" w:right="284" w:hanging="1247"/>
              <w:rPr>
                <w:rFonts w:ascii="Times New Roman" w:hAnsi="Times New Roman"/>
                <w:sz w:val="18"/>
                <w:szCs w:val="18"/>
                <w:lang w:val="es-ES_tradnl"/>
              </w:rPr>
            </w:pPr>
          </w:p>
        </w:tc>
      </w:tr>
      <w:tr w:rsidR="000958F5" w:rsidRPr="000930FA" w14:paraId="0ACE92C3" w14:textId="77777777" w:rsidTr="00846A75">
        <w:trPr>
          <w:gridAfter w:val="1"/>
          <w:wAfter w:w="14" w:type="dxa"/>
          <w:trHeight w:val="57"/>
        </w:trPr>
        <w:tc>
          <w:tcPr>
            <w:tcW w:w="10032" w:type="dxa"/>
            <w:gridSpan w:val="4"/>
            <w:hideMark/>
          </w:tcPr>
          <w:p w14:paraId="1C47D54C" w14:textId="71AA9AC8" w:rsidR="000958F5" w:rsidRPr="00E4581C" w:rsidRDefault="000958F5" w:rsidP="00536253">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b/>
                <w:bCs/>
                <w:sz w:val="18"/>
                <w:szCs w:val="18"/>
                <w:lang w:val="es-ES_tradnl"/>
              </w:rPr>
              <w:t>3.</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Contribuciones en especie en apoyo del programa de trabajo aprobad</w:t>
            </w:r>
          </w:p>
        </w:tc>
      </w:tr>
      <w:tr w:rsidR="000958F5" w:rsidRPr="00E4581C" w14:paraId="61DA5423" w14:textId="77777777" w:rsidTr="006E5666">
        <w:trPr>
          <w:gridAfter w:val="1"/>
          <w:wAfter w:w="14" w:type="dxa"/>
          <w:trHeight w:val="57"/>
        </w:trPr>
        <w:tc>
          <w:tcPr>
            <w:tcW w:w="2235" w:type="dxa"/>
            <w:hideMark/>
          </w:tcPr>
          <w:p w14:paraId="31E107A0" w14:textId="0600FF94" w:rsidR="000958F5"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Malasia </w:t>
            </w:r>
          </w:p>
        </w:tc>
        <w:tc>
          <w:tcPr>
            <w:tcW w:w="4424" w:type="dxa"/>
            <w:hideMark/>
          </w:tcPr>
          <w:p w14:paraId="20EE553A" w14:textId="66CDAD69" w:rsidR="000958F5"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Cuarto período de sesiones del Plenario</w:t>
            </w:r>
          </w:p>
        </w:tc>
        <w:tc>
          <w:tcPr>
            <w:tcW w:w="1639" w:type="dxa"/>
            <w:hideMark/>
          </w:tcPr>
          <w:p w14:paraId="72484C36" w14:textId="76481ED3" w:rsidR="00F3094E"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Instalaciones para reuniones, atenciones sociales, equipo y suministros</w:t>
            </w:r>
          </w:p>
        </w:tc>
        <w:tc>
          <w:tcPr>
            <w:tcW w:w="1734" w:type="dxa"/>
            <w:vAlign w:val="bottom"/>
            <w:hideMark/>
          </w:tcPr>
          <w:p w14:paraId="5AA0B205" w14:textId="70287B56" w:rsidR="000958F5" w:rsidRPr="00E4581C" w:rsidRDefault="000958F5" w:rsidP="00536253">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974 000</w:t>
            </w:r>
          </w:p>
        </w:tc>
      </w:tr>
      <w:tr w:rsidR="000958F5" w:rsidRPr="00E4581C" w14:paraId="1A2D76F5" w14:textId="77777777" w:rsidTr="006E5666">
        <w:trPr>
          <w:gridAfter w:val="1"/>
          <w:wAfter w:w="14" w:type="dxa"/>
          <w:trHeight w:val="57"/>
        </w:trPr>
        <w:tc>
          <w:tcPr>
            <w:tcW w:w="2235" w:type="dxa"/>
            <w:noWrap/>
            <w:hideMark/>
          </w:tcPr>
          <w:p w14:paraId="0FDAB941" w14:textId="7777777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Malasia</w:t>
            </w:r>
          </w:p>
        </w:tc>
        <w:tc>
          <w:tcPr>
            <w:tcW w:w="4424" w:type="dxa"/>
            <w:hideMark/>
          </w:tcPr>
          <w:p w14:paraId="5501B3BA" w14:textId="3900CC9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Cuarto período de sesiones del Plenario: contribución del país anfitrión</w:t>
            </w:r>
          </w:p>
        </w:tc>
        <w:tc>
          <w:tcPr>
            <w:tcW w:w="1639" w:type="dxa"/>
            <w:hideMark/>
          </w:tcPr>
          <w:p w14:paraId="3D58BA7E" w14:textId="0368B3E5"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Apoyo a viajes </w:t>
            </w:r>
          </w:p>
        </w:tc>
        <w:tc>
          <w:tcPr>
            <w:tcW w:w="1734" w:type="dxa"/>
            <w:vAlign w:val="bottom"/>
            <w:hideMark/>
          </w:tcPr>
          <w:p w14:paraId="0FF73809" w14:textId="5C10815C" w:rsidR="000958F5" w:rsidRPr="00E4581C" w:rsidRDefault="000958F5" w:rsidP="00536253">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194 099</w:t>
            </w:r>
          </w:p>
        </w:tc>
      </w:tr>
      <w:tr w:rsidR="000958F5" w:rsidRPr="00E4581C" w14:paraId="2144E00B" w14:textId="77777777" w:rsidTr="006E5666">
        <w:trPr>
          <w:gridAfter w:val="1"/>
          <w:wAfter w:w="14" w:type="dxa"/>
          <w:trHeight w:val="57"/>
        </w:trPr>
        <w:tc>
          <w:tcPr>
            <w:tcW w:w="2235" w:type="dxa"/>
            <w:noWrap/>
            <w:hideMark/>
          </w:tcPr>
          <w:p w14:paraId="5D3945A2" w14:textId="64029F6A" w:rsidR="000958F5"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Reino Unido de Gran Bretaña e Irlanda del Norte </w:t>
            </w:r>
          </w:p>
        </w:tc>
        <w:tc>
          <w:tcPr>
            <w:tcW w:w="4424" w:type="dxa"/>
            <w:hideMark/>
          </w:tcPr>
          <w:p w14:paraId="79312D44" w14:textId="75113CB7" w:rsidR="000958F5"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Gastos de viaje de la Presidencia en representación de la Plataforma </w:t>
            </w:r>
          </w:p>
        </w:tc>
        <w:tc>
          <w:tcPr>
            <w:tcW w:w="1639" w:type="dxa"/>
            <w:hideMark/>
          </w:tcPr>
          <w:p w14:paraId="6EA28C9A" w14:textId="154A4D58" w:rsidR="000958F5"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Apoyo a viajes </w:t>
            </w:r>
          </w:p>
        </w:tc>
        <w:tc>
          <w:tcPr>
            <w:tcW w:w="1734" w:type="dxa"/>
            <w:vAlign w:val="bottom"/>
            <w:hideMark/>
          </w:tcPr>
          <w:p w14:paraId="6CF8D65F" w14:textId="003F8EA7" w:rsidR="000958F5" w:rsidRPr="00E4581C" w:rsidRDefault="000958F5" w:rsidP="00536253">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20 000</w:t>
            </w:r>
          </w:p>
        </w:tc>
      </w:tr>
      <w:tr w:rsidR="000958F5" w:rsidRPr="00E4581C" w14:paraId="2A7AF496" w14:textId="77777777" w:rsidTr="006E5666">
        <w:trPr>
          <w:gridAfter w:val="1"/>
          <w:wAfter w:w="14" w:type="dxa"/>
        </w:trPr>
        <w:tc>
          <w:tcPr>
            <w:tcW w:w="2235" w:type="dxa"/>
            <w:hideMark/>
          </w:tcPr>
          <w:p w14:paraId="29B7205B" w14:textId="12444A08" w:rsidR="000958F5" w:rsidRPr="00E4581C" w:rsidRDefault="000958F5" w:rsidP="00536253">
            <w:pPr>
              <w:spacing w:before="8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Instituto de Estrategias Ambientales Mundiales (IGES) </w:t>
            </w:r>
          </w:p>
        </w:tc>
        <w:tc>
          <w:tcPr>
            <w:tcW w:w="4424" w:type="dxa"/>
            <w:hideMark/>
          </w:tcPr>
          <w:p w14:paraId="30856FF1" w14:textId="35715B55" w:rsidR="000958F5" w:rsidRPr="00E4581C" w:rsidRDefault="000D3AC4" w:rsidP="007D1C83">
            <w:pPr>
              <w:spacing w:before="8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 </w:t>
            </w:r>
            <w:r w:rsidRPr="00E4581C">
              <w:rPr>
                <w:rFonts w:ascii="Times New Roman" w:hAnsi="Times New Roman"/>
                <w:bCs/>
                <w:sz w:val="18"/>
                <w:szCs w:val="18"/>
                <w:lang w:val="es-ES_tradnl"/>
              </w:rPr>
              <w:t>Proyecto de creación de capacidad del I</w:t>
            </w:r>
            <w:r w:rsidR="007D1C83" w:rsidRPr="00E4581C">
              <w:rPr>
                <w:rFonts w:ascii="Times New Roman" w:hAnsi="Times New Roman"/>
                <w:bCs/>
                <w:sz w:val="18"/>
                <w:szCs w:val="18"/>
                <w:lang w:val="es-ES_tradnl"/>
              </w:rPr>
              <w:t>nstituto y el Fondo del Japón para la Biodiversidad</w:t>
            </w:r>
            <w:r w:rsidRPr="00E4581C">
              <w:rPr>
                <w:rFonts w:ascii="Times New Roman" w:hAnsi="Times New Roman"/>
                <w:bCs/>
                <w:sz w:val="18"/>
                <w:szCs w:val="18"/>
                <w:lang w:val="es-ES_tradnl"/>
              </w:rPr>
              <w:t xml:space="preserve"> para la Plataforma</w:t>
            </w:r>
            <w:r w:rsidRPr="00E4581C">
              <w:rPr>
                <w:rFonts w:ascii="Times New Roman" w:hAnsi="Times New Roman"/>
                <w:sz w:val="18"/>
                <w:szCs w:val="18"/>
                <w:lang w:val="es-ES_tradnl"/>
              </w:rPr>
              <w:t xml:space="preserve"> (producto previsto 1 a))</w:t>
            </w:r>
          </w:p>
        </w:tc>
        <w:tc>
          <w:tcPr>
            <w:tcW w:w="1639" w:type="dxa"/>
            <w:hideMark/>
          </w:tcPr>
          <w:p w14:paraId="2BE2400A" w14:textId="39B65EB4" w:rsidR="000958F5" w:rsidRPr="00E4581C" w:rsidRDefault="000958F5" w:rsidP="00536253">
            <w:pPr>
              <w:spacing w:before="8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Gastos de personal</w:t>
            </w:r>
          </w:p>
        </w:tc>
        <w:tc>
          <w:tcPr>
            <w:tcW w:w="1734" w:type="dxa"/>
            <w:vAlign w:val="bottom"/>
            <w:hideMark/>
          </w:tcPr>
          <w:p w14:paraId="4A75F669" w14:textId="2150432F" w:rsidR="000958F5" w:rsidRPr="00E4581C" w:rsidRDefault="000958F5" w:rsidP="00846A75">
            <w:pPr>
              <w:spacing w:before="8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75 000</w:t>
            </w:r>
            <w:r w:rsidR="000D3AC4" w:rsidRPr="00E4581C">
              <w:rPr>
                <w:rFonts w:ascii="Times New Roman" w:hAnsi="Times New Roman"/>
                <w:color w:val="000000"/>
                <w:sz w:val="18"/>
                <w:szCs w:val="18"/>
                <w:lang w:val="es-ES_tradnl"/>
              </w:rPr>
              <w:t xml:space="preserve"> </w:t>
            </w:r>
          </w:p>
        </w:tc>
      </w:tr>
      <w:tr w:rsidR="000958F5" w:rsidRPr="00E4581C" w14:paraId="20B77A9A" w14:textId="77777777" w:rsidTr="006E5666">
        <w:trPr>
          <w:gridAfter w:val="1"/>
          <w:wAfter w:w="14" w:type="dxa"/>
          <w:trHeight w:val="57"/>
        </w:trPr>
        <w:tc>
          <w:tcPr>
            <w:tcW w:w="2235" w:type="dxa"/>
            <w:hideMark/>
          </w:tcPr>
          <w:p w14:paraId="5DB678DB" w14:textId="2A752260" w:rsidR="000958F5" w:rsidRPr="00E4581C" w:rsidRDefault="007D1C83" w:rsidP="007D1C8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bCs/>
                <w:sz w:val="18"/>
                <w:szCs w:val="18"/>
                <w:lang w:val="es-ES_tradnl"/>
              </w:rPr>
              <w:t>Fondo del Japón para la Biodiversidad</w:t>
            </w:r>
          </w:p>
        </w:tc>
        <w:tc>
          <w:tcPr>
            <w:tcW w:w="4424" w:type="dxa"/>
            <w:hideMark/>
          </w:tcPr>
          <w:p w14:paraId="19669E63" w14:textId="77E77363"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Proyecto de creación de capacidad del IGES y el JBF para Plataforma (producto previsto 1 a))</w:t>
            </w:r>
          </w:p>
        </w:tc>
        <w:tc>
          <w:tcPr>
            <w:tcW w:w="1639" w:type="dxa"/>
            <w:hideMark/>
          </w:tcPr>
          <w:p w14:paraId="22A39D18" w14:textId="054283FF"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Talleres de creación de capacidad, apoyo a un taller sobre el diálogo subregional con los depositarios de conocimientos indígenas y locales</w:t>
            </w:r>
          </w:p>
        </w:tc>
        <w:tc>
          <w:tcPr>
            <w:tcW w:w="1734" w:type="dxa"/>
            <w:vAlign w:val="bottom"/>
            <w:hideMark/>
          </w:tcPr>
          <w:p w14:paraId="7CBE044A" w14:textId="1F2E237E" w:rsidR="000958F5" w:rsidRPr="00E4581C" w:rsidRDefault="000958F5" w:rsidP="00536253">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1 000 000</w:t>
            </w:r>
          </w:p>
        </w:tc>
      </w:tr>
      <w:tr w:rsidR="000958F5" w:rsidRPr="00E4581C" w14:paraId="5F221831" w14:textId="77777777" w:rsidTr="006E5666">
        <w:trPr>
          <w:gridAfter w:val="1"/>
          <w:wAfter w:w="14" w:type="dxa"/>
          <w:trHeight w:val="57"/>
        </w:trPr>
        <w:tc>
          <w:tcPr>
            <w:tcW w:w="2235" w:type="dxa"/>
            <w:hideMark/>
          </w:tcPr>
          <w:p w14:paraId="39E73931" w14:textId="1D880CA0" w:rsidR="000958F5" w:rsidRPr="00E4581C" w:rsidRDefault="00703A97"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Fondation pour la r</w:t>
            </w:r>
            <w:r w:rsidR="000958F5" w:rsidRPr="00E4581C">
              <w:rPr>
                <w:rFonts w:ascii="Times New Roman" w:hAnsi="Times New Roman"/>
                <w:sz w:val="18"/>
                <w:szCs w:val="18"/>
                <w:lang w:val="es-ES_tradnl"/>
              </w:rPr>
              <w:t xml:space="preserve">echerche sur la biodiversité </w:t>
            </w:r>
          </w:p>
        </w:tc>
        <w:tc>
          <w:tcPr>
            <w:tcW w:w="4424" w:type="dxa"/>
            <w:hideMark/>
          </w:tcPr>
          <w:p w14:paraId="7689DF12" w14:textId="7B2FFEA7"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Reunión de diálogo para el establecimiento de comités nacionales para la Plataforma en los países africanos francoparlantes, Rabat (Marruecos) (producto previsto 1 a))</w:t>
            </w:r>
          </w:p>
        </w:tc>
        <w:tc>
          <w:tcPr>
            <w:tcW w:w="1639" w:type="dxa"/>
            <w:hideMark/>
          </w:tcPr>
          <w:p w14:paraId="223FA050" w14:textId="42A74055"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Instalaciones para reuniones</w:t>
            </w:r>
          </w:p>
        </w:tc>
        <w:tc>
          <w:tcPr>
            <w:tcW w:w="1734" w:type="dxa"/>
            <w:vAlign w:val="bottom"/>
            <w:hideMark/>
          </w:tcPr>
          <w:p w14:paraId="7DF5F0C1" w14:textId="48144A3A" w:rsidR="000958F5" w:rsidRPr="00E4581C" w:rsidRDefault="000958F5" w:rsidP="00536253">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12 406</w:t>
            </w:r>
          </w:p>
        </w:tc>
      </w:tr>
      <w:tr w:rsidR="000958F5" w:rsidRPr="00E4581C" w14:paraId="2B9B31F4" w14:textId="77777777" w:rsidTr="006E5666">
        <w:trPr>
          <w:gridAfter w:val="1"/>
          <w:wAfter w:w="14" w:type="dxa"/>
          <w:trHeight w:val="57"/>
        </w:trPr>
        <w:tc>
          <w:tcPr>
            <w:tcW w:w="2235" w:type="dxa"/>
            <w:hideMark/>
          </w:tcPr>
          <w:p w14:paraId="3AD2D57C" w14:textId="103F80ED"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Ministerio de Asuntos Exteriores de Francia </w:t>
            </w:r>
          </w:p>
        </w:tc>
        <w:tc>
          <w:tcPr>
            <w:tcW w:w="4424" w:type="dxa"/>
            <w:hideMark/>
          </w:tcPr>
          <w:p w14:paraId="62A3BE88" w14:textId="6616279E"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Reunión de diálogo para el establecimiento de comités nacionales para la Plataforma en los países africanos francoparlantes, Rabat - producto previsto 1 a)</w:t>
            </w:r>
          </w:p>
        </w:tc>
        <w:tc>
          <w:tcPr>
            <w:tcW w:w="1639" w:type="dxa"/>
            <w:hideMark/>
          </w:tcPr>
          <w:p w14:paraId="7DC953A8" w14:textId="4EEDA49D"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Instalaciones para reuniones</w:t>
            </w:r>
          </w:p>
        </w:tc>
        <w:tc>
          <w:tcPr>
            <w:tcW w:w="1734" w:type="dxa"/>
            <w:vAlign w:val="bottom"/>
            <w:hideMark/>
          </w:tcPr>
          <w:p w14:paraId="75968C8F" w14:textId="4D70686A" w:rsidR="000958F5" w:rsidRPr="00E4581C" w:rsidRDefault="000958F5" w:rsidP="00536253">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22 297</w:t>
            </w:r>
          </w:p>
        </w:tc>
      </w:tr>
      <w:tr w:rsidR="000958F5" w:rsidRPr="00E4581C" w14:paraId="356AE424" w14:textId="77777777" w:rsidTr="006E5666">
        <w:trPr>
          <w:gridAfter w:val="1"/>
          <w:wAfter w:w="14" w:type="dxa"/>
          <w:trHeight w:val="57"/>
        </w:trPr>
        <w:tc>
          <w:tcPr>
            <w:tcW w:w="2235" w:type="dxa"/>
            <w:hideMark/>
          </w:tcPr>
          <w:p w14:paraId="2BC1F5D0" w14:textId="7AFAD8BF"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PNUD</w:t>
            </w:r>
          </w:p>
        </w:tc>
        <w:tc>
          <w:tcPr>
            <w:tcW w:w="4424" w:type="dxa"/>
            <w:hideMark/>
          </w:tcPr>
          <w:p w14:paraId="58678D18" w14:textId="33A1437F"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para la creación de capacidad en el contexto de la Red de Diversidad Biológica y Servicios de los Ecosistemas (BES</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Net (productos previstos 1 a) y b))</w:t>
            </w:r>
          </w:p>
        </w:tc>
        <w:tc>
          <w:tcPr>
            <w:tcW w:w="1639" w:type="dxa"/>
            <w:hideMark/>
          </w:tcPr>
          <w:p w14:paraId="6FEA2491" w14:textId="2E77DFB8"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vAlign w:val="bottom"/>
            <w:hideMark/>
          </w:tcPr>
          <w:p w14:paraId="0489CC2F" w14:textId="6C628013"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390 000 </w:t>
            </w:r>
          </w:p>
        </w:tc>
      </w:tr>
      <w:tr w:rsidR="000958F5" w:rsidRPr="00E4581C" w14:paraId="6B1D1538" w14:textId="77777777" w:rsidTr="006E5666">
        <w:trPr>
          <w:gridAfter w:val="1"/>
          <w:wAfter w:w="14" w:type="dxa"/>
          <w:trHeight w:val="57"/>
        </w:trPr>
        <w:tc>
          <w:tcPr>
            <w:tcW w:w="2235" w:type="dxa"/>
            <w:noWrap/>
            <w:hideMark/>
          </w:tcPr>
          <w:p w14:paraId="1D7C3097" w14:textId="0265FBFA"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Suiza </w:t>
            </w:r>
          </w:p>
        </w:tc>
        <w:tc>
          <w:tcPr>
            <w:tcW w:w="4424" w:type="dxa"/>
            <w:hideMark/>
          </w:tcPr>
          <w:p w14:paraId="5B0B260B" w14:textId="10252393"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Segunda reunión del grupo de expertos de Europa y Asia Central, Zadar (Croacia) (producto previsto 2 b))</w:t>
            </w:r>
          </w:p>
        </w:tc>
        <w:tc>
          <w:tcPr>
            <w:tcW w:w="1639" w:type="dxa"/>
            <w:hideMark/>
          </w:tcPr>
          <w:p w14:paraId="267603CA" w14:textId="20F5C436" w:rsidR="00DA663D"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Gastos de viaje, alojamiento, instalaciones para reuniones y apoyo local </w:t>
            </w:r>
          </w:p>
        </w:tc>
        <w:tc>
          <w:tcPr>
            <w:tcW w:w="1734" w:type="dxa"/>
            <w:noWrap/>
            <w:vAlign w:val="bottom"/>
            <w:hideMark/>
          </w:tcPr>
          <w:p w14:paraId="187C1422" w14:textId="19D84361"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54 372 </w:t>
            </w:r>
          </w:p>
        </w:tc>
      </w:tr>
      <w:tr w:rsidR="000958F5" w:rsidRPr="00E4581C" w14:paraId="5856BDF0" w14:textId="77777777" w:rsidTr="006E5666">
        <w:trPr>
          <w:gridAfter w:val="1"/>
          <w:wAfter w:w="14" w:type="dxa"/>
          <w:trHeight w:val="57"/>
        </w:trPr>
        <w:tc>
          <w:tcPr>
            <w:tcW w:w="2235" w:type="dxa"/>
            <w:hideMark/>
          </w:tcPr>
          <w:p w14:paraId="55C40060" w14:textId="6F59E5DA" w:rsidR="000958F5" w:rsidRPr="00E4581C" w:rsidRDefault="000958F5" w:rsidP="0051202F">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SwedBio y</w:t>
            </w:r>
            <w:r w:rsidR="0051202F" w:rsidRPr="00E4581C">
              <w:rPr>
                <w:rFonts w:ascii="Times New Roman" w:hAnsi="Times New Roman"/>
                <w:sz w:val="18"/>
                <w:szCs w:val="18"/>
                <w:lang w:val="es-ES_tradnl"/>
              </w:rPr>
              <w:t xml:space="preserve"> Consejo Sudafricano de Investigaciones Científicas e Industriales</w:t>
            </w:r>
            <w:r w:rsidRPr="00E4581C">
              <w:rPr>
                <w:rFonts w:ascii="Times New Roman" w:hAnsi="Times New Roman"/>
                <w:sz w:val="18"/>
                <w:szCs w:val="18"/>
                <w:lang w:val="es-ES_tradnl"/>
              </w:rPr>
              <w:t xml:space="preserve"> </w:t>
            </w:r>
          </w:p>
        </w:tc>
        <w:tc>
          <w:tcPr>
            <w:tcW w:w="4424" w:type="dxa"/>
            <w:hideMark/>
          </w:tcPr>
          <w:p w14:paraId="5B4F469A" w14:textId="2D46A3D6"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Taller sobre valores en África (producto previsto 3 d))</w:t>
            </w:r>
          </w:p>
        </w:tc>
        <w:tc>
          <w:tcPr>
            <w:tcW w:w="1639" w:type="dxa"/>
            <w:hideMark/>
          </w:tcPr>
          <w:p w14:paraId="0B547916" w14:textId="13D570CC"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Gastos de viaje, alojamiento, instalaciones para reuniones y apoyo local </w:t>
            </w:r>
          </w:p>
        </w:tc>
        <w:tc>
          <w:tcPr>
            <w:tcW w:w="1734" w:type="dxa"/>
            <w:vAlign w:val="bottom"/>
            <w:hideMark/>
          </w:tcPr>
          <w:p w14:paraId="42B5ED20" w14:textId="189D9810" w:rsidR="000958F5" w:rsidRPr="00E4581C" w:rsidRDefault="000958F5" w:rsidP="00536253">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52 258</w:t>
            </w:r>
          </w:p>
        </w:tc>
      </w:tr>
      <w:tr w:rsidR="000958F5" w:rsidRPr="00E4581C" w14:paraId="0A9FD8D5" w14:textId="77777777" w:rsidTr="006E5666">
        <w:trPr>
          <w:gridAfter w:val="1"/>
          <w:wAfter w:w="14" w:type="dxa"/>
          <w:trHeight w:val="57"/>
        </w:trPr>
        <w:tc>
          <w:tcPr>
            <w:tcW w:w="2235" w:type="dxa"/>
            <w:hideMark/>
          </w:tcPr>
          <w:p w14:paraId="12C18DD0" w14:textId="50A9F1AE" w:rsidR="000958F5" w:rsidRPr="00E4581C" w:rsidRDefault="000958F5" w:rsidP="006E5666">
            <w:pPr>
              <w:keepNext/>
              <w:keepLines/>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lastRenderedPageBreak/>
              <w:t>SwedBio e Instituto Humboldt</w:t>
            </w:r>
          </w:p>
        </w:tc>
        <w:tc>
          <w:tcPr>
            <w:tcW w:w="4424" w:type="dxa"/>
            <w:hideMark/>
          </w:tcPr>
          <w:p w14:paraId="266A0E13" w14:textId="0431960A" w:rsidR="000958F5" w:rsidRPr="00E4581C" w:rsidRDefault="000958F5" w:rsidP="006E5666">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Taller sobre valores en América Latina (producto previsto 3 d))</w:t>
            </w:r>
          </w:p>
        </w:tc>
        <w:tc>
          <w:tcPr>
            <w:tcW w:w="1639" w:type="dxa"/>
            <w:hideMark/>
          </w:tcPr>
          <w:p w14:paraId="4DAABA81" w14:textId="7253AFA8" w:rsidR="000958F5" w:rsidRPr="00E4581C" w:rsidRDefault="000958F5" w:rsidP="006E5666">
            <w:pPr>
              <w:keepNext/>
              <w:keepLines/>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Gastos de viaje, alojamiento, instalaciones para reuniones y apoyo local </w:t>
            </w:r>
          </w:p>
        </w:tc>
        <w:tc>
          <w:tcPr>
            <w:tcW w:w="1734" w:type="dxa"/>
            <w:vAlign w:val="bottom"/>
            <w:hideMark/>
          </w:tcPr>
          <w:p w14:paraId="29C1CB45" w14:textId="3C92B1B0" w:rsidR="000958F5" w:rsidRPr="00E4581C" w:rsidRDefault="000958F5" w:rsidP="006E5666">
            <w:pPr>
              <w:keepNext/>
              <w:keepLines/>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74 213</w:t>
            </w:r>
          </w:p>
        </w:tc>
      </w:tr>
      <w:tr w:rsidR="000958F5" w:rsidRPr="00E4581C" w14:paraId="28EED31A" w14:textId="77777777" w:rsidTr="006E5666">
        <w:trPr>
          <w:gridAfter w:val="1"/>
          <w:wAfter w:w="14" w:type="dxa"/>
          <w:trHeight w:val="57"/>
        </w:trPr>
        <w:tc>
          <w:tcPr>
            <w:tcW w:w="2235" w:type="dxa"/>
            <w:hideMark/>
          </w:tcPr>
          <w:p w14:paraId="16EEC655" w14:textId="191C5FD8" w:rsidR="000958F5" w:rsidRPr="00E4581C" w:rsidRDefault="000958F5" w:rsidP="006E5666">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SwedBio e Instituto de Fauna y Flora Silvestres de la India</w:t>
            </w:r>
          </w:p>
        </w:tc>
        <w:tc>
          <w:tcPr>
            <w:tcW w:w="4424" w:type="dxa"/>
            <w:hideMark/>
          </w:tcPr>
          <w:p w14:paraId="613B671F" w14:textId="6023996B" w:rsidR="000958F5" w:rsidRPr="00E4581C" w:rsidRDefault="000958F5" w:rsidP="006E5666">
            <w:pPr>
              <w:keepNext/>
              <w:keepLines/>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Taller sobre valores en Asia y el Pacífico (producto previsto 3 d))</w:t>
            </w:r>
          </w:p>
        </w:tc>
        <w:tc>
          <w:tcPr>
            <w:tcW w:w="1639" w:type="dxa"/>
            <w:hideMark/>
          </w:tcPr>
          <w:p w14:paraId="3EEFEB9A" w14:textId="4F0E3755" w:rsidR="000958F5" w:rsidRPr="00E4581C" w:rsidRDefault="000958F5" w:rsidP="006E5666">
            <w:pPr>
              <w:keepNext/>
              <w:keepLines/>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Gastos de viaje, alojamiento, instalaciones para reuniones y apoyo local </w:t>
            </w:r>
          </w:p>
        </w:tc>
        <w:tc>
          <w:tcPr>
            <w:tcW w:w="1734" w:type="dxa"/>
            <w:vAlign w:val="bottom"/>
            <w:hideMark/>
          </w:tcPr>
          <w:p w14:paraId="152E3689" w14:textId="70DF5DA6" w:rsidR="000958F5" w:rsidRPr="00E4581C" w:rsidRDefault="000958F5" w:rsidP="006E5666">
            <w:pPr>
              <w:keepNext/>
              <w:keepLines/>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65 000</w:t>
            </w:r>
          </w:p>
        </w:tc>
      </w:tr>
      <w:tr w:rsidR="000958F5" w:rsidRPr="00E4581C" w14:paraId="0F5C53E5" w14:textId="77777777" w:rsidTr="006E5666">
        <w:trPr>
          <w:gridAfter w:val="1"/>
          <w:wAfter w:w="14" w:type="dxa"/>
          <w:trHeight w:val="57"/>
        </w:trPr>
        <w:tc>
          <w:tcPr>
            <w:tcW w:w="2235" w:type="dxa"/>
            <w:noWrap/>
            <w:hideMark/>
          </w:tcPr>
          <w:p w14:paraId="6D256229" w14:textId="7777777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Oppla</w:t>
            </w:r>
          </w:p>
        </w:tc>
        <w:tc>
          <w:tcPr>
            <w:tcW w:w="4424" w:type="dxa"/>
            <w:hideMark/>
          </w:tcPr>
          <w:p w14:paraId="4E33B74E" w14:textId="79060499"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Aportación de una arquitectura en la web lista para usarse como base para el catálogo de instrumentos y metodologías de apoyo normativo (producto previsto 4 c))</w:t>
            </w:r>
          </w:p>
        </w:tc>
        <w:tc>
          <w:tcPr>
            <w:tcW w:w="1639" w:type="dxa"/>
            <w:hideMark/>
          </w:tcPr>
          <w:p w14:paraId="310C0148" w14:textId="5BEA68B0"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Programas informáticos y apoyo técnico</w:t>
            </w:r>
          </w:p>
        </w:tc>
        <w:tc>
          <w:tcPr>
            <w:tcW w:w="1734" w:type="dxa"/>
            <w:noWrap/>
            <w:vAlign w:val="bottom"/>
            <w:hideMark/>
          </w:tcPr>
          <w:p w14:paraId="3499E7BF" w14:textId="4418A037"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150 000 </w:t>
            </w:r>
          </w:p>
        </w:tc>
      </w:tr>
      <w:tr w:rsidR="000958F5" w:rsidRPr="00E4581C" w14:paraId="2AC50CFA" w14:textId="77777777" w:rsidTr="006E5666">
        <w:trPr>
          <w:gridAfter w:val="1"/>
          <w:wAfter w:w="14" w:type="dxa"/>
          <w:trHeight w:val="57"/>
        </w:trPr>
        <w:tc>
          <w:tcPr>
            <w:tcW w:w="2235" w:type="dxa"/>
            <w:tcBorders>
              <w:bottom w:val="single" w:sz="4" w:space="0" w:color="auto"/>
            </w:tcBorders>
            <w:noWrap/>
            <w:hideMark/>
          </w:tcPr>
          <w:p w14:paraId="1CADE440" w14:textId="3D05255C"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UICN </w:t>
            </w:r>
          </w:p>
        </w:tc>
        <w:tc>
          <w:tcPr>
            <w:tcW w:w="4424" w:type="dxa"/>
            <w:tcBorders>
              <w:bottom w:val="single" w:sz="4" w:space="0" w:color="auto"/>
            </w:tcBorders>
            <w:hideMark/>
          </w:tcPr>
          <w:p w14:paraId="465E119C" w14:textId="097706C7"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para la aplicación de la estrategia de participación de interesados (producto previsto 4 d))</w:t>
            </w:r>
          </w:p>
        </w:tc>
        <w:tc>
          <w:tcPr>
            <w:tcW w:w="1639" w:type="dxa"/>
            <w:tcBorders>
              <w:bottom w:val="single" w:sz="4" w:space="0" w:color="auto"/>
            </w:tcBorders>
            <w:hideMark/>
          </w:tcPr>
          <w:p w14:paraId="37BE503D" w14:textId="2227D690"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w:t>
            </w:r>
          </w:p>
        </w:tc>
        <w:tc>
          <w:tcPr>
            <w:tcW w:w="1734" w:type="dxa"/>
            <w:tcBorders>
              <w:bottom w:val="single" w:sz="4" w:space="0" w:color="auto"/>
            </w:tcBorders>
            <w:noWrap/>
            <w:vAlign w:val="bottom"/>
            <w:hideMark/>
          </w:tcPr>
          <w:p w14:paraId="1B190AEE" w14:textId="7FC74202" w:rsidR="000958F5" w:rsidRPr="00E4581C" w:rsidRDefault="000958F5" w:rsidP="00536253">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70 000 </w:t>
            </w:r>
          </w:p>
        </w:tc>
      </w:tr>
      <w:tr w:rsidR="000958F5" w:rsidRPr="00E4581C" w14:paraId="3C585FA8" w14:textId="77777777" w:rsidTr="006E5666">
        <w:trPr>
          <w:gridAfter w:val="1"/>
          <w:wAfter w:w="14" w:type="dxa"/>
          <w:trHeight w:val="57"/>
        </w:trPr>
        <w:tc>
          <w:tcPr>
            <w:tcW w:w="2235" w:type="dxa"/>
            <w:tcBorders>
              <w:top w:val="single" w:sz="4" w:space="0" w:color="auto"/>
              <w:bottom w:val="single" w:sz="4" w:space="0" w:color="auto"/>
            </w:tcBorders>
            <w:hideMark/>
          </w:tcPr>
          <w:p w14:paraId="648F955B" w14:textId="11C3782A" w:rsidR="000958F5" w:rsidRPr="00E4581C" w:rsidRDefault="00DF5B02" w:rsidP="00536253">
            <w:pPr>
              <w:spacing w:before="40" w:after="40" w:line="240" w:lineRule="auto"/>
              <w:rPr>
                <w:rFonts w:ascii="Times New Roman" w:eastAsia="Times New Roman" w:hAnsi="Times New Roman"/>
                <w:b/>
                <w:bCs/>
                <w:color w:val="000000"/>
                <w:sz w:val="18"/>
                <w:szCs w:val="18"/>
                <w:lang w:val="es-ES_tradnl"/>
              </w:rPr>
            </w:pPr>
            <w:r w:rsidRPr="00E4581C">
              <w:rPr>
                <w:rFonts w:ascii="Times New Roman" w:hAnsi="Times New Roman"/>
                <w:b/>
                <w:bCs/>
                <w:sz w:val="18"/>
                <w:szCs w:val="18"/>
                <w:lang w:val="es-ES_tradnl"/>
              </w:rPr>
              <w:t>Total parcial</w:t>
            </w:r>
            <w:r w:rsidRPr="00E4581C">
              <w:rPr>
                <w:rFonts w:ascii="Times New Roman" w:hAnsi="Times New Roman"/>
                <w:sz w:val="18"/>
                <w:szCs w:val="18"/>
                <w:lang w:val="es-ES_tradnl"/>
              </w:rPr>
              <w:t xml:space="preserve"> </w:t>
            </w:r>
          </w:p>
        </w:tc>
        <w:tc>
          <w:tcPr>
            <w:tcW w:w="4424" w:type="dxa"/>
            <w:tcBorders>
              <w:top w:val="single" w:sz="4" w:space="0" w:color="auto"/>
              <w:bottom w:val="single" w:sz="4" w:space="0" w:color="auto"/>
            </w:tcBorders>
            <w:noWrap/>
            <w:hideMark/>
          </w:tcPr>
          <w:p w14:paraId="7361A949" w14:textId="77777777" w:rsidR="000958F5" w:rsidRPr="00E4581C" w:rsidRDefault="000958F5" w:rsidP="00536253">
            <w:pPr>
              <w:spacing w:before="40" w:after="40" w:line="240" w:lineRule="auto"/>
              <w:rPr>
                <w:rFonts w:ascii="Times New Roman" w:eastAsia="Times New Roman" w:hAnsi="Times New Roman"/>
                <w:b/>
                <w:bCs/>
                <w:color w:val="000000"/>
                <w:sz w:val="18"/>
                <w:szCs w:val="18"/>
                <w:lang w:val="es-ES_tradnl"/>
              </w:rPr>
            </w:pPr>
          </w:p>
        </w:tc>
        <w:tc>
          <w:tcPr>
            <w:tcW w:w="1639" w:type="dxa"/>
            <w:tcBorders>
              <w:top w:val="single" w:sz="4" w:space="0" w:color="auto"/>
              <w:bottom w:val="single" w:sz="4" w:space="0" w:color="auto"/>
            </w:tcBorders>
            <w:noWrap/>
            <w:hideMark/>
          </w:tcPr>
          <w:p w14:paraId="04A83E93" w14:textId="77777777" w:rsidR="000958F5" w:rsidRPr="00E4581C" w:rsidRDefault="000958F5" w:rsidP="00536253">
            <w:pPr>
              <w:spacing w:before="40" w:after="40" w:line="240" w:lineRule="auto"/>
              <w:rPr>
                <w:rFonts w:ascii="Times New Roman" w:eastAsia="Times New Roman" w:hAnsi="Times New Roman"/>
                <w:sz w:val="18"/>
                <w:szCs w:val="18"/>
                <w:lang w:val="es-ES_tradnl"/>
              </w:rPr>
            </w:pPr>
          </w:p>
        </w:tc>
        <w:tc>
          <w:tcPr>
            <w:tcW w:w="1734" w:type="dxa"/>
            <w:tcBorders>
              <w:top w:val="single" w:sz="4" w:space="0" w:color="auto"/>
              <w:bottom w:val="single" w:sz="4" w:space="0" w:color="auto"/>
            </w:tcBorders>
            <w:noWrap/>
            <w:vAlign w:val="bottom"/>
            <w:hideMark/>
          </w:tcPr>
          <w:p w14:paraId="457533FE" w14:textId="192FA74A" w:rsidR="000958F5" w:rsidRPr="00E4581C" w:rsidRDefault="000958F5" w:rsidP="00536253">
            <w:pPr>
              <w:spacing w:before="40" w:after="40" w:line="240" w:lineRule="auto"/>
              <w:jc w:val="right"/>
              <w:rPr>
                <w:rFonts w:ascii="Times New Roman" w:eastAsia="Times New Roman" w:hAnsi="Times New Roman"/>
                <w:b/>
                <w:bCs/>
                <w:color w:val="000000"/>
                <w:sz w:val="18"/>
                <w:szCs w:val="18"/>
                <w:lang w:val="es-ES_tradnl"/>
              </w:rPr>
            </w:pPr>
            <w:r w:rsidRPr="00E4581C">
              <w:rPr>
                <w:rFonts w:ascii="Times New Roman" w:hAnsi="Times New Roman"/>
                <w:b/>
                <w:sz w:val="18"/>
                <w:szCs w:val="18"/>
                <w:lang w:val="es-ES_tradnl"/>
              </w:rPr>
              <w:t>3 153 645</w:t>
            </w:r>
          </w:p>
        </w:tc>
      </w:tr>
      <w:tr w:rsidR="000958F5" w:rsidRPr="00E4581C" w14:paraId="7A5504B3" w14:textId="77777777" w:rsidTr="006E5666">
        <w:trPr>
          <w:gridAfter w:val="1"/>
          <w:wAfter w:w="14" w:type="dxa"/>
          <w:trHeight w:val="57"/>
        </w:trPr>
        <w:tc>
          <w:tcPr>
            <w:tcW w:w="2235" w:type="dxa"/>
            <w:tcBorders>
              <w:top w:val="single" w:sz="4" w:space="0" w:color="auto"/>
              <w:bottom w:val="single" w:sz="12" w:space="0" w:color="auto"/>
            </w:tcBorders>
            <w:hideMark/>
          </w:tcPr>
          <w:p w14:paraId="1A54651F" w14:textId="0B595CAB" w:rsidR="000958F5" w:rsidRPr="00E4581C" w:rsidRDefault="000958F5" w:rsidP="00536253">
            <w:pPr>
              <w:spacing w:before="120" w:after="6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general (1 +2 +3)</w:t>
            </w:r>
          </w:p>
        </w:tc>
        <w:tc>
          <w:tcPr>
            <w:tcW w:w="4424" w:type="dxa"/>
            <w:tcBorders>
              <w:top w:val="single" w:sz="4" w:space="0" w:color="auto"/>
              <w:bottom w:val="single" w:sz="12" w:space="0" w:color="auto"/>
            </w:tcBorders>
            <w:hideMark/>
          </w:tcPr>
          <w:p w14:paraId="32B819EC" w14:textId="77777777" w:rsidR="000958F5" w:rsidRPr="00E4581C" w:rsidRDefault="000958F5" w:rsidP="00536253">
            <w:pPr>
              <w:tabs>
                <w:tab w:val="right" w:pos="851"/>
                <w:tab w:val="left" w:pos="1247"/>
                <w:tab w:val="left" w:pos="1814"/>
                <w:tab w:val="left" w:pos="2381"/>
                <w:tab w:val="left" w:pos="2948"/>
                <w:tab w:val="left" w:pos="3515"/>
                <w:tab w:val="left" w:pos="4082"/>
              </w:tabs>
              <w:suppressAutoHyphens/>
              <w:spacing w:before="120" w:after="60" w:line="240" w:lineRule="auto"/>
              <w:ind w:left="1247" w:right="284" w:hanging="1247"/>
              <w:rPr>
                <w:rFonts w:ascii="Times New Roman" w:hAnsi="Times New Roman"/>
                <w:b/>
                <w:color w:val="000000"/>
                <w:sz w:val="18"/>
                <w:szCs w:val="18"/>
                <w:lang w:val="es-ES_tradnl"/>
              </w:rPr>
            </w:pPr>
          </w:p>
        </w:tc>
        <w:tc>
          <w:tcPr>
            <w:tcW w:w="1639" w:type="dxa"/>
            <w:tcBorders>
              <w:top w:val="single" w:sz="4" w:space="0" w:color="auto"/>
              <w:bottom w:val="single" w:sz="12" w:space="0" w:color="auto"/>
            </w:tcBorders>
            <w:hideMark/>
          </w:tcPr>
          <w:p w14:paraId="5BC74D65" w14:textId="77777777" w:rsidR="000958F5" w:rsidRPr="00E4581C" w:rsidRDefault="000958F5" w:rsidP="00536253">
            <w:pPr>
              <w:tabs>
                <w:tab w:val="right" w:pos="851"/>
                <w:tab w:val="left" w:pos="1247"/>
                <w:tab w:val="left" w:pos="1814"/>
                <w:tab w:val="left" w:pos="2381"/>
                <w:tab w:val="left" w:pos="2948"/>
                <w:tab w:val="left" w:pos="3515"/>
                <w:tab w:val="left" w:pos="4082"/>
              </w:tabs>
              <w:suppressAutoHyphens/>
              <w:spacing w:before="120" w:after="60" w:line="240" w:lineRule="auto"/>
              <w:ind w:left="1247" w:right="284" w:hanging="1247"/>
              <w:rPr>
                <w:rFonts w:ascii="Times New Roman" w:hAnsi="Times New Roman"/>
                <w:sz w:val="18"/>
                <w:szCs w:val="18"/>
                <w:lang w:val="es-ES_tradnl"/>
              </w:rPr>
            </w:pPr>
          </w:p>
        </w:tc>
        <w:tc>
          <w:tcPr>
            <w:tcW w:w="1734" w:type="dxa"/>
            <w:tcBorders>
              <w:top w:val="single" w:sz="4" w:space="0" w:color="auto"/>
              <w:bottom w:val="single" w:sz="12" w:space="0" w:color="auto"/>
            </w:tcBorders>
            <w:vAlign w:val="bottom"/>
            <w:hideMark/>
          </w:tcPr>
          <w:p w14:paraId="468BC017" w14:textId="0C7B5FFB" w:rsidR="000958F5" w:rsidRPr="00E4581C" w:rsidRDefault="000958F5" w:rsidP="00536253">
            <w:pPr>
              <w:spacing w:before="120" w:after="6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5 486 645</w:t>
            </w:r>
          </w:p>
        </w:tc>
      </w:tr>
    </w:tbl>
    <w:p w14:paraId="2C68AD37" w14:textId="67570B75" w:rsidR="000958F5" w:rsidRPr="00703A97" w:rsidRDefault="000958F5" w:rsidP="00E4581C">
      <w:pPr>
        <w:pStyle w:val="CH1"/>
        <w:keepNext w:val="0"/>
        <w:keepLines w:val="0"/>
        <w:rPr>
          <w:lang w:val="es-ES_tradnl"/>
        </w:rPr>
      </w:pPr>
      <w:r w:rsidRPr="00703A97">
        <w:rPr>
          <w:lang w:val="es-ES_tradnl"/>
        </w:rPr>
        <w:tab/>
      </w:r>
      <w:r w:rsidR="00FB57B5">
        <w:rPr>
          <w:bCs/>
          <w:lang w:val="es-ES_tradnl"/>
        </w:rPr>
        <w:t>I</w:t>
      </w:r>
      <w:r w:rsidRPr="00703A97">
        <w:rPr>
          <w:bCs/>
          <w:lang w:val="es-ES_tradnl"/>
        </w:rPr>
        <w:t>I.</w:t>
      </w:r>
      <w:r w:rsidRPr="00703A97">
        <w:rPr>
          <w:lang w:val="es-ES_tradnl"/>
        </w:rPr>
        <w:tab/>
      </w:r>
      <w:r w:rsidRPr="00703A97">
        <w:rPr>
          <w:bCs/>
          <w:lang w:val="es-ES_tradnl"/>
        </w:rPr>
        <w:t>Gastos correspondientes a 2015</w:t>
      </w:r>
      <w:r w:rsidRPr="00703A97">
        <w:rPr>
          <w:lang w:val="es-ES_tradnl"/>
        </w:rPr>
        <w:t xml:space="preserve"> </w:t>
      </w:r>
    </w:p>
    <w:p w14:paraId="46C9F40B" w14:textId="4669DEAE" w:rsidR="000958F5" w:rsidRPr="00703A97" w:rsidRDefault="000958F5" w:rsidP="004D359B">
      <w:pPr>
        <w:pStyle w:val="Normalnumber"/>
        <w:numPr>
          <w:ilvl w:val="0"/>
          <w:numId w:val="5"/>
        </w:numPr>
        <w:ind w:left="1247" w:firstLine="0"/>
        <w:rPr>
          <w:sz w:val="17"/>
          <w:szCs w:val="17"/>
          <w:lang w:val="es-ES_tradnl"/>
        </w:rPr>
      </w:pPr>
      <w:r w:rsidRPr="00703A97">
        <w:rPr>
          <w:lang w:val="es-ES_tradnl"/>
        </w:rPr>
        <w:t xml:space="preserve">En el cuadro 3 se comparan los gastos (al 1 de diciembre de 2015) </w:t>
      </w:r>
      <w:r w:rsidR="00024D90">
        <w:rPr>
          <w:lang w:val="es-ES_tradnl"/>
        </w:rPr>
        <w:t>correspondientes a 2015, con el </w:t>
      </w:r>
      <w:r w:rsidRPr="00703A97">
        <w:rPr>
          <w:lang w:val="es-ES_tradnl"/>
        </w:rPr>
        <w:t>presupuesto de ese año aprobado por el Plenario en su tercer perí</w:t>
      </w:r>
      <w:r w:rsidR="00024D90">
        <w:rPr>
          <w:lang w:val="es-ES_tradnl"/>
        </w:rPr>
        <w:t>odo de sesiones (decisión IPBES</w:t>
      </w:r>
      <w:r w:rsidR="00356A65">
        <w:rPr>
          <w:lang w:val="es-ES_tradnl"/>
        </w:rPr>
        <w:noBreakHyphen/>
      </w:r>
      <w:r w:rsidRPr="00703A97">
        <w:rPr>
          <w:lang w:val="es-ES_tradnl"/>
        </w:rPr>
        <w:t>3/2), sobre la base de ingresos en efectivo modificados (por eje</w:t>
      </w:r>
      <w:r w:rsidR="00024D90">
        <w:rPr>
          <w:lang w:val="es-ES_tradnl"/>
        </w:rPr>
        <w:t>mplo, con inclusión de gastos y </w:t>
      </w:r>
      <w:r w:rsidRPr="00703A97">
        <w:rPr>
          <w:lang w:val="es-ES_tradnl"/>
        </w:rPr>
        <w:t xml:space="preserve">compromisos reales). </w:t>
      </w:r>
    </w:p>
    <w:p w14:paraId="4CA41466" w14:textId="295E2D42" w:rsidR="000958F5" w:rsidRPr="00703A97" w:rsidRDefault="000958F5" w:rsidP="000F1CF2">
      <w:pPr>
        <w:pStyle w:val="Titletable"/>
        <w:spacing w:before="120" w:after="0"/>
        <w:ind w:left="0"/>
        <w:rPr>
          <w:lang w:val="es-ES_tradnl"/>
        </w:rPr>
      </w:pPr>
      <w:r w:rsidRPr="000F1CF2">
        <w:rPr>
          <w:b w:val="0"/>
          <w:lang w:val="es-ES_tradnl"/>
        </w:rPr>
        <w:t xml:space="preserve">Cuadro 3 </w:t>
      </w:r>
      <w:r w:rsidR="000F1CF2" w:rsidRPr="000F1CF2">
        <w:rPr>
          <w:b w:val="0"/>
          <w:lang w:val="es-ES_tradnl"/>
        </w:rPr>
        <w:br/>
      </w:r>
      <w:r w:rsidRPr="000F1CF2">
        <w:rPr>
          <w:lang w:val="es-ES_tradnl"/>
        </w:rPr>
        <w:t>Gastos correspondientes a 2015</w:t>
      </w:r>
    </w:p>
    <w:p w14:paraId="4DAF750E" w14:textId="58059C3E" w:rsidR="000958F5" w:rsidRPr="000F1CF2" w:rsidRDefault="000958F5" w:rsidP="000958F5">
      <w:pPr>
        <w:pStyle w:val="Titletable"/>
        <w:keepNext w:val="0"/>
        <w:keepLines w:val="0"/>
        <w:ind w:left="0"/>
        <w:rPr>
          <w:b w:val="0"/>
          <w:sz w:val="18"/>
          <w:szCs w:val="18"/>
          <w:lang w:val="es-ES_tradnl"/>
        </w:rPr>
      </w:pPr>
      <w:r w:rsidRPr="000F1CF2">
        <w:rPr>
          <w:b w:val="0"/>
          <w:sz w:val="18"/>
          <w:szCs w:val="18"/>
          <w:lang w:val="es-ES_tradnl"/>
        </w:rPr>
        <w:t>(en dólares de los Estados Unidos)</w:t>
      </w:r>
    </w:p>
    <w:tbl>
      <w:tblPr>
        <w:tblW w:w="9890" w:type="dxa"/>
        <w:tblLayout w:type="fixed"/>
        <w:tblLook w:val="04A0" w:firstRow="1" w:lastRow="0" w:firstColumn="1" w:lastColumn="0" w:noHBand="0" w:noVBand="1"/>
      </w:tblPr>
      <w:tblGrid>
        <w:gridCol w:w="5721"/>
        <w:gridCol w:w="1389"/>
        <w:gridCol w:w="1390"/>
        <w:gridCol w:w="1390"/>
      </w:tblGrid>
      <w:tr w:rsidR="000958F5" w:rsidRPr="00E4581C" w14:paraId="2076A833" w14:textId="77777777" w:rsidTr="00536253">
        <w:trPr>
          <w:trHeight w:val="600"/>
          <w:tblHeader/>
        </w:trPr>
        <w:tc>
          <w:tcPr>
            <w:tcW w:w="5721" w:type="dxa"/>
            <w:tcBorders>
              <w:top w:val="single" w:sz="4" w:space="0" w:color="auto"/>
              <w:left w:val="nil"/>
              <w:bottom w:val="single" w:sz="12" w:space="0" w:color="auto"/>
              <w:right w:val="nil"/>
            </w:tcBorders>
            <w:shd w:val="clear" w:color="auto" w:fill="auto"/>
            <w:vAlign w:val="bottom"/>
            <w:hideMark/>
          </w:tcPr>
          <w:p w14:paraId="5F2A786B" w14:textId="5F5399FE" w:rsidR="000958F5" w:rsidRPr="00E4581C" w:rsidRDefault="000958F5" w:rsidP="00BE54B2">
            <w:pPr>
              <w:spacing w:before="40" w:after="40" w:line="240" w:lineRule="auto"/>
              <w:rPr>
                <w:rFonts w:ascii="Times New Roman" w:hAnsi="Times New Roman"/>
                <w:i/>
                <w:color w:val="000000"/>
                <w:sz w:val="18"/>
                <w:szCs w:val="18"/>
                <w:lang w:val="es-ES_tradnl"/>
              </w:rPr>
            </w:pPr>
            <w:r w:rsidRPr="00E4581C">
              <w:rPr>
                <w:rFonts w:ascii="Times New Roman" w:hAnsi="Times New Roman"/>
                <w:i/>
                <w:iCs/>
                <w:sz w:val="18"/>
                <w:szCs w:val="18"/>
                <w:lang w:val="es-ES_tradnl"/>
              </w:rPr>
              <w:t>Partida presupuestaria</w:t>
            </w:r>
          </w:p>
        </w:tc>
        <w:tc>
          <w:tcPr>
            <w:tcW w:w="1389" w:type="dxa"/>
            <w:tcBorders>
              <w:top w:val="single" w:sz="4" w:space="0" w:color="auto"/>
              <w:left w:val="nil"/>
              <w:bottom w:val="single" w:sz="12" w:space="0" w:color="auto"/>
              <w:right w:val="nil"/>
            </w:tcBorders>
            <w:shd w:val="clear" w:color="000000" w:fill="FFFFFF"/>
            <w:noWrap/>
            <w:vAlign w:val="bottom"/>
            <w:hideMark/>
          </w:tcPr>
          <w:p w14:paraId="7B5A9502" w14:textId="43574809" w:rsidR="000958F5" w:rsidRPr="00E4581C" w:rsidRDefault="00BE54B2" w:rsidP="00BE54B2">
            <w:pPr>
              <w:spacing w:before="40" w:after="40" w:line="240" w:lineRule="auto"/>
              <w:jc w:val="right"/>
              <w:rPr>
                <w:rFonts w:ascii="Times New Roman" w:hAnsi="Times New Roman"/>
                <w:i/>
                <w:color w:val="000000"/>
                <w:sz w:val="18"/>
                <w:szCs w:val="18"/>
                <w:lang w:val="es-ES_tradnl"/>
              </w:rPr>
            </w:pPr>
            <w:r w:rsidRPr="00E4581C">
              <w:rPr>
                <w:rFonts w:ascii="Times New Roman" w:hAnsi="Times New Roman"/>
                <w:i/>
                <w:iCs/>
                <w:sz w:val="18"/>
                <w:szCs w:val="18"/>
                <w:lang w:val="es-ES_tradnl"/>
              </w:rPr>
              <w:t>Presupuesto para 2015</w:t>
            </w:r>
          </w:p>
        </w:tc>
        <w:tc>
          <w:tcPr>
            <w:tcW w:w="1390" w:type="dxa"/>
            <w:tcBorders>
              <w:top w:val="single" w:sz="4" w:space="0" w:color="auto"/>
              <w:left w:val="nil"/>
              <w:bottom w:val="single" w:sz="12" w:space="0" w:color="auto"/>
              <w:right w:val="nil"/>
            </w:tcBorders>
            <w:shd w:val="clear" w:color="000000" w:fill="FFFFFF"/>
            <w:noWrap/>
            <w:vAlign w:val="bottom"/>
            <w:hideMark/>
          </w:tcPr>
          <w:p w14:paraId="5D135C65" w14:textId="10B4E748" w:rsidR="000958F5" w:rsidRPr="00E4581C" w:rsidRDefault="000958F5" w:rsidP="00BE54B2">
            <w:pPr>
              <w:spacing w:before="40" w:after="40" w:line="240" w:lineRule="auto"/>
              <w:jc w:val="right"/>
              <w:rPr>
                <w:rFonts w:ascii="Times New Roman" w:hAnsi="Times New Roman"/>
                <w:i/>
                <w:color w:val="000000"/>
                <w:sz w:val="18"/>
                <w:szCs w:val="18"/>
                <w:lang w:val="es-ES_tradnl"/>
              </w:rPr>
            </w:pPr>
            <w:r w:rsidRPr="00E4581C">
              <w:rPr>
                <w:rFonts w:ascii="Times New Roman" w:hAnsi="Times New Roman"/>
                <w:i/>
                <w:iCs/>
                <w:sz w:val="18"/>
                <w:szCs w:val="18"/>
                <w:lang w:val="es-ES_tradnl"/>
              </w:rPr>
              <w:t>Gastos en 2015</w:t>
            </w:r>
          </w:p>
        </w:tc>
        <w:tc>
          <w:tcPr>
            <w:tcW w:w="1390" w:type="dxa"/>
            <w:tcBorders>
              <w:top w:val="single" w:sz="4" w:space="0" w:color="auto"/>
              <w:left w:val="nil"/>
              <w:bottom w:val="single" w:sz="12" w:space="0" w:color="auto"/>
              <w:right w:val="nil"/>
            </w:tcBorders>
            <w:shd w:val="clear" w:color="000000" w:fill="FFFFFF"/>
            <w:noWrap/>
            <w:vAlign w:val="bottom"/>
            <w:hideMark/>
          </w:tcPr>
          <w:p w14:paraId="4ACC7378" w14:textId="77777777" w:rsidR="000958F5" w:rsidRPr="00E4581C" w:rsidRDefault="000958F5" w:rsidP="00BE54B2">
            <w:pPr>
              <w:spacing w:before="40" w:after="40" w:line="240" w:lineRule="auto"/>
              <w:jc w:val="right"/>
              <w:rPr>
                <w:rFonts w:ascii="Times New Roman" w:hAnsi="Times New Roman"/>
                <w:i/>
                <w:color w:val="000000"/>
                <w:sz w:val="18"/>
                <w:szCs w:val="18"/>
                <w:lang w:val="es-ES_tradnl"/>
              </w:rPr>
            </w:pPr>
            <w:r w:rsidRPr="00E4581C">
              <w:rPr>
                <w:rFonts w:ascii="Times New Roman" w:hAnsi="Times New Roman"/>
                <w:i/>
                <w:iCs/>
                <w:sz w:val="18"/>
                <w:szCs w:val="18"/>
                <w:lang w:val="es-ES_tradnl"/>
              </w:rPr>
              <w:t>Saldo</w:t>
            </w:r>
          </w:p>
        </w:tc>
      </w:tr>
      <w:tr w:rsidR="000958F5" w:rsidRPr="000930FA" w14:paraId="72A7CC5F" w14:textId="77777777" w:rsidTr="00846A75">
        <w:trPr>
          <w:trHeight w:val="235"/>
        </w:trPr>
        <w:tc>
          <w:tcPr>
            <w:tcW w:w="5721" w:type="dxa"/>
            <w:tcBorders>
              <w:top w:val="nil"/>
              <w:left w:val="nil"/>
              <w:bottom w:val="nil"/>
              <w:right w:val="nil"/>
            </w:tcBorders>
            <w:shd w:val="clear" w:color="000000" w:fill="FFFFFF"/>
            <w:noWrap/>
            <w:vAlign w:val="center"/>
            <w:hideMark/>
          </w:tcPr>
          <w:p w14:paraId="031F6BB2" w14:textId="7405626C" w:rsidR="000958F5" w:rsidRPr="00E4581C" w:rsidRDefault="000958F5" w:rsidP="00536253">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1.</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Reuniones de los órganos de la Plataforma</w:t>
            </w:r>
          </w:p>
        </w:tc>
        <w:tc>
          <w:tcPr>
            <w:tcW w:w="1389" w:type="dxa"/>
            <w:tcBorders>
              <w:top w:val="nil"/>
              <w:left w:val="nil"/>
              <w:bottom w:val="nil"/>
              <w:right w:val="nil"/>
            </w:tcBorders>
            <w:shd w:val="clear" w:color="000000" w:fill="FFFFFF"/>
            <w:noWrap/>
            <w:vAlign w:val="bottom"/>
            <w:hideMark/>
          </w:tcPr>
          <w:p w14:paraId="677343DC" w14:textId="76126437" w:rsidR="000958F5" w:rsidRPr="00E4581C" w:rsidRDefault="000D3AC4"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c>
          <w:tcPr>
            <w:tcW w:w="1390" w:type="dxa"/>
            <w:tcBorders>
              <w:top w:val="nil"/>
              <w:left w:val="nil"/>
              <w:bottom w:val="nil"/>
              <w:right w:val="nil"/>
            </w:tcBorders>
            <w:shd w:val="clear" w:color="000000" w:fill="FFFFFF"/>
            <w:noWrap/>
            <w:vAlign w:val="bottom"/>
            <w:hideMark/>
          </w:tcPr>
          <w:p w14:paraId="4BFF319B" w14:textId="7AFC60FF" w:rsidR="000958F5" w:rsidRPr="00E4581C" w:rsidRDefault="000D3AC4"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c>
          <w:tcPr>
            <w:tcW w:w="1390" w:type="dxa"/>
            <w:tcBorders>
              <w:top w:val="nil"/>
              <w:left w:val="nil"/>
              <w:bottom w:val="nil"/>
              <w:right w:val="nil"/>
            </w:tcBorders>
            <w:shd w:val="clear" w:color="000000" w:fill="FFFFFF"/>
            <w:noWrap/>
            <w:vAlign w:val="bottom"/>
            <w:hideMark/>
          </w:tcPr>
          <w:p w14:paraId="181EDA42" w14:textId="18A5355C" w:rsidR="000958F5" w:rsidRPr="00E4581C" w:rsidRDefault="000D3AC4"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r>
      <w:tr w:rsidR="000958F5" w:rsidRPr="000930FA" w14:paraId="265B26F3" w14:textId="77777777" w:rsidTr="00846A75">
        <w:trPr>
          <w:trHeight w:val="235"/>
        </w:trPr>
        <w:tc>
          <w:tcPr>
            <w:tcW w:w="5721" w:type="dxa"/>
            <w:tcBorders>
              <w:top w:val="nil"/>
              <w:left w:val="nil"/>
              <w:bottom w:val="nil"/>
              <w:right w:val="nil"/>
            </w:tcBorders>
            <w:shd w:val="clear" w:color="000000" w:fill="FFFFFF"/>
            <w:noWrap/>
            <w:vAlign w:val="center"/>
            <w:hideMark/>
          </w:tcPr>
          <w:p w14:paraId="2A5853C5" w14:textId="3526A5B5" w:rsidR="000958F5" w:rsidRPr="00E4581C" w:rsidRDefault="000958F5" w:rsidP="00536253">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1.1 Período de sesiones anual del Plenario</w:t>
            </w:r>
            <w:r w:rsidRPr="00E4581C">
              <w:rPr>
                <w:rFonts w:ascii="Times New Roman" w:hAnsi="Times New Roman"/>
                <w:sz w:val="18"/>
                <w:szCs w:val="18"/>
                <w:lang w:val="es-ES_tradnl"/>
              </w:rPr>
              <w:t xml:space="preserve"> </w:t>
            </w:r>
          </w:p>
        </w:tc>
        <w:tc>
          <w:tcPr>
            <w:tcW w:w="1389" w:type="dxa"/>
            <w:tcBorders>
              <w:top w:val="nil"/>
              <w:left w:val="nil"/>
              <w:bottom w:val="nil"/>
              <w:right w:val="nil"/>
            </w:tcBorders>
            <w:shd w:val="clear" w:color="000000" w:fill="FFFFFF"/>
            <w:noWrap/>
            <w:vAlign w:val="bottom"/>
            <w:hideMark/>
          </w:tcPr>
          <w:p w14:paraId="19927EC4" w14:textId="2EC1F8E9" w:rsidR="000958F5" w:rsidRPr="00E4581C" w:rsidRDefault="000D3AC4"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c>
          <w:tcPr>
            <w:tcW w:w="1390" w:type="dxa"/>
            <w:tcBorders>
              <w:top w:val="nil"/>
              <w:left w:val="nil"/>
              <w:bottom w:val="nil"/>
              <w:right w:val="nil"/>
            </w:tcBorders>
            <w:shd w:val="clear" w:color="000000" w:fill="FFFFFF"/>
            <w:noWrap/>
            <w:vAlign w:val="bottom"/>
            <w:hideMark/>
          </w:tcPr>
          <w:p w14:paraId="2415E2A5" w14:textId="01CD9710" w:rsidR="000958F5" w:rsidRPr="00E4581C" w:rsidRDefault="000D3AC4"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c>
          <w:tcPr>
            <w:tcW w:w="1390" w:type="dxa"/>
            <w:tcBorders>
              <w:top w:val="nil"/>
              <w:left w:val="nil"/>
              <w:bottom w:val="nil"/>
              <w:right w:val="nil"/>
            </w:tcBorders>
            <w:shd w:val="clear" w:color="000000" w:fill="FFFFFF"/>
            <w:noWrap/>
            <w:vAlign w:val="bottom"/>
            <w:hideMark/>
          </w:tcPr>
          <w:p w14:paraId="76A4ABAE" w14:textId="0A30610D" w:rsidR="000958F5" w:rsidRPr="00E4581C" w:rsidRDefault="000D3AC4"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r>
      <w:tr w:rsidR="000958F5" w:rsidRPr="00E4581C" w14:paraId="4EFF2B30" w14:textId="77777777" w:rsidTr="00846A75">
        <w:trPr>
          <w:trHeight w:val="235"/>
        </w:trPr>
        <w:tc>
          <w:tcPr>
            <w:tcW w:w="5721" w:type="dxa"/>
            <w:tcBorders>
              <w:top w:val="nil"/>
              <w:left w:val="nil"/>
              <w:bottom w:val="nil"/>
              <w:right w:val="nil"/>
            </w:tcBorders>
            <w:shd w:val="clear" w:color="000000" w:fill="FFFFFF"/>
            <w:noWrap/>
            <w:vAlign w:val="center"/>
            <w:hideMark/>
          </w:tcPr>
          <w:p w14:paraId="11F2121F" w14:textId="0D950EA5"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Gastos de viaje de los participantes en el tercer período de sesiones del Plenario (viajes y dietas) </w:t>
            </w:r>
          </w:p>
        </w:tc>
        <w:tc>
          <w:tcPr>
            <w:tcW w:w="1389" w:type="dxa"/>
            <w:tcBorders>
              <w:top w:val="nil"/>
              <w:left w:val="nil"/>
              <w:bottom w:val="nil"/>
              <w:right w:val="nil"/>
            </w:tcBorders>
            <w:shd w:val="clear" w:color="000000" w:fill="FFFFFF"/>
            <w:noWrap/>
            <w:vAlign w:val="bottom"/>
            <w:hideMark/>
          </w:tcPr>
          <w:p w14:paraId="0EADDA93" w14:textId="2DF84F0B"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480 000</w:t>
            </w:r>
          </w:p>
        </w:tc>
        <w:tc>
          <w:tcPr>
            <w:tcW w:w="1390" w:type="dxa"/>
            <w:tcBorders>
              <w:top w:val="nil"/>
              <w:left w:val="nil"/>
              <w:bottom w:val="nil"/>
              <w:right w:val="nil"/>
            </w:tcBorders>
            <w:shd w:val="clear" w:color="000000" w:fill="FFFFFF"/>
            <w:noWrap/>
            <w:vAlign w:val="bottom"/>
            <w:hideMark/>
          </w:tcPr>
          <w:p w14:paraId="3EA6EC6E" w14:textId="71F8A8E3"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434 156</w:t>
            </w:r>
          </w:p>
        </w:tc>
        <w:tc>
          <w:tcPr>
            <w:tcW w:w="1390" w:type="dxa"/>
            <w:tcBorders>
              <w:top w:val="nil"/>
              <w:left w:val="nil"/>
              <w:bottom w:val="nil"/>
              <w:right w:val="nil"/>
            </w:tcBorders>
            <w:shd w:val="clear" w:color="000000" w:fill="FFFFFF"/>
            <w:noWrap/>
            <w:vAlign w:val="bottom"/>
            <w:hideMark/>
          </w:tcPr>
          <w:p w14:paraId="24C90630" w14:textId="59A760E0"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45 844</w:t>
            </w:r>
          </w:p>
        </w:tc>
      </w:tr>
      <w:tr w:rsidR="000958F5" w:rsidRPr="00E4581C" w14:paraId="37DCFD53" w14:textId="77777777" w:rsidTr="00846A75">
        <w:trPr>
          <w:trHeight w:val="235"/>
        </w:trPr>
        <w:tc>
          <w:tcPr>
            <w:tcW w:w="5721" w:type="dxa"/>
            <w:tcBorders>
              <w:top w:val="nil"/>
              <w:left w:val="nil"/>
              <w:bottom w:val="nil"/>
              <w:right w:val="nil"/>
            </w:tcBorders>
            <w:shd w:val="clear" w:color="000000" w:fill="FFFFFF"/>
            <w:noWrap/>
            <w:vAlign w:val="center"/>
            <w:hideMark/>
          </w:tcPr>
          <w:p w14:paraId="2E28C2C8" w14:textId="67B6B8F7" w:rsidR="000958F5"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Servicios de conferencias (traducción, edición e interpretación) y lugar de celebración </w:t>
            </w:r>
          </w:p>
        </w:tc>
        <w:tc>
          <w:tcPr>
            <w:tcW w:w="1389" w:type="dxa"/>
            <w:tcBorders>
              <w:top w:val="nil"/>
              <w:left w:val="nil"/>
              <w:bottom w:val="nil"/>
              <w:right w:val="nil"/>
            </w:tcBorders>
            <w:shd w:val="clear" w:color="000000" w:fill="FFFFFF"/>
            <w:noWrap/>
            <w:vAlign w:val="bottom"/>
            <w:hideMark/>
          </w:tcPr>
          <w:p w14:paraId="6CC52D2C" w14:textId="08E498F8"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600 000</w:t>
            </w:r>
          </w:p>
        </w:tc>
        <w:tc>
          <w:tcPr>
            <w:tcW w:w="1390" w:type="dxa"/>
            <w:tcBorders>
              <w:top w:val="nil"/>
              <w:left w:val="nil"/>
              <w:bottom w:val="nil"/>
              <w:right w:val="nil"/>
            </w:tcBorders>
            <w:shd w:val="clear" w:color="000000" w:fill="FFFFFF"/>
            <w:noWrap/>
            <w:vAlign w:val="bottom"/>
            <w:hideMark/>
          </w:tcPr>
          <w:p w14:paraId="6362EBDD" w14:textId="08B06B83"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522 735</w:t>
            </w:r>
          </w:p>
        </w:tc>
        <w:tc>
          <w:tcPr>
            <w:tcW w:w="1390" w:type="dxa"/>
            <w:tcBorders>
              <w:top w:val="nil"/>
              <w:left w:val="nil"/>
              <w:bottom w:val="nil"/>
              <w:right w:val="nil"/>
            </w:tcBorders>
            <w:shd w:val="clear" w:color="000000" w:fill="FFFFFF"/>
            <w:noWrap/>
            <w:vAlign w:val="bottom"/>
            <w:hideMark/>
          </w:tcPr>
          <w:p w14:paraId="64FF794A" w14:textId="27851225"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77 265</w:t>
            </w:r>
          </w:p>
        </w:tc>
      </w:tr>
      <w:tr w:rsidR="000958F5" w:rsidRPr="00E4581C" w14:paraId="0025B0AE" w14:textId="77777777" w:rsidTr="00846A75">
        <w:trPr>
          <w:trHeight w:val="264"/>
        </w:trPr>
        <w:tc>
          <w:tcPr>
            <w:tcW w:w="5721" w:type="dxa"/>
            <w:tcBorders>
              <w:top w:val="nil"/>
              <w:left w:val="nil"/>
              <w:bottom w:val="nil"/>
              <w:right w:val="nil"/>
            </w:tcBorders>
            <w:shd w:val="clear" w:color="000000" w:fill="FFFFFF"/>
            <w:noWrap/>
            <w:vAlign w:val="center"/>
            <w:hideMark/>
          </w:tcPr>
          <w:p w14:paraId="33EF3324" w14:textId="5335FB90" w:rsidR="000958F5" w:rsidRPr="00E4581C" w:rsidRDefault="000958F5" w:rsidP="00536253">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Servicios de presentación de informes del Plenario</w:t>
            </w:r>
            <w:r w:rsidR="001E71BD" w:rsidRPr="00E4581C">
              <w:rPr>
                <w:rFonts w:ascii="Times New Roman" w:hAnsi="Times New Roman"/>
                <w:sz w:val="18"/>
                <w:szCs w:val="18"/>
                <w:vertAlign w:val="superscript"/>
                <w:lang w:val="es-ES_tradnl"/>
              </w:rPr>
              <w:t>a</w:t>
            </w:r>
          </w:p>
        </w:tc>
        <w:tc>
          <w:tcPr>
            <w:tcW w:w="1389" w:type="dxa"/>
            <w:tcBorders>
              <w:top w:val="nil"/>
              <w:left w:val="nil"/>
              <w:bottom w:val="nil"/>
              <w:right w:val="nil"/>
            </w:tcBorders>
            <w:shd w:val="clear" w:color="000000" w:fill="FFFFFF"/>
            <w:noWrap/>
            <w:vAlign w:val="bottom"/>
            <w:hideMark/>
          </w:tcPr>
          <w:p w14:paraId="7A89CBAF" w14:textId="46CB1C3F"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60 000</w:t>
            </w:r>
          </w:p>
        </w:tc>
        <w:tc>
          <w:tcPr>
            <w:tcW w:w="1390" w:type="dxa"/>
            <w:tcBorders>
              <w:top w:val="nil"/>
              <w:left w:val="nil"/>
              <w:bottom w:val="nil"/>
              <w:right w:val="nil"/>
            </w:tcBorders>
            <w:shd w:val="clear" w:color="000000" w:fill="FFFFFF"/>
            <w:noWrap/>
            <w:vAlign w:val="bottom"/>
            <w:hideMark/>
          </w:tcPr>
          <w:p w14:paraId="1357F017" w14:textId="6097C91D" w:rsidR="000958F5" w:rsidRPr="00E4581C" w:rsidRDefault="006D1ED0"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w:t>
            </w:r>
          </w:p>
        </w:tc>
        <w:tc>
          <w:tcPr>
            <w:tcW w:w="1390" w:type="dxa"/>
            <w:tcBorders>
              <w:top w:val="nil"/>
              <w:left w:val="nil"/>
              <w:bottom w:val="nil"/>
              <w:right w:val="nil"/>
            </w:tcBorders>
            <w:shd w:val="clear" w:color="000000" w:fill="FFFFFF"/>
            <w:noWrap/>
            <w:vAlign w:val="bottom"/>
            <w:hideMark/>
          </w:tcPr>
          <w:p w14:paraId="2FA24B0B" w14:textId="2BBC2DC4"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60 000</w:t>
            </w:r>
          </w:p>
        </w:tc>
      </w:tr>
      <w:tr w:rsidR="000958F5" w:rsidRPr="00E4581C" w14:paraId="0539AEB0" w14:textId="77777777" w:rsidTr="00846A75">
        <w:trPr>
          <w:trHeight w:val="264"/>
        </w:trPr>
        <w:tc>
          <w:tcPr>
            <w:tcW w:w="5721" w:type="dxa"/>
            <w:tcBorders>
              <w:top w:val="nil"/>
              <w:left w:val="nil"/>
              <w:bottom w:val="single" w:sz="4" w:space="0" w:color="auto"/>
              <w:right w:val="nil"/>
            </w:tcBorders>
            <w:shd w:val="clear" w:color="000000" w:fill="FFFFFF"/>
            <w:noWrap/>
            <w:vAlign w:val="center"/>
            <w:hideMark/>
          </w:tcPr>
          <w:p w14:paraId="40F7A1DB" w14:textId="089FDD25"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Servicios de seguridad (seguridad local y de las Naciones Unidas)</w:t>
            </w:r>
            <w:r w:rsidRPr="00E4581C">
              <w:rPr>
                <w:rFonts w:ascii="Times New Roman" w:hAnsi="Times New Roman"/>
                <w:sz w:val="18"/>
                <w:szCs w:val="18"/>
                <w:vertAlign w:val="superscript"/>
                <w:lang w:val="es-ES_tradnl"/>
              </w:rPr>
              <w:t>b</w:t>
            </w:r>
          </w:p>
        </w:tc>
        <w:tc>
          <w:tcPr>
            <w:tcW w:w="1389" w:type="dxa"/>
            <w:tcBorders>
              <w:top w:val="nil"/>
              <w:left w:val="nil"/>
              <w:bottom w:val="single" w:sz="4" w:space="0" w:color="auto"/>
              <w:right w:val="nil"/>
            </w:tcBorders>
            <w:shd w:val="clear" w:color="000000" w:fill="FFFFFF"/>
            <w:noWrap/>
            <w:vAlign w:val="bottom"/>
            <w:hideMark/>
          </w:tcPr>
          <w:p w14:paraId="7709338F" w14:textId="3E894677" w:rsidR="000958F5" w:rsidRPr="00E4581C" w:rsidRDefault="000D3AC4"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c>
          <w:tcPr>
            <w:tcW w:w="1390" w:type="dxa"/>
            <w:tcBorders>
              <w:top w:val="nil"/>
              <w:left w:val="nil"/>
              <w:bottom w:val="single" w:sz="4" w:space="0" w:color="auto"/>
              <w:right w:val="nil"/>
            </w:tcBorders>
            <w:shd w:val="clear" w:color="000000" w:fill="FFFFFF"/>
            <w:noWrap/>
            <w:vAlign w:val="bottom"/>
            <w:hideMark/>
          </w:tcPr>
          <w:p w14:paraId="370BFDD8" w14:textId="317C7801"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99 475</w:t>
            </w:r>
          </w:p>
        </w:tc>
        <w:tc>
          <w:tcPr>
            <w:tcW w:w="1390" w:type="dxa"/>
            <w:tcBorders>
              <w:top w:val="nil"/>
              <w:left w:val="nil"/>
              <w:bottom w:val="single" w:sz="4" w:space="0" w:color="auto"/>
              <w:right w:val="nil"/>
            </w:tcBorders>
            <w:shd w:val="clear" w:color="000000" w:fill="FFFFFF"/>
            <w:noWrap/>
            <w:vAlign w:val="bottom"/>
            <w:hideMark/>
          </w:tcPr>
          <w:p w14:paraId="62161BE9" w14:textId="20823E35" w:rsidR="000958F5" w:rsidRPr="00E4581C" w:rsidRDefault="006D1ED0"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-99 475</w:t>
            </w:r>
          </w:p>
        </w:tc>
      </w:tr>
      <w:tr w:rsidR="000958F5" w:rsidRPr="00E4581C" w14:paraId="72C4817F" w14:textId="77777777" w:rsidTr="00846A75">
        <w:trPr>
          <w:trHeight w:val="343"/>
        </w:trPr>
        <w:tc>
          <w:tcPr>
            <w:tcW w:w="5721" w:type="dxa"/>
            <w:tcBorders>
              <w:top w:val="single" w:sz="4" w:space="0" w:color="auto"/>
              <w:left w:val="nil"/>
              <w:bottom w:val="single" w:sz="4" w:space="0" w:color="auto"/>
              <w:right w:val="nil"/>
            </w:tcBorders>
            <w:shd w:val="clear" w:color="auto" w:fill="auto"/>
            <w:noWrap/>
            <w:vAlign w:val="center"/>
            <w:hideMark/>
          </w:tcPr>
          <w:p w14:paraId="6C256729" w14:textId="23C966DD"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1.1 Períodos de sesiones del Plenario</w:t>
            </w:r>
          </w:p>
        </w:tc>
        <w:tc>
          <w:tcPr>
            <w:tcW w:w="1389" w:type="dxa"/>
            <w:tcBorders>
              <w:top w:val="single" w:sz="4" w:space="0" w:color="auto"/>
              <w:left w:val="nil"/>
              <w:bottom w:val="single" w:sz="4" w:space="0" w:color="auto"/>
              <w:right w:val="nil"/>
            </w:tcBorders>
            <w:shd w:val="clear" w:color="auto" w:fill="auto"/>
            <w:noWrap/>
            <w:vAlign w:val="bottom"/>
            <w:hideMark/>
          </w:tcPr>
          <w:p w14:paraId="71F39171" w14:textId="53FDC7A9"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1 140 000</w:t>
            </w:r>
          </w:p>
        </w:tc>
        <w:tc>
          <w:tcPr>
            <w:tcW w:w="1390" w:type="dxa"/>
            <w:tcBorders>
              <w:top w:val="single" w:sz="4" w:space="0" w:color="auto"/>
              <w:left w:val="nil"/>
              <w:bottom w:val="single" w:sz="4" w:space="0" w:color="auto"/>
              <w:right w:val="nil"/>
            </w:tcBorders>
            <w:shd w:val="clear" w:color="auto" w:fill="auto"/>
            <w:noWrap/>
            <w:vAlign w:val="bottom"/>
            <w:hideMark/>
          </w:tcPr>
          <w:p w14:paraId="281F9E81" w14:textId="2801D6B9"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1 056 366</w:t>
            </w:r>
          </w:p>
        </w:tc>
        <w:tc>
          <w:tcPr>
            <w:tcW w:w="1390" w:type="dxa"/>
            <w:tcBorders>
              <w:top w:val="single" w:sz="4" w:space="0" w:color="auto"/>
              <w:left w:val="nil"/>
              <w:bottom w:val="single" w:sz="4" w:space="0" w:color="auto"/>
              <w:right w:val="nil"/>
            </w:tcBorders>
            <w:shd w:val="clear" w:color="auto" w:fill="auto"/>
            <w:noWrap/>
            <w:vAlign w:val="bottom"/>
            <w:hideMark/>
          </w:tcPr>
          <w:p w14:paraId="6010777B" w14:textId="6C6372A9"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83 634</w:t>
            </w:r>
          </w:p>
        </w:tc>
      </w:tr>
      <w:tr w:rsidR="000958F5" w:rsidRPr="000930FA" w14:paraId="27BDCBD5" w14:textId="77777777" w:rsidTr="00846A75">
        <w:trPr>
          <w:trHeight w:val="235"/>
        </w:trPr>
        <w:tc>
          <w:tcPr>
            <w:tcW w:w="5721" w:type="dxa"/>
            <w:tcBorders>
              <w:top w:val="single" w:sz="4" w:space="0" w:color="auto"/>
              <w:left w:val="nil"/>
              <w:bottom w:val="nil"/>
              <w:right w:val="nil"/>
            </w:tcBorders>
            <w:shd w:val="clear" w:color="000000" w:fill="FFFFFF"/>
            <w:noWrap/>
            <w:vAlign w:val="center"/>
            <w:hideMark/>
          </w:tcPr>
          <w:p w14:paraId="77A8E0D7" w14:textId="03E1DBEF"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1.2 Reuniones de la Mesa y el Grupo Multidisciplinario de Expertos</w:t>
            </w:r>
          </w:p>
        </w:tc>
        <w:tc>
          <w:tcPr>
            <w:tcW w:w="1389" w:type="dxa"/>
            <w:tcBorders>
              <w:top w:val="single" w:sz="4" w:space="0" w:color="auto"/>
              <w:left w:val="nil"/>
              <w:bottom w:val="nil"/>
              <w:right w:val="nil"/>
            </w:tcBorders>
            <w:shd w:val="clear" w:color="000000" w:fill="FFFFFF"/>
            <w:noWrap/>
            <w:vAlign w:val="bottom"/>
            <w:hideMark/>
          </w:tcPr>
          <w:p w14:paraId="24C6941D" w14:textId="5F03C644" w:rsidR="000958F5" w:rsidRPr="00E4581C" w:rsidRDefault="000D3AC4"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c>
          <w:tcPr>
            <w:tcW w:w="1390" w:type="dxa"/>
            <w:tcBorders>
              <w:top w:val="single" w:sz="4" w:space="0" w:color="auto"/>
              <w:left w:val="nil"/>
              <w:bottom w:val="nil"/>
              <w:right w:val="nil"/>
            </w:tcBorders>
            <w:shd w:val="clear" w:color="auto" w:fill="auto"/>
            <w:noWrap/>
            <w:vAlign w:val="bottom"/>
            <w:hideMark/>
          </w:tcPr>
          <w:p w14:paraId="712CE7B0"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color w:val="000000"/>
                <w:sz w:val="18"/>
                <w:szCs w:val="18"/>
                <w:lang w:val="es-ES_tradnl"/>
              </w:rPr>
            </w:pPr>
          </w:p>
        </w:tc>
        <w:tc>
          <w:tcPr>
            <w:tcW w:w="1390" w:type="dxa"/>
            <w:tcBorders>
              <w:top w:val="single" w:sz="4" w:space="0" w:color="auto"/>
              <w:left w:val="nil"/>
              <w:bottom w:val="nil"/>
              <w:right w:val="nil"/>
            </w:tcBorders>
            <w:shd w:val="clear" w:color="000000" w:fill="FFFFFF"/>
            <w:noWrap/>
            <w:vAlign w:val="bottom"/>
            <w:hideMark/>
          </w:tcPr>
          <w:p w14:paraId="62C12BE5" w14:textId="7B1AFE6C" w:rsidR="000958F5" w:rsidRPr="00E4581C" w:rsidRDefault="000D3AC4"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r>
      <w:tr w:rsidR="000958F5" w:rsidRPr="00E4581C" w14:paraId="2B74242B" w14:textId="77777777" w:rsidTr="00846A75">
        <w:trPr>
          <w:trHeight w:val="235"/>
        </w:trPr>
        <w:tc>
          <w:tcPr>
            <w:tcW w:w="5721" w:type="dxa"/>
            <w:tcBorders>
              <w:top w:val="nil"/>
              <w:left w:val="nil"/>
              <w:bottom w:val="nil"/>
              <w:right w:val="nil"/>
            </w:tcBorders>
            <w:shd w:val="clear" w:color="000000" w:fill="FFFFFF"/>
            <w:noWrap/>
            <w:vAlign w:val="center"/>
            <w:hideMark/>
          </w:tcPr>
          <w:p w14:paraId="3741637A" w14:textId="547B8D7E" w:rsidR="000958F5"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Gastos de viaje y reuniones de participantes en reuniones de la Mesa </w:t>
            </w:r>
          </w:p>
        </w:tc>
        <w:tc>
          <w:tcPr>
            <w:tcW w:w="1389" w:type="dxa"/>
            <w:tcBorders>
              <w:top w:val="nil"/>
              <w:left w:val="nil"/>
              <w:bottom w:val="nil"/>
              <w:right w:val="nil"/>
            </w:tcBorders>
            <w:shd w:val="clear" w:color="000000" w:fill="FFFFFF"/>
            <w:noWrap/>
            <w:vAlign w:val="bottom"/>
            <w:hideMark/>
          </w:tcPr>
          <w:p w14:paraId="62920287" w14:textId="1C40C312"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103 500</w:t>
            </w:r>
          </w:p>
        </w:tc>
        <w:tc>
          <w:tcPr>
            <w:tcW w:w="1390" w:type="dxa"/>
            <w:tcBorders>
              <w:top w:val="nil"/>
              <w:left w:val="nil"/>
              <w:bottom w:val="nil"/>
              <w:right w:val="nil"/>
            </w:tcBorders>
            <w:shd w:val="clear" w:color="000000" w:fill="FFFFFF"/>
            <w:noWrap/>
            <w:vAlign w:val="bottom"/>
            <w:hideMark/>
          </w:tcPr>
          <w:p w14:paraId="1677F2A0" w14:textId="349C73FF"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50 357</w:t>
            </w:r>
          </w:p>
        </w:tc>
        <w:tc>
          <w:tcPr>
            <w:tcW w:w="1390" w:type="dxa"/>
            <w:tcBorders>
              <w:top w:val="nil"/>
              <w:left w:val="nil"/>
              <w:bottom w:val="nil"/>
              <w:right w:val="nil"/>
            </w:tcBorders>
            <w:shd w:val="clear" w:color="000000" w:fill="FFFFFF"/>
            <w:noWrap/>
            <w:vAlign w:val="bottom"/>
            <w:hideMark/>
          </w:tcPr>
          <w:p w14:paraId="12A3A817" w14:textId="2D1CBCC1"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53 143</w:t>
            </w:r>
          </w:p>
        </w:tc>
      </w:tr>
      <w:tr w:rsidR="000958F5" w:rsidRPr="00E4581C" w14:paraId="29D12F43" w14:textId="77777777" w:rsidTr="00846A75">
        <w:trPr>
          <w:trHeight w:val="250"/>
        </w:trPr>
        <w:tc>
          <w:tcPr>
            <w:tcW w:w="5721" w:type="dxa"/>
            <w:tcBorders>
              <w:top w:val="nil"/>
              <w:left w:val="nil"/>
              <w:bottom w:val="single" w:sz="4" w:space="0" w:color="auto"/>
              <w:right w:val="nil"/>
            </w:tcBorders>
            <w:shd w:val="clear" w:color="000000" w:fill="FFFFFF"/>
            <w:noWrap/>
            <w:vAlign w:val="center"/>
            <w:hideMark/>
          </w:tcPr>
          <w:p w14:paraId="219C46BC" w14:textId="6CCCA295" w:rsidR="000958F5" w:rsidRPr="00E4581C" w:rsidRDefault="000958F5" w:rsidP="00536253">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Gastos de viaje y reuniones de participantes en las reuniones del Grupo Multidisciplinario de Expertos </w:t>
            </w:r>
          </w:p>
        </w:tc>
        <w:tc>
          <w:tcPr>
            <w:tcW w:w="1389" w:type="dxa"/>
            <w:tcBorders>
              <w:top w:val="nil"/>
              <w:left w:val="nil"/>
              <w:bottom w:val="single" w:sz="4" w:space="0" w:color="auto"/>
              <w:right w:val="nil"/>
            </w:tcBorders>
            <w:shd w:val="clear" w:color="000000" w:fill="FFFFFF"/>
            <w:noWrap/>
            <w:vAlign w:val="bottom"/>
            <w:hideMark/>
          </w:tcPr>
          <w:p w14:paraId="03526E38" w14:textId="01114B14"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240 000</w:t>
            </w:r>
          </w:p>
        </w:tc>
        <w:tc>
          <w:tcPr>
            <w:tcW w:w="1390" w:type="dxa"/>
            <w:tcBorders>
              <w:top w:val="nil"/>
              <w:left w:val="nil"/>
              <w:bottom w:val="single" w:sz="4" w:space="0" w:color="auto"/>
              <w:right w:val="nil"/>
            </w:tcBorders>
            <w:shd w:val="clear" w:color="000000" w:fill="FFFFFF"/>
            <w:noWrap/>
            <w:vAlign w:val="bottom"/>
            <w:hideMark/>
          </w:tcPr>
          <w:p w14:paraId="0C5B1E9B" w14:textId="534782B0"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82 578</w:t>
            </w:r>
          </w:p>
        </w:tc>
        <w:tc>
          <w:tcPr>
            <w:tcW w:w="1390" w:type="dxa"/>
            <w:tcBorders>
              <w:top w:val="nil"/>
              <w:left w:val="nil"/>
              <w:bottom w:val="single" w:sz="4" w:space="0" w:color="auto"/>
              <w:right w:val="nil"/>
            </w:tcBorders>
            <w:shd w:val="clear" w:color="000000" w:fill="FFFFFF"/>
            <w:noWrap/>
            <w:vAlign w:val="bottom"/>
            <w:hideMark/>
          </w:tcPr>
          <w:p w14:paraId="1EB1E5FF" w14:textId="7967FF42"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157 422</w:t>
            </w:r>
          </w:p>
        </w:tc>
      </w:tr>
      <w:tr w:rsidR="000958F5" w:rsidRPr="00E4581C" w14:paraId="70F03043" w14:textId="77777777" w:rsidTr="00846A75">
        <w:trPr>
          <w:trHeight w:val="299"/>
        </w:trPr>
        <w:tc>
          <w:tcPr>
            <w:tcW w:w="5721" w:type="dxa"/>
            <w:tcBorders>
              <w:top w:val="single" w:sz="4" w:space="0" w:color="auto"/>
              <w:left w:val="nil"/>
              <w:bottom w:val="single" w:sz="4" w:space="0" w:color="auto"/>
              <w:right w:val="nil"/>
            </w:tcBorders>
            <w:shd w:val="clear" w:color="auto" w:fill="auto"/>
            <w:noWrap/>
            <w:vAlign w:val="center"/>
            <w:hideMark/>
          </w:tcPr>
          <w:p w14:paraId="590EDA71" w14:textId="38C6D469"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1.2, Mesa y Grupo Multidisci</w:t>
            </w:r>
            <w:r w:rsidR="0051202F" w:rsidRPr="00E4581C">
              <w:rPr>
                <w:rFonts w:ascii="Times New Roman" w:hAnsi="Times New Roman"/>
                <w:b/>
                <w:bCs/>
                <w:sz w:val="18"/>
                <w:szCs w:val="18"/>
                <w:lang w:val="es-ES_tradnl"/>
              </w:rPr>
              <w:t xml:space="preserve">plinario </w:t>
            </w:r>
            <w:r w:rsidRPr="00E4581C">
              <w:rPr>
                <w:rFonts w:ascii="Times New Roman" w:hAnsi="Times New Roman"/>
                <w:b/>
                <w:bCs/>
                <w:sz w:val="18"/>
                <w:szCs w:val="18"/>
                <w:lang w:val="es-ES_tradnl"/>
              </w:rPr>
              <w:t>de Expertos</w:t>
            </w:r>
          </w:p>
        </w:tc>
        <w:tc>
          <w:tcPr>
            <w:tcW w:w="1389" w:type="dxa"/>
            <w:tcBorders>
              <w:top w:val="single" w:sz="4" w:space="0" w:color="auto"/>
              <w:left w:val="nil"/>
              <w:bottom w:val="single" w:sz="4" w:space="0" w:color="auto"/>
              <w:right w:val="nil"/>
            </w:tcBorders>
            <w:shd w:val="clear" w:color="auto" w:fill="auto"/>
            <w:noWrap/>
            <w:vAlign w:val="bottom"/>
            <w:hideMark/>
          </w:tcPr>
          <w:p w14:paraId="29DF12FB" w14:textId="504C1691"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343 500</w:t>
            </w:r>
          </w:p>
        </w:tc>
        <w:tc>
          <w:tcPr>
            <w:tcW w:w="1390" w:type="dxa"/>
            <w:tcBorders>
              <w:top w:val="single" w:sz="4" w:space="0" w:color="auto"/>
              <w:left w:val="nil"/>
              <w:bottom w:val="single" w:sz="4" w:space="0" w:color="auto"/>
              <w:right w:val="nil"/>
            </w:tcBorders>
            <w:shd w:val="clear" w:color="auto" w:fill="auto"/>
            <w:noWrap/>
            <w:vAlign w:val="bottom"/>
            <w:hideMark/>
          </w:tcPr>
          <w:p w14:paraId="6DE7F4F5" w14:textId="3DBCFFEE"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132 935</w:t>
            </w:r>
          </w:p>
        </w:tc>
        <w:tc>
          <w:tcPr>
            <w:tcW w:w="1390" w:type="dxa"/>
            <w:tcBorders>
              <w:top w:val="single" w:sz="4" w:space="0" w:color="auto"/>
              <w:left w:val="nil"/>
              <w:bottom w:val="single" w:sz="4" w:space="0" w:color="auto"/>
              <w:right w:val="nil"/>
            </w:tcBorders>
            <w:shd w:val="clear" w:color="auto" w:fill="auto"/>
            <w:noWrap/>
            <w:vAlign w:val="bottom"/>
            <w:hideMark/>
          </w:tcPr>
          <w:p w14:paraId="76AD49AC" w14:textId="73EBB024"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210 565</w:t>
            </w:r>
          </w:p>
        </w:tc>
      </w:tr>
      <w:tr w:rsidR="000958F5" w:rsidRPr="00E4581C" w14:paraId="0CC0C6C3" w14:textId="77777777" w:rsidTr="00846A75">
        <w:trPr>
          <w:trHeight w:val="299"/>
        </w:trPr>
        <w:tc>
          <w:tcPr>
            <w:tcW w:w="5721" w:type="dxa"/>
            <w:tcBorders>
              <w:top w:val="single" w:sz="4" w:space="0" w:color="auto"/>
              <w:left w:val="nil"/>
              <w:bottom w:val="single" w:sz="4" w:space="0" w:color="auto"/>
              <w:right w:val="nil"/>
            </w:tcBorders>
            <w:shd w:val="clear" w:color="000000" w:fill="FFFFFF"/>
            <w:noWrap/>
            <w:vAlign w:val="center"/>
            <w:hideMark/>
          </w:tcPr>
          <w:p w14:paraId="49786004" w14:textId="28642045"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1.3 Gastos de viaje de la Presidencia en representación de la Plataforma</w:t>
            </w:r>
          </w:p>
        </w:tc>
        <w:tc>
          <w:tcPr>
            <w:tcW w:w="1389" w:type="dxa"/>
            <w:tcBorders>
              <w:top w:val="single" w:sz="4" w:space="0" w:color="auto"/>
              <w:left w:val="nil"/>
              <w:bottom w:val="single" w:sz="4" w:space="0" w:color="auto"/>
              <w:right w:val="nil"/>
            </w:tcBorders>
            <w:shd w:val="clear" w:color="000000" w:fill="FFFFFF"/>
            <w:noWrap/>
            <w:vAlign w:val="bottom"/>
            <w:hideMark/>
          </w:tcPr>
          <w:p w14:paraId="2A086607" w14:textId="62335168"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20 000</w:t>
            </w:r>
          </w:p>
        </w:tc>
        <w:tc>
          <w:tcPr>
            <w:tcW w:w="1390" w:type="dxa"/>
            <w:tcBorders>
              <w:top w:val="single" w:sz="4" w:space="0" w:color="auto"/>
              <w:left w:val="nil"/>
              <w:bottom w:val="single" w:sz="4" w:space="0" w:color="auto"/>
              <w:right w:val="nil"/>
            </w:tcBorders>
            <w:shd w:val="clear" w:color="000000" w:fill="FFFFFF"/>
            <w:noWrap/>
            <w:vAlign w:val="bottom"/>
            <w:hideMark/>
          </w:tcPr>
          <w:p w14:paraId="1F3ED597" w14:textId="6375B900" w:rsidR="000958F5" w:rsidRPr="00E4581C" w:rsidRDefault="00E453C3" w:rsidP="006D1ED0">
            <w:pPr>
              <w:tabs>
                <w:tab w:val="left" w:pos="474"/>
              </w:tab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w:t>
            </w:r>
          </w:p>
        </w:tc>
        <w:tc>
          <w:tcPr>
            <w:tcW w:w="1390" w:type="dxa"/>
            <w:tcBorders>
              <w:top w:val="single" w:sz="4" w:space="0" w:color="auto"/>
              <w:left w:val="nil"/>
              <w:bottom w:val="single" w:sz="4" w:space="0" w:color="auto"/>
              <w:right w:val="nil"/>
            </w:tcBorders>
            <w:shd w:val="clear" w:color="000000" w:fill="FFFFFF"/>
            <w:noWrap/>
            <w:vAlign w:val="bottom"/>
            <w:hideMark/>
          </w:tcPr>
          <w:p w14:paraId="4894BA6D" w14:textId="19834C01"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20 000</w:t>
            </w:r>
          </w:p>
        </w:tc>
      </w:tr>
      <w:tr w:rsidR="000958F5" w:rsidRPr="00E4581C" w14:paraId="3859D80D" w14:textId="77777777" w:rsidTr="00846A75">
        <w:trPr>
          <w:trHeight w:val="370"/>
        </w:trPr>
        <w:tc>
          <w:tcPr>
            <w:tcW w:w="5721" w:type="dxa"/>
            <w:tcBorders>
              <w:top w:val="single" w:sz="4" w:space="0" w:color="auto"/>
              <w:left w:val="nil"/>
              <w:bottom w:val="single" w:sz="4" w:space="0" w:color="auto"/>
              <w:right w:val="nil"/>
            </w:tcBorders>
            <w:shd w:val="clear" w:color="auto" w:fill="auto"/>
            <w:noWrap/>
            <w:vAlign w:val="center"/>
            <w:hideMark/>
          </w:tcPr>
          <w:p w14:paraId="5A95CE2D" w14:textId="1938046B"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1, Reuniones de los órganos de la Plataforma</w:t>
            </w:r>
            <w:r w:rsidRPr="00E4581C">
              <w:rPr>
                <w:rFonts w:ascii="Times New Roman" w:hAnsi="Times New Roman"/>
                <w:sz w:val="18"/>
                <w:szCs w:val="18"/>
                <w:lang w:val="es-ES_tradnl"/>
              </w:rPr>
              <w:t xml:space="preserve"> </w:t>
            </w:r>
          </w:p>
        </w:tc>
        <w:tc>
          <w:tcPr>
            <w:tcW w:w="1389" w:type="dxa"/>
            <w:tcBorders>
              <w:top w:val="single" w:sz="4" w:space="0" w:color="auto"/>
              <w:left w:val="nil"/>
              <w:bottom w:val="single" w:sz="4" w:space="0" w:color="auto"/>
              <w:right w:val="nil"/>
            </w:tcBorders>
            <w:shd w:val="clear" w:color="auto" w:fill="auto"/>
            <w:noWrap/>
            <w:vAlign w:val="bottom"/>
            <w:hideMark/>
          </w:tcPr>
          <w:p w14:paraId="40137C0C" w14:textId="662F1501"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1 503 500</w:t>
            </w:r>
          </w:p>
        </w:tc>
        <w:tc>
          <w:tcPr>
            <w:tcW w:w="1390" w:type="dxa"/>
            <w:tcBorders>
              <w:top w:val="single" w:sz="4" w:space="0" w:color="auto"/>
              <w:left w:val="nil"/>
              <w:bottom w:val="single" w:sz="4" w:space="0" w:color="auto"/>
              <w:right w:val="nil"/>
            </w:tcBorders>
            <w:shd w:val="clear" w:color="auto" w:fill="auto"/>
            <w:noWrap/>
            <w:vAlign w:val="bottom"/>
            <w:hideMark/>
          </w:tcPr>
          <w:p w14:paraId="468AC12F" w14:textId="73BFB58F"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1 189 301</w:t>
            </w:r>
          </w:p>
        </w:tc>
        <w:tc>
          <w:tcPr>
            <w:tcW w:w="1390" w:type="dxa"/>
            <w:tcBorders>
              <w:top w:val="single" w:sz="4" w:space="0" w:color="auto"/>
              <w:left w:val="nil"/>
              <w:bottom w:val="single" w:sz="4" w:space="0" w:color="auto"/>
              <w:right w:val="nil"/>
            </w:tcBorders>
            <w:shd w:val="clear" w:color="auto" w:fill="auto"/>
            <w:noWrap/>
            <w:vAlign w:val="bottom"/>
            <w:hideMark/>
          </w:tcPr>
          <w:p w14:paraId="54220655" w14:textId="05EC957E"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314 198</w:t>
            </w:r>
          </w:p>
        </w:tc>
      </w:tr>
      <w:tr w:rsidR="000958F5" w:rsidRPr="00E4581C" w14:paraId="26CE5EAA" w14:textId="77777777" w:rsidTr="00846A75">
        <w:trPr>
          <w:trHeight w:val="588"/>
        </w:trPr>
        <w:tc>
          <w:tcPr>
            <w:tcW w:w="5721" w:type="dxa"/>
            <w:tcBorders>
              <w:top w:val="single" w:sz="4" w:space="0" w:color="auto"/>
              <w:left w:val="nil"/>
              <w:bottom w:val="nil"/>
              <w:right w:val="nil"/>
            </w:tcBorders>
            <w:shd w:val="clear" w:color="000000" w:fill="FFFFFF"/>
            <w:vAlign w:val="center"/>
            <w:hideMark/>
          </w:tcPr>
          <w:p w14:paraId="69C23726" w14:textId="20C797B7" w:rsidR="000958F5" w:rsidRPr="00E4581C" w:rsidRDefault="000958F5" w:rsidP="00536253">
            <w:pPr>
              <w:keepNext/>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lastRenderedPageBreak/>
              <w:t>2.</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Ejecución del programa de trabajo</w:t>
            </w:r>
          </w:p>
          <w:p w14:paraId="282EA782" w14:textId="562F0B52" w:rsidR="000958F5" w:rsidRPr="00E4581C" w:rsidRDefault="000958F5" w:rsidP="001E71BD">
            <w:pPr>
              <w:keepNext/>
              <w:spacing w:before="40" w:after="40" w:line="240" w:lineRule="auto"/>
              <w:rPr>
                <w:rFonts w:ascii="Times New Roman" w:hAnsi="Times New Roman"/>
                <w:color w:val="000000"/>
                <w:sz w:val="18"/>
                <w:szCs w:val="18"/>
                <w:lang w:val="es-ES_tradnl"/>
              </w:rPr>
            </w:pPr>
            <w:r w:rsidRPr="00E4581C">
              <w:rPr>
                <w:rFonts w:ascii="Times New Roman" w:hAnsi="Times New Roman"/>
                <w:b/>
                <w:bCs/>
                <w:sz w:val="18"/>
                <w:szCs w:val="18"/>
                <w:lang w:val="es-ES_tradnl"/>
              </w:rPr>
              <w:t>2.1 Objetivo 1:</w:t>
            </w:r>
            <w:r w:rsidRPr="00E4581C">
              <w:rPr>
                <w:rFonts w:ascii="Times New Roman" w:hAnsi="Times New Roman"/>
                <w:sz w:val="18"/>
                <w:szCs w:val="18"/>
                <w:lang w:val="es-ES_tradnl"/>
              </w:rPr>
              <w:t xml:space="preserve"> fortalecer los fundamentos de la interfaz científico</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normativa en materia de capacidad y conocimientos p</w:t>
            </w:r>
            <w:r w:rsidR="001E71BD" w:rsidRPr="00E4581C">
              <w:rPr>
                <w:rFonts w:ascii="Times New Roman" w:hAnsi="Times New Roman"/>
                <w:sz w:val="18"/>
                <w:szCs w:val="18"/>
                <w:lang w:val="es-ES_tradnl"/>
              </w:rPr>
              <w:t>ara </w:t>
            </w:r>
            <w:r w:rsidRPr="00E4581C">
              <w:rPr>
                <w:rFonts w:ascii="Times New Roman" w:hAnsi="Times New Roman"/>
                <w:sz w:val="18"/>
                <w:szCs w:val="18"/>
                <w:lang w:val="es-ES_tradnl"/>
              </w:rPr>
              <w:t>el desempeño de las principales funciones de la Plataforma</w:t>
            </w:r>
          </w:p>
        </w:tc>
        <w:tc>
          <w:tcPr>
            <w:tcW w:w="1389" w:type="dxa"/>
            <w:tcBorders>
              <w:top w:val="single" w:sz="4" w:space="0" w:color="auto"/>
              <w:left w:val="nil"/>
              <w:bottom w:val="nil"/>
              <w:right w:val="nil"/>
            </w:tcBorders>
            <w:shd w:val="clear" w:color="000000" w:fill="FFFFFF"/>
            <w:noWrap/>
            <w:vAlign w:val="bottom"/>
            <w:hideMark/>
          </w:tcPr>
          <w:p w14:paraId="20DCFE1F" w14:textId="2E650E6B" w:rsidR="000958F5" w:rsidRPr="00E4581C" w:rsidRDefault="000958F5" w:rsidP="00536253">
            <w:pPr>
              <w:keepNext/>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1 658 750</w:t>
            </w:r>
          </w:p>
        </w:tc>
        <w:tc>
          <w:tcPr>
            <w:tcW w:w="1390" w:type="dxa"/>
            <w:tcBorders>
              <w:top w:val="single" w:sz="4" w:space="0" w:color="auto"/>
              <w:left w:val="nil"/>
              <w:bottom w:val="nil"/>
              <w:right w:val="nil"/>
            </w:tcBorders>
            <w:shd w:val="clear" w:color="000000" w:fill="FFFFFF"/>
            <w:noWrap/>
            <w:vAlign w:val="bottom"/>
            <w:hideMark/>
          </w:tcPr>
          <w:p w14:paraId="590DA135" w14:textId="1274A7BF" w:rsidR="000958F5" w:rsidRPr="00E4581C" w:rsidRDefault="000958F5" w:rsidP="00536253">
            <w:pPr>
              <w:keepNext/>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1 087 211</w:t>
            </w:r>
          </w:p>
        </w:tc>
        <w:tc>
          <w:tcPr>
            <w:tcW w:w="1390" w:type="dxa"/>
            <w:tcBorders>
              <w:top w:val="single" w:sz="4" w:space="0" w:color="auto"/>
              <w:left w:val="nil"/>
              <w:bottom w:val="nil"/>
              <w:right w:val="nil"/>
            </w:tcBorders>
            <w:shd w:val="clear" w:color="000000" w:fill="FFFFFF"/>
            <w:noWrap/>
            <w:vAlign w:val="bottom"/>
            <w:hideMark/>
          </w:tcPr>
          <w:p w14:paraId="7AEE6610" w14:textId="53A5FD48" w:rsidR="000958F5" w:rsidRPr="00E4581C" w:rsidRDefault="000958F5" w:rsidP="00536253">
            <w:pPr>
              <w:keepNext/>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571 539</w:t>
            </w:r>
          </w:p>
        </w:tc>
      </w:tr>
      <w:tr w:rsidR="000958F5" w:rsidRPr="00E4581C" w14:paraId="39D17F1C" w14:textId="77777777" w:rsidTr="00846A75">
        <w:trPr>
          <w:trHeight w:val="567"/>
        </w:trPr>
        <w:tc>
          <w:tcPr>
            <w:tcW w:w="5721" w:type="dxa"/>
            <w:tcBorders>
              <w:top w:val="nil"/>
              <w:left w:val="nil"/>
              <w:bottom w:val="nil"/>
              <w:right w:val="nil"/>
            </w:tcBorders>
            <w:shd w:val="clear" w:color="000000" w:fill="FFFFFF"/>
            <w:vAlign w:val="center"/>
            <w:hideMark/>
          </w:tcPr>
          <w:p w14:paraId="56125422" w14:textId="4B86F524"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b/>
                <w:bCs/>
                <w:sz w:val="18"/>
                <w:szCs w:val="18"/>
                <w:lang w:val="es-ES_tradnl"/>
              </w:rPr>
              <w:t>2.2 Objetivo 2:</w:t>
            </w:r>
            <w:r w:rsidRPr="00E4581C">
              <w:rPr>
                <w:rFonts w:ascii="Times New Roman" w:hAnsi="Times New Roman"/>
                <w:sz w:val="18"/>
                <w:szCs w:val="18"/>
                <w:lang w:val="es-ES_tradnl"/>
              </w:rPr>
              <w:t xml:space="preserve"> fortalecer la interfaz científico</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normativa sobre diversidad biológica y servicios de los ecosistemas en los niveles subregional, regional y mundial y entre ellos</w:t>
            </w:r>
          </w:p>
        </w:tc>
        <w:tc>
          <w:tcPr>
            <w:tcW w:w="1389" w:type="dxa"/>
            <w:tcBorders>
              <w:top w:val="nil"/>
              <w:left w:val="nil"/>
              <w:bottom w:val="nil"/>
              <w:right w:val="nil"/>
            </w:tcBorders>
            <w:shd w:val="clear" w:color="000000" w:fill="FFFFFF"/>
            <w:noWrap/>
            <w:vAlign w:val="bottom"/>
            <w:hideMark/>
          </w:tcPr>
          <w:p w14:paraId="183274EB" w14:textId="4CEED635"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1 871 250</w:t>
            </w:r>
          </w:p>
        </w:tc>
        <w:tc>
          <w:tcPr>
            <w:tcW w:w="1390" w:type="dxa"/>
            <w:tcBorders>
              <w:top w:val="nil"/>
              <w:left w:val="nil"/>
              <w:bottom w:val="nil"/>
              <w:right w:val="nil"/>
            </w:tcBorders>
            <w:shd w:val="clear" w:color="000000" w:fill="FFFFFF"/>
            <w:noWrap/>
            <w:vAlign w:val="bottom"/>
            <w:hideMark/>
          </w:tcPr>
          <w:p w14:paraId="62BC29AB" w14:textId="0B2A2FBF"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1 962 758</w:t>
            </w:r>
          </w:p>
        </w:tc>
        <w:tc>
          <w:tcPr>
            <w:tcW w:w="1390" w:type="dxa"/>
            <w:tcBorders>
              <w:top w:val="nil"/>
              <w:left w:val="nil"/>
              <w:bottom w:val="nil"/>
              <w:right w:val="nil"/>
            </w:tcBorders>
            <w:shd w:val="clear" w:color="000000" w:fill="FFFFFF"/>
            <w:noWrap/>
            <w:vAlign w:val="bottom"/>
            <w:hideMark/>
          </w:tcPr>
          <w:p w14:paraId="67977E34" w14:textId="12FE1A2E" w:rsidR="000958F5" w:rsidRPr="00E4581C" w:rsidRDefault="006D1ED0"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-91 508</w:t>
            </w:r>
          </w:p>
        </w:tc>
      </w:tr>
      <w:tr w:rsidR="000958F5" w:rsidRPr="00E4581C" w14:paraId="215E2EAE" w14:textId="77777777" w:rsidTr="00846A75">
        <w:trPr>
          <w:trHeight w:val="514"/>
        </w:trPr>
        <w:tc>
          <w:tcPr>
            <w:tcW w:w="5721" w:type="dxa"/>
            <w:tcBorders>
              <w:top w:val="nil"/>
              <w:left w:val="nil"/>
              <w:right w:val="nil"/>
            </w:tcBorders>
            <w:shd w:val="clear" w:color="000000" w:fill="FFFFFF"/>
            <w:vAlign w:val="center"/>
            <w:hideMark/>
          </w:tcPr>
          <w:p w14:paraId="3506366E" w14:textId="601874D6"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b/>
                <w:bCs/>
                <w:sz w:val="18"/>
                <w:szCs w:val="18"/>
                <w:lang w:val="es-ES_tradnl"/>
              </w:rPr>
              <w:t>2.3 Objetivo 3:</w:t>
            </w:r>
            <w:r w:rsidRPr="00E4581C">
              <w:rPr>
                <w:rFonts w:ascii="Times New Roman" w:hAnsi="Times New Roman"/>
                <w:sz w:val="18"/>
                <w:szCs w:val="18"/>
                <w:lang w:val="es-ES_tradnl"/>
              </w:rPr>
              <w:t xml:space="preserve"> fo</w:t>
            </w:r>
            <w:r w:rsidR="001E71BD" w:rsidRPr="00E4581C">
              <w:rPr>
                <w:rFonts w:ascii="Times New Roman" w:hAnsi="Times New Roman"/>
                <w:sz w:val="18"/>
                <w:szCs w:val="18"/>
                <w:lang w:val="es-ES_tradnl"/>
              </w:rPr>
              <w:t>rtalecer la interfaz científico</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normativa respecto de las cuestiones temáticas y metodológicas</w:t>
            </w:r>
          </w:p>
        </w:tc>
        <w:tc>
          <w:tcPr>
            <w:tcW w:w="1389" w:type="dxa"/>
            <w:tcBorders>
              <w:top w:val="nil"/>
              <w:left w:val="nil"/>
              <w:right w:val="nil"/>
            </w:tcBorders>
            <w:shd w:val="clear" w:color="000000" w:fill="FFFFFF"/>
            <w:noWrap/>
            <w:vAlign w:val="bottom"/>
            <w:hideMark/>
          </w:tcPr>
          <w:p w14:paraId="4A62EAF5" w14:textId="766DACC5"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1 620 000</w:t>
            </w:r>
          </w:p>
        </w:tc>
        <w:tc>
          <w:tcPr>
            <w:tcW w:w="1390" w:type="dxa"/>
            <w:tcBorders>
              <w:top w:val="nil"/>
              <w:left w:val="nil"/>
              <w:right w:val="nil"/>
            </w:tcBorders>
            <w:shd w:val="clear" w:color="000000" w:fill="FFFFFF"/>
            <w:noWrap/>
            <w:vAlign w:val="bottom"/>
            <w:hideMark/>
          </w:tcPr>
          <w:p w14:paraId="4FDCA068" w14:textId="24F63899"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1 238 510</w:t>
            </w:r>
          </w:p>
        </w:tc>
        <w:tc>
          <w:tcPr>
            <w:tcW w:w="1390" w:type="dxa"/>
            <w:tcBorders>
              <w:top w:val="nil"/>
              <w:left w:val="nil"/>
              <w:right w:val="nil"/>
            </w:tcBorders>
            <w:shd w:val="clear" w:color="000000" w:fill="FFFFFF"/>
            <w:noWrap/>
            <w:vAlign w:val="bottom"/>
            <w:hideMark/>
          </w:tcPr>
          <w:p w14:paraId="5E0282BB" w14:textId="57BB4D29"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381 490</w:t>
            </w:r>
          </w:p>
        </w:tc>
      </w:tr>
      <w:tr w:rsidR="000958F5" w:rsidRPr="00E4581C" w14:paraId="6F38CFC2" w14:textId="77777777" w:rsidTr="00846A75">
        <w:trPr>
          <w:trHeight w:val="588"/>
        </w:trPr>
        <w:tc>
          <w:tcPr>
            <w:tcW w:w="5721" w:type="dxa"/>
            <w:tcBorders>
              <w:top w:val="nil"/>
              <w:left w:val="nil"/>
              <w:bottom w:val="single" w:sz="4" w:space="0" w:color="auto"/>
              <w:right w:val="nil"/>
            </w:tcBorders>
            <w:shd w:val="clear" w:color="000000" w:fill="FFFFFF"/>
            <w:vAlign w:val="center"/>
            <w:hideMark/>
          </w:tcPr>
          <w:p w14:paraId="326FD7AD" w14:textId="5FBFF72A"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b/>
                <w:bCs/>
                <w:sz w:val="18"/>
                <w:szCs w:val="18"/>
                <w:lang w:val="es-ES_tradnl"/>
              </w:rPr>
              <w:t>2.4 Objetivo 4:</w:t>
            </w:r>
            <w:r w:rsidRPr="00E4581C">
              <w:rPr>
                <w:rFonts w:ascii="Times New Roman" w:hAnsi="Times New Roman"/>
                <w:sz w:val="18"/>
                <w:szCs w:val="18"/>
                <w:lang w:val="es-ES_tradnl"/>
              </w:rPr>
              <w:t xml:space="preserve"> comunicar y evaluar las actividades, los productos previstos y los resultados de la Plataforma</w:t>
            </w:r>
          </w:p>
        </w:tc>
        <w:tc>
          <w:tcPr>
            <w:tcW w:w="1389" w:type="dxa"/>
            <w:tcBorders>
              <w:top w:val="nil"/>
              <w:left w:val="nil"/>
              <w:bottom w:val="single" w:sz="4" w:space="0" w:color="auto"/>
              <w:right w:val="nil"/>
            </w:tcBorders>
            <w:shd w:val="clear" w:color="000000" w:fill="FFFFFF"/>
            <w:noWrap/>
            <w:vAlign w:val="bottom"/>
            <w:hideMark/>
          </w:tcPr>
          <w:p w14:paraId="07B1DA33" w14:textId="7A62F310"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342 500</w:t>
            </w:r>
          </w:p>
        </w:tc>
        <w:tc>
          <w:tcPr>
            <w:tcW w:w="1390" w:type="dxa"/>
            <w:tcBorders>
              <w:top w:val="nil"/>
              <w:left w:val="nil"/>
              <w:bottom w:val="single" w:sz="4" w:space="0" w:color="auto"/>
              <w:right w:val="nil"/>
            </w:tcBorders>
            <w:shd w:val="clear" w:color="000000" w:fill="FFFFFF"/>
            <w:noWrap/>
            <w:vAlign w:val="bottom"/>
            <w:hideMark/>
          </w:tcPr>
          <w:p w14:paraId="4D0C7B8B" w14:textId="286040F7"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192 950</w:t>
            </w:r>
          </w:p>
        </w:tc>
        <w:tc>
          <w:tcPr>
            <w:tcW w:w="1390" w:type="dxa"/>
            <w:tcBorders>
              <w:top w:val="nil"/>
              <w:left w:val="nil"/>
              <w:bottom w:val="single" w:sz="4" w:space="0" w:color="auto"/>
              <w:right w:val="nil"/>
            </w:tcBorders>
            <w:shd w:val="clear" w:color="000000" w:fill="FFFFFF"/>
            <w:noWrap/>
            <w:vAlign w:val="bottom"/>
            <w:hideMark/>
          </w:tcPr>
          <w:p w14:paraId="72EC52FE" w14:textId="658CDF76"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149 550</w:t>
            </w:r>
          </w:p>
        </w:tc>
      </w:tr>
      <w:tr w:rsidR="000958F5" w:rsidRPr="00E4581C" w14:paraId="0ED20A4C"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71873E7C" w14:textId="42843954"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2, Ejecución del programa de trabajo</w:t>
            </w:r>
          </w:p>
        </w:tc>
        <w:tc>
          <w:tcPr>
            <w:tcW w:w="1389" w:type="dxa"/>
            <w:tcBorders>
              <w:top w:val="single" w:sz="4" w:space="0" w:color="auto"/>
              <w:left w:val="nil"/>
              <w:bottom w:val="single" w:sz="4" w:space="0" w:color="auto"/>
              <w:right w:val="nil"/>
            </w:tcBorders>
            <w:shd w:val="clear" w:color="auto" w:fill="auto"/>
            <w:noWrap/>
            <w:vAlign w:val="bottom"/>
            <w:hideMark/>
          </w:tcPr>
          <w:p w14:paraId="6C75025F" w14:textId="3F8D276E"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5 492 500</w:t>
            </w:r>
          </w:p>
        </w:tc>
        <w:tc>
          <w:tcPr>
            <w:tcW w:w="1390" w:type="dxa"/>
            <w:tcBorders>
              <w:top w:val="single" w:sz="4" w:space="0" w:color="auto"/>
              <w:left w:val="nil"/>
              <w:bottom w:val="single" w:sz="4" w:space="0" w:color="auto"/>
              <w:right w:val="nil"/>
            </w:tcBorders>
            <w:shd w:val="clear" w:color="auto" w:fill="auto"/>
            <w:noWrap/>
            <w:vAlign w:val="bottom"/>
            <w:hideMark/>
          </w:tcPr>
          <w:p w14:paraId="5FE8E2EE" w14:textId="6DDA44B5"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4 481 429</w:t>
            </w:r>
          </w:p>
        </w:tc>
        <w:tc>
          <w:tcPr>
            <w:tcW w:w="1390" w:type="dxa"/>
            <w:tcBorders>
              <w:top w:val="single" w:sz="4" w:space="0" w:color="auto"/>
              <w:left w:val="nil"/>
              <w:bottom w:val="single" w:sz="4" w:space="0" w:color="auto"/>
              <w:right w:val="nil"/>
            </w:tcBorders>
            <w:shd w:val="clear" w:color="auto" w:fill="auto"/>
            <w:noWrap/>
            <w:vAlign w:val="bottom"/>
            <w:hideMark/>
          </w:tcPr>
          <w:p w14:paraId="0456BE60" w14:textId="4A83CE70"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1 011 071</w:t>
            </w:r>
          </w:p>
        </w:tc>
      </w:tr>
      <w:tr w:rsidR="000958F5" w:rsidRPr="00E4581C" w14:paraId="59994FDF" w14:textId="77777777" w:rsidTr="00846A75">
        <w:trPr>
          <w:trHeight w:val="235"/>
        </w:trPr>
        <w:tc>
          <w:tcPr>
            <w:tcW w:w="5721" w:type="dxa"/>
            <w:tcBorders>
              <w:top w:val="single" w:sz="4" w:space="0" w:color="auto"/>
              <w:left w:val="nil"/>
              <w:bottom w:val="nil"/>
              <w:right w:val="nil"/>
            </w:tcBorders>
            <w:shd w:val="clear" w:color="000000" w:fill="FFFFFF"/>
            <w:noWrap/>
            <w:vAlign w:val="center"/>
            <w:hideMark/>
          </w:tcPr>
          <w:p w14:paraId="2AE1B989" w14:textId="5D194980"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3.</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Secretaría</w:t>
            </w:r>
          </w:p>
        </w:tc>
        <w:tc>
          <w:tcPr>
            <w:tcW w:w="1389" w:type="dxa"/>
            <w:vMerge w:val="restart"/>
            <w:tcBorders>
              <w:top w:val="single" w:sz="4" w:space="0" w:color="auto"/>
              <w:left w:val="nil"/>
              <w:bottom w:val="nil"/>
              <w:right w:val="nil"/>
            </w:tcBorders>
            <w:shd w:val="clear" w:color="000000" w:fill="FFFFFF"/>
            <w:vAlign w:val="bottom"/>
            <w:hideMark/>
          </w:tcPr>
          <w:p w14:paraId="309791E4" w14:textId="48E59315" w:rsidR="000958F5" w:rsidRPr="00E4581C" w:rsidRDefault="000958F5" w:rsidP="006D1ED0">
            <w:pPr>
              <w:spacing w:before="40" w:after="40" w:line="240" w:lineRule="auto"/>
              <w:jc w:val="right"/>
              <w:rPr>
                <w:rFonts w:ascii="Times New Roman" w:hAnsi="Times New Roman"/>
                <w:color w:val="000000"/>
                <w:sz w:val="18"/>
                <w:szCs w:val="18"/>
                <w:lang w:val="es-ES_tradnl"/>
              </w:rPr>
            </w:pPr>
          </w:p>
        </w:tc>
        <w:tc>
          <w:tcPr>
            <w:tcW w:w="1390" w:type="dxa"/>
            <w:vMerge w:val="restart"/>
            <w:tcBorders>
              <w:top w:val="single" w:sz="4" w:space="0" w:color="auto"/>
              <w:left w:val="nil"/>
              <w:bottom w:val="nil"/>
              <w:right w:val="nil"/>
            </w:tcBorders>
            <w:shd w:val="clear" w:color="000000" w:fill="FFFFFF"/>
            <w:vAlign w:val="bottom"/>
            <w:hideMark/>
          </w:tcPr>
          <w:p w14:paraId="41C4987E" w14:textId="2A4858FC" w:rsidR="000958F5" w:rsidRPr="00E4581C" w:rsidRDefault="000958F5" w:rsidP="006D1ED0">
            <w:pPr>
              <w:spacing w:before="40" w:after="40" w:line="240" w:lineRule="auto"/>
              <w:jc w:val="right"/>
              <w:rPr>
                <w:rFonts w:ascii="Times New Roman" w:hAnsi="Times New Roman"/>
                <w:color w:val="000000"/>
                <w:sz w:val="18"/>
                <w:szCs w:val="18"/>
                <w:lang w:val="es-ES_tradnl"/>
              </w:rPr>
            </w:pPr>
          </w:p>
        </w:tc>
        <w:tc>
          <w:tcPr>
            <w:tcW w:w="1390" w:type="dxa"/>
            <w:vMerge w:val="restart"/>
            <w:tcBorders>
              <w:top w:val="single" w:sz="4" w:space="0" w:color="auto"/>
              <w:left w:val="nil"/>
              <w:bottom w:val="nil"/>
              <w:right w:val="nil"/>
            </w:tcBorders>
            <w:shd w:val="clear" w:color="000000" w:fill="FFFFFF"/>
            <w:vAlign w:val="bottom"/>
            <w:hideMark/>
          </w:tcPr>
          <w:p w14:paraId="2E1AEA3F" w14:textId="348A728C" w:rsidR="000958F5" w:rsidRPr="00E4581C" w:rsidRDefault="000958F5" w:rsidP="006D1ED0">
            <w:pPr>
              <w:spacing w:before="40" w:after="40" w:line="240" w:lineRule="auto"/>
              <w:jc w:val="right"/>
              <w:rPr>
                <w:rFonts w:ascii="Times New Roman" w:hAnsi="Times New Roman"/>
                <w:color w:val="000000"/>
                <w:sz w:val="18"/>
                <w:szCs w:val="18"/>
                <w:lang w:val="es-ES_tradnl"/>
              </w:rPr>
            </w:pPr>
          </w:p>
        </w:tc>
      </w:tr>
      <w:tr w:rsidR="000958F5" w:rsidRPr="00E4581C" w14:paraId="25D38F46" w14:textId="77777777" w:rsidTr="00846A75">
        <w:trPr>
          <w:trHeight w:val="235"/>
        </w:trPr>
        <w:tc>
          <w:tcPr>
            <w:tcW w:w="5721" w:type="dxa"/>
            <w:tcBorders>
              <w:top w:val="nil"/>
              <w:left w:val="nil"/>
              <w:bottom w:val="nil"/>
              <w:right w:val="nil"/>
            </w:tcBorders>
            <w:shd w:val="clear" w:color="000000" w:fill="FFFFFF"/>
            <w:noWrap/>
            <w:vAlign w:val="center"/>
            <w:hideMark/>
          </w:tcPr>
          <w:p w14:paraId="699A07CF" w14:textId="717576BB"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3.1 Personal</w:t>
            </w:r>
          </w:p>
        </w:tc>
        <w:tc>
          <w:tcPr>
            <w:tcW w:w="1389" w:type="dxa"/>
            <w:vMerge/>
            <w:tcBorders>
              <w:top w:val="nil"/>
              <w:left w:val="nil"/>
              <w:bottom w:val="nil"/>
              <w:right w:val="nil"/>
            </w:tcBorders>
            <w:vAlign w:val="bottom"/>
            <w:hideMark/>
          </w:tcPr>
          <w:p w14:paraId="552A7C52"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lang w:val="es-ES_tradnl"/>
              </w:rPr>
            </w:pPr>
          </w:p>
        </w:tc>
        <w:tc>
          <w:tcPr>
            <w:tcW w:w="1390" w:type="dxa"/>
            <w:vMerge/>
            <w:tcBorders>
              <w:top w:val="nil"/>
              <w:left w:val="nil"/>
              <w:bottom w:val="nil"/>
              <w:right w:val="nil"/>
            </w:tcBorders>
            <w:vAlign w:val="bottom"/>
            <w:hideMark/>
          </w:tcPr>
          <w:p w14:paraId="59F033BF"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lang w:val="es-ES_tradnl"/>
              </w:rPr>
            </w:pPr>
          </w:p>
        </w:tc>
        <w:tc>
          <w:tcPr>
            <w:tcW w:w="1390" w:type="dxa"/>
            <w:vMerge/>
            <w:tcBorders>
              <w:top w:val="nil"/>
              <w:left w:val="nil"/>
              <w:bottom w:val="nil"/>
              <w:right w:val="nil"/>
            </w:tcBorders>
            <w:vAlign w:val="bottom"/>
            <w:hideMark/>
          </w:tcPr>
          <w:p w14:paraId="6EFE1E0B"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lang w:val="es-ES_tradnl"/>
              </w:rPr>
            </w:pPr>
          </w:p>
        </w:tc>
      </w:tr>
      <w:tr w:rsidR="000958F5" w:rsidRPr="000930FA" w14:paraId="1337CB42" w14:textId="77777777" w:rsidTr="00846A75">
        <w:trPr>
          <w:trHeight w:val="235"/>
        </w:trPr>
        <w:tc>
          <w:tcPr>
            <w:tcW w:w="5721" w:type="dxa"/>
            <w:tcBorders>
              <w:top w:val="nil"/>
              <w:left w:val="nil"/>
              <w:bottom w:val="nil"/>
              <w:right w:val="nil"/>
            </w:tcBorders>
            <w:shd w:val="clear" w:color="000000" w:fill="FFFFFF"/>
            <w:noWrap/>
            <w:vAlign w:val="center"/>
            <w:hideMark/>
          </w:tcPr>
          <w:p w14:paraId="402C2CE6" w14:textId="01861310" w:rsidR="000958F5" w:rsidRPr="00E4581C" w:rsidRDefault="000958F5" w:rsidP="006D1ED0">
            <w:pPr>
              <w:spacing w:before="40" w:after="40" w:line="240" w:lineRule="auto"/>
              <w:rPr>
                <w:rFonts w:ascii="Times New Roman" w:eastAsia="Times New Roman" w:hAnsi="Times New Roman"/>
                <w:b/>
                <w:color w:val="000000"/>
                <w:sz w:val="18"/>
                <w:szCs w:val="18"/>
                <w:lang w:val="es-ES_tradnl"/>
              </w:rPr>
            </w:pPr>
            <w:r w:rsidRPr="00E4581C">
              <w:rPr>
                <w:rFonts w:ascii="Times New Roman" w:hAnsi="Times New Roman"/>
                <w:b/>
                <w:bCs/>
                <w:sz w:val="18"/>
                <w:szCs w:val="18"/>
                <w:lang w:val="es-ES_tradnl"/>
              </w:rPr>
              <w:t>3.1.1 Cuadro Orgánico y categorías superiores</w:t>
            </w:r>
            <w:r w:rsidRPr="00E4581C">
              <w:rPr>
                <w:rFonts w:ascii="Times New Roman" w:hAnsi="Times New Roman"/>
                <w:sz w:val="18"/>
                <w:szCs w:val="18"/>
                <w:lang w:val="es-ES_tradnl"/>
              </w:rPr>
              <w:t xml:space="preserve"> </w:t>
            </w:r>
          </w:p>
        </w:tc>
        <w:tc>
          <w:tcPr>
            <w:tcW w:w="1389" w:type="dxa"/>
            <w:vMerge/>
            <w:tcBorders>
              <w:top w:val="nil"/>
              <w:left w:val="nil"/>
              <w:bottom w:val="nil"/>
              <w:right w:val="nil"/>
            </w:tcBorders>
            <w:vAlign w:val="bottom"/>
            <w:hideMark/>
          </w:tcPr>
          <w:p w14:paraId="79C33D6E" w14:textId="77777777"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p>
        </w:tc>
        <w:tc>
          <w:tcPr>
            <w:tcW w:w="1390" w:type="dxa"/>
            <w:vMerge/>
            <w:tcBorders>
              <w:top w:val="nil"/>
              <w:left w:val="nil"/>
              <w:bottom w:val="nil"/>
              <w:right w:val="nil"/>
            </w:tcBorders>
            <w:vAlign w:val="bottom"/>
            <w:hideMark/>
          </w:tcPr>
          <w:p w14:paraId="5218A8E9" w14:textId="77777777"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p>
        </w:tc>
        <w:tc>
          <w:tcPr>
            <w:tcW w:w="1390" w:type="dxa"/>
            <w:vMerge/>
            <w:tcBorders>
              <w:top w:val="nil"/>
              <w:left w:val="nil"/>
              <w:bottom w:val="nil"/>
              <w:right w:val="nil"/>
            </w:tcBorders>
            <w:vAlign w:val="bottom"/>
            <w:hideMark/>
          </w:tcPr>
          <w:p w14:paraId="1714C78B" w14:textId="77777777"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p>
        </w:tc>
      </w:tr>
      <w:tr w:rsidR="000958F5" w:rsidRPr="00E4581C" w14:paraId="2412362A" w14:textId="77777777" w:rsidTr="00846A75">
        <w:trPr>
          <w:trHeight w:val="235"/>
        </w:trPr>
        <w:tc>
          <w:tcPr>
            <w:tcW w:w="5721" w:type="dxa"/>
            <w:tcBorders>
              <w:top w:val="nil"/>
              <w:left w:val="nil"/>
              <w:bottom w:val="nil"/>
              <w:right w:val="nil"/>
            </w:tcBorders>
            <w:shd w:val="clear" w:color="000000" w:fill="FFFFFF"/>
            <w:noWrap/>
            <w:vAlign w:val="center"/>
            <w:hideMark/>
          </w:tcPr>
          <w:p w14:paraId="5E7D5973" w14:textId="33DCC567"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Jefe de la Secretaría (D</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1)</w:t>
            </w:r>
          </w:p>
        </w:tc>
        <w:tc>
          <w:tcPr>
            <w:tcW w:w="1389" w:type="dxa"/>
            <w:tcBorders>
              <w:top w:val="nil"/>
              <w:left w:val="nil"/>
              <w:bottom w:val="nil"/>
              <w:right w:val="nil"/>
            </w:tcBorders>
            <w:shd w:val="clear" w:color="000000" w:fill="FFFFFF"/>
            <w:noWrap/>
            <w:vAlign w:val="bottom"/>
            <w:hideMark/>
          </w:tcPr>
          <w:p w14:paraId="09DD6CA5" w14:textId="57FC2068"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283 600</w:t>
            </w:r>
          </w:p>
        </w:tc>
        <w:tc>
          <w:tcPr>
            <w:tcW w:w="1390" w:type="dxa"/>
            <w:tcBorders>
              <w:top w:val="nil"/>
              <w:left w:val="nil"/>
              <w:bottom w:val="nil"/>
              <w:right w:val="nil"/>
            </w:tcBorders>
            <w:shd w:val="clear" w:color="000000" w:fill="FFFFFF"/>
            <w:noWrap/>
            <w:vAlign w:val="bottom"/>
            <w:hideMark/>
          </w:tcPr>
          <w:p w14:paraId="0E9D9D95" w14:textId="467104F6"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201 571</w:t>
            </w:r>
          </w:p>
        </w:tc>
        <w:tc>
          <w:tcPr>
            <w:tcW w:w="1390" w:type="dxa"/>
            <w:tcBorders>
              <w:top w:val="nil"/>
              <w:left w:val="nil"/>
              <w:bottom w:val="nil"/>
              <w:right w:val="nil"/>
            </w:tcBorders>
            <w:shd w:val="clear" w:color="000000" w:fill="FFFFFF"/>
            <w:noWrap/>
            <w:vAlign w:val="bottom"/>
            <w:hideMark/>
          </w:tcPr>
          <w:p w14:paraId="4FB313FA" w14:textId="18491E91"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82 029</w:t>
            </w:r>
          </w:p>
        </w:tc>
      </w:tr>
      <w:tr w:rsidR="000958F5" w:rsidRPr="00E4581C" w14:paraId="38FA5E55" w14:textId="77777777" w:rsidTr="00846A75">
        <w:trPr>
          <w:trHeight w:val="235"/>
        </w:trPr>
        <w:tc>
          <w:tcPr>
            <w:tcW w:w="5721" w:type="dxa"/>
            <w:tcBorders>
              <w:top w:val="nil"/>
              <w:left w:val="nil"/>
              <w:bottom w:val="nil"/>
              <w:right w:val="nil"/>
            </w:tcBorders>
            <w:shd w:val="clear" w:color="000000" w:fill="FFFFFF"/>
            <w:noWrap/>
            <w:vAlign w:val="center"/>
            <w:hideMark/>
          </w:tcPr>
          <w:p w14:paraId="69B4A2A7" w14:textId="5742EFED"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Oficial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 xml:space="preserve">4) </w:t>
            </w:r>
          </w:p>
        </w:tc>
        <w:tc>
          <w:tcPr>
            <w:tcW w:w="1389" w:type="dxa"/>
            <w:tcBorders>
              <w:top w:val="nil"/>
              <w:left w:val="nil"/>
              <w:bottom w:val="nil"/>
              <w:right w:val="nil"/>
            </w:tcBorders>
            <w:shd w:val="clear" w:color="000000" w:fill="FFFFFF"/>
            <w:noWrap/>
            <w:vAlign w:val="bottom"/>
            <w:hideMark/>
          </w:tcPr>
          <w:p w14:paraId="51D0BFC0" w14:textId="3230D82A"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223 100</w:t>
            </w:r>
          </w:p>
        </w:tc>
        <w:tc>
          <w:tcPr>
            <w:tcW w:w="1390" w:type="dxa"/>
            <w:tcBorders>
              <w:top w:val="nil"/>
              <w:left w:val="nil"/>
              <w:bottom w:val="nil"/>
              <w:right w:val="nil"/>
            </w:tcBorders>
            <w:shd w:val="clear" w:color="000000" w:fill="FFFFFF"/>
            <w:noWrap/>
            <w:vAlign w:val="bottom"/>
            <w:hideMark/>
          </w:tcPr>
          <w:p w14:paraId="505915D8" w14:textId="693A8F68"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165 398</w:t>
            </w:r>
          </w:p>
        </w:tc>
        <w:tc>
          <w:tcPr>
            <w:tcW w:w="1390" w:type="dxa"/>
            <w:tcBorders>
              <w:top w:val="nil"/>
              <w:left w:val="nil"/>
              <w:bottom w:val="nil"/>
              <w:right w:val="nil"/>
            </w:tcBorders>
            <w:shd w:val="clear" w:color="000000" w:fill="FFFFFF"/>
            <w:noWrap/>
            <w:vAlign w:val="bottom"/>
            <w:hideMark/>
          </w:tcPr>
          <w:p w14:paraId="04A7EB4B" w14:textId="3AC4E54F"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57 702</w:t>
            </w:r>
          </w:p>
        </w:tc>
      </w:tr>
      <w:tr w:rsidR="000958F5" w:rsidRPr="00E4581C" w14:paraId="3E4975E7" w14:textId="77777777" w:rsidTr="00846A75">
        <w:trPr>
          <w:trHeight w:val="264"/>
        </w:trPr>
        <w:tc>
          <w:tcPr>
            <w:tcW w:w="5721" w:type="dxa"/>
            <w:tcBorders>
              <w:top w:val="nil"/>
              <w:left w:val="nil"/>
              <w:bottom w:val="nil"/>
              <w:right w:val="nil"/>
            </w:tcBorders>
            <w:shd w:val="clear" w:color="000000" w:fill="FFFFFF"/>
            <w:noWrap/>
            <w:vAlign w:val="center"/>
            <w:hideMark/>
          </w:tcPr>
          <w:p w14:paraId="7801C4A8" w14:textId="67C801E9"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Oficial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4)c</w:t>
            </w:r>
          </w:p>
        </w:tc>
        <w:tc>
          <w:tcPr>
            <w:tcW w:w="1389" w:type="dxa"/>
            <w:tcBorders>
              <w:top w:val="nil"/>
              <w:left w:val="nil"/>
              <w:bottom w:val="nil"/>
              <w:right w:val="nil"/>
            </w:tcBorders>
            <w:shd w:val="clear" w:color="000000" w:fill="FFFFFF"/>
            <w:noWrap/>
            <w:vAlign w:val="bottom"/>
            <w:hideMark/>
          </w:tcPr>
          <w:p w14:paraId="76E262CE" w14:textId="6F05ACFE" w:rsidR="000958F5" w:rsidRPr="00E4581C" w:rsidRDefault="006D1ED0"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w:t>
            </w:r>
          </w:p>
        </w:tc>
        <w:tc>
          <w:tcPr>
            <w:tcW w:w="1390" w:type="dxa"/>
            <w:tcBorders>
              <w:top w:val="nil"/>
              <w:left w:val="nil"/>
              <w:bottom w:val="nil"/>
              <w:right w:val="nil"/>
            </w:tcBorders>
            <w:shd w:val="clear" w:color="000000" w:fill="FFFFFF"/>
            <w:noWrap/>
            <w:vAlign w:val="bottom"/>
            <w:hideMark/>
          </w:tcPr>
          <w:p w14:paraId="65F569C0" w14:textId="5C893CEE" w:rsidR="000958F5" w:rsidRPr="00E4581C" w:rsidRDefault="006D1ED0"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w:t>
            </w:r>
          </w:p>
        </w:tc>
        <w:tc>
          <w:tcPr>
            <w:tcW w:w="1390" w:type="dxa"/>
            <w:tcBorders>
              <w:top w:val="nil"/>
              <w:left w:val="nil"/>
              <w:bottom w:val="nil"/>
              <w:right w:val="nil"/>
            </w:tcBorders>
            <w:shd w:val="clear" w:color="000000" w:fill="FFFFFF"/>
            <w:noWrap/>
            <w:vAlign w:val="bottom"/>
            <w:hideMark/>
          </w:tcPr>
          <w:p w14:paraId="12E6E0C4" w14:textId="3DC73529" w:rsidR="000958F5" w:rsidRPr="00E4581C" w:rsidRDefault="006D1ED0"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w:t>
            </w:r>
          </w:p>
        </w:tc>
      </w:tr>
      <w:tr w:rsidR="000958F5" w:rsidRPr="00E4581C" w14:paraId="410704F0" w14:textId="77777777" w:rsidTr="00846A75">
        <w:trPr>
          <w:trHeight w:val="235"/>
        </w:trPr>
        <w:tc>
          <w:tcPr>
            <w:tcW w:w="5721" w:type="dxa"/>
            <w:tcBorders>
              <w:top w:val="nil"/>
              <w:left w:val="nil"/>
              <w:bottom w:val="nil"/>
              <w:right w:val="nil"/>
            </w:tcBorders>
            <w:shd w:val="clear" w:color="000000" w:fill="FFFFFF"/>
            <w:noWrap/>
            <w:vAlign w:val="center"/>
            <w:hideMark/>
          </w:tcPr>
          <w:p w14:paraId="233CE953" w14:textId="7942C217"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Oficial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3)</w:t>
            </w:r>
          </w:p>
        </w:tc>
        <w:tc>
          <w:tcPr>
            <w:tcW w:w="1389" w:type="dxa"/>
            <w:tcBorders>
              <w:top w:val="nil"/>
              <w:left w:val="nil"/>
              <w:bottom w:val="nil"/>
              <w:right w:val="nil"/>
            </w:tcBorders>
            <w:shd w:val="clear" w:color="000000" w:fill="FFFFFF"/>
            <w:noWrap/>
            <w:vAlign w:val="bottom"/>
            <w:hideMark/>
          </w:tcPr>
          <w:p w14:paraId="72CFD6C9" w14:textId="7B00ABC6"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186 100</w:t>
            </w:r>
          </w:p>
        </w:tc>
        <w:tc>
          <w:tcPr>
            <w:tcW w:w="1390" w:type="dxa"/>
            <w:tcBorders>
              <w:top w:val="nil"/>
              <w:left w:val="nil"/>
              <w:bottom w:val="nil"/>
              <w:right w:val="nil"/>
            </w:tcBorders>
            <w:shd w:val="clear" w:color="000000" w:fill="FFFFFF"/>
            <w:noWrap/>
            <w:vAlign w:val="bottom"/>
            <w:hideMark/>
          </w:tcPr>
          <w:p w14:paraId="2A6FE1B8" w14:textId="74C03607"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18 264</w:t>
            </w:r>
          </w:p>
        </w:tc>
        <w:tc>
          <w:tcPr>
            <w:tcW w:w="1390" w:type="dxa"/>
            <w:tcBorders>
              <w:top w:val="nil"/>
              <w:left w:val="nil"/>
              <w:bottom w:val="nil"/>
              <w:right w:val="nil"/>
            </w:tcBorders>
            <w:shd w:val="clear" w:color="000000" w:fill="FFFFFF"/>
            <w:noWrap/>
            <w:vAlign w:val="bottom"/>
            <w:hideMark/>
          </w:tcPr>
          <w:p w14:paraId="21331DB2" w14:textId="6152D8E0"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167 836</w:t>
            </w:r>
          </w:p>
        </w:tc>
      </w:tr>
      <w:tr w:rsidR="000958F5" w:rsidRPr="00E4581C" w14:paraId="2AA6117F" w14:textId="77777777" w:rsidTr="00846A75">
        <w:trPr>
          <w:trHeight w:val="235"/>
        </w:trPr>
        <w:tc>
          <w:tcPr>
            <w:tcW w:w="5721" w:type="dxa"/>
            <w:tcBorders>
              <w:top w:val="nil"/>
              <w:left w:val="nil"/>
              <w:bottom w:val="nil"/>
              <w:right w:val="nil"/>
            </w:tcBorders>
            <w:shd w:val="clear" w:color="000000" w:fill="FFFFFF"/>
            <w:noWrap/>
            <w:vAlign w:val="center"/>
            <w:hideMark/>
          </w:tcPr>
          <w:p w14:paraId="45554BC5" w14:textId="1E0237D2"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Oficial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3)</w:t>
            </w:r>
          </w:p>
        </w:tc>
        <w:tc>
          <w:tcPr>
            <w:tcW w:w="1389" w:type="dxa"/>
            <w:tcBorders>
              <w:top w:val="nil"/>
              <w:left w:val="nil"/>
              <w:bottom w:val="nil"/>
              <w:right w:val="nil"/>
            </w:tcBorders>
            <w:shd w:val="clear" w:color="000000" w:fill="FFFFFF"/>
            <w:noWrap/>
            <w:vAlign w:val="bottom"/>
            <w:hideMark/>
          </w:tcPr>
          <w:p w14:paraId="7448A393" w14:textId="0D36BA8A"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186 100</w:t>
            </w:r>
          </w:p>
        </w:tc>
        <w:tc>
          <w:tcPr>
            <w:tcW w:w="1390" w:type="dxa"/>
            <w:tcBorders>
              <w:top w:val="nil"/>
              <w:left w:val="nil"/>
              <w:bottom w:val="nil"/>
              <w:right w:val="nil"/>
            </w:tcBorders>
            <w:shd w:val="clear" w:color="000000" w:fill="FFFFFF"/>
            <w:noWrap/>
            <w:vAlign w:val="bottom"/>
            <w:hideMark/>
          </w:tcPr>
          <w:p w14:paraId="21B82488" w14:textId="76762A8B"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94 740</w:t>
            </w:r>
          </w:p>
        </w:tc>
        <w:tc>
          <w:tcPr>
            <w:tcW w:w="1390" w:type="dxa"/>
            <w:tcBorders>
              <w:top w:val="nil"/>
              <w:left w:val="nil"/>
              <w:bottom w:val="nil"/>
              <w:right w:val="nil"/>
            </w:tcBorders>
            <w:shd w:val="clear" w:color="000000" w:fill="FFFFFF"/>
            <w:noWrap/>
            <w:vAlign w:val="bottom"/>
            <w:hideMark/>
          </w:tcPr>
          <w:p w14:paraId="305E3F10" w14:textId="0D8832AF"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91 360</w:t>
            </w:r>
          </w:p>
        </w:tc>
      </w:tr>
      <w:tr w:rsidR="000958F5" w:rsidRPr="00E4581C" w14:paraId="0BA7B3E9" w14:textId="77777777" w:rsidTr="00846A75">
        <w:trPr>
          <w:trHeight w:val="235"/>
        </w:trPr>
        <w:tc>
          <w:tcPr>
            <w:tcW w:w="5721" w:type="dxa"/>
            <w:tcBorders>
              <w:top w:val="nil"/>
              <w:left w:val="nil"/>
              <w:right w:val="nil"/>
            </w:tcBorders>
            <w:shd w:val="clear" w:color="000000" w:fill="FFFFFF"/>
            <w:noWrap/>
            <w:vAlign w:val="center"/>
            <w:hideMark/>
          </w:tcPr>
          <w:p w14:paraId="3FF9EFF5" w14:textId="43A2625E" w:rsidR="000958F5" w:rsidRPr="00E4581C" w:rsidRDefault="001E71BD"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Oficial Adjunto de Programas (P</w:t>
            </w:r>
            <w:r w:rsidR="00356A65" w:rsidRPr="00E4581C">
              <w:rPr>
                <w:rFonts w:ascii="Times New Roman" w:hAnsi="Times New Roman"/>
                <w:sz w:val="18"/>
                <w:szCs w:val="18"/>
                <w:lang w:val="es-ES_tradnl"/>
              </w:rPr>
              <w:noBreakHyphen/>
            </w:r>
            <w:r w:rsidR="000958F5" w:rsidRPr="00E4581C">
              <w:rPr>
                <w:rFonts w:ascii="Times New Roman" w:hAnsi="Times New Roman"/>
                <w:sz w:val="18"/>
                <w:szCs w:val="18"/>
                <w:lang w:val="es-ES_tradnl"/>
              </w:rPr>
              <w:t>2)</w:t>
            </w:r>
          </w:p>
        </w:tc>
        <w:tc>
          <w:tcPr>
            <w:tcW w:w="1389" w:type="dxa"/>
            <w:tcBorders>
              <w:top w:val="nil"/>
              <w:left w:val="nil"/>
              <w:right w:val="nil"/>
            </w:tcBorders>
            <w:shd w:val="clear" w:color="000000" w:fill="FFFFFF"/>
            <w:noWrap/>
            <w:vAlign w:val="bottom"/>
            <w:hideMark/>
          </w:tcPr>
          <w:p w14:paraId="72775408" w14:textId="44F6ADE7"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161 800</w:t>
            </w:r>
          </w:p>
        </w:tc>
        <w:tc>
          <w:tcPr>
            <w:tcW w:w="1390" w:type="dxa"/>
            <w:tcBorders>
              <w:top w:val="nil"/>
              <w:left w:val="nil"/>
              <w:right w:val="nil"/>
            </w:tcBorders>
            <w:shd w:val="clear" w:color="000000" w:fill="FFFFFF"/>
            <w:noWrap/>
            <w:vAlign w:val="bottom"/>
            <w:hideMark/>
          </w:tcPr>
          <w:p w14:paraId="66DFA26D" w14:textId="5F5BDE6C"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82 531</w:t>
            </w:r>
          </w:p>
        </w:tc>
        <w:tc>
          <w:tcPr>
            <w:tcW w:w="1390" w:type="dxa"/>
            <w:tcBorders>
              <w:top w:val="nil"/>
              <w:left w:val="nil"/>
              <w:right w:val="nil"/>
            </w:tcBorders>
            <w:shd w:val="clear" w:color="000000" w:fill="FFFFFF"/>
            <w:noWrap/>
            <w:vAlign w:val="bottom"/>
            <w:hideMark/>
          </w:tcPr>
          <w:p w14:paraId="2C67229D" w14:textId="17A30175"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79 269</w:t>
            </w:r>
          </w:p>
        </w:tc>
      </w:tr>
      <w:tr w:rsidR="000958F5" w:rsidRPr="00E4581C" w14:paraId="6BFA283A" w14:textId="77777777" w:rsidTr="00846A75">
        <w:trPr>
          <w:trHeight w:val="250"/>
        </w:trPr>
        <w:tc>
          <w:tcPr>
            <w:tcW w:w="5721" w:type="dxa"/>
            <w:tcBorders>
              <w:top w:val="nil"/>
              <w:left w:val="nil"/>
              <w:bottom w:val="single" w:sz="4" w:space="0" w:color="auto"/>
              <w:right w:val="nil"/>
            </w:tcBorders>
            <w:shd w:val="clear" w:color="000000" w:fill="FFFFFF"/>
            <w:noWrap/>
            <w:vAlign w:val="center"/>
            <w:hideMark/>
          </w:tcPr>
          <w:p w14:paraId="3BADA113" w14:textId="0DAAA7F5"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Oficial Adjunto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 xml:space="preserve">2) </w:t>
            </w:r>
          </w:p>
        </w:tc>
        <w:tc>
          <w:tcPr>
            <w:tcW w:w="1389" w:type="dxa"/>
            <w:tcBorders>
              <w:top w:val="nil"/>
              <w:left w:val="nil"/>
              <w:bottom w:val="single" w:sz="4" w:space="0" w:color="auto"/>
              <w:right w:val="nil"/>
            </w:tcBorders>
            <w:shd w:val="clear" w:color="000000" w:fill="FFFFFF"/>
            <w:noWrap/>
            <w:vAlign w:val="bottom"/>
            <w:hideMark/>
          </w:tcPr>
          <w:p w14:paraId="0F092EEC" w14:textId="6556BC78"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93 933</w:t>
            </w:r>
          </w:p>
        </w:tc>
        <w:tc>
          <w:tcPr>
            <w:tcW w:w="1390" w:type="dxa"/>
            <w:tcBorders>
              <w:top w:val="nil"/>
              <w:left w:val="nil"/>
              <w:bottom w:val="single" w:sz="4" w:space="0" w:color="auto"/>
              <w:right w:val="nil"/>
            </w:tcBorders>
            <w:shd w:val="clear" w:color="000000" w:fill="FFFFFF"/>
            <w:noWrap/>
            <w:vAlign w:val="bottom"/>
            <w:hideMark/>
          </w:tcPr>
          <w:p w14:paraId="6E59BF1E" w14:textId="77777777"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0</w:t>
            </w:r>
          </w:p>
        </w:tc>
        <w:tc>
          <w:tcPr>
            <w:tcW w:w="1390" w:type="dxa"/>
            <w:tcBorders>
              <w:top w:val="nil"/>
              <w:left w:val="nil"/>
              <w:bottom w:val="single" w:sz="4" w:space="0" w:color="auto"/>
              <w:right w:val="nil"/>
            </w:tcBorders>
            <w:shd w:val="clear" w:color="000000" w:fill="FFFFFF"/>
            <w:noWrap/>
            <w:vAlign w:val="bottom"/>
            <w:hideMark/>
          </w:tcPr>
          <w:p w14:paraId="0405C243" w14:textId="6B357E8F"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93 933</w:t>
            </w:r>
          </w:p>
        </w:tc>
      </w:tr>
      <w:tr w:rsidR="000958F5" w:rsidRPr="00E4581C" w14:paraId="37D8AB1F"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76E6397F" w14:textId="0F95F3B4" w:rsidR="000958F5" w:rsidRPr="00E4581C" w:rsidRDefault="000958F5" w:rsidP="006D1ED0">
            <w:pPr>
              <w:spacing w:before="40" w:after="40" w:line="240" w:lineRule="auto"/>
              <w:rPr>
                <w:rFonts w:ascii="Times New Roman" w:eastAsia="Times New Roman" w:hAnsi="Times New Roman"/>
                <w:b/>
                <w:color w:val="000000"/>
                <w:sz w:val="18"/>
                <w:szCs w:val="18"/>
                <w:lang w:val="es-ES_tradnl"/>
              </w:rPr>
            </w:pPr>
            <w:r w:rsidRPr="00E4581C">
              <w:rPr>
                <w:rFonts w:ascii="Times New Roman" w:hAnsi="Times New Roman"/>
                <w:b/>
                <w:bCs/>
                <w:sz w:val="18"/>
                <w:szCs w:val="18"/>
                <w:lang w:val="es-ES_tradnl"/>
              </w:rPr>
              <w:t>Total parcial 3.1.1, Personal del cuadro orgánico y categorías superiores</w:t>
            </w:r>
          </w:p>
        </w:tc>
        <w:tc>
          <w:tcPr>
            <w:tcW w:w="1389" w:type="dxa"/>
            <w:tcBorders>
              <w:top w:val="single" w:sz="4" w:space="0" w:color="auto"/>
              <w:left w:val="nil"/>
              <w:bottom w:val="single" w:sz="4" w:space="0" w:color="auto"/>
              <w:right w:val="nil"/>
            </w:tcBorders>
            <w:shd w:val="clear" w:color="auto" w:fill="auto"/>
            <w:noWrap/>
            <w:vAlign w:val="bottom"/>
            <w:hideMark/>
          </w:tcPr>
          <w:p w14:paraId="7938A3DC" w14:textId="27FED823" w:rsidR="000958F5" w:rsidRPr="00E4581C" w:rsidRDefault="000958F5" w:rsidP="006D1ED0">
            <w:pPr>
              <w:spacing w:before="40" w:after="40" w:line="240" w:lineRule="auto"/>
              <w:jc w:val="right"/>
              <w:rPr>
                <w:rFonts w:ascii="Times New Roman" w:eastAsia="Times New Roman" w:hAnsi="Times New Roman"/>
                <w:b/>
                <w:color w:val="000000"/>
                <w:sz w:val="18"/>
                <w:szCs w:val="18"/>
                <w:lang w:val="es-ES_tradnl"/>
              </w:rPr>
            </w:pPr>
            <w:r w:rsidRPr="00E4581C">
              <w:rPr>
                <w:rFonts w:ascii="Times New Roman" w:hAnsi="Times New Roman"/>
                <w:b/>
                <w:sz w:val="18"/>
                <w:szCs w:val="18"/>
                <w:lang w:val="es-ES_tradnl"/>
              </w:rPr>
              <w:t>1 134 633</w:t>
            </w:r>
          </w:p>
        </w:tc>
        <w:tc>
          <w:tcPr>
            <w:tcW w:w="1390" w:type="dxa"/>
            <w:tcBorders>
              <w:top w:val="single" w:sz="4" w:space="0" w:color="auto"/>
              <w:left w:val="nil"/>
              <w:bottom w:val="single" w:sz="4" w:space="0" w:color="auto"/>
              <w:right w:val="nil"/>
            </w:tcBorders>
            <w:shd w:val="clear" w:color="auto" w:fill="auto"/>
            <w:noWrap/>
            <w:vAlign w:val="bottom"/>
            <w:hideMark/>
          </w:tcPr>
          <w:p w14:paraId="0CF33054" w14:textId="522E07C7" w:rsidR="000958F5" w:rsidRPr="00E4581C" w:rsidRDefault="000958F5" w:rsidP="006D1ED0">
            <w:pPr>
              <w:spacing w:before="40" w:after="40" w:line="240" w:lineRule="auto"/>
              <w:jc w:val="right"/>
              <w:rPr>
                <w:rFonts w:ascii="Times New Roman" w:eastAsia="Times New Roman" w:hAnsi="Times New Roman"/>
                <w:b/>
                <w:color w:val="000000"/>
                <w:sz w:val="18"/>
                <w:szCs w:val="18"/>
                <w:lang w:val="es-ES_tradnl"/>
              </w:rPr>
            </w:pPr>
            <w:r w:rsidRPr="00E4581C">
              <w:rPr>
                <w:rFonts w:ascii="Times New Roman" w:hAnsi="Times New Roman"/>
                <w:b/>
                <w:sz w:val="18"/>
                <w:szCs w:val="18"/>
                <w:lang w:val="es-ES_tradnl"/>
              </w:rPr>
              <w:t>562 505</w:t>
            </w:r>
          </w:p>
        </w:tc>
        <w:tc>
          <w:tcPr>
            <w:tcW w:w="1390" w:type="dxa"/>
            <w:tcBorders>
              <w:top w:val="single" w:sz="4" w:space="0" w:color="auto"/>
              <w:left w:val="nil"/>
              <w:bottom w:val="single" w:sz="4" w:space="0" w:color="auto"/>
              <w:right w:val="nil"/>
            </w:tcBorders>
            <w:shd w:val="clear" w:color="auto" w:fill="auto"/>
            <w:noWrap/>
            <w:vAlign w:val="bottom"/>
            <w:hideMark/>
          </w:tcPr>
          <w:p w14:paraId="6891AE4D" w14:textId="0B5D0E86" w:rsidR="000958F5" w:rsidRPr="00E4581C" w:rsidRDefault="000958F5" w:rsidP="006D1ED0">
            <w:pPr>
              <w:spacing w:before="40" w:after="40" w:line="240" w:lineRule="auto"/>
              <w:jc w:val="right"/>
              <w:rPr>
                <w:rFonts w:ascii="Times New Roman" w:eastAsia="Times New Roman" w:hAnsi="Times New Roman"/>
                <w:b/>
                <w:color w:val="000000"/>
                <w:sz w:val="18"/>
                <w:szCs w:val="18"/>
                <w:lang w:val="es-ES_tradnl"/>
              </w:rPr>
            </w:pPr>
            <w:r w:rsidRPr="00E4581C">
              <w:rPr>
                <w:rFonts w:ascii="Times New Roman" w:hAnsi="Times New Roman"/>
                <w:b/>
                <w:sz w:val="18"/>
                <w:szCs w:val="18"/>
                <w:lang w:val="es-ES_tradnl"/>
              </w:rPr>
              <w:t>572 128</w:t>
            </w:r>
          </w:p>
        </w:tc>
      </w:tr>
      <w:tr w:rsidR="00372A69" w:rsidRPr="00E4581C" w14:paraId="36E8E063" w14:textId="77777777" w:rsidTr="00846A75">
        <w:trPr>
          <w:trHeight w:val="235"/>
        </w:trPr>
        <w:tc>
          <w:tcPr>
            <w:tcW w:w="5721" w:type="dxa"/>
            <w:tcBorders>
              <w:top w:val="nil"/>
              <w:left w:val="nil"/>
              <w:bottom w:val="nil"/>
              <w:right w:val="nil"/>
            </w:tcBorders>
            <w:shd w:val="clear" w:color="000000" w:fill="FFFFFF"/>
            <w:noWrap/>
            <w:vAlign w:val="center"/>
          </w:tcPr>
          <w:p w14:paraId="23548FAE" w14:textId="0E2F75DA" w:rsidR="00372A69" w:rsidRPr="00E4581C" w:rsidRDefault="00372A69" w:rsidP="00243231">
            <w:pPr>
              <w:keepNext/>
              <w:keepLines/>
              <w:spacing w:before="40" w:after="40" w:line="240" w:lineRule="auto"/>
              <w:rPr>
                <w:rFonts w:ascii="Times New Roman" w:hAnsi="Times New Roman"/>
                <w:color w:val="000000"/>
                <w:sz w:val="18"/>
                <w:szCs w:val="18"/>
                <w:lang w:val="es-ES_tradnl"/>
              </w:rPr>
            </w:pPr>
            <w:r w:rsidRPr="00E4581C">
              <w:rPr>
                <w:rFonts w:ascii="Times New Roman" w:hAnsi="Times New Roman"/>
                <w:b/>
                <w:bCs/>
                <w:sz w:val="18"/>
                <w:szCs w:val="18"/>
                <w:lang w:val="es-ES_tradnl"/>
              </w:rPr>
              <w:t>3.1.2 Secretaría: personal administrativo</w:t>
            </w:r>
          </w:p>
        </w:tc>
        <w:tc>
          <w:tcPr>
            <w:tcW w:w="1389" w:type="dxa"/>
            <w:tcBorders>
              <w:top w:val="nil"/>
              <w:left w:val="nil"/>
              <w:bottom w:val="nil"/>
              <w:right w:val="nil"/>
            </w:tcBorders>
            <w:shd w:val="clear" w:color="000000" w:fill="FFFFFF"/>
            <w:noWrap/>
            <w:vAlign w:val="bottom"/>
          </w:tcPr>
          <w:p w14:paraId="7E18C140" w14:textId="77777777" w:rsidR="00372A69" w:rsidRPr="00E4581C" w:rsidRDefault="00372A69" w:rsidP="00243231">
            <w:pPr>
              <w:keepNext/>
              <w:keepLines/>
              <w:spacing w:before="40" w:after="40" w:line="240" w:lineRule="auto"/>
              <w:jc w:val="right"/>
              <w:rPr>
                <w:rFonts w:ascii="Times New Roman" w:hAnsi="Times New Roman"/>
                <w:color w:val="000000"/>
                <w:sz w:val="18"/>
                <w:szCs w:val="18"/>
                <w:lang w:val="es-ES_tradnl"/>
              </w:rPr>
            </w:pPr>
          </w:p>
        </w:tc>
        <w:tc>
          <w:tcPr>
            <w:tcW w:w="1390" w:type="dxa"/>
            <w:tcBorders>
              <w:top w:val="nil"/>
              <w:left w:val="nil"/>
              <w:bottom w:val="nil"/>
              <w:right w:val="nil"/>
            </w:tcBorders>
            <w:shd w:val="clear" w:color="000000" w:fill="FFFFFF"/>
            <w:noWrap/>
            <w:vAlign w:val="bottom"/>
          </w:tcPr>
          <w:p w14:paraId="16BAB98D" w14:textId="77777777" w:rsidR="00372A69" w:rsidRPr="00E4581C" w:rsidRDefault="00372A69" w:rsidP="00243231">
            <w:pPr>
              <w:keepNext/>
              <w:keepLines/>
              <w:spacing w:before="40" w:after="40" w:line="240" w:lineRule="auto"/>
              <w:jc w:val="right"/>
              <w:rPr>
                <w:rFonts w:ascii="Times New Roman" w:hAnsi="Times New Roman"/>
                <w:color w:val="000000"/>
                <w:sz w:val="18"/>
                <w:szCs w:val="18"/>
                <w:lang w:val="es-ES_tradnl"/>
              </w:rPr>
            </w:pPr>
          </w:p>
        </w:tc>
        <w:tc>
          <w:tcPr>
            <w:tcW w:w="1390" w:type="dxa"/>
            <w:tcBorders>
              <w:top w:val="nil"/>
              <w:left w:val="nil"/>
              <w:bottom w:val="nil"/>
              <w:right w:val="nil"/>
            </w:tcBorders>
            <w:shd w:val="clear" w:color="000000" w:fill="FFFFFF"/>
            <w:noWrap/>
            <w:vAlign w:val="bottom"/>
          </w:tcPr>
          <w:p w14:paraId="146D0F19" w14:textId="77777777" w:rsidR="00372A69" w:rsidRPr="00E4581C" w:rsidRDefault="00372A69" w:rsidP="00243231">
            <w:pPr>
              <w:keepNext/>
              <w:keepLines/>
              <w:spacing w:before="40" w:after="40" w:line="240" w:lineRule="auto"/>
              <w:jc w:val="right"/>
              <w:rPr>
                <w:rFonts w:ascii="Times New Roman" w:hAnsi="Times New Roman"/>
                <w:color w:val="000000"/>
                <w:sz w:val="18"/>
                <w:szCs w:val="18"/>
                <w:lang w:val="es-ES_tradnl"/>
              </w:rPr>
            </w:pPr>
          </w:p>
        </w:tc>
      </w:tr>
      <w:tr w:rsidR="000958F5" w:rsidRPr="00E4581C" w14:paraId="4D0061B3" w14:textId="77777777" w:rsidTr="00846A75">
        <w:trPr>
          <w:trHeight w:val="235"/>
        </w:trPr>
        <w:tc>
          <w:tcPr>
            <w:tcW w:w="5721" w:type="dxa"/>
            <w:tcBorders>
              <w:top w:val="nil"/>
              <w:left w:val="nil"/>
              <w:bottom w:val="nil"/>
              <w:right w:val="nil"/>
            </w:tcBorders>
            <w:shd w:val="clear" w:color="000000" w:fill="FFFFFF"/>
            <w:noWrap/>
            <w:vAlign w:val="center"/>
            <w:hideMark/>
          </w:tcPr>
          <w:p w14:paraId="1600D171" w14:textId="23BAB9FC" w:rsidR="000958F5" w:rsidRPr="00E4581C" w:rsidRDefault="000958F5" w:rsidP="001E71BD">
            <w:pPr>
              <w:keepNext/>
              <w:keepLines/>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6)</w:t>
            </w:r>
          </w:p>
        </w:tc>
        <w:tc>
          <w:tcPr>
            <w:tcW w:w="1389" w:type="dxa"/>
            <w:tcBorders>
              <w:top w:val="nil"/>
              <w:left w:val="nil"/>
              <w:bottom w:val="nil"/>
              <w:right w:val="nil"/>
            </w:tcBorders>
            <w:shd w:val="clear" w:color="000000" w:fill="FFFFFF"/>
            <w:noWrap/>
            <w:vAlign w:val="bottom"/>
            <w:hideMark/>
          </w:tcPr>
          <w:p w14:paraId="386FA16F" w14:textId="7470A5F2" w:rsidR="000958F5" w:rsidRPr="00E4581C" w:rsidRDefault="000958F5" w:rsidP="00243231">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113 000</w:t>
            </w:r>
          </w:p>
        </w:tc>
        <w:tc>
          <w:tcPr>
            <w:tcW w:w="1390" w:type="dxa"/>
            <w:tcBorders>
              <w:top w:val="nil"/>
              <w:left w:val="nil"/>
              <w:bottom w:val="nil"/>
              <w:right w:val="nil"/>
            </w:tcBorders>
            <w:shd w:val="clear" w:color="000000" w:fill="FFFFFF"/>
            <w:noWrap/>
            <w:vAlign w:val="bottom"/>
            <w:hideMark/>
          </w:tcPr>
          <w:p w14:paraId="2D9100CF" w14:textId="7B3AE9B2" w:rsidR="000958F5" w:rsidRPr="00E4581C" w:rsidRDefault="000958F5" w:rsidP="00243231">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60 690</w:t>
            </w:r>
          </w:p>
        </w:tc>
        <w:tc>
          <w:tcPr>
            <w:tcW w:w="1390" w:type="dxa"/>
            <w:tcBorders>
              <w:top w:val="nil"/>
              <w:left w:val="nil"/>
              <w:bottom w:val="nil"/>
              <w:right w:val="nil"/>
            </w:tcBorders>
            <w:shd w:val="clear" w:color="000000" w:fill="FFFFFF"/>
            <w:noWrap/>
            <w:vAlign w:val="bottom"/>
            <w:hideMark/>
          </w:tcPr>
          <w:p w14:paraId="2ED8C4BD" w14:textId="7342D95C" w:rsidR="000958F5" w:rsidRPr="00E4581C" w:rsidRDefault="000958F5" w:rsidP="00243231">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52 310</w:t>
            </w:r>
          </w:p>
        </w:tc>
      </w:tr>
      <w:tr w:rsidR="000958F5" w:rsidRPr="00E4581C" w14:paraId="0AF77A03" w14:textId="77777777" w:rsidTr="00846A75">
        <w:trPr>
          <w:trHeight w:val="235"/>
        </w:trPr>
        <w:tc>
          <w:tcPr>
            <w:tcW w:w="5721" w:type="dxa"/>
            <w:tcBorders>
              <w:top w:val="nil"/>
              <w:left w:val="nil"/>
              <w:bottom w:val="nil"/>
              <w:right w:val="nil"/>
            </w:tcBorders>
            <w:shd w:val="clear" w:color="000000" w:fill="FFFFFF"/>
            <w:noWrap/>
            <w:vAlign w:val="center"/>
            <w:hideMark/>
          </w:tcPr>
          <w:p w14:paraId="22B0DE1B" w14:textId="6E369A8F"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 xml:space="preserve">6) </w:t>
            </w:r>
          </w:p>
        </w:tc>
        <w:tc>
          <w:tcPr>
            <w:tcW w:w="1389" w:type="dxa"/>
            <w:tcBorders>
              <w:top w:val="nil"/>
              <w:left w:val="nil"/>
              <w:bottom w:val="nil"/>
              <w:right w:val="nil"/>
            </w:tcBorders>
            <w:shd w:val="clear" w:color="000000" w:fill="FFFFFF"/>
            <w:vAlign w:val="bottom"/>
            <w:hideMark/>
          </w:tcPr>
          <w:p w14:paraId="76456F9F" w14:textId="124B517A"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56 500</w:t>
            </w:r>
          </w:p>
        </w:tc>
        <w:tc>
          <w:tcPr>
            <w:tcW w:w="1390" w:type="dxa"/>
            <w:tcBorders>
              <w:top w:val="nil"/>
              <w:left w:val="nil"/>
              <w:bottom w:val="nil"/>
              <w:right w:val="nil"/>
            </w:tcBorders>
            <w:shd w:val="clear" w:color="000000" w:fill="FFFFFF"/>
            <w:vAlign w:val="bottom"/>
            <w:hideMark/>
          </w:tcPr>
          <w:p w14:paraId="60D82158" w14:textId="5990BBAA" w:rsidR="000958F5" w:rsidRPr="00E4581C" w:rsidRDefault="006D1ED0"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w:t>
            </w:r>
          </w:p>
        </w:tc>
        <w:tc>
          <w:tcPr>
            <w:tcW w:w="1390" w:type="dxa"/>
            <w:tcBorders>
              <w:top w:val="nil"/>
              <w:left w:val="nil"/>
              <w:bottom w:val="nil"/>
              <w:right w:val="nil"/>
            </w:tcBorders>
            <w:shd w:val="clear" w:color="000000" w:fill="FFFFFF"/>
            <w:noWrap/>
            <w:vAlign w:val="bottom"/>
            <w:hideMark/>
          </w:tcPr>
          <w:p w14:paraId="5E840D1A" w14:textId="744DDAE9"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56 500</w:t>
            </w:r>
          </w:p>
        </w:tc>
      </w:tr>
      <w:tr w:rsidR="000958F5" w:rsidRPr="00E4581C" w14:paraId="0C99EF70" w14:textId="77777777" w:rsidTr="00846A75">
        <w:trPr>
          <w:trHeight w:val="235"/>
        </w:trPr>
        <w:tc>
          <w:tcPr>
            <w:tcW w:w="5721" w:type="dxa"/>
            <w:tcBorders>
              <w:top w:val="nil"/>
              <w:left w:val="nil"/>
              <w:bottom w:val="nil"/>
              <w:right w:val="nil"/>
            </w:tcBorders>
            <w:shd w:val="clear" w:color="000000" w:fill="FFFFFF"/>
            <w:noWrap/>
            <w:vAlign w:val="center"/>
            <w:hideMark/>
          </w:tcPr>
          <w:p w14:paraId="53107737" w14:textId="4E07118B"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 xml:space="preserve">5) </w:t>
            </w:r>
          </w:p>
        </w:tc>
        <w:tc>
          <w:tcPr>
            <w:tcW w:w="1389" w:type="dxa"/>
            <w:tcBorders>
              <w:top w:val="nil"/>
              <w:left w:val="nil"/>
              <w:bottom w:val="nil"/>
              <w:right w:val="nil"/>
            </w:tcBorders>
            <w:shd w:val="clear" w:color="000000" w:fill="FFFFFF"/>
            <w:noWrap/>
            <w:vAlign w:val="bottom"/>
            <w:hideMark/>
          </w:tcPr>
          <w:p w14:paraId="39BA66AD" w14:textId="49A51D4F"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56 500</w:t>
            </w:r>
          </w:p>
        </w:tc>
        <w:tc>
          <w:tcPr>
            <w:tcW w:w="1390" w:type="dxa"/>
            <w:tcBorders>
              <w:top w:val="nil"/>
              <w:left w:val="nil"/>
              <w:bottom w:val="nil"/>
              <w:right w:val="nil"/>
            </w:tcBorders>
            <w:shd w:val="clear" w:color="000000" w:fill="FFFFFF"/>
            <w:noWrap/>
            <w:vAlign w:val="bottom"/>
            <w:hideMark/>
          </w:tcPr>
          <w:p w14:paraId="3F01D1B1" w14:textId="7AAD84A3"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29 498</w:t>
            </w:r>
          </w:p>
        </w:tc>
        <w:tc>
          <w:tcPr>
            <w:tcW w:w="1390" w:type="dxa"/>
            <w:tcBorders>
              <w:top w:val="nil"/>
              <w:left w:val="nil"/>
              <w:bottom w:val="nil"/>
              <w:right w:val="nil"/>
            </w:tcBorders>
            <w:shd w:val="clear" w:color="000000" w:fill="FFFFFF"/>
            <w:noWrap/>
            <w:vAlign w:val="bottom"/>
            <w:hideMark/>
          </w:tcPr>
          <w:p w14:paraId="43D63AC8" w14:textId="6C0D54A4"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27 002</w:t>
            </w:r>
          </w:p>
        </w:tc>
      </w:tr>
      <w:tr w:rsidR="000958F5" w:rsidRPr="00E4581C" w14:paraId="6345EAFE" w14:textId="77777777" w:rsidTr="00846A75">
        <w:trPr>
          <w:trHeight w:val="235"/>
        </w:trPr>
        <w:tc>
          <w:tcPr>
            <w:tcW w:w="5721" w:type="dxa"/>
            <w:tcBorders>
              <w:top w:val="nil"/>
              <w:left w:val="nil"/>
              <w:bottom w:val="nil"/>
              <w:right w:val="nil"/>
            </w:tcBorders>
            <w:shd w:val="clear" w:color="000000" w:fill="FFFFFF"/>
            <w:noWrap/>
            <w:vAlign w:val="center"/>
            <w:hideMark/>
          </w:tcPr>
          <w:p w14:paraId="08835AEE" w14:textId="2012661D"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5)</w:t>
            </w:r>
          </w:p>
        </w:tc>
        <w:tc>
          <w:tcPr>
            <w:tcW w:w="1389" w:type="dxa"/>
            <w:tcBorders>
              <w:top w:val="nil"/>
              <w:left w:val="nil"/>
              <w:bottom w:val="nil"/>
              <w:right w:val="nil"/>
            </w:tcBorders>
            <w:shd w:val="clear" w:color="000000" w:fill="FFFFFF"/>
            <w:noWrap/>
            <w:vAlign w:val="bottom"/>
            <w:hideMark/>
          </w:tcPr>
          <w:p w14:paraId="32441BA0" w14:textId="2C2D22B4"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113 000</w:t>
            </w:r>
          </w:p>
        </w:tc>
        <w:tc>
          <w:tcPr>
            <w:tcW w:w="1390" w:type="dxa"/>
            <w:tcBorders>
              <w:top w:val="nil"/>
              <w:left w:val="nil"/>
              <w:bottom w:val="nil"/>
              <w:right w:val="nil"/>
            </w:tcBorders>
            <w:shd w:val="clear" w:color="000000" w:fill="FFFFFF"/>
            <w:noWrap/>
            <w:vAlign w:val="bottom"/>
            <w:hideMark/>
          </w:tcPr>
          <w:p w14:paraId="79E4A7AE" w14:textId="41CABDB5"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59 489</w:t>
            </w:r>
          </w:p>
        </w:tc>
        <w:tc>
          <w:tcPr>
            <w:tcW w:w="1390" w:type="dxa"/>
            <w:tcBorders>
              <w:top w:val="nil"/>
              <w:left w:val="nil"/>
              <w:bottom w:val="nil"/>
              <w:right w:val="nil"/>
            </w:tcBorders>
            <w:shd w:val="clear" w:color="000000" w:fill="FFFFFF"/>
            <w:noWrap/>
            <w:vAlign w:val="bottom"/>
            <w:hideMark/>
          </w:tcPr>
          <w:p w14:paraId="5401C741" w14:textId="4244DCA6"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53 511</w:t>
            </w:r>
          </w:p>
        </w:tc>
      </w:tr>
      <w:tr w:rsidR="000958F5" w:rsidRPr="00E4581C" w14:paraId="33BD95CE" w14:textId="77777777" w:rsidTr="00846A75">
        <w:trPr>
          <w:trHeight w:val="250"/>
        </w:trPr>
        <w:tc>
          <w:tcPr>
            <w:tcW w:w="5721" w:type="dxa"/>
            <w:tcBorders>
              <w:top w:val="nil"/>
              <w:left w:val="nil"/>
              <w:bottom w:val="single" w:sz="4" w:space="0" w:color="auto"/>
              <w:right w:val="nil"/>
            </w:tcBorders>
            <w:shd w:val="clear" w:color="000000" w:fill="FFFFFF"/>
            <w:noWrap/>
            <w:vAlign w:val="center"/>
            <w:hideMark/>
          </w:tcPr>
          <w:p w14:paraId="0C54FF13" w14:textId="5A756F38" w:rsidR="000958F5" w:rsidRPr="00E4581C" w:rsidRDefault="000958F5" w:rsidP="001E71BD">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5)</w:t>
            </w:r>
          </w:p>
        </w:tc>
        <w:tc>
          <w:tcPr>
            <w:tcW w:w="1389" w:type="dxa"/>
            <w:tcBorders>
              <w:top w:val="nil"/>
              <w:left w:val="nil"/>
              <w:bottom w:val="single" w:sz="4" w:space="0" w:color="auto"/>
              <w:right w:val="nil"/>
            </w:tcBorders>
            <w:shd w:val="clear" w:color="000000" w:fill="FFFFFF"/>
            <w:noWrap/>
            <w:vAlign w:val="bottom"/>
            <w:hideMark/>
          </w:tcPr>
          <w:p w14:paraId="33CA257D" w14:textId="54D3BDE3"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113 000</w:t>
            </w:r>
          </w:p>
        </w:tc>
        <w:tc>
          <w:tcPr>
            <w:tcW w:w="1390" w:type="dxa"/>
            <w:tcBorders>
              <w:top w:val="nil"/>
              <w:left w:val="nil"/>
              <w:bottom w:val="single" w:sz="4" w:space="0" w:color="auto"/>
              <w:right w:val="nil"/>
            </w:tcBorders>
            <w:shd w:val="clear" w:color="000000" w:fill="FFFFFF"/>
            <w:noWrap/>
            <w:vAlign w:val="bottom"/>
            <w:hideMark/>
          </w:tcPr>
          <w:p w14:paraId="6D0CFEFB" w14:textId="64145C61"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59 713</w:t>
            </w:r>
          </w:p>
        </w:tc>
        <w:tc>
          <w:tcPr>
            <w:tcW w:w="1390" w:type="dxa"/>
            <w:tcBorders>
              <w:top w:val="nil"/>
              <w:left w:val="nil"/>
              <w:bottom w:val="single" w:sz="4" w:space="0" w:color="auto"/>
              <w:right w:val="nil"/>
            </w:tcBorders>
            <w:shd w:val="clear" w:color="000000" w:fill="FFFFFF"/>
            <w:noWrap/>
            <w:vAlign w:val="bottom"/>
            <w:hideMark/>
          </w:tcPr>
          <w:p w14:paraId="269EC378" w14:textId="480C9C5D"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53 287</w:t>
            </w:r>
          </w:p>
        </w:tc>
      </w:tr>
      <w:tr w:rsidR="000958F5" w:rsidRPr="00E4581C" w14:paraId="08652E1A"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0B28D70E" w14:textId="17ED0885"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3.1.2, personal administrativo</w:t>
            </w:r>
          </w:p>
        </w:tc>
        <w:tc>
          <w:tcPr>
            <w:tcW w:w="1389" w:type="dxa"/>
            <w:tcBorders>
              <w:top w:val="single" w:sz="4" w:space="0" w:color="auto"/>
              <w:left w:val="nil"/>
              <w:bottom w:val="single" w:sz="4" w:space="0" w:color="auto"/>
              <w:right w:val="nil"/>
            </w:tcBorders>
            <w:shd w:val="clear" w:color="auto" w:fill="auto"/>
            <w:noWrap/>
            <w:vAlign w:val="bottom"/>
            <w:hideMark/>
          </w:tcPr>
          <w:p w14:paraId="38CEF80C" w14:textId="0E95BAEC"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452 000</w:t>
            </w:r>
          </w:p>
        </w:tc>
        <w:tc>
          <w:tcPr>
            <w:tcW w:w="1390" w:type="dxa"/>
            <w:tcBorders>
              <w:top w:val="single" w:sz="4" w:space="0" w:color="auto"/>
              <w:left w:val="nil"/>
              <w:bottom w:val="single" w:sz="4" w:space="0" w:color="auto"/>
              <w:right w:val="nil"/>
            </w:tcBorders>
            <w:shd w:val="clear" w:color="auto" w:fill="auto"/>
            <w:noWrap/>
            <w:vAlign w:val="bottom"/>
            <w:hideMark/>
          </w:tcPr>
          <w:p w14:paraId="770EB488" w14:textId="608DB053"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209 390</w:t>
            </w:r>
          </w:p>
        </w:tc>
        <w:tc>
          <w:tcPr>
            <w:tcW w:w="1390" w:type="dxa"/>
            <w:tcBorders>
              <w:top w:val="single" w:sz="4" w:space="0" w:color="auto"/>
              <w:left w:val="nil"/>
              <w:bottom w:val="single" w:sz="4" w:space="0" w:color="auto"/>
              <w:right w:val="nil"/>
            </w:tcBorders>
            <w:shd w:val="clear" w:color="auto" w:fill="auto"/>
            <w:noWrap/>
            <w:vAlign w:val="bottom"/>
            <w:hideMark/>
          </w:tcPr>
          <w:p w14:paraId="0A30ACE3" w14:textId="702DC282"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242 610</w:t>
            </w:r>
          </w:p>
        </w:tc>
      </w:tr>
      <w:tr w:rsidR="000958F5" w:rsidRPr="000930FA" w14:paraId="64D7AFEA" w14:textId="77777777" w:rsidTr="00846A75">
        <w:trPr>
          <w:trHeight w:val="235"/>
        </w:trPr>
        <w:tc>
          <w:tcPr>
            <w:tcW w:w="5721" w:type="dxa"/>
            <w:tcBorders>
              <w:top w:val="single" w:sz="4" w:space="0" w:color="auto"/>
              <w:left w:val="nil"/>
              <w:right w:val="nil"/>
            </w:tcBorders>
            <w:shd w:val="clear" w:color="000000" w:fill="FFFFFF"/>
            <w:noWrap/>
            <w:vAlign w:val="center"/>
            <w:hideMark/>
          </w:tcPr>
          <w:p w14:paraId="2CA64050" w14:textId="06B2FE49"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Servicios provisionales de apoyo a la secretaría</w:t>
            </w:r>
          </w:p>
        </w:tc>
        <w:tc>
          <w:tcPr>
            <w:tcW w:w="1389" w:type="dxa"/>
            <w:tcBorders>
              <w:top w:val="single" w:sz="4" w:space="0" w:color="auto"/>
              <w:left w:val="nil"/>
              <w:right w:val="nil"/>
            </w:tcBorders>
            <w:shd w:val="clear" w:color="000000" w:fill="FFFFFF"/>
            <w:noWrap/>
            <w:vAlign w:val="bottom"/>
            <w:hideMark/>
          </w:tcPr>
          <w:p w14:paraId="00FDFEA1" w14:textId="5CBA68F8" w:rsidR="000958F5" w:rsidRPr="00E4581C" w:rsidRDefault="000D3AC4"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c>
          <w:tcPr>
            <w:tcW w:w="1390" w:type="dxa"/>
            <w:tcBorders>
              <w:top w:val="single" w:sz="4" w:space="0" w:color="auto"/>
              <w:left w:val="nil"/>
              <w:right w:val="nil"/>
            </w:tcBorders>
            <w:shd w:val="clear" w:color="auto" w:fill="auto"/>
            <w:noWrap/>
            <w:vAlign w:val="bottom"/>
            <w:hideMark/>
          </w:tcPr>
          <w:p w14:paraId="2B1E177E" w14:textId="77777777"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p>
        </w:tc>
        <w:tc>
          <w:tcPr>
            <w:tcW w:w="1390" w:type="dxa"/>
            <w:tcBorders>
              <w:top w:val="single" w:sz="4" w:space="0" w:color="auto"/>
              <w:left w:val="nil"/>
              <w:right w:val="nil"/>
            </w:tcBorders>
            <w:shd w:val="clear" w:color="000000" w:fill="FFFFFF"/>
            <w:noWrap/>
            <w:vAlign w:val="bottom"/>
            <w:hideMark/>
          </w:tcPr>
          <w:p w14:paraId="3C780EAC" w14:textId="6DA6A4DB" w:rsidR="000958F5" w:rsidRPr="00E4581C" w:rsidRDefault="000D3AC4"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r>
      <w:tr w:rsidR="000958F5" w:rsidRPr="00E4581C" w14:paraId="70E6EFBB" w14:textId="77777777" w:rsidTr="00846A75">
        <w:trPr>
          <w:trHeight w:val="250"/>
        </w:trPr>
        <w:tc>
          <w:tcPr>
            <w:tcW w:w="5721" w:type="dxa"/>
            <w:tcBorders>
              <w:top w:val="nil"/>
              <w:left w:val="nil"/>
              <w:bottom w:val="single" w:sz="6" w:space="0" w:color="auto"/>
              <w:right w:val="nil"/>
            </w:tcBorders>
            <w:shd w:val="clear" w:color="000000" w:fill="FFFFFF"/>
            <w:noWrap/>
            <w:vAlign w:val="center"/>
            <w:hideMark/>
          </w:tcPr>
          <w:p w14:paraId="41849AD8" w14:textId="1BD1F6D9"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Apoyo técnico y a la secretaría de carácter provisional</w:t>
            </w:r>
          </w:p>
        </w:tc>
        <w:tc>
          <w:tcPr>
            <w:tcW w:w="1389" w:type="dxa"/>
            <w:tcBorders>
              <w:top w:val="nil"/>
              <w:left w:val="nil"/>
              <w:bottom w:val="single" w:sz="4" w:space="0" w:color="auto"/>
              <w:right w:val="nil"/>
            </w:tcBorders>
            <w:shd w:val="clear" w:color="000000" w:fill="FFFFFF"/>
            <w:noWrap/>
            <w:vAlign w:val="bottom"/>
            <w:hideMark/>
          </w:tcPr>
          <w:p w14:paraId="17352D75" w14:textId="57E33D71" w:rsidR="000958F5" w:rsidRPr="00E4581C" w:rsidRDefault="000D3AC4"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 xml:space="preserve"> −</w:t>
            </w:r>
          </w:p>
        </w:tc>
        <w:tc>
          <w:tcPr>
            <w:tcW w:w="1390" w:type="dxa"/>
            <w:tcBorders>
              <w:top w:val="nil"/>
              <w:left w:val="nil"/>
              <w:bottom w:val="single" w:sz="4" w:space="0" w:color="auto"/>
              <w:right w:val="nil"/>
            </w:tcBorders>
            <w:shd w:val="clear" w:color="auto" w:fill="auto"/>
            <w:noWrap/>
            <w:vAlign w:val="bottom"/>
            <w:hideMark/>
          </w:tcPr>
          <w:p w14:paraId="6E1DA4F0" w14:textId="2ABF9702"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171 426</w:t>
            </w:r>
          </w:p>
        </w:tc>
        <w:tc>
          <w:tcPr>
            <w:tcW w:w="1390" w:type="dxa"/>
            <w:tcBorders>
              <w:top w:val="nil"/>
              <w:left w:val="nil"/>
              <w:bottom w:val="single" w:sz="4" w:space="0" w:color="auto"/>
              <w:right w:val="nil"/>
            </w:tcBorders>
            <w:shd w:val="clear" w:color="auto" w:fill="auto"/>
            <w:noWrap/>
            <w:vAlign w:val="bottom"/>
            <w:hideMark/>
          </w:tcPr>
          <w:p w14:paraId="024D7750" w14:textId="37C04D8F" w:rsidR="000958F5" w:rsidRPr="00E4581C" w:rsidRDefault="006D1ED0"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171 426</w:t>
            </w:r>
          </w:p>
        </w:tc>
      </w:tr>
      <w:tr w:rsidR="000958F5" w:rsidRPr="00E4581C" w14:paraId="68187CF9" w14:textId="77777777" w:rsidTr="00846A75">
        <w:trPr>
          <w:trHeight w:val="250"/>
        </w:trPr>
        <w:tc>
          <w:tcPr>
            <w:tcW w:w="5721" w:type="dxa"/>
            <w:tcBorders>
              <w:top w:val="single" w:sz="6" w:space="0" w:color="auto"/>
              <w:bottom w:val="single" w:sz="6" w:space="0" w:color="auto"/>
              <w:right w:val="nil"/>
            </w:tcBorders>
            <w:shd w:val="clear" w:color="auto" w:fill="auto"/>
            <w:noWrap/>
            <w:vAlign w:val="center"/>
            <w:hideMark/>
          </w:tcPr>
          <w:p w14:paraId="6687D790" w14:textId="60F7A721" w:rsidR="000958F5" w:rsidRPr="00E4581C" w:rsidRDefault="000D3AC4" w:rsidP="006D1ED0">
            <w:pPr>
              <w:spacing w:before="40" w:after="40" w:line="240" w:lineRule="auto"/>
              <w:rPr>
                <w:rFonts w:ascii="Times New Roman" w:eastAsia="Times New Roman" w:hAnsi="Times New Roman"/>
                <w:b/>
                <w:color w:val="000000"/>
                <w:sz w:val="18"/>
                <w:szCs w:val="18"/>
                <w:lang w:val="es-ES_tradnl"/>
              </w:rPr>
            </w:pPr>
            <w:r w:rsidRPr="00E4581C">
              <w:rPr>
                <w:rFonts w:ascii="Times New Roman" w:hAnsi="Times New Roman"/>
                <w:b/>
                <w:bCs/>
                <w:sz w:val="18"/>
                <w:szCs w:val="18"/>
                <w:lang w:val="es-ES_tradnl"/>
              </w:rPr>
              <w:t>Total parcial 3.1.3 Servicios provisionales de apoyo</w:t>
            </w:r>
          </w:p>
        </w:tc>
        <w:tc>
          <w:tcPr>
            <w:tcW w:w="1389" w:type="dxa"/>
            <w:tcBorders>
              <w:top w:val="single" w:sz="4" w:space="0" w:color="auto"/>
              <w:left w:val="nil"/>
              <w:bottom w:val="single" w:sz="4" w:space="0" w:color="auto"/>
              <w:right w:val="nil"/>
            </w:tcBorders>
            <w:shd w:val="clear" w:color="auto" w:fill="auto"/>
            <w:noWrap/>
            <w:vAlign w:val="bottom"/>
            <w:hideMark/>
          </w:tcPr>
          <w:p w14:paraId="04659F2F" w14:textId="27090037" w:rsidR="000958F5" w:rsidRPr="00E4581C" w:rsidRDefault="006D1ED0" w:rsidP="006D1ED0">
            <w:pPr>
              <w:spacing w:before="40" w:after="40" w:line="240" w:lineRule="auto"/>
              <w:jc w:val="right"/>
              <w:rPr>
                <w:rFonts w:ascii="Times New Roman" w:eastAsia="Times New Roman" w:hAnsi="Times New Roman"/>
                <w:b/>
                <w:color w:val="000000"/>
                <w:sz w:val="18"/>
                <w:szCs w:val="18"/>
                <w:lang w:val="es-ES_tradnl"/>
              </w:rPr>
            </w:pPr>
            <w:r w:rsidRPr="00E4581C">
              <w:rPr>
                <w:rFonts w:ascii="Times New Roman" w:hAnsi="Times New Roman"/>
                <w:sz w:val="18"/>
                <w:szCs w:val="18"/>
                <w:lang w:val="es-ES_tradnl"/>
              </w:rPr>
              <w:t>−</w:t>
            </w:r>
          </w:p>
        </w:tc>
        <w:tc>
          <w:tcPr>
            <w:tcW w:w="1390" w:type="dxa"/>
            <w:tcBorders>
              <w:top w:val="single" w:sz="4" w:space="0" w:color="auto"/>
              <w:left w:val="nil"/>
              <w:bottom w:val="single" w:sz="4" w:space="0" w:color="auto"/>
              <w:right w:val="nil"/>
            </w:tcBorders>
            <w:shd w:val="clear" w:color="auto" w:fill="auto"/>
            <w:noWrap/>
            <w:vAlign w:val="bottom"/>
            <w:hideMark/>
          </w:tcPr>
          <w:p w14:paraId="499888D1" w14:textId="077754B7" w:rsidR="000958F5" w:rsidRPr="00E4581C" w:rsidRDefault="000958F5" w:rsidP="006D1ED0">
            <w:pPr>
              <w:spacing w:before="40" w:after="40" w:line="240" w:lineRule="auto"/>
              <w:jc w:val="right"/>
              <w:rPr>
                <w:rFonts w:ascii="Times New Roman" w:eastAsia="Times New Roman" w:hAnsi="Times New Roman"/>
                <w:b/>
                <w:color w:val="000000"/>
                <w:sz w:val="18"/>
                <w:szCs w:val="18"/>
                <w:lang w:val="es-ES_tradnl"/>
              </w:rPr>
            </w:pPr>
            <w:r w:rsidRPr="00E4581C">
              <w:rPr>
                <w:rFonts w:ascii="Times New Roman" w:hAnsi="Times New Roman"/>
                <w:sz w:val="18"/>
                <w:szCs w:val="18"/>
                <w:lang w:val="es-ES_tradnl"/>
              </w:rPr>
              <w:t>171 426</w:t>
            </w:r>
          </w:p>
        </w:tc>
        <w:tc>
          <w:tcPr>
            <w:tcW w:w="1390" w:type="dxa"/>
            <w:tcBorders>
              <w:top w:val="single" w:sz="4" w:space="0" w:color="auto"/>
              <w:left w:val="nil"/>
              <w:bottom w:val="single" w:sz="4" w:space="0" w:color="auto"/>
              <w:right w:val="nil"/>
            </w:tcBorders>
            <w:shd w:val="clear" w:color="auto" w:fill="auto"/>
            <w:noWrap/>
            <w:vAlign w:val="bottom"/>
            <w:hideMark/>
          </w:tcPr>
          <w:p w14:paraId="7BC5A359" w14:textId="0CE338E6" w:rsidR="000958F5" w:rsidRPr="00E4581C" w:rsidRDefault="006D1ED0" w:rsidP="006D1ED0">
            <w:pPr>
              <w:spacing w:before="40" w:after="40" w:line="240" w:lineRule="auto"/>
              <w:jc w:val="right"/>
              <w:rPr>
                <w:rFonts w:ascii="Times New Roman" w:eastAsia="Times New Roman" w:hAnsi="Times New Roman"/>
                <w:b/>
                <w:color w:val="000000"/>
                <w:sz w:val="18"/>
                <w:szCs w:val="18"/>
                <w:lang w:val="es-ES_tradnl"/>
              </w:rPr>
            </w:pPr>
            <w:r w:rsidRPr="00E4581C">
              <w:rPr>
                <w:rFonts w:ascii="Times New Roman" w:hAnsi="Times New Roman"/>
                <w:sz w:val="18"/>
                <w:szCs w:val="18"/>
                <w:lang w:val="es-ES_tradnl"/>
              </w:rPr>
              <w:t>−171 426</w:t>
            </w:r>
          </w:p>
        </w:tc>
      </w:tr>
      <w:tr w:rsidR="000958F5" w:rsidRPr="00E4581C" w14:paraId="4D1F8540" w14:textId="77777777" w:rsidTr="00846A75">
        <w:trPr>
          <w:trHeight w:val="342"/>
        </w:trPr>
        <w:tc>
          <w:tcPr>
            <w:tcW w:w="5721" w:type="dxa"/>
            <w:tcBorders>
              <w:top w:val="single" w:sz="6" w:space="0" w:color="auto"/>
              <w:left w:val="nil"/>
              <w:bottom w:val="single" w:sz="4" w:space="0" w:color="auto"/>
              <w:right w:val="nil"/>
            </w:tcBorders>
            <w:shd w:val="clear" w:color="auto" w:fill="auto"/>
            <w:noWrap/>
            <w:vAlign w:val="center"/>
            <w:hideMark/>
          </w:tcPr>
          <w:p w14:paraId="0E7F4F2D" w14:textId="1381B411"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3.1, Personal</w:t>
            </w:r>
          </w:p>
        </w:tc>
        <w:tc>
          <w:tcPr>
            <w:tcW w:w="1389" w:type="dxa"/>
            <w:tcBorders>
              <w:top w:val="single" w:sz="4" w:space="0" w:color="auto"/>
              <w:left w:val="nil"/>
              <w:bottom w:val="single" w:sz="4" w:space="0" w:color="auto"/>
              <w:right w:val="nil"/>
            </w:tcBorders>
            <w:shd w:val="clear" w:color="auto" w:fill="auto"/>
            <w:noWrap/>
            <w:vAlign w:val="bottom"/>
            <w:hideMark/>
          </w:tcPr>
          <w:p w14:paraId="450D2858" w14:textId="0F836ACE"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1 586 633</w:t>
            </w:r>
          </w:p>
        </w:tc>
        <w:tc>
          <w:tcPr>
            <w:tcW w:w="1390" w:type="dxa"/>
            <w:tcBorders>
              <w:top w:val="single" w:sz="4" w:space="0" w:color="auto"/>
              <w:left w:val="nil"/>
              <w:bottom w:val="single" w:sz="4" w:space="0" w:color="auto"/>
              <w:right w:val="nil"/>
            </w:tcBorders>
            <w:shd w:val="clear" w:color="auto" w:fill="auto"/>
            <w:noWrap/>
            <w:vAlign w:val="bottom"/>
            <w:hideMark/>
          </w:tcPr>
          <w:p w14:paraId="24D19E3F" w14:textId="3D75F6CD"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943 321</w:t>
            </w:r>
          </w:p>
        </w:tc>
        <w:tc>
          <w:tcPr>
            <w:tcW w:w="1390" w:type="dxa"/>
            <w:tcBorders>
              <w:top w:val="single" w:sz="4" w:space="0" w:color="auto"/>
              <w:left w:val="nil"/>
              <w:bottom w:val="single" w:sz="4" w:space="0" w:color="auto"/>
              <w:right w:val="nil"/>
            </w:tcBorders>
            <w:shd w:val="clear" w:color="auto" w:fill="auto"/>
            <w:noWrap/>
            <w:vAlign w:val="bottom"/>
            <w:hideMark/>
          </w:tcPr>
          <w:p w14:paraId="18B0AE68" w14:textId="5298CCF6"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643 312</w:t>
            </w:r>
          </w:p>
        </w:tc>
      </w:tr>
      <w:tr w:rsidR="000958F5" w:rsidRPr="000930FA" w14:paraId="45CA25B2" w14:textId="77777777" w:rsidTr="00846A75">
        <w:trPr>
          <w:trHeight w:val="235"/>
        </w:trPr>
        <w:tc>
          <w:tcPr>
            <w:tcW w:w="5721" w:type="dxa"/>
            <w:tcBorders>
              <w:top w:val="single" w:sz="4" w:space="0" w:color="auto"/>
              <w:left w:val="nil"/>
              <w:bottom w:val="nil"/>
              <w:right w:val="nil"/>
            </w:tcBorders>
            <w:shd w:val="clear" w:color="000000" w:fill="FFFFFF"/>
            <w:noWrap/>
            <w:vAlign w:val="center"/>
            <w:hideMark/>
          </w:tcPr>
          <w:p w14:paraId="4D47CE4D" w14:textId="7C264F84"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3.2 Secretaría: gastos de funcionamiento (no relacionados con el personal)</w:t>
            </w:r>
          </w:p>
        </w:tc>
        <w:tc>
          <w:tcPr>
            <w:tcW w:w="1389" w:type="dxa"/>
            <w:tcBorders>
              <w:top w:val="single" w:sz="4" w:space="0" w:color="auto"/>
              <w:left w:val="nil"/>
              <w:bottom w:val="nil"/>
              <w:right w:val="nil"/>
            </w:tcBorders>
            <w:shd w:val="clear" w:color="000000" w:fill="FFFFFF"/>
            <w:noWrap/>
            <w:vAlign w:val="bottom"/>
            <w:hideMark/>
          </w:tcPr>
          <w:p w14:paraId="56C248F2" w14:textId="04F057DB" w:rsidR="000958F5" w:rsidRPr="00E4581C" w:rsidRDefault="000D3AC4"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color w:val="000000"/>
                <w:sz w:val="18"/>
                <w:szCs w:val="18"/>
                <w:lang w:val="es-ES_tradnl"/>
              </w:rPr>
              <w:t xml:space="preserve"> </w:t>
            </w:r>
          </w:p>
        </w:tc>
        <w:tc>
          <w:tcPr>
            <w:tcW w:w="1390" w:type="dxa"/>
            <w:tcBorders>
              <w:top w:val="single" w:sz="4" w:space="0" w:color="auto"/>
              <w:left w:val="nil"/>
              <w:bottom w:val="nil"/>
              <w:right w:val="nil"/>
            </w:tcBorders>
            <w:shd w:val="clear" w:color="auto" w:fill="auto"/>
            <w:noWrap/>
            <w:vAlign w:val="bottom"/>
            <w:hideMark/>
          </w:tcPr>
          <w:p w14:paraId="7675581C"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b/>
                <w:color w:val="000000"/>
                <w:sz w:val="18"/>
                <w:szCs w:val="18"/>
                <w:lang w:val="es-ES_tradnl"/>
              </w:rPr>
            </w:pPr>
          </w:p>
        </w:tc>
        <w:tc>
          <w:tcPr>
            <w:tcW w:w="1390" w:type="dxa"/>
            <w:tcBorders>
              <w:top w:val="single" w:sz="4" w:space="0" w:color="auto"/>
              <w:left w:val="nil"/>
              <w:bottom w:val="nil"/>
              <w:right w:val="nil"/>
            </w:tcBorders>
            <w:shd w:val="clear" w:color="000000" w:fill="FFFFFF"/>
            <w:noWrap/>
            <w:vAlign w:val="bottom"/>
            <w:hideMark/>
          </w:tcPr>
          <w:p w14:paraId="0EC20F1B" w14:textId="73DAC6BE" w:rsidR="000958F5" w:rsidRPr="00E4581C" w:rsidRDefault="000D3AC4"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color w:val="000000"/>
                <w:sz w:val="18"/>
                <w:szCs w:val="18"/>
                <w:lang w:val="es-ES_tradnl"/>
              </w:rPr>
              <w:t xml:space="preserve"> </w:t>
            </w:r>
          </w:p>
        </w:tc>
      </w:tr>
      <w:tr w:rsidR="000958F5" w:rsidRPr="000930FA" w14:paraId="18458012" w14:textId="77777777" w:rsidTr="00846A75">
        <w:trPr>
          <w:trHeight w:val="235"/>
        </w:trPr>
        <w:tc>
          <w:tcPr>
            <w:tcW w:w="5721" w:type="dxa"/>
            <w:tcBorders>
              <w:top w:val="nil"/>
              <w:left w:val="nil"/>
              <w:bottom w:val="nil"/>
              <w:right w:val="nil"/>
            </w:tcBorders>
            <w:shd w:val="clear" w:color="000000" w:fill="FFFFFF"/>
            <w:noWrap/>
            <w:vAlign w:val="center"/>
            <w:hideMark/>
          </w:tcPr>
          <w:p w14:paraId="771501EA" w14:textId="579551EF" w:rsidR="000958F5" w:rsidRPr="00E4581C" w:rsidRDefault="000958F5" w:rsidP="006D1ED0">
            <w:pPr>
              <w:spacing w:before="40" w:after="40" w:line="240" w:lineRule="auto"/>
              <w:rPr>
                <w:rFonts w:ascii="Times New Roman" w:eastAsia="Times New Roman" w:hAnsi="Times New Roman"/>
                <w:b/>
                <w:color w:val="000000"/>
                <w:sz w:val="18"/>
                <w:szCs w:val="18"/>
                <w:lang w:val="es-ES_tradnl"/>
              </w:rPr>
            </w:pPr>
            <w:r w:rsidRPr="00E4581C">
              <w:rPr>
                <w:rFonts w:ascii="Times New Roman" w:hAnsi="Times New Roman"/>
                <w:b/>
                <w:bCs/>
                <w:sz w:val="18"/>
                <w:szCs w:val="18"/>
                <w:lang w:val="es-ES_tradnl"/>
              </w:rPr>
              <w:t>3.2.</w:t>
            </w:r>
            <w:r w:rsidR="000930FA">
              <w:rPr>
                <w:rFonts w:ascii="Times New Roman" w:hAnsi="Times New Roman"/>
                <w:b/>
                <w:bCs/>
                <w:sz w:val="18"/>
                <w:szCs w:val="18"/>
                <w:lang w:val="es-ES_tradnl"/>
              </w:rPr>
              <w:t>1</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Viajes en comisión de servicio</w:t>
            </w:r>
          </w:p>
        </w:tc>
        <w:tc>
          <w:tcPr>
            <w:tcW w:w="1389" w:type="dxa"/>
            <w:tcBorders>
              <w:top w:val="nil"/>
              <w:left w:val="nil"/>
              <w:bottom w:val="nil"/>
              <w:right w:val="nil"/>
            </w:tcBorders>
            <w:shd w:val="clear" w:color="000000" w:fill="FFFFFF"/>
            <w:noWrap/>
            <w:vAlign w:val="bottom"/>
            <w:hideMark/>
          </w:tcPr>
          <w:p w14:paraId="7BF76F8E" w14:textId="60EF8470" w:rsidR="000958F5" w:rsidRPr="00E4581C" w:rsidRDefault="000D3AC4" w:rsidP="006D1ED0">
            <w:pPr>
              <w:spacing w:before="40" w:after="40" w:line="240" w:lineRule="auto"/>
              <w:jc w:val="right"/>
              <w:rPr>
                <w:rFonts w:ascii="Times New Roman" w:eastAsia="Times New Roman" w:hAnsi="Times New Roman"/>
                <w:b/>
                <w:color w:val="000000"/>
                <w:sz w:val="18"/>
                <w:szCs w:val="18"/>
                <w:lang w:val="es-ES_tradnl"/>
              </w:rPr>
            </w:pPr>
            <w:r w:rsidRPr="00E4581C">
              <w:rPr>
                <w:rFonts w:ascii="Times New Roman" w:hAnsi="Times New Roman"/>
                <w:b/>
                <w:color w:val="000000"/>
                <w:sz w:val="18"/>
                <w:szCs w:val="18"/>
                <w:lang w:val="es-ES_tradnl"/>
              </w:rPr>
              <w:t xml:space="preserve"> </w:t>
            </w:r>
          </w:p>
        </w:tc>
        <w:tc>
          <w:tcPr>
            <w:tcW w:w="1390" w:type="dxa"/>
            <w:tcBorders>
              <w:top w:val="nil"/>
              <w:left w:val="nil"/>
              <w:bottom w:val="nil"/>
              <w:right w:val="nil"/>
            </w:tcBorders>
            <w:shd w:val="clear" w:color="auto" w:fill="auto"/>
            <w:noWrap/>
            <w:vAlign w:val="bottom"/>
            <w:hideMark/>
          </w:tcPr>
          <w:p w14:paraId="5E7F9D09" w14:textId="77777777" w:rsidR="000958F5" w:rsidRPr="00E4581C" w:rsidRDefault="000958F5" w:rsidP="006D1ED0">
            <w:pPr>
              <w:spacing w:before="40" w:after="40" w:line="240" w:lineRule="auto"/>
              <w:jc w:val="right"/>
              <w:rPr>
                <w:rFonts w:ascii="Times New Roman" w:eastAsia="Times New Roman" w:hAnsi="Times New Roman"/>
                <w:b/>
                <w:color w:val="000000"/>
                <w:sz w:val="18"/>
                <w:szCs w:val="18"/>
                <w:lang w:val="es-ES_tradnl"/>
              </w:rPr>
            </w:pPr>
          </w:p>
        </w:tc>
        <w:tc>
          <w:tcPr>
            <w:tcW w:w="1390" w:type="dxa"/>
            <w:tcBorders>
              <w:top w:val="nil"/>
              <w:left w:val="nil"/>
              <w:bottom w:val="nil"/>
              <w:right w:val="nil"/>
            </w:tcBorders>
            <w:shd w:val="clear" w:color="000000" w:fill="FFFFFF"/>
            <w:noWrap/>
            <w:vAlign w:val="bottom"/>
            <w:hideMark/>
          </w:tcPr>
          <w:p w14:paraId="60B84540" w14:textId="494DD560" w:rsidR="000958F5" w:rsidRPr="00E4581C" w:rsidRDefault="000D3AC4" w:rsidP="006D1ED0">
            <w:pPr>
              <w:spacing w:before="40" w:after="40" w:line="240" w:lineRule="auto"/>
              <w:jc w:val="right"/>
              <w:rPr>
                <w:rFonts w:ascii="Times New Roman" w:eastAsia="Times New Roman" w:hAnsi="Times New Roman"/>
                <w:b/>
                <w:color w:val="000000"/>
                <w:sz w:val="18"/>
                <w:szCs w:val="18"/>
                <w:lang w:val="es-ES_tradnl"/>
              </w:rPr>
            </w:pPr>
            <w:r w:rsidRPr="00E4581C">
              <w:rPr>
                <w:rFonts w:ascii="Times New Roman" w:hAnsi="Times New Roman"/>
                <w:b/>
                <w:color w:val="000000"/>
                <w:sz w:val="18"/>
                <w:szCs w:val="18"/>
                <w:lang w:val="es-ES_tradnl"/>
              </w:rPr>
              <w:t xml:space="preserve"> </w:t>
            </w:r>
          </w:p>
        </w:tc>
      </w:tr>
      <w:tr w:rsidR="000958F5" w:rsidRPr="00E4581C" w14:paraId="011739D4" w14:textId="77777777" w:rsidTr="00846A75">
        <w:trPr>
          <w:trHeight w:val="250"/>
        </w:trPr>
        <w:tc>
          <w:tcPr>
            <w:tcW w:w="5721" w:type="dxa"/>
            <w:tcBorders>
              <w:top w:val="nil"/>
              <w:left w:val="nil"/>
              <w:bottom w:val="single" w:sz="4" w:space="0" w:color="auto"/>
              <w:right w:val="nil"/>
            </w:tcBorders>
            <w:shd w:val="clear" w:color="000000" w:fill="FFFFFF"/>
            <w:noWrap/>
            <w:vAlign w:val="center"/>
            <w:hideMark/>
          </w:tcPr>
          <w:p w14:paraId="3D4EE185" w14:textId="6FD655B1"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Viajes oficiales</w:t>
            </w:r>
          </w:p>
        </w:tc>
        <w:tc>
          <w:tcPr>
            <w:tcW w:w="1389" w:type="dxa"/>
            <w:tcBorders>
              <w:top w:val="nil"/>
              <w:left w:val="nil"/>
              <w:bottom w:val="single" w:sz="4" w:space="0" w:color="auto"/>
              <w:right w:val="nil"/>
            </w:tcBorders>
            <w:shd w:val="clear" w:color="000000" w:fill="FFFFFF"/>
            <w:noWrap/>
            <w:vAlign w:val="bottom"/>
            <w:hideMark/>
          </w:tcPr>
          <w:p w14:paraId="162E80E3" w14:textId="4A75938C"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100 000</w:t>
            </w:r>
          </w:p>
        </w:tc>
        <w:tc>
          <w:tcPr>
            <w:tcW w:w="1390" w:type="dxa"/>
            <w:tcBorders>
              <w:top w:val="nil"/>
              <w:left w:val="nil"/>
              <w:bottom w:val="single" w:sz="4" w:space="0" w:color="auto"/>
              <w:right w:val="nil"/>
            </w:tcBorders>
            <w:shd w:val="clear" w:color="auto" w:fill="auto"/>
            <w:noWrap/>
            <w:vAlign w:val="bottom"/>
            <w:hideMark/>
          </w:tcPr>
          <w:p w14:paraId="11134894" w14:textId="6E22A3CA"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76 708</w:t>
            </w:r>
          </w:p>
        </w:tc>
        <w:tc>
          <w:tcPr>
            <w:tcW w:w="1390" w:type="dxa"/>
            <w:tcBorders>
              <w:top w:val="nil"/>
              <w:left w:val="nil"/>
              <w:bottom w:val="single" w:sz="4" w:space="0" w:color="auto"/>
              <w:right w:val="nil"/>
            </w:tcBorders>
            <w:shd w:val="clear" w:color="000000" w:fill="FFFFFF"/>
            <w:noWrap/>
            <w:vAlign w:val="bottom"/>
            <w:hideMark/>
          </w:tcPr>
          <w:p w14:paraId="2BD40D84" w14:textId="0D57C70A"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23 292</w:t>
            </w:r>
          </w:p>
        </w:tc>
      </w:tr>
      <w:tr w:rsidR="000958F5" w:rsidRPr="00E4581C" w14:paraId="1C813529"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73122852" w14:textId="56CFFC77"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3.2.1 Viajes en comisión de servicio</w:t>
            </w:r>
          </w:p>
        </w:tc>
        <w:tc>
          <w:tcPr>
            <w:tcW w:w="1389" w:type="dxa"/>
            <w:tcBorders>
              <w:top w:val="single" w:sz="4" w:space="0" w:color="auto"/>
              <w:left w:val="nil"/>
              <w:bottom w:val="single" w:sz="4" w:space="0" w:color="auto"/>
              <w:right w:val="nil"/>
            </w:tcBorders>
            <w:shd w:val="clear" w:color="auto" w:fill="auto"/>
            <w:noWrap/>
            <w:vAlign w:val="bottom"/>
            <w:hideMark/>
          </w:tcPr>
          <w:p w14:paraId="1AA1B55F" w14:textId="41988465"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100 000</w:t>
            </w:r>
          </w:p>
        </w:tc>
        <w:tc>
          <w:tcPr>
            <w:tcW w:w="1390" w:type="dxa"/>
            <w:tcBorders>
              <w:top w:val="single" w:sz="4" w:space="0" w:color="auto"/>
              <w:left w:val="nil"/>
              <w:bottom w:val="single" w:sz="4" w:space="0" w:color="auto"/>
              <w:right w:val="nil"/>
            </w:tcBorders>
            <w:shd w:val="clear" w:color="auto" w:fill="auto"/>
            <w:noWrap/>
            <w:vAlign w:val="bottom"/>
            <w:hideMark/>
          </w:tcPr>
          <w:p w14:paraId="48B7CBF6" w14:textId="327CDC5B"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76 708</w:t>
            </w:r>
          </w:p>
        </w:tc>
        <w:tc>
          <w:tcPr>
            <w:tcW w:w="1390" w:type="dxa"/>
            <w:tcBorders>
              <w:top w:val="single" w:sz="4" w:space="0" w:color="auto"/>
              <w:left w:val="nil"/>
              <w:bottom w:val="single" w:sz="4" w:space="0" w:color="auto"/>
              <w:right w:val="nil"/>
            </w:tcBorders>
            <w:shd w:val="clear" w:color="auto" w:fill="auto"/>
            <w:noWrap/>
            <w:vAlign w:val="bottom"/>
            <w:hideMark/>
          </w:tcPr>
          <w:p w14:paraId="4E187D06" w14:textId="553B78CD"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23 292</w:t>
            </w:r>
          </w:p>
        </w:tc>
      </w:tr>
      <w:tr w:rsidR="000958F5" w:rsidRPr="00E4581C" w14:paraId="122AF18E" w14:textId="77777777" w:rsidTr="00846A75">
        <w:trPr>
          <w:trHeight w:val="235"/>
        </w:trPr>
        <w:tc>
          <w:tcPr>
            <w:tcW w:w="5721" w:type="dxa"/>
            <w:tcBorders>
              <w:top w:val="single" w:sz="4" w:space="0" w:color="auto"/>
              <w:left w:val="nil"/>
              <w:bottom w:val="nil"/>
              <w:right w:val="nil"/>
            </w:tcBorders>
            <w:shd w:val="clear" w:color="auto" w:fill="auto"/>
            <w:noWrap/>
            <w:vAlign w:val="center"/>
            <w:hideMark/>
          </w:tcPr>
          <w:p w14:paraId="23E1218A" w14:textId="55A40090"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3.2.2 Capacitación del personal</w:t>
            </w:r>
          </w:p>
        </w:tc>
        <w:tc>
          <w:tcPr>
            <w:tcW w:w="1389" w:type="dxa"/>
            <w:tcBorders>
              <w:top w:val="single" w:sz="4" w:space="0" w:color="auto"/>
              <w:left w:val="nil"/>
              <w:bottom w:val="nil"/>
              <w:right w:val="nil"/>
            </w:tcBorders>
            <w:shd w:val="clear" w:color="auto" w:fill="auto"/>
            <w:noWrap/>
            <w:vAlign w:val="bottom"/>
            <w:hideMark/>
          </w:tcPr>
          <w:p w14:paraId="0ED07517"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6E28B18B"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2A30188F"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lang w:val="es-ES_tradnl"/>
              </w:rPr>
            </w:pPr>
          </w:p>
        </w:tc>
      </w:tr>
      <w:tr w:rsidR="000958F5" w:rsidRPr="00E4581C" w14:paraId="2C6972CA" w14:textId="77777777" w:rsidTr="00846A75">
        <w:trPr>
          <w:trHeight w:val="235"/>
        </w:trPr>
        <w:tc>
          <w:tcPr>
            <w:tcW w:w="5721" w:type="dxa"/>
            <w:tcBorders>
              <w:top w:val="nil"/>
              <w:left w:val="nil"/>
              <w:bottom w:val="nil"/>
              <w:right w:val="nil"/>
            </w:tcBorders>
            <w:shd w:val="clear" w:color="auto" w:fill="auto"/>
            <w:noWrap/>
            <w:vAlign w:val="center"/>
            <w:hideMark/>
          </w:tcPr>
          <w:p w14:paraId="148192A1" w14:textId="1DFD0213"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Formación profesional en gestión de proyectos </w:t>
            </w:r>
          </w:p>
        </w:tc>
        <w:tc>
          <w:tcPr>
            <w:tcW w:w="1389" w:type="dxa"/>
            <w:tcBorders>
              <w:top w:val="nil"/>
              <w:left w:val="nil"/>
              <w:bottom w:val="nil"/>
              <w:right w:val="nil"/>
            </w:tcBorders>
            <w:shd w:val="clear" w:color="auto" w:fill="auto"/>
            <w:noWrap/>
            <w:vAlign w:val="bottom"/>
            <w:hideMark/>
          </w:tcPr>
          <w:p w14:paraId="49E2ED40" w14:textId="11FD50AC"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10 000</w:t>
            </w:r>
          </w:p>
        </w:tc>
        <w:tc>
          <w:tcPr>
            <w:tcW w:w="1390" w:type="dxa"/>
            <w:tcBorders>
              <w:top w:val="nil"/>
              <w:left w:val="nil"/>
              <w:bottom w:val="nil"/>
              <w:right w:val="nil"/>
            </w:tcBorders>
            <w:shd w:val="clear" w:color="auto" w:fill="auto"/>
            <w:noWrap/>
            <w:vAlign w:val="bottom"/>
            <w:hideMark/>
          </w:tcPr>
          <w:p w14:paraId="21B48406" w14:textId="04939755"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8 325</w:t>
            </w:r>
          </w:p>
        </w:tc>
        <w:tc>
          <w:tcPr>
            <w:tcW w:w="1390" w:type="dxa"/>
            <w:tcBorders>
              <w:top w:val="nil"/>
              <w:left w:val="nil"/>
              <w:bottom w:val="nil"/>
              <w:right w:val="nil"/>
            </w:tcBorders>
            <w:shd w:val="clear" w:color="auto" w:fill="auto"/>
            <w:noWrap/>
            <w:vAlign w:val="bottom"/>
            <w:hideMark/>
          </w:tcPr>
          <w:p w14:paraId="25399081" w14:textId="7223AA6B"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1 675</w:t>
            </w:r>
          </w:p>
        </w:tc>
      </w:tr>
      <w:tr w:rsidR="000958F5" w:rsidRPr="00E4581C" w14:paraId="4EE6E385" w14:textId="77777777" w:rsidTr="00846A75">
        <w:trPr>
          <w:trHeight w:val="250"/>
        </w:trPr>
        <w:tc>
          <w:tcPr>
            <w:tcW w:w="5721" w:type="dxa"/>
            <w:tcBorders>
              <w:top w:val="nil"/>
              <w:left w:val="nil"/>
              <w:bottom w:val="single" w:sz="4" w:space="0" w:color="auto"/>
              <w:right w:val="nil"/>
            </w:tcBorders>
            <w:shd w:val="clear" w:color="auto" w:fill="auto"/>
            <w:noWrap/>
            <w:vAlign w:val="center"/>
            <w:hideMark/>
          </w:tcPr>
          <w:p w14:paraId="646585A0" w14:textId="4A6CDD59"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Capacitación en Umoja y entrevistas basadas en competencias</w:t>
            </w:r>
          </w:p>
        </w:tc>
        <w:tc>
          <w:tcPr>
            <w:tcW w:w="1389" w:type="dxa"/>
            <w:tcBorders>
              <w:top w:val="nil"/>
              <w:left w:val="nil"/>
              <w:bottom w:val="single" w:sz="4" w:space="0" w:color="auto"/>
              <w:right w:val="nil"/>
            </w:tcBorders>
            <w:shd w:val="clear" w:color="auto" w:fill="auto"/>
            <w:noWrap/>
            <w:vAlign w:val="bottom"/>
            <w:hideMark/>
          </w:tcPr>
          <w:p w14:paraId="25C42797" w14:textId="074B2AD1"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12 000</w:t>
            </w:r>
          </w:p>
        </w:tc>
        <w:tc>
          <w:tcPr>
            <w:tcW w:w="1390" w:type="dxa"/>
            <w:tcBorders>
              <w:top w:val="nil"/>
              <w:left w:val="nil"/>
              <w:bottom w:val="single" w:sz="4" w:space="0" w:color="auto"/>
              <w:right w:val="nil"/>
            </w:tcBorders>
            <w:shd w:val="clear" w:color="auto" w:fill="auto"/>
            <w:noWrap/>
            <w:vAlign w:val="bottom"/>
            <w:hideMark/>
          </w:tcPr>
          <w:p w14:paraId="712F84E0" w14:textId="77777777"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233</w:t>
            </w:r>
          </w:p>
        </w:tc>
        <w:tc>
          <w:tcPr>
            <w:tcW w:w="1390" w:type="dxa"/>
            <w:tcBorders>
              <w:top w:val="nil"/>
              <w:left w:val="nil"/>
              <w:bottom w:val="single" w:sz="4" w:space="0" w:color="auto"/>
              <w:right w:val="nil"/>
            </w:tcBorders>
            <w:shd w:val="clear" w:color="auto" w:fill="auto"/>
            <w:noWrap/>
            <w:vAlign w:val="bottom"/>
            <w:hideMark/>
          </w:tcPr>
          <w:p w14:paraId="470967FB" w14:textId="115C8667"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11 767</w:t>
            </w:r>
          </w:p>
        </w:tc>
      </w:tr>
      <w:tr w:rsidR="000958F5" w:rsidRPr="00E4581C" w14:paraId="4528D6B0"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0AB34F45" w14:textId="5F1E8A78"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3.2.2 Capacitación del personal</w:t>
            </w:r>
          </w:p>
        </w:tc>
        <w:tc>
          <w:tcPr>
            <w:tcW w:w="1389" w:type="dxa"/>
            <w:tcBorders>
              <w:top w:val="single" w:sz="4" w:space="0" w:color="auto"/>
              <w:left w:val="nil"/>
              <w:bottom w:val="single" w:sz="4" w:space="0" w:color="auto"/>
              <w:right w:val="nil"/>
            </w:tcBorders>
            <w:shd w:val="clear" w:color="auto" w:fill="auto"/>
            <w:noWrap/>
            <w:vAlign w:val="bottom"/>
            <w:hideMark/>
          </w:tcPr>
          <w:p w14:paraId="1BF4B767" w14:textId="3DF87EE3"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22 000</w:t>
            </w:r>
          </w:p>
        </w:tc>
        <w:tc>
          <w:tcPr>
            <w:tcW w:w="1390" w:type="dxa"/>
            <w:tcBorders>
              <w:top w:val="single" w:sz="4" w:space="0" w:color="auto"/>
              <w:left w:val="nil"/>
              <w:bottom w:val="single" w:sz="4" w:space="0" w:color="auto"/>
              <w:right w:val="nil"/>
            </w:tcBorders>
            <w:shd w:val="clear" w:color="auto" w:fill="auto"/>
            <w:noWrap/>
            <w:vAlign w:val="bottom"/>
            <w:hideMark/>
          </w:tcPr>
          <w:p w14:paraId="162C99C7" w14:textId="0F5C5433"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8 557</w:t>
            </w:r>
          </w:p>
        </w:tc>
        <w:tc>
          <w:tcPr>
            <w:tcW w:w="1390" w:type="dxa"/>
            <w:tcBorders>
              <w:top w:val="single" w:sz="4" w:space="0" w:color="auto"/>
              <w:left w:val="nil"/>
              <w:bottom w:val="single" w:sz="4" w:space="0" w:color="auto"/>
              <w:right w:val="nil"/>
            </w:tcBorders>
            <w:shd w:val="clear" w:color="auto" w:fill="auto"/>
            <w:noWrap/>
            <w:vAlign w:val="bottom"/>
            <w:hideMark/>
          </w:tcPr>
          <w:p w14:paraId="481412FA" w14:textId="5ECBCF76"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13 443</w:t>
            </w:r>
          </w:p>
        </w:tc>
      </w:tr>
      <w:tr w:rsidR="000958F5" w:rsidRPr="000930FA" w14:paraId="6F74A56B" w14:textId="77777777" w:rsidTr="00846A75">
        <w:trPr>
          <w:trHeight w:val="235"/>
        </w:trPr>
        <w:tc>
          <w:tcPr>
            <w:tcW w:w="5721" w:type="dxa"/>
            <w:tcBorders>
              <w:top w:val="single" w:sz="4" w:space="0" w:color="auto"/>
              <w:left w:val="nil"/>
              <w:bottom w:val="nil"/>
              <w:right w:val="nil"/>
            </w:tcBorders>
            <w:shd w:val="clear" w:color="auto" w:fill="auto"/>
            <w:noWrap/>
            <w:vAlign w:val="center"/>
            <w:hideMark/>
          </w:tcPr>
          <w:p w14:paraId="4AC0FDEC" w14:textId="6A8C053A" w:rsidR="000958F5" w:rsidRPr="00E4581C" w:rsidRDefault="000958F5" w:rsidP="00E4581C">
            <w:pPr>
              <w:keepNext/>
              <w:keepLines/>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lastRenderedPageBreak/>
              <w:t>3.2.3 Equipo y material de oficina</w:t>
            </w:r>
            <w:r w:rsidRPr="00E4581C">
              <w:rPr>
                <w:rFonts w:ascii="Times New Roman" w:hAnsi="Times New Roman"/>
                <w:sz w:val="18"/>
                <w:szCs w:val="18"/>
                <w:lang w:val="es-ES_tradnl"/>
              </w:rPr>
              <w:t xml:space="preserve"> </w:t>
            </w:r>
          </w:p>
        </w:tc>
        <w:tc>
          <w:tcPr>
            <w:tcW w:w="1389" w:type="dxa"/>
            <w:tcBorders>
              <w:top w:val="single" w:sz="4" w:space="0" w:color="auto"/>
              <w:left w:val="nil"/>
              <w:bottom w:val="nil"/>
              <w:right w:val="nil"/>
            </w:tcBorders>
            <w:shd w:val="clear" w:color="auto" w:fill="auto"/>
            <w:noWrap/>
            <w:vAlign w:val="bottom"/>
            <w:hideMark/>
          </w:tcPr>
          <w:p w14:paraId="68DA145C" w14:textId="77777777" w:rsidR="000958F5" w:rsidRPr="00E4581C" w:rsidRDefault="000958F5" w:rsidP="00E4581C">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114BEE28" w14:textId="77777777" w:rsidR="000958F5" w:rsidRPr="00E4581C" w:rsidRDefault="000958F5" w:rsidP="00E4581C">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28FC3B1E" w14:textId="77777777" w:rsidR="000958F5" w:rsidRPr="00E4581C" w:rsidRDefault="000958F5" w:rsidP="00E4581C">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lang w:val="es-ES_tradnl"/>
              </w:rPr>
            </w:pPr>
          </w:p>
        </w:tc>
      </w:tr>
      <w:tr w:rsidR="000958F5" w:rsidRPr="00E4581C" w14:paraId="07AFB793" w14:textId="77777777" w:rsidTr="00846A75">
        <w:trPr>
          <w:trHeight w:val="235"/>
        </w:trPr>
        <w:tc>
          <w:tcPr>
            <w:tcW w:w="5721" w:type="dxa"/>
            <w:tcBorders>
              <w:top w:val="nil"/>
              <w:left w:val="nil"/>
              <w:bottom w:val="nil"/>
              <w:right w:val="nil"/>
            </w:tcBorders>
            <w:shd w:val="clear" w:color="auto" w:fill="auto"/>
            <w:noWrap/>
            <w:vAlign w:val="center"/>
            <w:hideMark/>
          </w:tcPr>
          <w:p w14:paraId="68FAEA90" w14:textId="26E2C065" w:rsidR="000958F5" w:rsidRPr="00E4581C" w:rsidRDefault="000958F5" w:rsidP="00E4581C">
            <w:pPr>
              <w:keepNext/>
              <w:keepLines/>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Equipo fungible (artículos valorados en menos de 1.500 dólares)</w:t>
            </w:r>
          </w:p>
        </w:tc>
        <w:tc>
          <w:tcPr>
            <w:tcW w:w="1389" w:type="dxa"/>
            <w:tcBorders>
              <w:top w:val="nil"/>
              <w:left w:val="nil"/>
              <w:bottom w:val="nil"/>
              <w:right w:val="nil"/>
            </w:tcBorders>
            <w:shd w:val="clear" w:color="auto" w:fill="auto"/>
            <w:noWrap/>
            <w:vAlign w:val="bottom"/>
            <w:hideMark/>
          </w:tcPr>
          <w:p w14:paraId="7D057757" w14:textId="3C106733" w:rsidR="000958F5" w:rsidRPr="00E4581C" w:rsidRDefault="000958F5" w:rsidP="00E4581C">
            <w:pPr>
              <w:keepNext/>
              <w:keepLines/>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4 500</w:t>
            </w:r>
          </w:p>
        </w:tc>
        <w:tc>
          <w:tcPr>
            <w:tcW w:w="1390" w:type="dxa"/>
            <w:tcBorders>
              <w:top w:val="nil"/>
              <w:left w:val="nil"/>
              <w:bottom w:val="nil"/>
              <w:right w:val="nil"/>
            </w:tcBorders>
            <w:shd w:val="clear" w:color="auto" w:fill="auto"/>
            <w:noWrap/>
            <w:vAlign w:val="bottom"/>
            <w:hideMark/>
          </w:tcPr>
          <w:p w14:paraId="55C04D6C" w14:textId="16F671CF" w:rsidR="000958F5" w:rsidRPr="00E4581C" w:rsidRDefault="000958F5" w:rsidP="00E4581C">
            <w:pPr>
              <w:keepNext/>
              <w:keepLines/>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4 374</w:t>
            </w:r>
          </w:p>
        </w:tc>
        <w:tc>
          <w:tcPr>
            <w:tcW w:w="1390" w:type="dxa"/>
            <w:tcBorders>
              <w:top w:val="nil"/>
              <w:left w:val="nil"/>
              <w:bottom w:val="nil"/>
              <w:right w:val="nil"/>
            </w:tcBorders>
            <w:shd w:val="clear" w:color="auto" w:fill="auto"/>
            <w:noWrap/>
            <w:vAlign w:val="bottom"/>
            <w:hideMark/>
          </w:tcPr>
          <w:p w14:paraId="4D671C26" w14:textId="77777777" w:rsidR="000958F5" w:rsidRPr="00E4581C" w:rsidRDefault="000958F5" w:rsidP="00E4581C">
            <w:pPr>
              <w:keepNext/>
              <w:keepLines/>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126</w:t>
            </w:r>
          </w:p>
        </w:tc>
      </w:tr>
      <w:tr w:rsidR="000958F5" w:rsidRPr="00E4581C" w14:paraId="74A5E1D9" w14:textId="77777777" w:rsidTr="00846A75">
        <w:trPr>
          <w:trHeight w:val="250"/>
        </w:trPr>
        <w:tc>
          <w:tcPr>
            <w:tcW w:w="5721" w:type="dxa"/>
            <w:tcBorders>
              <w:top w:val="nil"/>
              <w:left w:val="nil"/>
              <w:bottom w:val="single" w:sz="4" w:space="0" w:color="auto"/>
              <w:right w:val="nil"/>
            </w:tcBorders>
            <w:shd w:val="clear" w:color="auto" w:fill="auto"/>
            <w:noWrap/>
            <w:vAlign w:val="center"/>
            <w:hideMark/>
          </w:tcPr>
          <w:p w14:paraId="7B2226BD" w14:textId="435AA072" w:rsidR="000958F5" w:rsidRPr="00E4581C" w:rsidRDefault="000958F5" w:rsidP="00E4581C">
            <w:pPr>
              <w:keepNext/>
              <w:keepLines/>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Material de oficina</w:t>
            </w:r>
          </w:p>
        </w:tc>
        <w:tc>
          <w:tcPr>
            <w:tcW w:w="1389" w:type="dxa"/>
            <w:tcBorders>
              <w:top w:val="nil"/>
              <w:left w:val="nil"/>
              <w:bottom w:val="single" w:sz="4" w:space="0" w:color="auto"/>
              <w:right w:val="nil"/>
            </w:tcBorders>
            <w:shd w:val="clear" w:color="auto" w:fill="auto"/>
            <w:noWrap/>
            <w:vAlign w:val="bottom"/>
            <w:hideMark/>
          </w:tcPr>
          <w:p w14:paraId="68352488" w14:textId="101149CA" w:rsidR="000958F5" w:rsidRPr="00E4581C" w:rsidRDefault="000958F5" w:rsidP="00E4581C">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12 000</w:t>
            </w:r>
          </w:p>
        </w:tc>
        <w:tc>
          <w:tcPr>
            <w:tcW w:w="1390" w:type="dxa"/>
            <w:tcBorders>
              <w:top w:val="nil"/>
              <w:left w:val="nil"/>
              <w:bottom w:val="single" w:sz="4" w:space="0" w:color="auto"/>
              <w:right w:val="nil"/>
            </w:tcBorders>
            <w:shd w:val="clear" w:color="auto" w:fill="auto"/>
            <w:noWrap/>
            <w:vAlign w:val="bottom"/>
            <w:hideMark/>
          </w:tcPr>
          <w:p w14:paraId="59C7699E" w14:textId="3353241C" w:rsidR="000958F5" w:rsidRPr="00E4581C" w:rsidRDefault="000958F5" w:rsidP="00E4581C">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5 751</w:t>
            </w:r>
          </w:p>
        </w:tc>
        <w:tc>
          <w:tcPr>
            <w:tcW w:w="1390" w:type="dxa"/>
            <w:tcBorders>
              <w:top w:val="nil"/>
              <w:left w:val="nil"/>
              <w:bottom w:val="single" w:sz="4" w:space="0" w:color="auto"/>
              <w:right w:val="nil"/>
            </w:tcBorders>
            <w:shd w:val="clear" w:color="auto" w:fill="auto"/>
            <w:noWrap/>
            <w:vAlign w:val="bottom"/>
            <w:hideMark/>
          </w:tcPr>
          <w:p w14:paraId="522BC809" w14:textId="01A2BE9D" w:rsidR="000958F5" w:rsidRPr="00E4581C" w:rsidRDefault="000958F5" w:rsidP="00E4581C">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6 249</w:t>
            </w:r>
          </w:p>
        </w:tc>
      </w:tr>
      <w:tr w:rsidR="000958F5" w:rsidRPr="00E4581C" w14:paraId="24CBE382"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1AD64735" w14:textId="188E1601"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3.2.3 Equipo y material de oficina</w:t>
            </w:r>
          </w:p>
        </w:tc>
        <w:tc>
          <w:tcPr>
            <w:tcW w:w="1389" w:type="dxa"/>
            <w:tcBorders>
              <w:top w:val="single" w:sz="4" w:space="0" w:color="auto"/>
              <w:left w:val="nil"/>
              <w:bottom w:val="single" w:sz="4" w:space="0" w:color="auto"/>
              <w:right w:val="nil"/>
            </w:tcBorders>
            <w:shd w:val="clear" w:color="auto" w:fill="auto"/>
            <w:noWrap/>
            <w:vAlign w:val="bottom"/>
            <w:hideMark/>
          </w:tcPr>
          <w:p w14:paraId="29767C05" w14:textId="6E42CBA1"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16 500</w:t>
            </w:r>
          </w:p>
        </w:tc>
        <w:tc>
          <w:tcPr>
            <w:tcW w:w="1390" w:type="dxa"/>
            <w:tcBorders>
              <w:top w:val="single" w:sz="4" w:space="0" w:color="auto"/>
              <w:left w:val="nil"/>
              <w:bottom w:val="single" w:sz="4" w:space="0" w:color="auto"/>
              <w:right w:val="nil"/>
            </w:tcBorders>
            <w:shd w:val="clear" w:color="auto" w:fill="auto"/>
            <w:noWrap/>
            <w:vAlign w:val="bottom"/>
            <w:hideMark/>
          </w:tcPr>
          <w:p w14:paraId="41809565" w14:textId="4FDFD00D"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10 126</w:t>
            </w:r>
          </w:p>
        </w:tc>
        <w:tc>
          <w:tcPr>
            <w:tcW w:w="1390" w:type="dxa"/>
            <w:tcBorders>
              <w:top w:val="single" w:sz="4" w:space="0" w:color="auto"/>
              <w:left w:val="nil"/>
              <w:bottom w:val="single" w:sz="4" w:space="0" w:color="auto"/>
              <w:right w:val="nil"/>
            </w:tcBorders>
            <w:shd w:val="clear" w:color="auto" w:fill="auto"/>
            <w:noWrap/>
            <w:vAlign w:val="bottom"/>
            <w:hideMark/>
          </w:tcPr>
          <w:p w14:paraId="7CF02BC3" w14:textId="47F1D102"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6 374</w:t>
            </w:r>
          </w:p>
        </w:tc>
      </w:tr>
      <w:tr w:rsidR="000958F5" w:rsidRPr="00E4581C" w14:paraId="085307E1" w14:textId="77777777" w:rsidTr="00846A75">
        <w:trPr>
          <w:trHeight w:val="235"/>
        </w:trPr>
        <w:tc>
          <w:tcPr>
            <w:tcW w:w="5721" w:type="dxa"/>
            <w:tcBorders>
              <w:top w:val="single" w:sz="4" w:space="0" w:color="auto"/>
              <w:left w:val="nil"/>
              <w:bottom w:val="nil"/>
              <w:right w:val="nil"/>
            </w:tcBorders>
            <w:shd w:val="clear" w:color="auto" w:fill="auto"/>
            <w:noWrap/>
            <w:vAlign w:val="center"/>
            <w:hideMark/>
          </w:tcPr>
          <w:p w14:paraId="3CE3BBE2" w14:textId="35E10B76"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3.2.4 Locales</w:t>
            </w:r>
            <w:r w:rsidRPr="00E4581C">
              <w:rPr>
                <w:rFonts w:ascii="Times New Roman" w:hAnsi="Times New Roman"/>
                <w:sz w:val="18"/>
                <w:szCs w:val="18"/>
                <w:lang w:val="es-ES_tradnl"/>
              </w:rPr>
              <w:t xml:space="preserve"> </w:t>
            </w:r>
          </w:p>
        </w:tc>
        <w:tc>
          <w:tcPr>
            <w:tcW w:w="1389" w:type="dxa"/>
            <w:tcBorders>
              <w:top w:val="single" w:sz="4" w:space="0" w:color="auto"/>
              <w:left w:val="nil"/>
              <w:bottom w:val="nil"/>
              <w:right w:val="nil"/>
            </w:tcBorders>
            <w:shd w:val="clear" w:color="auto" w:fill="auto"/>
            <w:noWrap/>
            <w:vAlign w:val="bottom"/>
            <w:hideMark/>
          </w:tcPr>
          <w:p w14:paraId="07AB95C9"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b/>
                <w:color w:val="000000"/>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5C9DFAD6"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b/>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33ACD423"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b/>
                <w:sz w:val="18"/>
                <w:szCs w:val="18"/>
                <w:lang w:val="es-ES_tradnl"/>
              </w:rPr>
            </w:pPr>
          </w:p>
        </w:tc>
      </w:tr>
      <w:tr w:rsidR="000958F5" w:rsidRPr="00E4581C" w14:paraId="71D2D40C" w14:textId="77777777" w:rsidTr="00846A75">
        <w:trPr>
          <w:trHeight w:val="250"/>
        </w:trPr>
        <w:tc>
          <w:tcPr>
            <w:tcW w:w="5721" w:type="dxa"/>
            <w:tcBorders>
              <w:top w:val="nil"/>
              <w:left w:val="nil"/>
              <w:bottom w:val="single" w:sz="4" w:space="0" w:color="auto"/>
              <w:right w:val="nil"/>
            </w:tcBorders>
            <w:shd w:val="clear" w:color="auto" w:fill="auto"/>
            <w:noWrap/>
            <w:vAlign w:val="center"/>
            <w:hideMark/>
          </w:tcPr>
          <w:p w14:paraId="7461E8F3" w14:textId="63FBA899"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Contribución al costo de los servicios comunes en los predios universitarios de las Naciones Unidas en Bonn (Alemania) (mantenimiento de locales de oficinas, seguridad, servicios de central telefónica, etc.)</w:t>
            </w:r>
          </w:p>
        </w:tc>
        <w:tc>
          <w:tcPr>
            <w:tcW w:w="1389" w:type="dxa"/>
            <w:tcBorders>
              <w:top w:val="nil"/>
              <w:left w:val="nil"/>
              <w:bottom w:val="single" w:sz="4" w:space="0" w:color="auto"/>
              <w:right w:val="nil"/>
            </w:tcBorders>
            <w:shd w:val="clear" w:color="auto" w:fill="auto"/>
            <w:noWrap/>
            <w:vAlign w:val="bottom"/>
            <w:hideMark/>
          </w:tcPr>
          <w:p w14:paraId="6B32A48A" w14:textId="230D5CF2"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45 000</w:t>
            </w:r>
          </w:p>
        </w:tc>
        <w:tc>
          <w:tcPr>
            <w:tcW w:w="1390" w:type="dxa"/>
            <w:tcBorders>
              <w:top w:val="nil"/>
              <w:left w:val="nil"/>
              <w:bottom w:val="single" w:sz="4" w:space="0" w:color="auto"/>
              <w:right w:val="nil"/>
            </w:tcBorders>
            <w:shd w:val="clear" w:color="auto" w:fill="auto"/>
            <w:noWrap/>
            <w:vAlign w:val="bottom"/>
            <w:hideMark/>
          </w:tcPr>
          <w:p w14:paraId="10DF427D" w14:textId="49A7C617"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44 000</w:t>
            </w:r>
          </w:p>
        </w:tc>
        <w:tc>
          <w:tcPr>
            <w:tcW w:w="1390" w:type="dxa"/>
            <w:tcBorders>
              <w:top w:val="nil"/>
              <w:left w:val="nil"/>
              <w:bottom w:val="single" w:sz="4" w:space="0" w:color="auto"/>
              <w:right w:val="nil"/>
            </w:tcBorders>
            <w:shd w:val="clear" w:color="auto" w:fill="auto"/>
            <w:noWrap/>
            <w:vAlign w:val="bottom"/>
            <w:hideMark/>
          </w:tcPr>
          <w:p w14:paraId="60066EBB" w14:textId="48FF2D04"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1 000</w:t>
            </w:r>
          </w:p>
        </w:tc>
      </w:tr>
      <w:tr w:rsidR="000958F5" w:rsidRPr="00E4581C" w14:paraId="273992BE" w14:textId="77777777" w:rsidTr="00846A75">
        <w:trPr>
          <w:trHeight w:val="250"/>
        </w:trPr>
        <w:tc>
          <w:tcPr>
            <w:tcW w:w="5721" w:type="dxa"/>
            <w:tcBorders>
              <w:top w:val="single" w:sz="4" w:space="0" w:color="auto"/>
              <w:left w:val="nil"/>
              <w:bottom w:val="single" w:sz="4" w:space="0" w:color="auto"/>
              <w:right w:val="nil"/>
            </w:tcBorders>
            <w:shd w:val="clear" w:color="auto" w:fill="auto"/>
            <w:vAlign w:val="center"/>
            <w:hideMark/>
          </w:tcPr>
          <w:p w14:paraId="401DC194" w14:textId="47F5ACBB"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3.2.4 Locales</w:t>
            </w:r>
          </w:p>
        </w:tc>
        <w:tc>
          <w:tcPr>
            <w:tcW w:w="1389" w:type="dxa"/>
            <w:tcBorders>
              <w:top w:val="single" w:sz="4" w:space="0" w:color="auto"/>
              <w:left w:val="nil"/>
              <w:bottom w:val="single" w:sz="4" w:space="0" w:color="auto"/>
              <w:right w:val="nil"/>
            </w:tcBorders>
            <w:shd w:val="clear" w:color="auto" w:fill="auto"/>
            <w:noWrap/>
            <w:vAlign w:val="bottom"/>
            <w:hideMark/>
          </w:tcPr>
          <w:p w14:paraId="50980FEC" w14:textId="40731048"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45 000</w:t>
            </w:r>
          </w:p>
        </w:tc>
        <w:tc>
          <w:tcPr>
            <w:tcW w:w="1390" w:type="dxa"/>
            <w:tcBorders>
              <w:top w:val="single" w:sz="4" w:space="0" w:color="auto"/>
              <w:left w:val="nil"/>
              <w:bottom w:val="single" w:sz="4" w:space="0" w:color="auto"/>
              <w:right w:val="nil"/>
            </w:tcBorders>
            <w:shd w:val="clear" w:color="auto" w:fill="auto"/>
            <w:noWrap/>
            <w:vAlign w:val="bottom"/>
            <w:hideMark/>
          </w:tcPr>
          <w:p w14:paraId="74A7C3AC" w14:textId="6F0C52DF"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44 000</w:t>
            </w:r>
          </w:p>
        </w:tc>
        <w:tc>
          <w:tcPr>
            <w:tcW w:w="1390" w:type="dxa"/>
            <w:tcBorders>
              <w:top w:val="single" w:sz="4" w:space="0" w:color="auto"/>
              <w:left w:val="nil"/>
              <w:bottom w:val="single" w:sz="4" w:space="0" w:color="auto"/>
              <w:right w:val="nil"/>
            </w:tcBorders>
            <w:shd w:val="clear" w:color="auto" w:fill="auto"/>
            <w:noWrap/>
            <w:vAlign w:val="bottom"/>
            <w:hideMark/>
          </w:tcPr>
          <w:p w14:paraId="630A8FC0" w14:textId="53558FD2"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1 000</w:t>
            </w:r>
          </w:p>
        </w:tc>
      </w:tr>
      <w:tr w:rsidR="000958F5" w:rsidRPr="000930FA" w14:paraId="7FBE149C" w14:textId="77777777" w:rsidTr="00846A75">
        <w:trPr>
          <w:trHeight w:val="235"/>
        </w:trPr>
        <w:tc>
          <w:tcPr>
            <w:tcW w:w="5721" w:type="dxa"/>
            <w:tcBorders>
              <w:top w:val="single" w:sz="4" w:space="0" w:color="auto"/>
              <w:left w:val="nil"/>
              <w:bottom w:val="nil"/>
              <w:right w:val="nil"/>
            </w:tcBorders>
            <w:shd w:val="clear" w:color="auto" w:fill="auto"/>
            <w:noWrap/>
            <w:vAlign w:val="center"/>
            <w:hideMark/>
          </w:tcPr>
          <w:p w14:paraId="66BF3C44" w14:textId="1541748B"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3.2.5 Impresoras, fotocopiadoras, apoyo informático y componentes varios</w:t>
            </w:r>
          </w:p>
        </w:tc>
        <w:tc>
          <w:tcPr>
            <w:tcW w:w="1389" w:type="dxa"/>
            <w:tcBorders>
              <w:top w:val="single" w:sz="4" w:space="0" w:color="auto"/>
              <w:left w:val="nil"/>
              <w:bottom w:val="nil"/>
              <w:right w:val="nil"/>
            </w:tcBorders>
            <w:shd w:val="clear" w:color="auto" w:fill="auto"/>
            <w:noWrap/>
            <w:vAlign w:val="bottom"/>
            <w:hideMark/>
          </w:tcPr>
          <w:p w14:paraId="5177F437"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b/>
                <w:color w:val="000000"/>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01E0B0F6"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b/>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23F16BB7"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b/>
                <w:sz w:val="18"/>
                <w:szCs w:val="18"/>
                <w:lang w:val="es-ES_tradnl"/>
              </w:rPr>
            </w:pPr>
          </w:p>
        </w:tc>
      </w:tr>
      <w:tr w:rsidR="000958F5" w:rsidRPr="00E4581C" w14:paraId="5BEF5878" w14:textId="77777777" w:rsidTr="00846A75">
        <w:trPr>
          <w:trHeight w:val="235"/>
        </w:trPr>
        <w:tc>
          <w:tcPr>
            <w:tcW w:w="5721" w:type="dxa"/>
            <w:tcBorders>
              <w:top w:val="nil"/>
              <w:left w:val="nil"/>
              <w:bottom w:val="nil"/>
              <w:right w:val="nil"/>
            </w:tcBorders>
            <w:shd w:val="clear" w:color="auto" w:fill="auto"/>
            <w:noWrap/>
            <w:vAlign w:val="center"/>
            <w:hideMark/>
          </w:tcPr>
          <w:p w14:paraId="3A29A04E" w14:textId="3428B594"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Funcionamiento y mantenimiento de impresoras y fotocopiadoras</w:t>
            </w:r>
          </w:p>
        </w:tc>
        <w:tc>
          <w:tcPr>
            <w:tcW w:w="1389" w:type="dxa"/>
            <w:tcBorders>
              <w:top w:val="nil"/>
              <w:left w:val="nil"/>
              <w:bottom w:val="nil"/>
              <w:right w:val="nil"/>
            </w:tcBorders>
            <w:shd w:val="clear" w:color="auto" w:fill="auto"/>
            <w:noWrap/>
            <w:vAlign w:val="bottom"/>
            <w:hideMark/>
          </w:tcPr>
          <w:p w14:paraId="69F79F15" w14:textId="37C6653D"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5 000</w:t>
            </w:r>
          </w:p>
        </w:tc>
        <w:tc>
          <w:tcPr>
            <w:tcW w:w="1390" w:type="dxa"/>
            <w:tcBorders>
              <w:top w:val="nil"/>
              <w:left w:val="nil"/>
              <w:bottom w:val="nil"/>
              <w:right w:val="nil"/>
            </w:tcBorders>
            <w:shd w:val="clear" w:color="auto" w:fill="auto"/>
            <w:noWrap/>
            <w:vAlign w:val="bottom"/>
            <w:hideMark/>
          </w:tcPr>
          <w:p w14:paraId="5B9EE529" w14:textId="77777777"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887</w:t>
            </w:r>
          </w:p>
        </w:tc>
        <w:tc>
          <w:tcPr>
            <w:tcW w:w="1390" w:type="dxa"/>
            <w:tcBorders>
              <w:top w:val="nil"/>
              <w:left w:val="nil"/>
              <w:bottom w:val="nil"/>
              <w:right w:val="nil"/>
            </w:tcBorders>
            <w:shd w:val="clear" w:color="auto" w:fill="auto"/>
            <w:noWrap/>
            <w:vAlign w:val="bottom"/>
            <w:hideMark/>
          </w:tcPr>
          <w:p w14:paraId="79CA2B62" w14:textId="5298F5BE"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4 113</w:t>
            </w:r>
          </w:p>
        </w:tc>
      </w:tr>
      <w:tr w:rsidR="000958F5" w:rsidRPr="00E4581C" w14:paraId="1152E8A6" w14:textId="77777777" w:rsidTr="00846A75">
        <w:trPr>
          <w:trHeight w:val="235"/>
        </w:trPr>
        <w:tc>
          <w:tcPr>
            <w:tcW w:w="5721" w:type="dxa"/>
            <w:tcBorders>
              <w:top w:val="nil"/>
              <w:left w:val="nil"/>
              <w:bottom w:val="nil"/>
              <w:right w:val="nil"/>
            </w:tcBorders>
            <w:shd w:val="clear" w:color="auto" w:fill="auto"/>
            <w:noWrap/>
            <w:vAlign w:val="center"/>
            <w:hideMark/>
          </w:tcPr>
          <w:p w14:paraId="0821D5D4" w14:textId="1608B277"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Adquisición de cuatro licencias de programas informáticos para oficinas de Microsoft Project y cuatro de Adobe </w:t>
            </w:r>
          </w:p>
        </w:tc>
        <w:tc>
          <w:tcPr>
            <w:tcW w:w="1389" w:type="dxa"/>
            <w:tcBorders>
              <w:top w:val="nil"/>
              <w:left w:val="nil"/>
              <w:bottom w:val="nil"/>
              <w:right w:val="nil"/>
            </w:tcBorders>
            <w:shd w:val="clear" w:color="auto" w:fill="auto"/>
            <w:noWrap/>
            <w:vAlign w:val="bottom"/>
            <w:hideMark/>
          </w:tcPr>
          <w:p w14:paraId="1514DE84" w14:textId="07E8CAAC"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4 000</w:t>
            </w:r>
          </w:p>
        </w:tc>
        <w:tc>
          <w:tcPr>
            <w:tcW w:w="1390" w:type="dxa"/>
            <w:tcBorders>
              <w:top w:val="nil"/>
              <w:left w:val="nil"/>
              <w:bottom w:val="nil"/>
              <w:right w:val="nil"/>
            </w:tcBorders>
            <w:shd w:val="clear" w:color="auto" w:fill="auto"/>
            <w:noWrap/>
            <w:vAlign w:val="bottom"/>
            <w:hideMark/>
          </w:tcPr>
          <w:p w14:paraId="5CA91FC7" w14:textId="15BACA85" w:rsidR="000958F5" w:rsidRPr="00E4581C" w:rsidRDefault="006D1ED0"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w:t>
            </w:r>
          </w:p>
        </w:tc>
        <w:tc>
          <w:tcPr>
            <w:tcW w:w="1390" w:type="dxa"/>
            <w:tcBorders>
              <w:top w:val="nil"/>
              <w:left w:val="nil"/>
              <w:bottom w:val="nil"/>
              <w:right w:val="nil"/>
            </w:tcBorders>
            <w:shd w:val="clear" w:color="auto" w:fill="auto"/>
            <w:noWrap/>
            <w:vAlign w:val="bottom"/>
            <w:hideMark/>
          </w:tcPr>
          <w:p w14:paraId="5F350D7A" w14:textId="79DBBD93"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4 000</w:t>
            </w:r>
          </w:p>
        </w:tc>
      </w:tr>
      <w:tr w:rsidR="000958F5" w:rsidRPr="00E4581C" w14:paraId="06C80120" w14:textId="77777777" w:rsidTr="00846A75">
        <w:trPr>
          <w:trHeight w:val="279"/>
        </w:trPr>
        <w:tc>
          <w:tcPr>
            <w:tcW w:w="5721" w:type="dxa"/>
            <w:tcBorders>
              <w:top w:val="nil"/>
              <w:left w:val="nil"/>
              <w:bottom w:val="single" w:sz="4" w:space="0" w:color="auto"/>
              <w:right w:val="nil"/>
            </w:tcBorders>
            <w:shd w:val="clear" w:color="auto" w:fill="auto"/>
            <w:noWrap/>
            <w:vAlign w:val="center"/>
            <w:hideMark/>
          </w:tcPr>
          <w:p w14:paraId="34B3EE4A" w14:textId="0B20B93D"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Servicios de apoyo informático 2015</w:t>
            </w:r>
            <w:r w:rsidRPr="00E4581C">
              <w:rPr>
                <w:rFonts w:ascii="Times New Roman" w:hAnsi="Times New Roman"/>
                <w:sz w:val="18"/>
                <w:szCs w:val="18"/>
                <w:vertAlign w:val="superscript"/>
                <w:lang w:val="es-ES_tradnl"/>
              </w:rPr>
              <w:t>d</w:t>
            </w:r>
          </w:p>
        </w:tc>
        <w:tc>
          <w:tcPr>
            <w:tcW w:w="1389" w:type="dxa"/>
            <w:tcBorders>
              <w:top w:val="nil"/>
              <w:left w:val="nil"/>
              <w:bottom w:val="single" w:sz="4" w:space="0" w:color="auto"/>
              <w:right w:val="nil"/>
            </w:tcBorders>
            <w:shd w:val="clear" w:color="auto" w:fill="auto"/>
            <w:noWrap/>
            <w:vAlign w:val="bottom"/>
            <w:hideMark/>
          </w:tcPr>
          <w:p w14:paraId="75C95962" w14:textId="31077ED5" w:rsidR="000958F5" w:rsidRPr="00E4581C" w:rsidRDefault="000D3AC4"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c>
          <w:tcPr>
            <w:tcW w:w="1390" w:type="dxa"/>
            <w:tcBorders>
              <w:top w:val="nil"/>
              <w:left w:val="nil"/>
              <w:bottom w:val="single" w:sz="4" w:space="0" w:color="auto"/>
              <w:right w:val="nil"/>
            </w:tcBorders>
            <w:shd w:val="clear" w:color="auto" w:fill="auto"/>
            <w:noWrap/>
            <w:vAlign w:val="bottom"/>
            <w:hideMark/>
          </w:tcPr>
          <w:p w14:paraId="4876EFE6" w14:textId="28311882"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22 000</w:t>
            </w:r>
          </w:p>
        </w:tc>
        <w:tc>
          <w:tcPr>
            <w:tcW w:w="1390" w:type="dxa"/>
            <w:tcBorders>
              <w:top w:val="nil"/>
              <w:left w:val="nil"/>
              <w:bottom w:val="single" w:sz="4" w:space="0" w:color="auto"/>
              <w:right w:val="nil"/>
            </w:tcBorders>
            <w:shd w:val="clear" w:color="auto" w:fill="auto"/>
            <w:noWrap/>
            <w:vAlign w:val="bottom"/>
            <w:hideMark/>
          </w:tcPr>
          <w:p w14:paraId="15DE2898" w14:textId="770C3E37" w:rsidR="000958F5" w:rsidRPr="00E4581C" w:rsidRDefault="006D1ED0"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-22 000</w:t>
            </w:r>
          </w:p>
        </w:tc>
      </w:tr>
      <w:tr w:rsidR="000958F5" w:rsidRPr="00E4581C" w14:paraId="1D19AEC3"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41DFDB0D" w14:textId="4DF68969"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3.2.5 Impresoras, fotocopiadoras, apoyo informático y componentes varios</w:t>
            </w:r>
          </w:p>
        </w:tc>
        <w:tc>
          <w:tcPr>
            <w:tcW w:w="1389" w:type="dxa"/>
            <w:tcBorders>
              <w:top w:val="single" w:sz="4" w:space="0" w:color="auto"/>
              <w:left w:val="nil"/>
              <w:bottom w:val="single" w:sz="4" w:space="0" w:color="auto"/>
              <w:right w:val="nil"/>
            </w:tcBorders>
            <w:shd w:val="clear" w:color="auto" w:fill="auto"/>
            <w:noWrap/>
            <w:vAlign w:val="bottom"/>
            <w:hideMark/>
          </w:tcPr>
          <w:p w14:paraId="43E364EE" w14:textId="73011875"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9 000</w:t>
            </w:r>
          </w:p>
        </w:tc>
        <w:tc>
          <w:tcPr>
            <w:tcW w:w="1390" w:type="dxa"/>
            <w:tcBorders>
              <w:top w:val="single" w:sz="4" w:space="0" w:color="auto"/>
              <w:left w:val="nil"/>
              <w:bottom w:val="single" w:sz="4" w:space="0" w:color="auto"/>
              <w:right w:val="nil"/>
            </w:tcBorders>
            <w:shd w:val="clear" w:color="auto" w:fill="auto"/>
            <w:noWrap/>
            <w:vAlign w:val="bottom"/>
            <w:hideMark/>
          </w:tcPr>
          <w:p w14:paraId="05A3C4D3" w14:textId="7D03B3F4"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22 887</w:t>
            </w:r>
          </w:p>
        </w:tc>
        <w:tc>
          <w:tcPr>
            <w:tcW w:w="1390" w:type="dxa"/>
            <w:tcBorders>
              <w:top w:val="single" w:sz="4" w:space="0" w:color="auto"/>
              <w:left w:val="nil"/>
              <w:bottom w:val="single" w:sz="4" w:space="0" w:color="auto"/>
              <w:right w:val="nil"/>
            </w:tcBorders>
            <w:shd w:val="clear" w:color="auto" w:fill="auto"/>
            <w:noWrap/>
            <w:vAlign w:val="bottom"/>
            <w:hideMark/>
          </w:tcPr>
          <w:p w14:paraId="76C27544" w14:textId="45B740FF" w:rsidR="000958F5" w:rsidRPr="00E4581C" w:rsidRDefault="006D1ED0"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-13 887</w:t>
            </w:r>
          </w:p>
        </w:tc>
      </w:tr>
      <w:tr w:rsidR="000958F5" w:rsidRPr="00E4581C" w14:paraId="5F416CF3" w14:textId="77777777" w:rsidTr="00846A75">
        <w:trPr>
          <w:trHeight w:val="235"/>
        </w:trPr>
        <w:tc>
          <w:tcPr>
            <w:tcW w:w="5721" w:type="dxa"/>
            <w:tcBorders>
              <w:top w:val="single" w:sz="4" w:space="0" w:color="auto"/>
              <w:left w:val="nil"/>
              <w:right w:val="nil"/>
            </w:tcBorders>
            <w:shd w:val="clear" w:color="000000" w:fill="FFFFFF"/>
            <w:noWrap/>
            <w:vAlign w:val="center"/>
            <w:hideMark/>
          </w:tcPr>
          <w:p w14:paraId="4868A452" w14:textId="3BEDBCCD" w:rsidR="000958F5" w:rsidRPr="00E4581C" w:rsidRDefault="000958F5" w:rsidP="006D1ED0">
            <w:pPr>
              <w:spacing w:before="40" w:after="40" w:line="240" w:lineRule="auto"/>
              <w:rPr>
                <w:rFonts w:ascii="Times New Roman" w:eastAsia="Times New Roman" w:hAnsi="Times New Roman"/>
                <w:b/>
                <w:color w:val="000000"/>
                <w:sz w:val="18"/>
                <w:szCs w:val="18"/>
                <w:lang w:val="es-ES_tradnl"/>
              </w:rPr>
            </w:pPr>
            <w:r w:rsidRPr="00E4581C">
              <w:rPr>
                <w:rFonts w:ascii="Times New Roman" w:hAnsi="Times New Roman"/>
                <w:b/>
                <w:bCs/>
                <w:sz w:val="18"/>
                <w:szCs w:val="18"/>
                <w:lang w:val="es-ES_tradnl"/>
              </w:rPr>
              <w:t>3.2.6 Teléfono, franqueos y gastos diversos</w:t>
            </w:r>
          </w:p>
        </w:tc>
        <w:tc>
          <w:tcPr>
            <w:tcW w:w="1389" w:type="dxa"/>
            <w:tcBorders>
              <w:top w:val="single" w:sz="4" w:space="0" w:color="auto"/>
              <w:left w:val="nil"/>
              <w:right w:val="nil"/>
            </w:tcBorders>
            <w:shd w:val="clear" w:color="000000" w:fill="FFFFFF"/>
            <w:noWrap/>
            <w:vAlign w:val="bottom"/>
            <w:hideMark/>
          </w:tcPr>
          <w:p w14:paraId="7174BED2" w14:textId="481ECBF7" w:rsidR="000958F5" w:rsidRPr="00E4581C" w:rsidRDefault="006D1ED0"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w:t>
            </w:r>
          </w:p>
        </w:tc>
        <w:tc>
          <w:tcPr>
            <w:tcW w:w="1390" w:type="dxa"/>
            <w:tcBorders>
              <w:top w:val="single" w:sz="4" w:space="0" w:color="auto"/>
              <w:left w:val="nil"/>
              <w:right w:val="nil"/>
            </w:tcBorders>
            <w:shd w:val="clear" w:color="auto" w:fill="auto"/>
            <w:noWrap/>
            <w:vAlign w:val="bottom"/>
            <w:hideMark/>
          </w:tcPr>
          <w:p w14:paraId="26C960BF" w14:textId="77777777"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p>
        </w:tc>
        <w:tc>
          <w:tcPr>
            <w:tcW w:w="1390" w:type="dxa"/>
            <w:tcBorders>
              <w:top w:val="single" w:sz="4" w:space="0" w:color="auto"/>
              <w:left w:val="nil"/>
              <w:right w:val="nil"/>
            </w:tcBorders>
            <w:shd w:val="clear" w:color="000000" w:fill="FFFFFF"/>
            <w:noWrap/>
            <w:vAlign w:val="bottom"/>
            <w:hideMark/>
          </w:tcPr>
          <w:p w14:paraId="16914CF1" w14:textId="462D3ED2" w:rsidR="000958F5" w:rsidRPr="00E4581C" w:rsidRDefault="000D3AC4"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color w:val="000000"/>
                <w:sz w:val="18"/>
                <w:szCs w:val="18"/>
                <w:lang w:val="es-ES_tradnl"/>
              </w:rPr>
              <w:t xml:space="preserve"> </w:t>
            </w:r>
          </w:p>
        </w:tc>
      </w:tr>
      <w:tr w:rsidR="000958F5" w:rsidRPr="00E4581C" w14:paraId="325DA587" w14:textId="77777777" w:rsidTr="00846A75">
        <w:trPr>
          <w:trHeight w:val="250"/>
        </w:trPr>
        <w:tc>
          <w:tcPr>
            <w:tcW w:w="5721" w:type="dxa"/>
            <w:tcBorders>
              <w:left w:val="nil"/>
              <w:bottom w:val="single" w:sz="4" w:space="0" w:color="auto"/>
              <w:right w:val="nil"/>
            </w:tcBorders>
            <w:shd w:val="clear" w:color="000000" w:fill="FFFFFF"/>
            <w:noWrap/>
            <w:vAlign w:val="center"/>
            <w:hideMark/>
          </w:tcPr>
          <w:p w14:paraId="6BFD9757" w14:textId="430669F7"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 xml:space="preserve">Franqueos y gastos diversos </w:t>
            </w:r>
          </w:p>
        </w:tc>
        <w:tc>
          <w:tcPr>
            <w:tcW w:w="1389" w:type="dxa"/>
            <w:tcBorders>
              <w:left w:val="nil"/>
              <w:bottom w:val="single" w:sz="4" w:space="0" w:color="auto"/>
              <w:right w:val="nil"/>
            </w:tcBorders>
            <w:shd w:val="clear" w:color="000000" w:fill="FFFFFF"/>
            <w:noWrap/>
            <w:vAlign w:val="bottom"/>
            <w:hideMark/>
          </w:tcPr>
          <w:p w14:paraId="7AA3E87A" w14:textId="17B214A9"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2 000</w:t>
            </w:r>
          </w:p>
        </w:tc>
        <w:tc>
          <w:tcPr>
            <w:tcW w:w="1390" w:type="dxa"/>
            <w:tcBorders>
              <w:left w:val="nil"/>
              <w:bottom w:val="single" w:sz="4" w:space="0" w:color="auto"/>
              <w:right w:val="nil"/>
            </w:tcBorders>
            <w:shd w:val="clear" w:color="auto" w:fill="auto"/>
            <w:noWrap/>
            <w:vAlign w:val="bottom"/>
            <w:hideMark/>
          </w:tcPr>
          <w:p w14:paraId="7D1A8488" w14:textId="1C839E2B"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2 814</w:t>
            </w:r>
          </w:p>
        </w:tc>
        <w:tc>
          <w:tcPr>
            <w:tcW w:w="1390" w:type="dxa"/>
            <w:tcBorders>
              <w:left w:val="nil"/>
              <w:bottom w:val="single" w:sz="4" w:space="0" w:color="auto"/>
              <w:right w:val="nil"/>
            </w:tcBorders>
            <w:shd w:val="clear" w:color="000000" w:fill="FFFFFF"/>
            <w:noWrap/>
            <w:vAlign w:val="bottom"/>
            <w:hideMark/>
          </w:tcPr>
          <w:p w14:paraId="7D5B4B1D" w14:textId="41B0ABD4" w:rsidR="000958F5" w:rsidRPr="00E4581C" w:rsidRDefault="002C027F"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w:t>
            </w:r>
            <w:r w:rsidR="006D1ED0" w:rsidRPr="00E4581C">
              <w:rPr>
                <w:rFonts w:ascii="Times New Roman" w:hAnsi="Times New Roman"/>
                <w:sz w:val="18"/>
                <w:szCs w:val="18"/>
                <w:lang w:val="es-ES_tradnl"/>
              </w:rPr>
              <w:t>814</w:t>
            </w:r>
          </w:p>
        </w:tc>
      </w:tr>
      <w:tr w:rsidR="000958F5" w:rsidRPr="00E4581C" w14:paraId="69072921"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4DA3E79C" w14:textId="7EAEEF44" w:rsidR="000958F5" w:rsidRPr="00E4581C" w:rsidRDefault="000958F5" w:rsidP="006D1ED0">
            <w:pPr>
              <w:spacing w:before="40" w:after="40" w:line="240" w:lineRule="auto"/>
              <w:rPr>
                <w:rFonts w:ascii="Times New Roman" w:eastAsia="Times New Roman" w:hAnsi="Times New Roman"/>
                <w:b/>
                <w:color w:val="000000"/>
                <w:sz w:val="18"/>
                <w:szCs w:val="18"/>
                <w:lang w:val="es-ES_tradnl"/>
              </w:rPr>
            </w:pPr>
            <w:r w:rsidRPr="00E4581C">
              <w:rPr>
                <w:rFonts w:ascii="Times New Roman" w:hAnsi="Times New Roman"/>
                <w:b/>
                <w:bCs/>
                <w:sz w:val="18"/>
                <w:szCs w:val="18"/>
                <w:lang w:val="es-ES_tradnl"/>
              </w:rPr>
              <w:t>Total parcial 3.2.6,Teléfono, franqueos y gastos diversos</w:t>
            </w:r>
          </w:p>
        </w:tc>
        <w:tc>
          <w:tcPr>
            <w:tcW w:w="1389" w:type="dxa"/>
            <w:tcBorders>
              <w:top w:val="single" w:sz="4" w:space="0" w:color="auto"/>
              <w:left w:val="nil"/>
              <w:bottom w:val="single" w:sz="4" w:space="0" w:color="auto"/>
              <w:right w:val="nil"/>
            </w:tcBorders>
            <w:shd w:val="clear" w:color="auto" w:fill="auto"/>
            <w:noWrap/>
            <w:vAlign w:val="bottom"/>
            <w:hideMark/>
          </w:tcPr>
          <w:p w14:paraId="23F93506" w14:textId="4F471288"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22 000</w:t>
            </w:r>
          </w:p>
        </w:tc>
        <w:tc>
          <w:tcPr>
            <w:tcW w:w="1390" w:type="dxa"/>
            <w:tcBorders>
              <w:top w:val="single" w:sz="4" w:space="0" w:color="auto"/>
              <w:left w:val="nil"/>
              <w:bottom w:val="single" w:sz="4" w:space="0" w:color="auto"/>
              <w:right w:val="nil"/>
            </w:tcBorders>
            <w:shd w:val="clear" w:color="auto" w:fill="auto"/>
            <w:noWrap/>
            <w:vAlign w:val="bottom"/>
            <w:hideMark/>
          </w:tcPr>
          <w:p w14:paraId="2A73E97E" w14:textId="0BDC1E39"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13 577</w:t>
            </w:r>
          </w:p>
        </w:tc>
        <w:tc>
          <w:tcPr>
            <w:tcW w:w="1390" w:type="dxa"/>
            <w:tcBorders>
              <w:top w:val="single" w:sz="4" w:space="0" w:color="auto"/>
              <w:left w:val="nil"/>
              <w:bottom w:val="single" w:sz="4" w:space="0" w:color="auto"/>
              <w:right w:val="nil"/>
            </w:tcBorders>
            <w:shd w:val="clear" w:color="auto" w:fill="auto"/>
            <w:noWrap/>
            <w:vAlign w:val="bottom"/>
            <w:hideMark/>
          </w:tcPr>
          <w:p w14:paraId="3BD15719" w14:textId="4E7FDF28"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8 423</w:t>
            </w:r>
          </w:p>
        </w:tc>
      </w:tr>
      <w:tr w:rsidR="000958F5" w:rsidRPr="00E4581C" w14:paraId="600AB3F6" w14:textId="77777777" w:rsidTr="00846A75">
        <w:trPr>
          <w:trHeight w:val="235"/>
        </w:trPr>
        <w:tc>
          <w:tcPr>
            <w:tcW w:w="5721" w:type="dxa"/>
            <w:tcBorders>
              <w:top w:val="single" w:sz="4" w:space="0" w:color="auto"/>
              <w:left w:val="nil"/>
              <w:bottom w:val="nil"/>
              <w:right w:val="nil"/>
            </w:tcBorders>
            <w:shd w:val="clear" w:color="000000" w:fill="FFFFFF"/>
            <w:noWrap/>
            <w:vAlign w:val="center"/>
            <w:hideMark/>
          </w:tcPr>
          <w:p w14:paraId="52C1C907" w14:textId="49D583CB"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3.2.7 Atenciones sociales</w:t>
            </w:r>
            <w:r w:rsidRPr="00E4581C">
              <w:rPr>
                <w:rFonts w:ascii="Times New Roman" w:hAnsi="Times New Roman"/>
                <w:sz w:val="18"/>
                <w:szCs w:val="18"/>
                <w:lang w:val="es-ES_tradnl"/>
              </w:rPr>
              <w:t xml:space="preserve"> </w:t>
            </w:r>
          </w:p>
        </w:tc>
        <w:tc>
          <w:tcPr>
            <w:tcW w:w="1389" w:type="dxa"/>
            <w:tcBorders>
              <w:top w:val="single" w:sz="4" w:space="0" w:color="auto"/>
              <w:left w:val="nil"/>
              <w:bottom w:val="nil"/>
              <w:right w:val="nil"/>
            </w:tcBorders>
            <w:shd w:val="clear" w:color="000000" w:fill="FFFFFF"/>
            <w:noWrap/>
            <w:vAlign w:val="bottom"/>
            <w:hideMark/>
          </w:tcPr>
          <w:p w14:paraId="6F49FCEA" w14:textId="2F2BF97E" w:rsidR="000958F5" w:rsidRPr="00E4581C" w:rsidRDefault="000958F5" w:rsidP="006D1ED0">
            <w:pPr>
              <w:spacing w:before="40" w:after="40" w:line="240" w:lineRule="auto"/>
              <w:jc w:val="right"/>
              <w:rPr>
                <w:rFonts w:ascii="Times New Roman" w:hAnsi="Times New Roman"/>
                <w:b/>
                <w:color w:val="000000"/>
                <w:sz w:val="18"/>
                <w:szCs w:val="18"/>
                <w:lang w:val="es-ES_tradnl"/>
              </w:rPr>
            </w:pPr>
          </w:p>
        </w:tc>
        <w:tc>
          <w:tcPr>
            <w:tcW w:w="1390" w:type="dxa"/>
            <w:tcBorders>
              <w:top w:val="single" w:sz="4" w:space="0" w:color="auto"/>
              <w:left w:val="nil"/>
              <w:bottom w:val="nil"/>
              <w:right w:val="nil"/>
            </w:tcBorders>
            <w:shd w:val="clear" w:color="auto" w:fill="auto"/>
            <w:noWrap/>
            <w:vAlign w:val="bottom"/>
            <w:hideMark/>
          </w:tcPr>
          <w:p w14:paraId="04788204" w14:textId="77777777" w:rsidR="000958F5" w:rsidRPr="00E4581C" w:rsidRDefault="000958F5" w:rsidP="006D1ED0">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b/>
                <w:color w:val="000000"/>
                <w:sz w:val="18"/>
                <w:szCs w:val="18"/>
                <w:lang w:val="es-ES_tradnl"/>
              </w:rPr>
            </w:pPr>
          </w:p>
        </w:tc>
        <w:tc>
          <w:tcPr>
            <w:tcW w:w="1390" w:type="dxa"/>
            <w:tcBorders>
              <w:top w:val="single" w:sz="4" w:space="0" w:color="auto"/>
              <w:left w:val="nil"/>
              <w:bottom w:val="nil"/>
              <w:right w:val="nil"/>
            </w:tcBorders>
            <w:shd w:val="clear" w:color="000000" w:fill="FFFFFF"/>
            <w:noWrap/>
            <w:vAlign w:val="bottom"/>
            <w:hideMark/>
          </w:tcPr>
          <w:p w14:paraId="1E20813D" w14:textId="3C7183CE" w:rsidR="000958F5" w:rsidRPr="00E4581C" w:rsidRDefault="000D3AC4"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color w:val="000000"/>
                <w:sz w:val="18"/>
                <w:szCs w:val="18"/>
                <w:lang w:val="es-ES_tradnl"/>
              </w:rPr>
              <w:t xml:space="preserve"> </w:t>
            </w:r>
          </w:p>
        </w:tc>
      </w:tr>
      <w:tr w:rsidR="000958F5" w:rsidRPr="00E4581C" w14:paraId="421E89E6" w14:textId="77777777" w:rsidTr="00846A75">
        <w:trPr>
          <w:trHeight w:val="250"/>
        </w:trPr>
        <w:tc>
          <w:tcPr>
            <w:tcW w:w="5721" w:type="dxa"/>
            <w:tcBorders>
              <w:top w:val="nil"/>
              <w:left w:val="nil"/>
              <w:bottom w:val="single" w:sz="4" w:space="0" w:color="auto"/>
              <w:right w:val="nil"/>
            </w:tcBorders>
            <w:shd w:val="clear" w:color="000000" w:fill="FFFFFF"/>
            <w:noWrap/>
            <w:vAlign w:val="center"/>
            <w:hideMark/>
          </w:tcPr>
          <w:p w14:paraId="15A6C40E" w14:textId="77777777" w:rsidR="000958F5" w:rsidRPr="00E4581C" w:rsidRDefault="000958F5" w:rsidP="006D1ED0">
            <w:pPr>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Atenciones sociales</w:t>
            </w:r>
          </w:p>
        </w:tc>
        <w:tc>
          <w:tcPr>
            <w:tcW w:w="1389" w:type="dxa"/>
            <w:tcBorders>
              <w:top w:val="nil"/>
              <w:left w:val="nil"/>
              <w:bottom w:val="single" w:sz="4" w:space="0" w:color="auto"/>
              <w:right w:val="nil"/>
            </w:tcBorders>
            <w:shd w:val="clear" w:color="000000" w:fill="FFFFFF"/>
            <w:noWrap/>
            <w:vAlign w:val="bottom"/>
            <w:hideMark/>
          </w:tcPr>
          <w:p w14:paraId="39BBFED7" w14:textId="75358847"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5 000</w:t>
            </w:r>
          </w:p>
        </w:tc>
        <w:tc>
          <w:tcPr>
            <w:tcW w:w="1390" w:type="dxa"/>
            <w:tcBorders>
              <w:top w:val="nil"/>
              <w:left w:val="nil"/>
              <w:bottom w:val="single" w:sz="4" w:space="0" w:color="auto"/>
              <w:right w:val="nil"/>
            </w:tcBorders>
            <w:shd w:val="clear" w:color="000000" w:fill="FFFFFF"/>
            <w:noWrap/>
            <w:vAlign w:val="bottom"/>
            <w:hideMark/>
          </w:tcPr>
          <w:p w14:paraId="7C2C48F5" w14:textId="335CA73F" w:rsidR="000958F5" w:rsidRPr="00E4581C" w:rsidRDefault="006D1ED0"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w:t>
            </w:r>
          </w:p>
        </w:tc>
        <w:tc>
          <w:tcPr>
            <w:tcW w:w="1390" w:type="dxa"/>
            <w:tcBorders>
              <w:top w:val="nil"/>
              <w:left w:val="nil"/>
              <w:bottom w:val="single" w:sz="4" w:space="0" w:color="auto"/>
              <w:right w:val="nil"/>
            </w:tcBorders>
            <w:shd w:val="clear" w:color="000000" w:fill="FFFFFF"/>
            <w:noWrap/>
            <w:vAlign w:val="bottom"/>
            <w:hideMark/>
          </w:tcPr>
          <w:p w14:paraId="49F7CA73" w14:textId="78CFCE5D" w:rsidR="000958F5" w:rsidRPr="00E4581C" w:rsidRDefault="000958F5" w:rsidP="006D1ED0">
            <w:pPr>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5 000</w:t>
            </w:r>
          </w:p>
        </w:tc>
      </w:tr>
      <w:tr w:rsidR="000958F5" w:rsidRPr="00E4581C" w14:paraId="60447F73"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289D1A84" w14:textId="5EC90E80"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3.2.7 Atenciones sociales</w:t>
            </w:r>
          </w:p>
        </w:tc>
        <w:tc>
          <w:tcPr>
            <w:tcW w:w="1389" w:type="dxa"/>
            <w:tcBorders>
              <w:top w:val="single" w:sz="4" w:space="0" w:color="auto"/>
              <w:left w:val="nil"/>
              <w:bottom w:val="single" w:sz="4" w:space="0" w:color="auto"/>
              <w:right w:val="nil"/>
            </w:tcBorders>
            <w:shd w:val="clear" w:color="auto" w:fill="auto"/>
            <w:noWrap/>
            <w:vAlign w:val="bottom"/>
            <w:hideMark/>
          </w:tcPr>
          <w:p w14:paraId="2E0F0B40" w14:textId="042D20A2"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5 000</w:t>
            </w:r>
          </w:p>
        </w:tc>
        <w:tc>
          <w:tcPr>
            <w:tcW w:w="1390" w:type="dxa"/>
            <w:tcBorders>
              <w:top w:val="single" w:sz="4" w:space="0" w:color="auto"/>
              <w:left w:val="nil"/>
              <w:bottom w:val="single" w:sz="4" w:space="0" w:color="auto"/>
              <w:right w:val="nil"/>
            </w:tcBorders>
            <w:shd w:val="clear" w:color="auto" w:fill="auto"/>
            <w:noWrap/>
            <w:vAlign w:val="bottom"/>
            <w:hideMark/>
          </w:tcPr>
          <w:p w14:paraId="122F732A" w14:textId="15BAAD12" w:rsidR="000958F5" w:rsidRPr="00E4581C" w:rsidRDefault="006D1ED0"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w:t>
            </w:r>
          </w:p>
        </w:tc>
        <w:tc>
          <w:tcPr>
            <w:tcW w:w="1390" w:type="dxa"/>
            <w:tcBorders>
              <w:top w:val="single" w:sz="4" w:space="0" w:color="auto"/>
              <w:left w:val="nil"/>
              <w:bottom w:val="single" w:sz="4" w:space="0" w:color="auto"/>
              <w:right w:val="nil"/>
            </w:tcBorders>
            <w:shd w:val="clear" w:color="auto" w:fill="auto"/>
            <w:noWrap/>
            <w:vAlign w:val="bottom"/>
            <w:hideMark/>
          </w:tcPr>
          <w:p w14:paraId="4161CEBA" w14:textId="6F4A5C50"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5 000</w:t>
            </w:r>
          </w:p>
        </w:tc>
      </w:tr>
      <w:tr w:rsidR="000958F5" w:rsidRPr="00E4581C" w14:paraId="3B6E2A24"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3EDA3C5D" w14:textId="7FA21182"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3.2 Gastos de funcionamiento (no relacionados con el personal)</w:t>
            </w:r>
          </w:p>
        </w:tc>
        <w:tc>
          <w:tcPr>
            <w:tcW w:w="1389" w:type="dxa"/>
            <w:tcBorders>
              <w:top w:val="single" w:sz="4" w:space="0" w:color="auto"/>
              <w:left w:val="nil"/>
              <w:bottom w:val="single" w:sz="4" w:space="0" w:color="auto"/>
              <w:right w:val="nil"/>
            </w:tcBorders>
            <w:shd w:val="clear" w:color="auto" w:fill="auto"/>
            <w:noWrap/>
            <w:vAlign w:val="bottom"/>
            <w:hideMark/>
          </w:tcPr>
          <w:p w14:paraId="554A909A" w14:textId="53433DC8"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219 500</w:t>
            </w:r>
          </w:p>
        </w:tc>
        <w:tc>
          <w:tcPr>
            <w:tcW w:w="1390" w:type="dxa"/>
            <w:tcBorders>
              <w:top w:val="single" w:sz="4" w:space="0" w:color="auto"/>
              <w:left w:val="nil"/>
              <w:bottom w:val="single" w:sz="4" w:space="0" w:color="auto"/>
              <w:right w:val="nil"/>
            </w:tcBorders>
            <w:shd w:val="clear" w:color="auto" w:fill="auto"/>
            <w:noWrap/>
            <w:vAlign w:val="bottom"/>
            <w:hideMark/>
          </w:tcPr>
          <w:p w14:paraId="289A5577" w14:textId="5A46B8F9"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175 855</w:t>
            </w:r>
          </w:p>
        </w:tc>
        <w:tc>
          <w:tcPr>
            <w:tcW w:w="1390" w:type="dxa"/>
            <w:tcBorders>
              <w:top w:val="single" w:sz="4" w:space="0" w:color="auto"/>
              <w:left w:val="nil"/>
              <w:bottom w:val="single" w:sz="4" w:space="0" w:color="auto"/>
              <w:right w:val="nil"/>
            </w:tcBorders>
            <w:shd w:val="clear" w:color="auto" w:fill="auto"/>
            <w:noWrap/>
            <w:vAlign w:val="bottom"/>
            <w:hideMark/>
          </w:tcPr>
          <w:p w14:paraId="43CD70D3" w14:textId="505033BC"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43 645</w:t>
            </w:r>
          </w:p>
        </w:tc>
      </w:tr>
      <w:tr w:rsidR="000958F5" w:rsidRPr="00E4581C" w14:paraId="04877957" w14:textId="77777777" w:rsidTr="00846A75">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0C53789B" w14:textId="016F0A3E" w:rsidR="000958F5" w:rsidRPr="00E4581C" w:rsidRDefault="000958F5" w:rsidP="006D1ED0">
            <w:pPr>
              <w:spacing w:before="40" w:after="40" w:line="240" w:lineRule="auto"/>
              <w:rPr>
                <w:rFonts w:ascii="Times New Roman" w:eastAsia="Times New Roman" w:hAnsi="Times New Roman"/>
                <w:b/>
                <w:bCs/>
                <w:color w:val="000000"/>
                <w:sz w:val="18"/>
                <w:szCs w:val="18"/>
                <w:lang w:val="es-ES_tradnl"/>
              </w:rPr>
            </w:pPr>
            <w:r w:rsidRPr="00E4581C">
              <w:rPr>
                <w:rFonts w:ascii="Times New Roman" w:hAnsi="Times New Roman"/>
                <w:b/>
                <w:bCs/>
                <w:sz w:val="18"/>
                <w:szCs w:val="18"/>
                <w:lang w:val="es-ES_tradnl"/>
              </w:rPr>
              <w:t>Total parcial 3 Secretaría (gastos de personal y de funcionamiento)</w:t>
            </w:r>
          </w:p>
        </w:tc>
        <w:tc>
          <w:tcPr>
            <w:tcW w:w="1389" w:type="dxa"/>
            <w:tcBorders>
              <w:top w:val="single" w:sz="4" w:space="0" w:color="auto"/>
              <w:left w:val="nil"/>
              <w:bottom w:val="single" w:sz="4" w:space="0" w:color="auto"/>
              <w:right w:val="nil"/>
            </w:tcBorders>
            <w:shd w:val="clear" w:color="auto" w:fill="auto"/>
            <w:noWrap/>
            <w:vAlign w:val="bottom"/>
            <w:hideMark/>
          </w:tcPr>
          <w:p w14:paraId="79467765" w14:textId="59C6B041" w:rsidR="000958F5" w:rsidRPr="00E4581C" w:rsidRDefault="000958F5" w:rsidP="006D1ED0">
            <w:pPr>
              <w:spacing w:before="40" w:after="40" w:line="240" w:lineRule="auto"/>
              <w:jc w:val="right"/>
              <w:rPr>
                <w:rFonts w:ascii="Times New Roman" w:eastAsia="Times New Roman" w:hAnsi="Times New Roman"/>
                <w:b/>
                <w:bCs/>
                <w:color w:val="000000"/>
                <w:sz w:val="18"/>
                <w:szCs w:val="18"/>
                <w:lang w:val="es-ES_tradnl"/>
              </w:rPr>
            </w:pPr>
            <w:r w:rsidRPr="00E4581C">
              <w:rPr>
                <w:rFonts w:ascii="Times New Roman" w:hAnsi="Times New Roman"/>
                <w:b/>
                <w:sz w:val="18"/>
                <w:szCs w:val="18"/>
                <w:lang w:val="es-ES_tradnl"/>
              </w:rPr>
              <w:t>1 806 133</w:t>
            </w:r>
          </w:p>
        </w:tc>
        <w:tc>
          <w:tcPr>
            <w:tcW w:w="1390" w:type="dxa"/>
            <w:tcBorders>
              <w:top w:val="single" w:sz="4" w:space="0" w:color="auto"/>
              <w:left w:val="nil"/>
              <w:bottom w:val="single" w:sz="4" w:space="0" w:color="auto"/>
              <w:right w:val="nil"/>
            </w:tcBorders>
            <w:shd w:val="clear" w:color="auto" w:fill="auto"/>
            <w:noWrap/>
            <w:vAlign w:val="bottom"/>
            <w:hideMark/>
          </w:tcPr>
          <w:p w14:paraId="1F5F5A86" w14:textId="75F59793" w:rsidR="000958F5" w:rsidRPr="00E4581C" w:rsidRDefault="000958F5" w:rsidP="006D1ED0">
            <w:pPr>
              <w:spacing w:before="40" w:after="40" w:line="240" w:lineRule="auto"/>
              <w:jc w:val="right"/>
              <w:rPr>
                <w:rFonts w:ascii="Times New Roman" w:eastAsia="Times New Roman" w:hAnsi="Times New Roman"/>
                <w:b/>
                <w:bCs/>
                <w:color w:val="000000"/>
                <w:sz w:val="18"/>
                <w:szCs w:val="18"/>
                <w:lang w:val="es-ES_tradnl"/>
              </w:rPr>
            </w:pPr>
            <w:r w:rsidRPr="00E4581C">
              <w:rPr>
                <w:rFonts w:ascii="Times New Roman" w:hAnsi="Times New Roman"/>
                <w:b/>
                <w:sz w:val="18"/>
                <w:szCs w:val="18"/>
                <w:lang w:val="es-ES_tradnl"/>
              </w:rPr>
              <w:t>1 119 176</w:t>
            </w:r>
          </w:p>
        </w:tc>
        <w:tc>
          <w:tcPr>
            <w:tcW w:w="1390" w:type="dxa"/>
            <w:tcBorders>
              <w:top w:val="single" w:sz="4" w:space="0" w:color="auto"/>
              <w:left w:val="nil"/>
              <w:bottom w:val="single" w:sz="4" w:space="0" w:color="auto"/>
              <w:right w:val="nil"/>
            </w:tcBorders>
            <w:shd w:val="clear" w:color="auto" w:fill="auto"/>
            <w:noWrap/>
            <w:vAlign w:val="bottom"/>
            <w:hideMark/>
          </w:tcPr>
          <w:p w14:paraId="282091D6" w14:textId="3D7BD0FE" w:rsidR="000958F5" w:rsidRPr="00E4581C" w:rsidRDefault="000958F5" w:rsidP="006D1ED0">
            <w:pPr>
              <w:spacing w:before="40" w:after="40" w:line="240" w:lineRule="auto"/>
              <w:jc w:val="right"/>
              <w:rPr>
                <w:rFonts w:ascii="Times New Roman" w:eastAsia="Times New Roman" w:hAnsi="Times New Roman"/>
                <w:b/>
                <w:bCs/>
                <w:color w:val="000000"/>
                <w:sz w:val="18"/>
                <w:szCs w:val="18"/>
                <w:lang w:val="es-ES_tradnl"/>
              </w:rPr>
            </w:pPr>
            <w:r w:rsidRPr="00E4581C">
              <w:rPr>
                <w:rFonts w:ascii="Times New Roman" w:hAnsi="Times New Roman"/>
                <w:b/>
                <w:sz w:val="18"/>
                <w:szCs w:val="18"/>
                <w:lang w:val="es-ES_tradnl"/>
              </w:rPr>
              <w:t>686 957</w:t>
            </w:r>
          </w:p>
        </w:tc>
      </w:tr>
      <w:tr w:rsidR="000958F5" w:rsidRPr="00E4581C" w14:paraId="3EA4A6F6" w14:textId="77777777" w:rsidTr="00846A75">
        <w:trPr>
          <w:trHeight w:val="293"/>
        </w:trPr>
        <w:tc>
          <w:tcPr>
            <w:tcW w:w="5721" w:type="dxa"/>
            <w:tcBorders>
              <w:top w:val="single" w:sz="4" w:space="0" w:color="auto"/>
              <w:left w:val="nil"/>
              <w:bottom w:val="single" w:sz="4" w:space="0" w:color="auto"/>
              <w:right w:val="nil"/>
            </w:tcBorders>
            <w:shd w:val="clear" w:color="000000" w:fill="FFFFFF"/>
            <w:noWrap/>
            <w:vAlign w:val="center"/>
            <w:hideMark/>
          </w:tcPr>
          <w:p w14:paraId="5C46B3BA" w14:textId="691E2733"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parcial, 1+2+3</w:t>
            </w:r>
          </w:p>
        </w:tc>
        <w:tc>
          <w:tcPr>
            <w:tcW w:w="1389" w:type="dxa"/>
            <w:tcBorders>
              <w:top w:val="single" w:sz="4" w:space="0" w:color="auto"/>
              <w:left w:val="nil"/>
              <w:bottom w:val="single" w:sz="4" w:space="0" w:color="auto"/>
              <w:right w:val="nil"/>
            </w:tcBorders>
            <w:shd w:val="clear" w:color="000000" w:fill="FFFFFF"/>
            <w:noWrap/>
            <w:vAlign w:val="bottom"/>
            <w:hideMark/>
          </w:tcPr>
          <w:p w14:paraId="1F69DE75" w14:textId="0C4516CF"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8 802 133</w:t>
            </w:r>
          </w:p>
        </w:tc>
        <w:tc>
          <w:tcPr>
            <w:tcW w:w="1390" w:type="dxa"/>
            <w:tcBorders>
              <w:top w:val="single" w:sz="4" w:space="0" w:color="auto"/>
              <w:left w:val="nil"/>
              <w:bottom w:val="single" w:sz="4" w:space="0" w:color="auto"/>
              <w:right w:val="nil"/>
            </w:tcBorders>
            <w:shd w:val="clear" w:color="000000" w:fill="FFFFFF"/>
            <w:noWrap/>
            <w:vAlign w:val="bottom"/>
            <w:hideMark/>
          </w:tcPr>
          <w:p w14:paraId="3B87F9F5" w14:textId="2138486E"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6 789 906</w:t>
            </w:r>
          </w:p>
        </w:tc>
        <w:tc>
          <w:tcPr>
            <w:tcW w:w="1390" w:type="dxa"/>
            <w:tcBorders>
              <w:top w:val="single" w:sz="4" w:space="0" w:color="auto"/>
              <w:left w:val="nil"/>
              <w:bottom w:val="single" w:sz="4" w:space="0" w:color="auto"/>
              <w:right w:val="nil"/>
            </w:tcBorders>
            <w:shd w:val="clear" w:color="000000" w:fill="FFFFFF"/>
            <w:noWrap/>
            <w:vAlign w:val="bottom"/>
            <w:hideMark/>
          </w:tcPr>
          <w:p w14:paraId="6A8D0278" w14:textId="4211084A"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2 012 226</w:t>
            </w:r>
          </w:p>
        </w:tc>
      </w:tr>
      <w:tr w:rsidR="000958F5" w:rsidRPr="00E4581C" w14:paraId="2EF01322" w14:textId="77777777" w:rsidTr="00846A75">
        <w:trPr>
          <w:trHeight w:val="235"/>
        </w:trPr>
        <w:tc>
          <w:tcPr>
            <w:tcW w:w="5721" w:type="dxa"/>
            <w:tcBorders>
              <w:top w:val="single" w:sz="4" w:space="0" w:color="auto"/>
              <w:left w:val="nil"/>
              <w:bottom w:val="single" w:sz="4" w:space="0" w:color="auto"/>
              <w:right w:val="nil"/>
            </w:tcBorders>
            <w:shd w:val="clear" w:color="000000" w:fill="FFFFFF"/>
            <w:noWrap/>
            <w:vAlign w:val="center"/>
            <w:hideMark/>
          </w:tcPr>
          <w:p w14:paraId="4DA5FE63" w14:textId="29E7A489" w:rsidR="000958F5" w:rsidRPr="00E4581C" w:rsidRDefault="000958F5" w:rsidP="00372A69">
            <w:pPr>
              <w:keepNext/>
              <w:keepLines/>
              <w:spacing w:before="40" w:after="40" w:line="240" w:lineRule="auto"/>
              <w:rPr>
                <w:rFonts w:ascii="Times New Roman" w:hAnsi="Times New Roman"/>
                <w:color w:val="000000"/>
                <w:sz w:val="18"/>
                <w:szCs w:val="18"/>
                <w:lang w:val="es-ES_tradnl"/>
              </w:rPr>
            </w:pPr>
            <w:r w:rsidRPr="00E4581C">
              <w:rPr>
                <w:rFonts w:ascii="Times New Roman" w:hAnsi="Times New Roman"/>
                <w:sz w:val="18"/>
                <w:szCs w:val="18"/>
                <w:lang w:val="es-ES_tradnl"/>
              </w:rPr>
              <w:t>Gastos de apoyo a los programas (8%)</w:t>
            </w:r>
          </w:p>
        </w:tc>
        <w:tc>
          <w:tcPr>
            <w:tcW w:w="1389" w:type="dxa"/>
            <w:tcBorders>
              <w:top w:val="single" w:sz="4" w:space="0" w:color="auto"/>
              <w:left w:val="nil"/>
              <w:bottom w:val="single" w:sz="4" w:space="0" w:color="auto"/>
              <w:right w:val="nil"/>
            </w:tcBorders>
            <w:shd w:val="clear" w:color="000000" w:fill="FFFFFF"/>
            <w:noWrap/>
            <w:vAlign w:val="bottom"/>
            <w:hideMark/>
          </w:tcPr>
          <w:p w14:paraId="741CFFB1" w14:textId="2DB5E05A" w:rsidR="000958F5" w:rsidRPr="00E4581C" w:rsidRDefault="000958F5" w:rsidP="00372A69">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704 171</w:t>
            </w:r>
          </w:p>
        </w:tc>
        <w:tc>
          <w:tcPr>
            <w:tcW w:w="1390" w:type="dxa"/>
            <w:tcBorders>
              <w:top w:val="single" w:sz="4" w:space="0" w:color="auto"/>
              <w:left w:val="nil"/>
              <w:bottom w:val="single" w:sz="4" w:space="0" w:color="auto"/>
              <w:right w:val="nil"/>
            </w:tcBorders>
            <w:shd w:val="clear" w:color="000000" w:fill="FFFFFF"/>
            <w:noWrap/>
            <w:vAlign w:val="bottom"/>
            <w:hideMark/>
          </w:tcPr>
          <w:p w14:paraId="178A2071" w14:textId="2305E116" w:rsidR="000958F5" w:rsidRPr="00E4581C" w:rsidRDefault="000958F5" w:rsidP="00372A69">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543 192</w:t>
            </w:r>
          </w:p>
        </w:tc>
        <w:tc>
          <w:tcPr>
            <w:tcW w:w="1390" w:type="dxa"/>
            <w:tcBorders>
              <w:top w:val="single" w:sz="4" w:space="0" w:color="auto"/>
              <w:left w:val="nil"/>
              <w:bottom w:val="single" w:sz="4" w:space="0" w:color="auto"/>
              <w:right w:val="nil"/>
            </w:tcBorders>
            <w:shd w:val="clear" w:color="000000" w:fill="FFFFFF"/>
            <w:noWrap/>
            <w:vAlign w:val="bottom"/>
            <w:hideMark/>
          </w:tcPr>
          <w:p w14:paraId="290B3B56" w14:textId="08D5F2FD" w:rsidR="000958F5" w:rsidRPr="00E4581C" w:rsidRDefault="000958F5" w:rsidP="00372A69">
            <w:pPr>
              <w:keepNext/>
              <w:keepLines/>
              <w:spacing w:before="40" w:after="40" w:line="240" w:lineRule="auto"/>
              <w:jc w:val="right"/>
              <w:rPr>
                <w:rFonts w:ascii="Times New Roman" w:hAnsi="Times New Roman"/>
                <w:color w:val="000000"/>
                <w:sz w:val="18"/>
                <w:szCs w:val="18"/>
                <w:lang w:val="es-ES_tradnl"/>
              </w:rPr>
            </w:pPr>
            <w:r w:rsidRPr="00E4581C">
              <w:rPr>
                <w:rFonts w:ascii="Times New Roman" w:hAnsi="Times New Roman"/>
                <w:sz w:val="18"/>
                <w:szCs w:val="18"/>
                <w:lang w:val="es-ES_tradnl"/>
              </w:rPr>
              <w:t>160 978</w:t>
            </w:r>
          </w:p>
        </w:tc>
      </w:tr>
      <w:tr w:rsidR="000958F5" w:rsidRPr="00E4581C" w14:paraId="5055289A" w14:textId="77777777" w:rsidTr="00846A75">
        <w:trPr>
          <w:trHeight w:val="235"/>
        </w:trPr>
        <w:tc>
          <w:tcPr>
            <w:tcW w:w="5721" w:type="dxa"/>
            <w:tcBorders>
              <w:top w:val="single" w:sz="4" w:space="0" w:color="auto"/>
              <w:left w:val="nil"/>
              <w:bottom w:val="single" w:sz="4" w:space="0" w:color="auto"/>
              <w:right w:val="nil"/>
            </w:tcBorders>
            <w:shd w:val="clear" w:color="000000" w:fill="FFFFFF"/>
            <w:noWrap/>
            <w:vAlign w:val="center"/>
            <w:hideMark/>
          </w:tcPr>
          <w:p w14:paraId="4B1ABE5E" w14:textId="757B1EA1"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Costo total para el fondo fiduciario</w:t>
            </w:r>
          </w:p>
        </w:tc>
        <w:tc>
          <w:tcPr>
            <w:tcW w:w="1389" w:type="dxa"/>
            <w:tcBorders>
              <w:top w:val="single" w:sz="4" w:space="0" w:color="auto"/>
              <w:left w:val="nil"/>
              <w:bottom w:val="single" w:sz="4" w:space="0" w:color="auto"/>
              <w:right w:val="nil"/>
            </w:tcBorders>
            <w:shd w:val="clear" w:color="000000" w:fill="FFFFFF"/>
            <w:noWrap/>
            <w:vAlign w:val="bottom"/>
            <w:hideMark/>
          </w:tcPr>
          <w:p w14:paraId="5C05ECC5" w14:textId="2D3D7EB1"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9 506 304</w:t>
            </w:r>
          </w:p>
        </w:tc>
        <w:tc>
          <w:tcPr>
            <w:tcW w:w="1390" w:type="dxa"/>
            <w:tcBorders>
              <w:top w:val="single" w:sz="4" w:space="0" w:color="auto"/>
              <w:left w:val="nil"/>
              <w:bottom w:val="single" w:sz="4" w:space="0" w:color="auto"/>
              <w:right w:val="nil"/>
            </w:tcBorders>
            <w:shd w:val="clear" w:color="000000" w:fill="FFFFFF"/>
            <w:noWrap/>
            <w:vAlign w:val="bottom"/>
            <w:hideMark/>
          </w:tcPr>
          <w:p w14:paraId="6A592C7D" w14:textId="1ED25562"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7 333 098</w:t>
            </w:r>
          </w:p>
        </w:tc>
        <w:tc>
          <w:tcPr>
            <w:tcW w:w="1390" w:type="dxa"/>
            <w:tcBorders>
              <w:top w:val="single" w:sz="4" w:space="0" w:color="auto"/>
              <w:left w:val="nil"/>
              <w:bottom w:val="single" w:sz="4" w:space="0" w:color="auto"/>
              <w:right w:val="nil"/>
            </w:tcBorders>
            <w:shd w:val="clear" w:color="000000" w:fill="FFFFFF"/>
            <w:noWrap/>
            <w:vAlign w:val="bottom"/>
            <w:hideMark/>
          </w:tcPr>
          <w:p w14:paraId="7A0C98F7" w14:textId="4D0F9BAF"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2 173 204</w:t>
            </w:r>
          </w:p>
        </w:tc>
      </w:tr>
      <w:tr w:rsidR="000958F5" w:rsidRPr="00E4581C" w14:paraId="4F4B5EC6" w14:textId="77777777" w:rsidTr="00846A75">
        <w:trPr>
          <w:trHeight w:val="279"/>
        </w:trPr>
        <w:tc>
          <w:tcPr>
            <w:tcW w:w="5721" w:type="dxa"/>
            <w:tcBorders>
              <w:top w:val="single" w:sz="4" w:space="0" w:color="auto"/>
              <w:left w:val="nil"/>
              <w:bottom w:val="single" w:sz="4" w:space="0" w:color="auto"/>
              <w:right w:val="nil"/>
            </w:tcBorders>
            <w:shd w:val="clear" w:color="000000" w:fill="FFFFFF"/>
            <w:noWrap/>
            <w:vAlign w:val="center"/>
            <w:hideMark/>
          </w:tcPr>
          <w:p w14:paraId="6E0372EF" w14:textId="1B02BDBF" w:rsidR="000958F5" w:rsidRPr="00E4581C" w:rsidRDefault="000958F5" w:rsidP="006D1ED0">
            <w:pPr>
              <w:spacing w:before="40" w:after="40" w:line="240" w:lineRule="auto"/>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Contribución a la reserva de capital circulante (10%)</w:t>
            </w:r>
            <w:r w:rsidR="001E71BD" w:rsidRPr="00E4581C">
              <w:rPr>
                <w:rFonts w:ascii="Times New Roman" w:hAnsi="Times New Roman"/>
                <w:sz w:val="18"/>
                <w:szCs w:val="18"/>
                <w:vertAlign w:val="superscript"/>
                <w:lang w:val="es-ES_tradnl"/>
              </w:rPr>
              <w:t>e</w:t>
            </w:r>
          </w:p>
        </w:tc>
        <w:tc>
          <w:tcPr>
            <w:tcW w:w="1389" w:type="dxa"/>
            <w:tcBorders>
              <w:top w:val="single" w:sz="4" w:space="0" w:color="auto"/>
              <w:left w:val="nil"/>
              <w:bottom w:val="single" w:sz="4" w:space="0" w:color="auto"/>
              <w:right w:val="nil"/>
            </w:tcBorders>
            <w:shd w:val="clear" w:color="000000" w:fill="FFFFFF"/>
            <w:noWrap/>
            <w:vAlign w:val="bottom"/>
            <w:hideMark/>
          </w:tcPr>
          <w:p w14:paraId="155D369C" w14:textId="021A132E"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20 476</w:t>
            </w:r>
          </w:p>
        </w:tc>
        <w:tc>
          <w:tcPr>
            <w:tcW w:w="1390" w:type="dxa"/>
            <w:tcBorders>
              <w:top w:val="single" w:sz="4" w:space="0" w:color="auto"/>
              <w:left w:val="nil"/>
              <w:bottom w:val="single" w:sz="4" w:space="0" w:color="auto"/>
              <w:right w:val="nil"/>
            </w:tcBorders>
            <w:shd w:val="clear" w:color="auto" w:fill="auto"/>
            <w:noWrap/>
            <w:vAlign w:val="bottom"/>
            <w:hideMark/>
          </w:tcPr>
          <w:p w14:paraId="3404B4D9" w14:textId="6DC66029" w:rsidR="000958F5" w:rsidRPr="00E4581C" w:rsidRDefault="000958F5" w:rsidP="006D1ED0">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798 223</w:t>
            </w:r>
          </w:p>
        </w:tc>
        <w:tc>
          <w:tcPr>
            <w:tcW w:w="1390" w:type="dxa"/>
            <w:tcBorders>
              <w:top w:val="single" w:sz="4" w:space="0" w:color="auto"/>
              <w:left w:val="nil"/>
              <w:bottom w:val="single" w:sz="4" w:space="0" w:color="auto"/>
              <w:right w:val="nil"/>
            </w:tcBorders>
            <w:shd w:val="clear" w:color="000000" w:fill="FFFFFF"/>
            <w:noWrap/>
            <w:vAlign w:val="bottom"/>
            <w:hideMark/>
          </w:tcPr>
          <w:p w14:paraId="339AA8D2" w14:textId="0C1C192A" w:rsidR="000958F5" w:rsidRPr="00E4581C" w:rsidRDefault="000958F5" w:rsidP="006D1ED0">
            <w:pPr>
              <w:spacing w:before="40" w:after="40" w:line="240" w:lineRule="auto"/>
              <w:jc w:val="right"/>
              <w:rPr>
                <w:rFonts w:ascii="Times New Roman" w:eastAsia="Times New Roman" w:hAnsi="Times New Roman"/>
                <w:color w:val="0D0D0D"/>
                <w:sz w:val="18"/>
                <w:szCs w:val="18"/>
                <w:lang w:val="es-ES_tradnl"/>
              </w:rPr>
            </w:pPr>
            <w:r w:rsidRPr="00E4581C">
              <w:rPr>
                <w:rFonts w:ascii="Times New Roman" w:hAnsi="Times New Roman"/>
                <w:sz w:val="18"/>
                <w:szCs w:val="18"/>
                <w:lang w:val="es-ES_tradnl"/>
              </w:rPr>
              <w:t>(777 747)</w:t>
            </w:r>
          </w:p>
        </w:tc>
      </w:tr>
      <w:tr w:rsidR="000958F5" w:rsidRPr="00E4581C" w14:paraId="4880D5C1" w14:textId="77777777" w:rsidTr="00846A75">
        <w:trPr>
          <w:trHeight w:val="457"/>
        </w:trPr>
        <w:tc>
          <w:tcPr>
            <w:tcW w:w="5721" w:type="dxa"/>
            <w:tcBorders>
              <w:top w:val="single" w:sz="4" w:space="0" w:color="auto"/>
              <w:left w:val="nil"/>
              <w:bottom w:val="single" w:sz="12" w:space="0" w:color="auto"/>
              <w:right w:val="nil"/>
            </w:tcBorders>
            <w:shd w:val="clear" w:color="auto" w:fill="auto"/>
            <w:noWrap/>
            <w:vAlign w:val="center"/>
            <w:hideMark/>
          </w:tcPr>
          <w:p w14:paraId="197FADA5" w14:textId="26B00B4A" w:rsidR="000958F5" w:rsidRPr="00E4581C" w:rsidRDefault="000958F5" w:rsidP="006D1ED0">
            <w:pPr>
              <w:spacing w:before="40" w:after="40" w:line="240" w:lineRule="auto"/>
              <w:rPr>
                <w:rFonts w:ascii="Times New Roman" w:hAnsi="Times New Roman"/>
                <w:b/>
                <w:color w:val="000000"/>
                <w:sz w:val="18"/>
                <w:szCs w:val="18"/>
                <w:lang w:val="es-ES_tradnl"/>
              </w:rPr>
            </w:pPr>
            <w:r w:rsidRPr="00E4581C">
              <w:rPr>
                <w:rFonts w:ascii="Times New Roman" w:hAnsi="Times New Roman"/>
                <w:b/>
                <w:bCs/>
                <w:sz w:val="18"/>
                <w:szCs w:val="18"/>
                <w:lang w:val="es-ES_tradnl"/>
              </w:rPr>
              <w:t>Total de efectivo que se necesita</w:t>
            </w:r>
          </w:p>
        </w:tc>
        <w:tc>
          <w:tcPr>
            <w:tcW w:w="1389" w:type="dxa"/>
            <w:tcBorders>
              <w:top w:val="single" w:sz="4" w:space="0" w:color="auto"/>
              <w:left w:val="nil"/>
              <w:bottom w:val="single" w:sz="12" w:space="0" w:color="auto"/>
              <w:right w:val="nil"/>
            </w:tcBorders>
            <w:shd w:val="clear" w:color="auto" w:fill="auto"/>
            <w:noWrap/>
            <w:vAlign w:val="bottom"/>
            <w:hideMark/>
          </w:tcPr>
          <w:p w14:paraId="52355301" w14:textId="0476C4C3"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9 526 780</w:t>
            </w:r>
          </w:p>
        </w:tc>
        <w:tc>
          <w:tcPr>
            <w:tcW w:w="1390" w:type="dxa"/>
            <w:tcBorders>
              <w:top w:val="single" w:sz="4" w:space="0" w:color="auto"/>
              <w:left w:val="nil"/>
              <w:bottom w:val="single" w:sz="12" w:space="0" w:color="auto"/>
              <w:right w:val="nil"/>
            </w:tcBorders>
            <w:shd w:val="clear" w:color="auto" w:fill="auto"/>
            <w:noWrap/>
            <w:vAlign w:val="bottom"/>
            <w:hideMark/>
          </w:tcPr>
          <w:p w14:paraId="62BE32D0" w14:textId="234AE5F5"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8 131 321</w:t>
            </w:r>
          </w:p>
        </w:tc>
        <w:tc>
          <w:tcPr>
            <w:tcW w:w="1390" w:type="dxa"/>
            <w:tcBorders>
              <w:top w:val="single" w:sz="4" w:space="0" w:color="auto"/>
              <w:left w:val="nil"/>
              <w:bottom w:val="single" w:sz="12" w:space="0" w:color="auto"/>
              <w:right w:val="nil"/>
            </w:tcBorders>
            <w:shd w:val="clear" w:color="auto" w:fill="auto"/>
            <w:noWrap/>
            <w:vAlign w:val="bottom"/>
            <w:hideMark/>
          </w:tcPr>
          <w:p w14:paraId="35B05385" w14:textId="2670CCE5" w:rsidR="000958F5" w:rsidRPr="00E4581C" w:rsidRDefault="000958F5" w:rsidP="006D1ED0">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1 395 457</w:t>
            </w:r>
          </w:p>
        </w:tc>
      </w:tr>
    </w:tbl>
    <w:p w14:paraId="11952F0C" w14:textId="605FE4CA" w:rsidR="000958F5" w:rsidRPr="003A5C90" w:rsidRDefault="000958F5" w:rsidP="000D3AC4">
      <w:pPr>
        <w:spacing w:before="40" w:after="0" w:line="240" w:lineRule="auto"/>
        <w:rPr>
          <w:rFonts w:ascii="Times New Roman" w:hAnsi="Times New Roman"/>
          <w:color w:val="000000"/>
          <w:sz w:val="16"/>
          <w:szCs w:val="16"/>
          <w:vertAlign w:val="superscript"/>
          <w:lang w:val="es-ES_tradnl"/>
        </w:rPr>
      </w:pPr>
      <w:r w:rsidRPr="003A5C90">
        <w:rPr>
          <w:rFonts w:ascii="Times New Roman" w:hAnsi="Times New Roman"/>
          <w:sz w:val="16"/>
          <w:szCs w:val="16"/>
          <w:lang w:val="es-ES_tradnl"/>
        </w:rPr>
        <w:t xml:space="preserve">a El costo de los servicios de presentación de informes del Plenario del Boletín de Negociaciones sobre la Tierra en el tercer período de sesiones quedó reflejado en 2014. </w:t>
      </w:r>
    </w:p>
    <w:p w14:paraId="233AA259" w14:textId="27A34934" w:rsidR="000958F5" w:rsidRPr="003A5C90" w:rsidRDefault="000958F5" w:rsidP="000958F5">
      <w:pPr>
        <w:spacing w:after="0" w:line="240" w:lineRule="auto"/>
        <w:rPr>
          <w:rFonts w:ascii="Times New Roman" w:hAnsi="Times New Roman"/>
          <w:color w:val="000000"/>
          <w:sz w:val="16"/>
          <w:szCs w:val="16"/>
          <w:lang w:val="es-ES_tradnl"/>
        </w:rPr>
      </w:pPr>
      <w:r w:rsidRPr="003A5C90">
        <w:rPr>
          <w:rFonts w:ascii="Times New Roman" w:hAnsi="Times New Roman"/>
          <w:sz w:val="16"/>
          <w:szCs w:val="16"/>
          <w:lang w:val="es-ES_tradnl"/>
        </w:rPr>
        <w:t>b Se incurrió en gastos de seguridad, que ascendieron a 99.475 dólares, en relación con el tercer período de sesiones del Plenario, que se cargaron a</w:t>
      </w:r>
      <w:r w:rsidR="000930FA">
        <w:rPr>
          <w:rFonts w:ascii="Times New Roman" w:hAnsi="Times New Roman"/>
          <w:sz w:val="16"/>
          <w:szCs w:val="16"/>
          <w:lang w:val="es-ES_tradnl"/>
        </w:rPr>
        <w:t> </w:t>
      </w:r>
      <w:r w:rsidRPr="003A5C90">
        <w:rPr>
          <w:rFonts w:ascii="Times New Roman" w:hAnsi="Times New Roman"/>
          <w:sz w:val="16"/>
          <w:szCs w:val="16"/>
          <w:lang w:val="es-ES_tradnl"/>
        </w:rPr>
        <w:t>2015. Esa cifra incluye los gastos de personal de seguridad local proporcionada mediante el Programa de Voluntarios de las Naciones Unidas y la Fuerza de Seguridad de las Naciones Unidas en la Oficina de las Naciones Unidas en Viena.</w:t>
      </w:r>
    </w:p>
    <w:p w14:paraId="1B72F2A5" w14:textId="208A650D" w:rsidR="000958F5" w:rsidRPr="003A5C90" w:rsidRDefault="000958F5" w:rsidP="000958F5">
      <w:pPr>
        <w:spacing w:after="0" w:line="240" w:lineRule="auto"/>
        <w:rPr>
          <w:rFonts w:ascii="Times New Roman" w:hAnsi="Times New Roman"/>
          <w:color w:val="000000"/>
          <w:sz w:val="16"/>
          <w:szCs w:val="16"/>
          <w:lang w:val="es-ES_tradnl"/>
        </w:rPr>
      </w:pPr>
      <w:r w:rsidRPr="003A5C90">
        <w:rPr>
          <w:rFonts w:ascii="Times New Roman" w:hAnsi="Times New Roman"/>
          <w:sz w:val="16"/>
          <w:szCs w:val="16"/>
          <w:lang w:val="es-ES_tradnl"/>
        </w:rPr>
        <w:t>c Un P-4 adscripto del PNUMA.</w:t>
      </w:r>
    </w:p>
    <w:p w14:paraId="23D37444" w14:textId="47F25C00" w:rsidR="000958F5" w:rsidRPr="003A5C90" w:rsidRDefault="000958F5" w:rsidP="000958F5">
      <w:pPr>
        <w:spacing w:after="0" w:line="240" w:lineRule="auto"/>
        <w:rPr>
          <w:rFonts w:ascii="Times New Roman" w:hAnsi="Times New Roman"/>
          <w:b/>
          <w:color w:val="000000"/>
          <w:sz w:val="16"/>
          <w:szCs w:val="16"/>
          <w:lang w:val="es-ES_tradnl"/>
        </w:rPr>
      </w:pPr>
      <w:r w:rsidRPr="003A5C90">
        <w:rPr>
          <w:rFonts w:ascii="Times New Roman" w:hAnsi="Times New Roman"/>
          <w:sz w:val="16"/>
          <w:szCs w:val="16"/>
          <w:lang w:val="es-ES_tradnl"/>
        </w:rPr>
        <w:t xml:space="preserve">d Los Voluntarios de las Naciones Unidas prestan servicios de apoyo informático a todas las oficinas relacionadas con el PNUMA con sede en Bonn mediante un acuerdo de prestación de servicios. Estos servicios incluyen un servicio de asistencia a los usuarios, la red local, la seguridad de Internet, los servicios al sistema de nombres de dominio (DNS), la ubicación de servidores y suscripciones a Microsoft Office 365 Enterprise E3. En virtud de este acuerdo, que ha estado en vigor desde el 1 de enero de 2015, la </w:t>
      </w:r>
      <w:r w:rsidR="006D3DDF" w:rsidRPr="003A5C90">
        <w:rPr>
          <w:rFonts w:ascii="Times New Roman" w:hAnsi="Times New Roman"/>
          <w:sz w:val="16"/>
          <w:szCs w:val="16"/>
          <w:lang w:val="es-ES_tradnl"/>
        </w:rPr>
        <w:t>tarifa</w:t>
      </w:r>
      <w:r w:rsidRPr="003A5C90">
        <w:rPr>
          <w:rFonts w:ascii="Times New Roman" w:hAnsi="Times New Roman"/>
          <w:sz w:val="16"/>
          <w:szCs w:val="16"/>
          <w:lang w:val="es-ES_tradnl"/>
        </w:rPr>
        <w:t xml:space="preserve"> </w:t>
      </w:r>
      <w:r w:rsidR="006D3DDF" w:rsidRPr="003A5C90">
        <w:rPr>
          <w:rFonts w:ascii="Times New Roman" w:hAnsi="Times New Roman"/>
          <w:sz w:val="16"/>
          <w:szCs w:val="16"/>
          <w:lang w:val="es-ES_tradnl"/>
        </w:rPr>
        <w:t>anual</w:t>
      </w:r>
      <w:r w:rsidR="002C027F" w:rsidRPr="003A5C90">
        <w:rPr>
          <w:rFonts w:ascii="Times New Roman" w:hAnsi="Times New Roman"/>
          <w:sz w:val="16"/>
          <w:szCs w:val="16"/>
          <w:lang w:val="es-ES_tradnl"/>
        </w:rPr>
        <w:t xml:space="preserve"> que se </w:t>
      </w:r>
      <w:r w:rsidRPr="003A5C90">
        <w:rPr>
          <w:rFonts w:ascii="Times New Roman" w:hAnsi="Times New Roman"/>
          <w:sz w:val="16"/>
          <w:szCs w:val="16"/>
          <w:lang w:val="es-ES_tradnl"/>
        </w:rPr>
        <w:t xml:space="preserve">carga cada año depende del número de usuarios; en 2015 fue de 22.000 dólares. </w:t>
      </w:r>
    </w:p>
    <w:p w14:paraId="022023C2" w14:textId="56D7D738" w:rsidR="000958F5" w:rsidRPr="003A5C90" w:rsidRDefault="000958F5" w:rsidP="000958F5">
      <w:pPr>
        <w:spacing w:after="0" w:line="240" w:lineRule="auto"/>
        <w:jc w:val="both"/>
        <w:rPr>
          <w:rFonts w:ascii="Times New Roman" w:hAnsi="Times New Roman"/>
          <w:color w:val="000000"/>
          <w:sz w:val="16"/>
          <w:szCs w:val="16"/>
          <w:lang w:val="es-ES_tradnl"/>
        </w:rPr>
      </w:pPr>
      <w:r w:rsidRPr="003A5C90">
        <w:rPr>
          <w:rFonts w:ascii="Times New Roman" w:hAnsi="Times New Roman"/>
          <w:sz w:val="16"/>
          <w:szCs w:val="16"/>
          <w:lang w:val="es-ES_tradnl"/>
        </w:rPr>
        <w:t>e En el ejercicio económico de 2014 no se asignaron créditos a los efectos de contribuir a la reserva de capital circulante de ese año. Por consiguiente, la suma se transfirió a la reserva en 2015, junto con la asignación correspondiente a ese año (20.476 dólares), por lo que la transferencia total fue de 798.223 dólares.</w:t>
      </w:r>
    </w:p>
    <w:p w14:paraId="2C8F26C2" w14:textId="64218010" w:rsidR="000958F5" w:rsidRPr="00703A97" w:rsidRDefault="000958F5" w:rsidP="004D359B">
      <w:pPr>
        <w:pStyle w:val="Normalnumber"/>
        <w:numPr>
          <w:ilvl w:val="0"/>
          <w:numId w:val="5"/>
        </w:numPr>
        <w:spacing w:before="240"/>
        <w:ind w:left="1247" w:firstLine="0"/>
        <w:rPr>
          <w:lang w:val="es-ES_tradnl"/>
        </w:rPr>
      </w:pPr>
      <w:r w:rsidRPr="00703A97">
        <w:rPr>
          <w:lang w:val="es-ES_tradnl"/>
        </w:rPr>
        <w:t>Los gastos totales correspondientes a 2015 ascendieron a 7.33</w:t>
      </w:r>
      <w:r w:rsidR="00AC44DC">
        <w:rPr>
          <w:lang w:val="es-ES_tradnl"/>
        </w:rPr>
        <w:t>3.098 dólares, lo que representó</w:t>
      </w:r>
      <w:r w:rsidRPr="00703A97">
        <w:rPr>
          <w:lang w:val="es-ES_tradnl"/>
        </w:rPr>
        <w:t xml:space="preserve"> un ahorro de 2.173.204 dólares respecto del presupuesto aprobado por el Plenario. Esto se logró principalmente mediante economías en el programa de trabajo y e</w:t>
      </w:r>
      <w:r w:rsidR="00AC44DC">
        <w:rPr>
          <w:lang w:val="es-ES_tradnl"/>
        </w:rPr>
        <w:t>n los gastos de personal de la S</w:t>
      </w:r>
      <w:r w:rsidRPr="00703A97">
        <w:rPr>
          <w:lang w:val="es-ES_tradnl"/>
        </w:rPr>
        <w:t xml:space="preserve">ecretaría y de funcionamiento por valor de 1.011.071 dólares y 686.957 dólares respectivamente, como se detalla en los dos párrafos siguientes y, en menor medida, gracias a ahorros en las reuniones de los órganos de la </w:t>
      </w:r>
      <w:r w:rsidRPr="00703A97">
        <w:rPr>
          <w:lang w:val="es-ES_tradnl"/>
        </w:rPr>
        <w:lastRenderedPageBreak/>
        <w:t xml:space="preserve">Plataforma (314.198 dólares). La reserva de capital circulante correspondiente a 2014 (777.747 dólares: véase la nota de la Secretaría sobre </w:t>
      </w:r>
      <w:r w:rsidR="00AC44DC">
        <w:rPr>
          <w:lang w:val="es-ES_tradnl"/>
        </w:rPr>
        <w:t xml:space="preserve">los </w:t>
      </w:r>
      <w:r w:rsidRPr="00703A97">
        <w:rPr>
          <w:lang w:val="es-ES_tradnl"/>
        </w:rPr>
        <w:t>presupuestos revisados para 2016</w:t>
      </w:r>
      <w:r w:rsidR="00356A65">
        <w:rPr>
          <w:lang w:val="es-ES_tradnl"/>
        </w:rPr>
        <w:noBreakHyphen/>
      </w:r>
      <w:r w:rsidRPr="00703A97">
        <w:rPr>
          <w:lang w:val="es-ES_tradnl"/>
        </w:rPr>
        <w:t>2018</w:t>
      </w:r>
      <w:r w:rsidR="00AC44DC">
        <w:rPr>
          <w:lang w:val="es-ES_tradnl"/>
        </w:rPr>
        <w:t>,</w:t>
      </w:r>
      <w:r w:rsidRPr="00703A97">
        <w:rPr>
          <w:lang w:val="es-ES_tradnl"/>
        </w:rPr>
        <w:t xml:space="preserve"> que fi</w:t>
      </w:r>
      <w:r w:rsidR="006D3DDF" w:rsidRPr="00703A97">
        <w:rPr>
          <w:lang w:val="es-ES_tradnl"/>
        </w:rPr>
        <w:t>gura en el documento</w:t>
      </w:r>
      <w:r w:rsidR="00846A75">
        <w:rPr>
          <w:lang w:val="es-ES_tradnl"/>
        </w:rPr>
        <w:t> </w:t>
      </w:r>
      <w:r w:rsidR="006D3DDF" w:rsidRPr="00703A97">
        <w:rPr>
          <w:lang w:val="es-ES_tradnl"/>
        </w:rPr>
        <w:t>IPBES/4/13</w:t>
      </w:r>
      <w:r w:rsidRPr="00703A97">
        <w:rPr>
          <w:lang w:val="es-ES_tradnl"/>
        </w:rPr>
        <w:t>) y 2015 (20.476 dólares), para un total de 798.223 dólares, se transfirió del Fondo Fiduciario a la reserva en 2015.</w:t>
      </w:r>
    </w:p>
    <w:p w14:paraId="0ACEB620" w14:textId="735AABA6" w:rsidR="000958F5" w:rsidRPr="00703A97" w:rsidRDefault="00AB7B70" w:rsidP="004D359B">
      <w:pPr>
        <w:pStyle w:val="Normalnumber"/>
        <w:numPr>
          <w:ilvl w:val="0"/>
          <w:numId w:val="5"/>
        </w:numPr>
        <w:ind w:left="1247" w:firstLine="0"/>
        <w:rPr>
          <w:lang w:val="es-ES_tradnl"/>
        </w:rPr>
      </w:pPr>
      <w:r w:rsidRPr="00703A97">
        <w:rPr>
          <w:lang w:val="es-ES_tradnl"/>
        </w:rPr>
        <w:t xml:space="preserve">El ahorro de 1.011.071 dólares en el programa de trabajo se derivó de lo siguiente: </w:t>
      </w:r>
    </w:p>
    <w:p w14:paraId="372D8E57" w14:textId="0D5B7565" w:rsidR="000958F5" w:rsidRPr="00703A97" w:rsidRDefault="0056332E" w:rsidP="001E71BD">
      <w:pPr>
        <w:pStyle w:val="Normalnumber"/>
        <w:numPr>
          <w:ilvl w:val="1"/>
          <w:numId w:val="6"/>
        </w:numPr>
        <w:tabs>
          <w:tab w:val="clear" w:pos="624"/>
        </w:tabs>
        <w:ind w:left="1247" w:firstLine="624"/>
        <w:rPr>
          <w:lang w:val="es-ES_tradnl"/>
        </w:rPr>
      </w:pPr>
      <w:r w:rsidRPr="00703A97">
        <w:rPr>
          <w:lang w:val="es-ES_tradnl"/>
        </w:rPr>
        <w:t>La sustitución de dos reuniones de análisis inicial (sobre especies exóticas invasoras (producto previsto</w:t>
      </w:r>
      <w:r w:rsidR="00846A75">
        <w:rPr>
          <w:lang w:val="es-ES_tradnl"/>
        </w:rPr>
        <w:t xml:space="preserve"> </w:t>
      </w:r>
      <w:r w:rsidRPr="00703A97">
        <w:rPr>
          <w:lang w:val="es-ES_tradnl"/>
        </w:rPr>
        <w:t xml:space="preserve">3 b) ii)) y uso sostenible de la diversidad biológica (producto previsto 3 b) iii) por medio de teleconferencias (165.000 dólares ahorrados); </w:t>
      </w:r>
    </w:p>
    <w:p w14:paraId="69BA7998" w14:textId="2A21218B" w:rsidR="000958F5" w:rsidRPr="00703A97" w:rsidRDefault="0056332E" w:rsidP="004D359B">
      <w:pPr>
        <w:pStyle w:val="Normalnumber"/>
        <w:numPr>
          <w:ilvl w:val="1"/>
          <w:numId w:val="6"/>
        </w:numPr>
        <w:ind w:left="1247" w:firstLine="624"/>
        <w:rPr>
          <w:lang w:val="es-ES_tradnl"/>
        </w:rPr>
      </w:pPr>
      <w:r w:rsidRPr="00703A97">
        <w:rPr>
          <w:lang w:val="es-ES_tradnl"/>
        </w:rPr>
        <w:t>El aplazamiento de la reunión de diálogo sobre catalización de la generación de nuevos conocimientos (producto previsto 1 c)) de 2015 a 2016 (162.500 dólare</w:t>
      </w:r>
      <w:r w:rsidR="002C027F">
        <w:rPr>
          <w:lang w:val="es-ES_tradnl"/>
        </w:rPr>
        <w:t>s que pasaron al presupuesto de </w:t>
      </w:r>
      <w:r w:rsidRPr="00703A97">
        <w:rPr>
          <w:lang w:val="es-ES_tradnl"/>
        </w:rPr>
        <w:t xml:space="preserve">2016); </w:t>
      </w:r>
    </w:p>
    <w:p w14:paraId="31D79BD4" w14:textId="3AA98FAC" w:rsidR="000958F5" w:rsidRPr="00703A97" w:rsidRDefault="000958F5" w:rsidP="004D359B">
      <w:pPr>
        <w:pStyle w:val="Normalnumber"/>
        <w:numPr>
          <w:ilvl w:val="1"/>
          <w:numId w:val="6"/>
        </w:numPr>
        <w:ind w:left="1247" w:firstLine="624"/>
        <w:rPr>
          <w:lang w:val="es-ES_tradnl"/>
        </w:rPr>
      </w:pPr>
      <w:r w:rsidRPr="00703A97">
        <w:rPr>
          <w:lang w:val="es-ES_tradnl"/>
        </w:rPr>
        <w:t xml:space="preserve">Los ahorros en concepto de lugares de celebración de conferencias gracias a la ayuda en especie de países y organizaciones y a la celebración gratuita de reuniones en los predios universitarios de las Naciones Unidas en Bonn (70.000 dólares economizados); </w:t>
      </w:r>
    </w:p>
    <w:p w14:paraId="3781E52A" w14:textId="3CC10E09" w:rsidR="000958F5" w:rsidRPr="00BC4483" w:rsidRDefault="000958F5" w:rsidP="004D359B">
      <w:pPr>
        <w:pStyle w:val="Normalnumber"/>
        <w:numPr>
          <w:ilvl w:val="1"/>
          <w:numId w:val="6"/>
        </w:numPr>
        <w:ind w:left="1247" w:firstLine="624"/>
        <w:rPr>
          <w:lang w:val="es-ES"/>
        </w:rPr>
      </w:pPr>
      <w:r w:rsidRPr="00703A97">
        <w:rPr>
          <w:lang w:val="es-ES_tradnl"/>
        </w:rPr>
        <w:t xml:space="preserve">Gastos de viajes y dietas inferiores a los previstos para las reuniones organizadas en 2015, debido a la participación en algunas reuniones </w:t>
      </w:r>
      <w:r w:rsidR="00BC4483">
        <w:rPr>
          <w:lang w:val="es-ES_tradnl"/>
        </w:rPr>
        <w:t>de</w:t>
      </w:r>
      <w:r w:rsidRPr="00703A97">
        <w:rPr>
          <w:lang w:val="es-ES_tradnl"/>
        </w:rPr>
        <w:t xml:space="preserve"> un número menor de expertos que el previsto; menos expertos que reunieron los requisitos para recibir financiación (se prestó apoyo a menos del 75% de los participantes), menos expertos que asistieron a las reuniones y algunas reuniones que terminaron antes de los cinco días de duración previstos (613.571 dólares ahorrados). </w:t>
      </w:r>
    </w:p>
    <w:p w14:paraId="0D414B3C" w14:textId="23FEA533" w:rsidR="000958F5" w:rsidRPr="00703A97" w:rsidRDefault="00422D04" w:rsidP="004D359B">
      <w:pPr>
        <w:pStyle w:val="Normalnumber"/>
        <w:numPr>
          <w:ilvl w:val="0"/>
          <w:numId w:val="5"/>
        </w:numPr>
        <w:ind w:left="1247" w:firstLine="0"/>
        <w:rPr>
          <w:lang w:val="es-ES_tradnl"/>
        </w:rPr>
      </w:pPr>
      <w:r w:rsidRPr="00703A97">
        <w:rPr>
          <w:lang w:val="es-ES_tradnl"/>
        </w:rPr>
        <w:t xml:space="preserve">Las economías por valor de 686.957 en el personal de la Secretaría obedecieron a demoras en la contratación de personal para ocupar </w:t>
      </w:r>
      <w:r w:rsidR="00703A97" w:rsidRPr="00703A97">
        <w:rPr>
          <w:lang w:val="es-ES_tradnl"/>
        </w:rPr>
        <w:t>nuevos</w:t>
      </w:r>
      <w:r w:rsidRPr="00703A97">
        <w:rPr>
          <w:lang w:val="es-ES_tradnl"/>
        </w:rPr>
        <w:t xml:space="preserve"> cargos y sustituir a funcionarios que cesaron en sus funciones. Durante la mayor parte de 2015 solo estuvieron ocupados cinco de los 11 puestos de la Secretaría presupuestados para ese año. Se lograron economías adicionales como resultado de la inclusión en el crédito total de una suma sustancial para prestaciones de 600.000 dólares</w:t>
      </w:r>
      <w:r w:rsidR="00BC4483">
        <w:rPr>
          <w:lang w:val="es-ES_tradnl"/>
        </w:rPr>
        <w:t>,</w:t>
      </w:r>
      <w:r w:rsidRPr="00703A97">
        <w:rPr>
          <w:lang w:val="es-ES_tradnl"/>
        </w:rPr>
        <w:t xml:space="preserve"> que no se gastaron; </w:t>
      </w:r>
    </w:p>
    <w:p w14:paraId="1CF00182" w14:textId="3A953C26" w:rsidR="000958F5" w:rsidRPr="00703A97" w:rsidRDefault="00816321" w:rsidP="00E4581C">
      <w:pPr>
        <w:pStyle w:val="Normalnumber"/>
        <w:numPr>
          <w:ilvl w:val="0"/>
          <w:numId w:val="5"/>
        </w:numPr>
        <w:ind w:left="1247" w:firstLine="0"/>
        <w:rPr>
          <w:lang w:val="es-ES_tradnl"/>
        </w:rPr>
      </w:pPr>
      <w:r w:rsidRPr="00703A97">
        <w:rPr>
          <w:lang w:val="es-ES_tradnl"/>
        </w:rPr>
        <w:t>Desde el primer año de la Plataforma, su presupuesto ha incluido por error tres reuniones anuales del Grupo Multidisciplinario de Expertos en lugar de dos. Además, el costo de la asistencia de varios miembros del Grupo a la quinta reunión del Grupo se imputó al objetivo 1 d</w:t>
      </w:r>
      <w:r w:rsidR="001E71BD">
        <w:rPr>
          <w:lang w:val="es-ES_tradnl"/>
        </w:rPr>
        <w:t>el programa de trabajo (partida </w:t>
      </w:r>
      <w:r w:rsidRPr="00703A97">
        <w:rPr>
          <w:lang w:val="es-ES_tradnl"/>
        </w:rPr>
        <w:t>2</w:t>
      </w:r>
      <w:r w:rsidR="00BC4483">
        <w:rPr>
          <w:lang w:val="es-ES_tradnl"/>
        </w:rPr>
        <w:t>.</w:t>
      </w:r>
      <w:r w:rsidRPr="00703A97">
        <w:rPr>
          <w:lang w:val="es-ES_tradnl"/>
        </w:rPr>
        <w:t>1) en lugar de a la partida 1</w:t>
      </w:r>
      <w:r w:rsidR="00BC4483">
        <w:rPr>
          <w:lang w:val="es-ES_tradnl"/>
        </w:rPr>
        <w:t>.</w:t>
      </w:r>
      <w:r w:rsidRPr="00703A97">
        <w:rPr>
          <w:lang w:val="es-ES_tradnl"/>
        </w:rPr>
        <w:t>2 del presupuesto, porque la quinta reunión del Grupo se celebró inmediatamente después de la reunión conjunta de los tres equipos de tareas de la Plataforma. De igual modo, el costo de la asistencia de varios miembros del Grupo a la sexta reunión del Grupo se imputó al objetivo 2 del program</w:t>
      </w:r>
      <w:r w:rsidR="00BC4483">
        <w:rPr>
          <w:lang w:val="es-ES_tradnl"/>
        </w:rPr>
        <w:t>a de trabajo (partida 2.</w:t>
      </w:r>
      <w:r w:rsidRPr="00703A97">
        <w:rPr>
          <w:lang w:val="es-ES_tradnl"/>
        </w:rPr>
        <w:t xml:space="preserve">2) en </w:t>
      </w:r>
      <w:r w:rsidR="00BC4483">
        <w:rPr>
          <w:lang w:val="es-ES_tradnl"/>
        </w:rPr>
        <w:t>lugar de a la partida 1.</w:t>
      </w:r>
      <w:r w:rsidRPr="00703A97">
        <w:rPr>
          <w:lang w:val="es-ES_tradnl"/>
        </w:rPr>
        <w:t>2 del presupuesto, porque la sexta reunión del Grupo se celebró inmediatamente después de la reunión de análisis inicial de la evaluación mundial. Estos tres elementos representaron un ahorro de 157.42</w:t>
      </w:r>
      <w:r w:rsidR="001E71BD">
        <w:rPr>
          <w:lang w:val="es-ES_tradnl"/>
        </w:rPr>
        <w:t>2 dólares en la partida 1.2 del </w:t>
      </w:r>
      <w:r w:rsidRPr="00703A97">
        <w:rPr>
          <w:lang w:val="es-ES_tradnl"/>
        </w:rPr>
        <w:t>presupuesto para 2015. Se propone que se corrija ese error haciendo un aj</w:t>
      </w:r>
      <w:r w:rsidR="001E71BD">
        <w:rPr>
          <w:lang w:val="es-ES_tradnl"/>
        </w:rPr>
        <w:t>uste a partir de 2017 (véase la </w:t>
      </w:r>
      <w:r w:rsidRPr="00703A97">
        <w:rPr>
          <w:lang w:val="es-ES_tradnl"/>
        </w:rPr>
        <w:t>sección V A). Además, los gastos de viaje de la Presidencia fueron sufragados por el Gobierno del Reino Unido de Gran Bretaña e Irlanda del Norte, lo que significó un ahorro de 20.000 dólares.</w:t>
      </w:r>
    </w:p>
    <w:p w14:paraId="3E76A15B" w14:textId="3C834454" w:rsidR="000958F5" w:rsidRPr="00703A97" w:rsidRDefault="000958F5" w:rsidP="00E4581C">
      <w:pPr>
        <w:pStyle w:val="CH1"/>
        <w:keepNext w:val="0"/>
        <w:keepLines w:val="0"/>
        <w:rPr>
          <w:lang w:val="es-ES_tradnl"/>
        </w:rPr>
      </w:pPr>
      <w:r w:rsidRPr="00703A97">
        <w:rPr>
          <w:lang w:val="es-ES_tradnl"/>
        </w:rPr>
        <w:tab/>
      </w:r>
      <w:r w:rsidR="00FB57B5">
        <w:rPr>
          <w:bCs/>
          <w:lang w:val="es-ES_tradnl"/>
        </w:rPr>
        <w:t>III</w:t>
      </w:r>
      <w:r w:rsidRPr="00703A97">
        <w:rPr>
          <w:bCs/>
          <w:lang w:val="es-ES_tradnl"/>
        </w:rPr>
        <w:t>.</w:t>
      </w:r>
      <w:r w:rsidRPr="00703A97">
        <w:rPr>
          <w:lang w:val="es-ES_tradnl"/>
        </w:rPr>
        <w:tab/>
      </w:r>
      <w:r w:rsidRPr="00703A97">
        <w:rPr>
          <w:bCs/>
          <w:lang w:val="es-ES_tradnl"/>
        </w:rPr>
        <w:t>Gastos estimados para 2016</w:t>
      </w:r>
      <w:r w:rsidRPr="00703A97">
        <w:rPr>
          <w:lang w:val="es-ES_tradnl"/>
        </w:rPr>
        <w:t xml:space="preserve"> </w:t>
      </w:r>
    </w:p>
    <w:p w14:paraId="681904AF" w14:textId="5B2D10D1" w:rsidR="000958F5" w:rsidRPr="00703A97" w:rsidRDefault="000958F5" w:rsidP="00E4581C">
      <w:pPr>
        <w:pStyle w:val="Normalnumber"/>
        <w:numPr>
          <w:ilvl w:val="0"/>
          <w:numId w:val="5"/>
        </w:numPr>
        <w:tabs>
          <w:tab w:val="num" w:pos="1134"/>
        </w:tabs>
        <w:ind w:left="1247" w:firstLine="0"/>
        <w:rPr>
          <w:lang w:val="es-ES_tradnl"/>
        </w:rPr>
      </w:pPr>
      <w:r w:rsidRPr="00703A97">
        <w:rPr>
          <w:lang w:val="es-ES_tradnl"/>
        </w:rPr>
        <w:t xml:space="preserve">En el cuadro 4 se </w:t>
      </w:r>
      <w:r w:rsidR="00703A97" w:rsidRPr="00703A97">
        <w:rPr>
          <w:lang w:val="es-ES_tradnl"/>
        </w:rPr>
        <w:t>comparan</w:t>
      </w:r>
      <w:r w:rsidRPr="00703A97">
        <w:rPr>
          <w:lang w:val="es-ES_tradnl"/>
        </w:rPr>
        <w:t xml:space="preserve"> los gastos estimados para 2016, al 31 de diciembre de 2016, con el presupuesto para ese año aprobado por el Plenario en su cuarto período de sesiones (decisión IPBES</w:t>
      </w:r>
      <w:r w:rsidR="00356A65">
        <w:rPr>
          <w:lang w:val="es-ES_tradnl"/>
        </w:rPr>
        <w:noBreakHyphen/>
      </w:r>
      <w:r w:rsidRPr="00703A97">
        <w:rPr>
          <w:lang w:val="es-ES_tradnl"/>
        </w:rPr>
        <w:t>4/2).</w:t>
      </w:r>
    </w:p>
    <w:p w14:paraId="1CFB0117" w14:textId="77777777" w:rsidR="000F1CF2" w:rsidRDefault="000958F5" w:rsidP="00E4581C">
      <w:pPr>
        <w:pStyle w:val="Titletable"/>
        <w:keepNext w:val="0"/>
        <w:keepLines w:val="0"/>
        <w:spacing w:before="120" w:after="0"/>
        <w:ind w:left="0"/>
        <w:rPr>
          <w:lang w:val="es-ES_tradnl"/>
        </w:rPr>
      </w:pPr>
      <w:r w:rsidRPr="000F1CF2">
        <w:rPr>
          <w:b w:val="0"/>
          <w:lang w:val="es-ES_tradnl"/>
        </w:rPr>
        <w:t>Cuadro 4</w:t>
      </w:r>
      <w:r w:rsidRPr="00703A97">
        <w:rPr>
          <w:lang w:val="es-ES_tradnl"/>
        </w:rPr>
        <w:t xml:space="preserve"> </w:t>
      </w:r>
    </w:p>
    <w:p w14:paraId="22D5AB9B" w14:textId="6465871A" w:rsidR="000958F5" w:rsidRPr="00703A97" w:rsidRDefault="000958F5" w:rsidP="00E4581C">
      <w:pPr>
        <w:pStyle w:val="Titletable"/>
        <w:keepNext w:val="0"/>
        <w:keepLines w:val="0"/>
        <w:spacing w:after="0"/>
        <w:ind w:left="0"/>
        <w:rPr>
          <w:lang w:val="es-ES_tradnl"/>
        </w:rPr>
      </w:pPr>
      <w:r w:rsidRPr="00703A97">
        <w:rPr>
          <w:lang w:val="es-ES_tradnl"/>
        </w:rPr>
        <w:t>Gastos estimados para 2016</w:t>
      </w:r>
    </w:p>
    <w:p w14:paraId="7A2520B6" w14:textId="317B111A" w:rsidR="000958F5" w:rsidRPr="000F1CF2" w:rsidRDefault="000958F5" w:rsidP="00E4581C">
      <w:pPr>
        <w:pStyle w:val="Titletable"/>
        <w:keepNext w:val="0"/>
        <w:keepLines w:val="0"/>
        <w:ind w:left="0"/>
        <w:rPr>
          <w:b w:val="0"/>
          <w:sz w:val="18"/>
          <w:szCs w:val="18"/>
          <w:lang w:val="es-ES_tradnl"/>
        </w:rPr>
      </w:pPr>
      <w:r w:rsidRPr="000F1CF2">
        <w:rPr>
          <w:b w:val="0"/>
          <w:sz w:val="18"/>
          <w:szCs w:val="18"/>
          <w:lang w:val="es-ES_tradnl"/>
        </w:rPr>
        <w:t>(en dólares de los E</w:t>
      </w:r>
      <w:r w:rsidR="001E71BD">
        <w:rPr>
          <w:b w:val="0"/>
          <w:sz w:val="18"/>
          <w:szCs w:val="18"/>
          <w:lang w:val="es-ES_tradnl"/>
        </w:rPr>
        <w:t>stados Unidos</w:t>
      </w:r>
      <w:r w:rsidRPr="000F1CF2">
        <w:rPr>
          <w:b w:val="0"/>
          <w:sz w:val="18"/>
          <w:szCs w:val="18"/>
          <w:lang w:val="es-ES_tradnl"/>
        </w:rPr>
        <w:t>)</w:t>
      </w:r>
    </w:p>
    <w:tbl>
      <w:tblPr>
        <w:tblW w:w="5003" w:type="pct"/>
        <w:tblLayout w:type="fixed"/>
        <w:tblLook w:val="04A0" w:firstRow="1" w:lastRow="0" w:firstColumn="1" w:lastColumn="0" w:noHBand="0" w:noVBand="1"/>
      </w:tblPr>
      <w:tblGrid>
        <w:gridCol w:w="6203"/>
        <w:gridCol w:w="1277"/>
        <w:gridCol w:w="1275"/>
        <w:gridCol w:w="1297"/>
      </w:tblGrid>
      <w:tr w:rsidR="003D0BC9" w:rsidRPr="00E4581C" w14:paraId="09325618" w14:textId="77777777" w:rsidTr="002C027F">
        <w:trPr>
          <w:trHeight w:val="530"/>
          <w:tblHeader/>
        </w:trPr>
        <w:tc>
          <w:tcPr>
            <w:tcW w:w="3086" w:type="pct"/>
            <w:tcBorders>
              <w:top w:val="single" w:sz="4" w:space="0" w:color="auto"/>
              <w:bottom w:val="single" w:sz="12" w:space="0" w:color="auto"/>
            </w:tcBorders>
            <w:shd w:val="clear" w:color="auto" w:fill="auto"/>
            <w:vAlign w:val="bottom"/>
            <w:hideMark/>
          </w:tcPr>
          <w:p w14:paraId="7D64EA4A" w14:textId="70414992" w:rsidR="000958F5" w:rsidRPr="00E4581C" w:rsidRDefault="000958F5" w:rsidP="00E4581C">
            <w:pPr>
              <w:spacing w:before="40" w:after="40" w:line="240" w:lineRule="auto"/>
              <w:rPr>
                <w:rFonts w:ascii="Times New Roman" w:eastAsia="Times New Roman" w:hAnsi="Times New Roman"/>
                <w:bCs/>
                <w:i/>
                <w:iCs/>
                <w:sz w:val="18"/>
                <w:szCs w:val="18"/>
                <w:lang w:val="es-ES_tradnl"/>
              </w:rPr>
            </w:pPr>
            <w:r w:rsidRPr="00E4581C">
              <w:rPr>
                <w:rFonts w:ascii="Times New Roman" w:hAnsi="Times New Roman"/>
                <w:i/>
                <w:iCs/>
                <w:sz w:val="18"/>
                <w:szCs w:val="18"/>
                <w:lang w:val="es-ES_tradnl"/>
              </w:rPr>
              <w:t>Partidas presupuestarias</w:t>
            </w:r>
          </w:p>
        </w:tc>
        <w:tc>
          <w:tcPr>
            <w:tcW w:w="635" w:type="pct"/>
            <w:tcBorders>
              <w:top w:val="single" w:sz="4" w:space="0" w:color="auto"/>
              <w:bottom w:val="single" w:sz="12" w:space="0" w:color="auto"/>
            </w:tcBorders>
            <w:shd w:val="clear" w:color="auto" w:fill="auto"/>
            <w:vAlign w:val="bottom"/>
            <w:hideMark/>
          </w:tcPr>
          <w:p w14:paraId="237D029C" w14:textId="136A06D9" w:rsidR="000958F5" w:rsidRPr="00E4581C" w:rsidRDefault="000958F5" w:rsidP="00E4581C">
            <w:pPr>
              <w:spacing w:before="40" w:after="40" w:line="240" w:lineRule="auto"/>
              <w:jc w:val="right"/>
              <w:rPr>
                <w:rFonts w:ascii="Times New Roman" w:eastAsia="Times New Roman" w:hAnsi="Times New Roman"/>
                <w:bCs/>
                <w:i/>
                <w:iCs/>
                <w:sz w:val="18"/>
                <w:szCs w:val="18"/>
                <w:lang w:val="es-ES_tradnl"/>
              </w:rPr>
            </w:pPr>
            <w:r w:rsidRPr="00E4581C">
              <w:rPr>
                <w:rFonts w:ascii="Times New Roman" w:hAnsi="Times New Roman"/>
                <w:i/>
                <w:iCs/>
                <w:sz w:val="18"/>
                <w:szCs w:val="18"/>
                <w:lang w:val="es-ES_tradnl"/>
              </w:rPr>
              <w:t>Presupuesto aprobado para 2016</w:t>
            </w:r>
          </w:p>
        </w:tc>
        <w:tc>
          <w:tcPr>
            <w:tcW w:w="634" w:type="pct"/>
            <w:tcBorders>
              <w:top w:val="single" w:sz="4" w:space="0" w:color="auto"/>
              <w:bottom w:val="single" w:sz="12" w:space="0" w:color="auto"/>
            </w:tcBorders>
            <w:shd w:val="clear" w:color="auto" w:fill="auto"/>
            <w:vAlign w:val="bottom"/>
            <w:hideMark/>
          </w:tcPr>
          <w:p w14:paraId="0DD9D98A" w14:textId="3D7243E9" w:rsidR="000958F5" w:rsidRPr="00E4581C" w:rsidRDefault="000958F5" w:rsidP="00E4581C">
            <w:pPr>
              <w:spacing w:before="40" w:after="40" w:line="240" w:lineRule="auto"/>
              <w:jc w:val="right"/>
              <w:rPr>
                <w:rFonts w:ascii="Times New Roman" w:eastAsia="Times New Roman" w:hAnsi="Times New Roman"/>
                <w:bCs/>
                <w:i/>
                <w:iCs/>
                <w:sz w:val="18"/>
                <w:szCs w:val="18"/>
                <w:lang w:val="es-ES_tradnl"/>
              </w:rPr>
            </w:pPr>
            <w:r w:rsidRPr="00E4581C">
              <w:rPr>
                <w:rFonts w:ascii="Times New Roman" w:hAnsi="Times New Roman"/>
                <w:i/>
                <w:iCs/>
                <w:sz w:val="18"/>
                <w:szCs w:val="18"/>
                <w:lang w:val="es-ES_tradnl"/>
              </w:rPr>
              <w:t xml:space="preserve">Gastos estimados </w:t>
            </w:r>
            <w:r w:rsidR="00024D90" w:rsidRPr="00E4581C">
              <w:rPr>
                <w:rFonts w:ascii="Times New Roman" w:hAnsi="Times New Roman"/>
                <w:i/>
                <w:iCs/>
                <w:sz w:val="18"/>
                <w:szCs w:val="18"/>
                <w:lang w:val="es-ES_tradnl"/>
              </w:rPr>
              <w:br/>
            </w:r>
            <w:r w:rsidRPr="00E4581C">
              <w:rPr>
                <w:rFonts w:ascii="Times New Roman" w:hAnsi="Times New Roman"/>
                <w:i/>
                <w:iCs/>
                <w:sz w:val="18"/>
                <w:szCs w:val="18"/>
                <w:lang w:val="es-ES_tradnl"/>
              </w:rPr>
              <w:t>para 2016</w:t>
            </w:r>
          </w:p>
        </w:tc>
        <w:tc>
          <w:tcPr>
            <w:tcW w:w="645" w:type="pct"/>
            <w:tcBorders>
              <w:top w:val="single" w:sz="4" w:space="0" w:color="auto"/>
              <w:bottom w:val="single" w:sz="12" w:space="0" w:color="auto"/>
            </w:tcBorders>
            <w:shd w:val="clear" w:color="auto" w:fill="auto"/>
            <w:vAlign w:val="bottom"/>
            <w:hideMark/>
          </w:tcPr>
          <w:p w14:paraId="797B45D1" w14:textId="63A40A53" w:rsidR="000958F5" w:rsidRPr="00E4581C" w:rsidRDefault="000958F5" w:rsidP="00E4581C">
            <w:pPr>
              <w:spacing w:before="40" w:after="40" w:line="240" w:lineRule="auto"/>
              <w:jc w:val="right"/>
              <w:rPr>
                <w:rFonts w:ascii="Times New Roman" w:eastAsia="Times New Roman" w:hAnsi="Times New Roman"/>
                <w:bCs/>
                <w:i/>
                <w:iCs/>
                <w:color w:val="000000"/>
                <w:sz w:val="18"/>
                <w:szCs w:val="18"/>
                <w:lang w:val="es-ES_tradnl"/>
              </w:rPr>
            </w:pPr>
            <w:r w:rsidRPr="00E4581C">
              <w:rPr>
                <w:rFonts w:ascii="Times New Roman" w:hAnsi="Times New Roman"/>
                <w:i/>
                <w:iCs/>
                <w:sz w:val="18"/>
                <w:szCs w:val="18"/>
                <w:lang w:val="es-ES_tradnl"/>
              </w:rPr>
              <w:t>Saldo</w:t>
            </w:r>
            <w:r w:rsidR="00024D90" w:rsidRPr="00E4581C">
              <w:rPr>
                <w:rFonts w:ascii="Times New Roman" w:hAnsi="Times New Roman"/>
                <w:i/>
                <w:iCs/>
                <w:sz w:val="18"/>
                <w:szCs w:val="18"/>
                <w:lang w:val="es-ES_tradnl"/>
              </w:rPr>
              <w:br/>
            </w:r>
            <w:r w:rsidRPr="00E4581C">
              <w:rPr>
                <w:rFonts w:ascii="Times New Roman" w:hAnsi="Times New Roman"/>
                <w:i/>
                <w:iCs/>
                <w:sz w:val="18"/>
                <w:szCs w:val="18"/>
                <w:lang w:val="es-ES_tradnl"/>
              </w:rPr>
              <w:t xml:space="preserve"> estimado</w:t>
            </w:r>
          </w:p>
        </w:tc>
      </w:tr>
      <w:tr w:rsidR="003D0BC9" w:rsidRPr="000930FA" w14:paraId="745B5433" w14:textId="77777777" w:rsidTr="002C027F">
        <w:trPr>
          <w:trHeight w:val="215"/>
        </w:trPr>
        <w:tc>
          <w:tcPr>
            <w:tcW w:w="3086" w:type="pct"/>
            <w:tcBorders>
              <w:top w:val="single" w:sz="12" w:space="0" w:color="auto"/>
            </w:tcBorders>
            <w:shd w:val="clear" w:color="auto" w:fill="auto"/>
            <w:noWrap/>
            <w:vAlign w:val="bottom"/>
            <w:hideMark/>
          </w:tcPr>
          <w:p w14:paraId="6B1D913C" w14:textId="530CFD2C" w:rsidR="000958F5" w:rsidRPr="00E4581C" w:rsidRDefault="000958F5" w:rsidP="00E4581C">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1.</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Reuniones de los órganos de la Plataforma</w:t>
            </w:r>
          </w:p>
        </w:tc>
        <w:tc>
          <w:tcPr>
            <w:tcW w:w="635" w:type="pct"/>
            <w:tcBorders>
              <w:top w:val="single" w:sz="12" w:space="0" w:color="auto"/>
            </w:tcBorders>
            <w:shd w:val="clear" w:color="auto" w:fill="auto"/>
            <w:noWrap/>
            <w:vAlign w:val="bottom"/>
            <w:hideMark/>
          </w:tcPr>
          <w:p w14:paraId="6859A5AD" w14:textId="77777777" w:rsidR="000958F5" w:rsidRPr="00E4581C" w:rsidRDefault="000958F5" w:rsidP="00E4581C">
            <w:pPr>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u w:val="single"/>
                <w:lang w:val="es-ES_tradnl"/>
              </w:rPr>
            </w:pPr>
          </w:p>
        </w:tc>
        <w:tc>
          <w:tcPr>
            <w:tcW w:w="634" w:type="pct"/>
            <w:tcBorders>
              <w:top w:val="single" w:sz="12" w:space="0" w:color="auto"/>
            </w:tcBorders>
            <w:shd w:val="clear" w:color="auto" w:fill="auto"/>
            <w:noWrap/>
            <w:vAlign w:val="bottom"/>
            <w:hideMark/>
          </w:tcPr>
          <w:p w14:paraId="5235D9DA" w14:textId="0FD6CE17" w:rsidR="000958F5" w:rsidRPr="00E4581C" w:rsidRDefault="000958F5" w:rsidP="00E4581C">
            <w:pPr>
              <w:spacing w:before="40" w:after="40" w:line="240" w:lineRule="auto"/>
              <w:jc w:val="right"/>
              <w:rPr>
                <w:rFonts w:ascii="Times New Roman" w:hAnsi="Times New Roman"/>
                <w:sz w:val="18"/>
                <w:szCs w:val="18"/>
                <w:lang w:val="es-ES_tradnl"/>
              </w:rPr>
            </w:pPr>
          </w:p>
        </w:tc>
        <w:tc>
          <w:tcPr>
            <w:tcW w:w="645" w:type="pct"/>
            <w:tcBorders>
              <w:top w:val="single" w:sz="12" w:space="0" w:color="auto"/>
            </w:tcBorders>
            <w:shd w:val="clear" w:color="auto" w:fill="auto"/>
            <w:noWrap/>
            <w:vAlign w:val="bottom"/>
            <w:hideMark/>
          </w:tcPr>
          <w:p w14:paraId="76F371A2" w14:textId="658D84D6" w:rsidR="000958F5" w:rsidRPr="00E4581C" w:rsidRDefault="000D3AC4" w:rsidP="00E4581C">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r>
      <w:tr w:rsidR="003D0BC9" w:rsidRPr="000930FA" w14:paraId="01F5DFF2" w14:textId="77777777" w:rsidTr="002C027F">
        <w:trPr>
          <w:trHeight w:val="215"/>
        </w:trPr>
        <w:tc>
          <w:tcPr>
            <w:tcW w:w="3086" w:type="pct"/>
            <w:shd w:val="clear" w:color="auto" w:fill="auto"/>
            <w:noWrap/>
            <w:vAlign w:val="bottom"/>
            <w:hideMark/>
          </w:tcPr>
          <w:p w14:paraId="4712F24A" w14:textId="156157FB" w:rsidR="000958F5" w:rsidRPr="00E4581C" w:rsidRDefault="000958F5" w:rsidP="00E4581C">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1.1 Período de sesiones anual del Plenario</w:t>
            </w:r>
          </w:p>
        </w:tc>
        <w:tc>
          <w:tcPr>
            <w:tcW w:w="635" w:type="pct"/>
            <w:shd w:val="clear" w:color="auto" w:fill="auto"/>
            <w:noWrap/>
            <w:vAlign w:val="bottom"/>
            <w:hideMark/>
          </w:tcPr>
          <w:p w14:paraId="3CE5E909" w14:textId="3EAD020D" w:rsidR="000958F5" w:rsidRPr="00E4581C" w:rsidRDefault="000958F5" w:rsidP="00E4581C">
            <w:pPr>
              <w:spacing w:before="40" w:after="40" w:line="240" w:lineRule="auto"/>
              <w:jc w:val="right"/>
              <w:rPr>
                <w:rFonts w:ascii="Times New Roman" w:hAnsi="Times New Roman"/>
                <w:sz w:val="18"/>
                <w:szCs w:val="18"/>
                <w:lang w:val="es-ES_tradnl"/>
              </w:rPr>
            </w:pPr>
          </w:p>
        </w:tc>
        <w:tc>
          <w:tcPr>
            <w:tcW w:w="634" w:type="pct"/>
            <w:shd w:val="clear" w:color="auto" w:fill="auto"/>
            <w:noWrap/>
            <w:vAlign w:val="bottom"/>
            <w:hideMark/>
          </w:tcPr>
          <w:p w14:paraId="5B29C42D" w14:textId="45381E72" w:rsidR="000958F5" w:rsidRPr="00E4581C" w:rsidRDefault="000958F5" w:rsidP="00E4581C">
            <w:pPr>
              <w:spacing w:before="40" w:after="40" w:line="240" w:lineRule="auto"/>
              <w:jc w:val="right"/>
              <w:rPr>
                <w:rFonts w:ascii="Times New Roman" w:hAnsi="Times New Roman"/>
                <w:sz w:val="18"/>
                <w:szCs w:val="18"/>
                <w:lang w:val="es-ES_tradnl"/>
              </w:rPr>
            </w:pPr>
          </w:p>
        </w:tc>
        <w:tc>
          <w:tcPr>
            <w:tcW w:w="645" w:type="pct"/>
            <w:shd w:val="clear" w:color="auto" w:fill="auto"/>
            <w:noWrap/>
            <w:vAlign w:val="bottom"/>
            <w:hideMark/>
          </w:tcPr>
          <w:p w14:paraId="6C57DE3E" w14:textId="23C4E8D8" w:rsidR="000958F5" w:rsidRPr="00E4581C" w:rsidRDefault="000D3AC4" w:rsidP="00E4581C">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r>
      <w:tr w:rsidR="003D0BC9" w:rsidRPr="00E4581C" w14:paraId="0ED7B1F7" w14:textId="77777777" w:rsidTr="002C027F">
        <w:trPr>
          <w:trHeight w:val="215"/>
        </w:trPr>
        <w:tc>
          <w:tcPr>
            <w:tcW w:w="3086" w:type="pct"/>
            <w:shd w:val="clear" w:color="auto" w:fill="auto"/>
            <w:noWrap/>
            <w:vAlign w:val="bottom"/>
            <w:hideMark/>
          </w:tcPr>
          <w:p w14:paraId="509CFE49" w14:textId="061A1D5A" w:rsidR="000958F5" w:rsidRPr="00E4581C" w:rsidRDefault="000958F5" w:rsidP="00E4581C">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Gastos de viaje de los participantes en el cuarto período de sesiones del Plenario (viajes y dietas) </w:t>
            </w:r>
          </w:p>
        </w:tc>
        <w:tc>
          <w:tcPr>
            <w:tcW w:w="635" w:type="pct"/>
            <w:shd w:val="clear" w:color="auto" w:fill="auto"/>
            <w:noWrap/>
            <w:vAlign w:val="bottom"/>
            <w:hideMark/>
          </w:tcPr>
          <w:p w14:paraId="31D41947" w14:textId="793006C3" w:rsidR="000958F5" w:rsidRPr="00E4581C" w:rsidRDefault="000958F5" w:rsidP="00E4581C">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500 000 </w:t>
            </w:r>
          </w:p>
        </w:tc>
        <w:tc>
          <w:tcPr>
            <w:tcW w:w="634" w:type="pct"/>
            <w:shd w:val="clear" w:color="auto" w:fill="auto"/>
            <w:noWrap/>
            <w:vAlign w:val="bottom"/>
            <w:hideMark/>
          </w:tcPr>
          <w:p w14:paraId="30DA92B5" w14:textId="1411DC49" w:rsidR="000958F5" w:rsidRPr="00E4581C" w:rsidRDefault="000958F5" w:rsidP="00E4581C">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410 045 </w:t>
            </w:r>
          </w:p>
        </w:tc>
        <w:tc>
          <w:tcPr>
            <w:tcW w:w="645" w:type="pct"/>
            <w:shd w:val="clear" w:color="auto" w:fill="auto"/>
            <w:noWrap/>
            <w:vAlign w:val="bottom"/>
            <w:hideMark/>
          </w:tcPr>
          <w:p w14:paraId="4C3B0265" w14:textId="122DA402" w:rsidR="000958F5" w:rsidRPr="00E4581C" w:rsidRDefault="000958F5" w:rsidP="00E4581C">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89 955 </w:t>
            </w:r>
          </w:p>
        </w:tc>
      </w:tr>
      <w:tr w:rsidR="003D0BC9" w:rsidRPr="00E4581C" w14:paraId="5D2DDF9E" w14:textId="77777777" w:rsidTr="002C027F">
        <w:trPr>
          <w:trHeight w:val="215"/>
        </w:trPr>
        <w:tc>
          <w:tcPr>
            <w:tcW w:w="3086" w:type="pct"/>
            <w:shd w:val="clear" w:color="auto" w:fill="auto"/>
            <w:noWrap/>
            <w:vAlign w:val="bottom"/>
            <w:hideMark/>
          </w:tcPr>
          <w:p w14:paraId="03D2F8F9" w14:textId="14660D04" w:rsidR="000958F5" w:rsidRPr="00E4581C" w:rsidRDefault="000958F5" w:rsidP="00E4581C">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 xml:space="preserve">Servicios de conferencias (traducción, edición e interpretación) </w:t>
            </w:r>
          </w:p>
        </w:tc>
        <w:tc>
          <w:tcPr>
            <w:tcW w:w="635" w:type="pct"/>
            <w:shd w:val="clear" w:color="auto" w:fill="auto"/>
            <w:noWrap/>
            <w:vAlign w:val="bottom"/>
            <w:hideMark/>
          </w:tcPr>
          <w:p w14:paraId="4FA60A53" w14:textId="1BB9D83C" w:rsidR="000958F5" w:rsidRPr="00E4581C" w:rsidRDefault="000958F5" w:rsidP="00E4581C">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765 000 </w:t>
            </w:r>
          </w:p>
        </w:tc>
        <w:tc>
          <w:tcPr>
            <w:tcW w:w="634" w:type="pct"/>
            <w:shd w:val="clear" w:color="auto" w:fill="auto"/>
            <w:noWrap/>
            <w:vAlign w:val="bottom"/>
            <w:hideMark/>
          </w:tcPr>
          <w:p w14:paraId="2FE6EFE4" w14:textId="6FDF8F09" w:rsidR="000958F5" w:rsidRPr="00E4581C" w:rsidRDefault="000958F5" w:rsidP="00E4581C">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770 912 </w:t>
            </w:r>
          </w:p>
        </w:tc>
        <w:tc>
          <w:tcPr>
            <w:tcW w:w="645" w:type="pct"/>
            <w:shd w:val="clear" w:color="auto" w:fill="auto"/>
            <w:noWrap/>
            <w:vAlign w:val="bottom"/>
            <w:hideMark/>
          </w:tcPr>
          <w:p w14:paraId="498DBA38" w14:textId="509EF411" w:rsidR="003D0BC9" w:rsidRPr="00E4581C" w:rsidRDefault="000958F5" w:rsidP="00E4581C">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sz w:val="18"/>
                <w:szCs w:val="18"/>
                <w:lang w:val="es-ES_tradnl"/>
              </w:rPr>
              <w:t>-5 912</w:t>
            </w:r>
          </w:p>
        </w:tc>
      </w:tr>
      <w:tr w:rsidR="003D0BC9" w:rsidRPr="00E4581C" w14:paraId="76E40B3D" w14:textId="77777777" w:rsidTr="002C027F">
        <w:trPr>
          <w:trHeight w:val="215"/>
        </w:trPr>
        <w:tc>
          <w:tcPr>
            <w:tcW w:w="3086" w:type="pct"/>
            <w:shd w:val="clear" w:color="auto" w:fill="auto"/>
            <w:noWrap/>
            <w:vAlign w:val="bottom"/>
            <w:hideMark/>
          </w:tcPr>
          <w:p w14:paraId="43E8921B" w14:textId="7C7E53F1"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Servicios de presentación de informes del Plenario</w:t>
            </w:r>
          </w:p>
        </w:tc>
        <w:tc>
          <w:tcPr>
            <w:tcW w:w="635" w:type="pct"/>
            <w:shd w:val="clear" w:color="auto" w:fill="auto"/>
            <w:noWrap/>
            <w:vAlign w:val="bottom"/>
            <w:hideMark/>
          </w:tcPr>
          <w:p w14:paraId="4C39EA41" w14:textId="09E7D569"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65 000 </w:t>
            </w:r>
          </w:p>
        </w:tc>
        <w:tc>
          <w:tcPr>
            <w:tcW w:w="634" w:type="pct"/>
            <w:shd w:val="clear" w:color="auto" w:fill="auto"/>
            <w:noWrap/>
            <w:vAlign w:val="bottom"/>
            <w:hideMark/>
          </w:tcPr>
          <w:p w14:paraId="64DC8E49" w14:textId="0BC1B68B"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59 998 </w:t>
            </w:r>
          </w:p>
        </w:tc>
        <w:tc>
          <w:tcPr>
            <w:tcW w:w="645" w:type="pct"/>
            <w:shd w:val="clear" w:color="auto" w:fill="auto"/>
            <w:noWrap/>
            <w:vAlign w:val="bottom"/>
            <w:hideMark/>
          </w:tcPr>
          <w:p w14:paraId="7C4B7C14" w14:textId="7A24F2E4"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5 002</w:t>
            </w:r>
          </w:p>
        </w:tc>
      </w:tr>
      <w:tr w:rsidR="003D0BC9" w:rsidRPr="00E4581C" w14:paraId="54903A95" w14:textId="77777777" w:rsidTr="002C027F">
        <w:trPr>
          <w:trHeight w:val="215"/>
        </w:trPr>
        <w:tc>
          <w:tcPr>
            <w:tcW w:w="3086" w:type="pct"/>
            <w:tcBorders>
              <w:bottom w:val="single" w:sz="4" w:space="0" w:color="auto"/>
            </w:tcBorders>
            <w:shd w:val="clear" w:color="auto" w:fill="auto"/>
            <w:noWrap/>
            <w:vAlign w:val="bottom"/>
            <w:hideMark/>
          </w:tcPr>
          <w:p w14:paraId="25902CA8" w14:textId="78ACDA1E" w:rsidR="000958F5" w:rsidRPr="00E4581C" w:rsidRDefault="000958F5" w:rsidP="000D3AC4">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lastRenderedPageBreak/>
              <w:t>Seguridad para el Plenario</w:t>
            </w:r>
            <w:r w:rsidRPr="00E4581C">
              <w:rPr>
                <w:rFonts w:ascii="Times New Roman" w:hAnsi="Times New Roman"/>
                <w:sz w:val="18"/>
                <w:szCs w:val="18"/>
                <w:vertAlign w:val="superscript"/>
                <w:lang w:val="es-ES_tradnl"/>
              </w:rPr>
              <w:t>a</w:t>
            </w:r>
          </w:p>
        </w:tc>
        <w:tc>
          <w:tcPr>
            <w:tcW w:w="635" w:type="pct"/>
            <w:tcBorders>
              <w:bottom w:val="single" w:sz="4" w:space="0" w:color="auto"/>
            </w:tcBorders>
            <w:shd w:val="clear" w:color="auto" w:fill="auto"/>
            <w:noWrap/>
            <w:vAlign w:val="bottom"/>
            <w:hideMark/>
          </w:tcPr>
          <w:p w14:paraId="270DE87F" w14:textId="7C21C131"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100 000 </w:t>
            </w:r>
          </w:p>
        </w:tc>
        <w:tc>
          <w:tcPr>
            <w:tcW w:w="634" w:type="pct"/>
            <w:tcBorders>
              <w:bottom w:val="single" w:sz="4" w:space="0" w:color="auto"/>
            </w:tcBorders>
            <w:shd w:val="clear" w:color="auto" w:fill="auto"/>
            <w:noWrap/>
            <w:vAlign w:val="bottom"/>
            <w:hideMark/>
          </w:tcPr>
          <w:p w14:paraId="5B9D2434" w14:textId="51ED5C44" w:rsidR="000958F5" w:rsidRPr="00E4581C" w:rsidRDefault="006D1ED0"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w:t>
            </w:r>
          </w:p>
        </w:tc>
        <w:tc>
          <w:tcPr>
            <w:tcW w:w="645" w:type="pct"/>
            <w:tcBorders>
              <w:bottom w:val="single" w:sz="4" w:space="0" w:color="auto"/>
            </w:tcBorders>
            <w:shd w:val="clear" w:color="auto" w:fill="auto"/>
            <w:noWrap/>
            <w:vAlign w:val="bottom"/>
            <w:hideMark/>
          </w:tcPr>
          <w:p w14:paraId="3682D773" w14:textId="58FCC7D5"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100 000</w:t>
            </w:r>
          </w:p>
        </w:tc>
      </w:tr>
      <w:tr w:rsidR="003D0BC9" w:rsidRPr="00E4581C" w14:paraId="5111C1D5" w14:textId="77777777" w:rsidTr="002C027F">
        <w:trPr>
          <w:trHeight w:val="253"/>
        </w:trPr>
        <w:tc>
          <w:tcPr>
            <w:tcW w:w="3086" w:type="pct"/>
            <w:tcBorders>
              <w:top w:val="single" w:sz="4" w:space="0" w:color="auto"/>
              <w:bottom w:val="single" w:sz="4" w:space="0" w:color="auto"/>
            </w:tcBorders>
            <w:shd w:val="clear" w:color="auto" w:fill="auto"/>
            <w:vAlign w:val="bottom"/>
            <w:hideMark/>
          </w:tcPr>
          <w:p w14:paraId="3C243DDF" w14:textId="1059EBB1"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1.1 Períodos de sesiones del Plenario</w:t>
            </w:r>
          </w:p>
        </w:tc>
        <w:tc>
          <w:tcPr>
            <w:tcW w:w="635" w:type="pct"/>
            <w:tcBorders>
              <w:top w:val="single" w:sz="4" w:space="0" w:color="auto"/>
              <w:bottom w:val="single" w:sz="4" w:space="0" w:color="auto"/>
            </w:tcBorders>
            <w:shd w:val="clear" w:color="auto" w:fill="auto"/>
            <w:noWrap/>
            <w:vAlign w:val="bottom"/>
            <w:hideMark/>
          </w:tcPr>
          <w:p w14:paraId="55666263" w14:textId="1181E865"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1 430 000 </w:t>
            </w:r>
          </w:p>
        </w:tc>
        <w:tc>
          <w:tcPr>
            <w:tcW w:w="634" w:type="pct"/>
            <w:tcBorders>
              <w:top w:val="single" w:sz="4" w:space="0" w:color="auto"/>
              <w:bottom w:val="single" w:sz="4" w:space="0" w:color="auto"/>
            </w:tcBorders>
            <w:shd w:val="clear" w:color="auto" w:fill="auto"/>
            <w:noWrap/>
            <w:vAlign w:val="bottom"/>
            <w:hideMark/>
          </w:tcPr>
          <w:p w14:paraId="53D949A7" w14:textId="3C7CB661"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1 240 955 </w:t>
            </w:r>
          </w:p>
        </w:tc>
        <w:tc>
          <w:tcPr>
            <w:tcW w:w="645" w:type="pct"/>
            <w:tcBorders>
              <w:top w:val="single" w:sz="4" w:space="0" w:color="auto"/>
              <w:bottom w:val="single" w:sz="4" w:space="0" w:color="auto"/>
            </w:tcBorders>
            <w:shd w:val="clear" w:color="auto" w:fill="auto"/>
            <w:noWrap/>
            <w:vAlign w:val="bottom"/>
            <w:hideMark/>
          </w:tcPr>
          <w:p w14:paraId="51EB75C4" w14:textId="4E366429"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189 045 </w:t>
            </w:r>
          </w:p>
        </w:tc>
      </w:tr>
      <w:tr w:rsidR="003D0BC9" w:rsidRPr="000930FA" w14:paraId="7FEC4D42" w14:textId="77777777" w:rsidTr="002C027F">
        <w:trPr>
          <w:trHeight w:val="215"/>
        </w:trPr>
        <w:tc>
          <w:tcPr>
            <w:tcW w:w="3086" w:type="pct"/>
            <w:tcBorders>
              <w:top w:val="single" w:sz="4" w:space="0" w:color="auto"/>
            </w:tcBorders>
            <w:shd w:val="clear" w:color="auto" w:fill="auto"/>
            <w:noWrap/>
            <w:vAlign w:val="bottom"/>
            <w:hideMark/>
          </w:tcPr>
          <w:p w14:paraId="69DF1354" w14:textId="6A0B2684"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1.2 Reuniones de la Mesa y el Grupo Multidisciplinario de Expertos</w:t>
            </w:r>
          </w:p>
        </w:tc>
        <w:tc>
          <w:tcPr>
            <w:tcW w:w="635" w:type="pct"/>
            <w:tcBorders>
              <w:top w:val="single" w:sz="4" w:space="0" w:color="auto"/>
            </w:tcBorders>
            <w:shd w:val="clear" w:color="auto" w:fill="auto"/>
            <w:noWrap/>
            <w:vAlign w:val="bottom"/>
            <w:hideMark/>
          </w:tcPr>
          <w:p w14:paraId="2DF55F13" w14:textId="1CA5BA42" w:rsidR="000958F5" w:rsidRPr="00E4581C" w:rsidRDefault="000958F5" w:rsidP="000D3AC4">
            <w:pPr>
              <w:spacing w:before="40" w:after="40" w:line="240" w:lineRule="auto"/>
              <w:jc w:val="right"/>
              <w:rPr>
                <w:rFonts w:ascii="Times New Roman" w:hAnsi="Times New Roman"/>
                <w:sz w:val="18"/>
                <w:szCs w:val="18"/>
                <w:lang w:val="es-ES_tradnl"/>
              </w:rPr>
            </w:pPr>
          </w:p>
        </w:tc>
        <w:tc>
          <w:tcPr>
            <w:tcW w:w="634" w:type="pct"/>
            <w:tcBorders>
              <w:top w:val="single" w:sz="4" w:space="0" w:color="auto"/>
            </w:tcBorders>
            <w:shd w:val="clear" w:color="auto" w:fill="auto"/>
            <w:noWrap/>
            <w:vAlign w:val="bottom"/>
            <w:hideMark/>
          </w:tcPr>
          <w:p w14:paraId="394D2269" w14:textId="1CE74973" w:rsidR="000958F5" w:rsidRPr="00E4581C" w:rsidRDefault="000958F5" w:rsidP="000D3AC4">
            <w:pPr>
              <w:spacing w:before="40" w:after="40" w:line="240" w:lineRule="auto"/>
              <w:jc w:val="right"/>
              <w:rPr>
                <w:rFonts w:ascii="Times New Roman" w:hAnsi="Times New Roman"/>
                <w:sz w:val="18"/>
                <w:szCs w:val="18"/>
                <w:lang w:val="es-ES_tradnl"/>
              </w:rPr>
            </w:pPr>
          </w:p>
        </w:tc>
        <w:tc>
          <w:tcPr>
            <w:tcW w:w="645" w:type="pct"/>
            <w:tcBorders>
              <w:top w:val="single" w:sz="4" w:space="0" w:color="auto"/>
            </w:tcBorders>
            <w:shd w:val="clear" w:color="auto" w:fill="auto"/>
            <w:noWrap/>
            <w:vAlign w:val="bottom"/>
            <w:hideMark/>
          </w:tcPr>
          <w:p w14:paraId="5F2DED0F" w14:textId="6FF98196" w:rsidR="000958F5" w:rsidRPr="00E4581C" w:rsidRDefault="000958F5" w:rsidP="000D3AC4">
            <w:pPr>
              <w:spacing w:before="40" w:after="40" w:line="240" w:lineRule="auto"/>
              <w:jc w:val="right"/>
              <w:rPr>
                <w:rFonts w:ascii="Times New Roman" w:hAnsi="Times New Roman"/>
                <w:sz w:val="18"/>
                <w:szCs w:val="18"/>
                <w:lang w:val="es-ES_tradnl"/>
              </w:rPr>
            </w:pPr>
          </w:p>
        </w:tc>
      </w:tr>
      <w:tr w:rsidR="003D0BC9" w:rsidRPr="00E4581C" w14:paraId="0EA79251" w14:textId="77777777" w:rsidTr="002C027F">
        <w:trPr>
          <w:trHeight w:val="215"/>
        </w:trPr>
        <w:tc>
          <w:tcPr>
            <w:tcW w:w="3086" w:type="pct"/>
            <w:shd w:val="clear" w:color="auto" w:fill="auto"/>
            <w:vAlign w:val="bottom"/>
            <w:hideMark/>
          </w:tcPr>
          <w:p w14:paraId="275CE400" w14:textId="212EA597"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Gastos de viaje y reuniones de participantes en dos reuniones de la Mesa</w:t>
            </w:r>
          </w:p>
        </w:tc>
        <w:tc>
          <w:tcPr>
            <w:tcW w:w="635" w:type="pct"/>
            <w:shd w:val="clear" w:color="auto" w:fill="auto"/>
            <w:noWrap/>
            <w:vAlign w:val="bottom"/>
            <w:hideMark/>
          </w:tcPr>
          <w:p w14:paraId="31A393C4" w14:textId="52914425"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70 900 </w:t>
            </w:r>
          </w:p>
        </w:tc>
        <w:tc>
          <w:tcPr>
            <w:tcW w:w="634" w:type="pct"/>
            <w:shd w:val="clear" w:color="auto" w:fill="auto"/>
            <w:noWrap/>
            <w:vAlign w:val="bottom"/>
            <w:hideMark/>
          </w:tcPr>
          <w:p w14:paraId="6B688FC8" w14:textId="34613D4F"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66 083 </w:t>
            </w:r>
          </w:p>
        </w:tc>
        <w:tc>
          <w:tcPr>
            <w:tcW w:w="645" w:type="pct"/>
            <w:shd w:val="clear" w:color="auto" w:fill="auto"/>
            <w:noWrap/>
            <w:vAlign w:val="bottom"/>
            <w:hideMark/>
          </w:tcPr>
          <w:p w14:paraId="2560D3BC" w14:textId="3CED5DDC"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4 817 </w:t>
            </w:r>
          </w:p>
        </w:tc>
      </w:tr>
      <w:tr w:rsidR="003D0BC9" w:rsidRPr="00E4581C" w14:paraId="638561E6" w14:textId="77777777" w:rsidTr="002C027F">
        <w:trPr>
          <w:trHeight w:val="215"/>
        </w:trPr>
        <w:tc>
          <w:tcPr>
            <w:tcW w:w="3086" w:type="pct"/>
            <w:tcBorders>
              <w:bottom w:val="single" w:sz="4" w:space="0" w:color="auto"/>
            </w:tcBorders>
            <w:shd w:val="clear" w:color="auto" w:fill="auto"/>
            <w:vAlign w:val="bottom"/>
            <w:hideMark/>
          </w:tcPr>
          <w:p w14:paraId="4DA4D7AF" w14:textId="56B943F9"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Gastos de viaje y reuniones de participantes en dos reuniones del Grupo</w:t>
            </w:r>
          </w:p>
        </w:tc>
        <w:tc>
          <w:tcPr>
            <w:tcW w:w="635" w:type="pct"/>
            <w:tcBorders>
              <w:bottom w:val="single" w:sz="4" w:space="0" w:color="auto"/>
            </w:tcBorders>
            <w:shd w:val="clear" w:color="auto" w:fill="auto"/>
            <w:noWrap/>
            <w:vAlign w:val="bottom"/>
            <w:hideMark/>
          </w:tcPr>
          <w:p w14:paraId="47F33F7F" w14:textId="273341EB"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240 000 </w:t>
            </w:r>
          </w:p>
        </w:tc>
        <w:tc>
          <w:tcPr>
            <w:tcW w:w="634" w:type="pct"/>
            <w:tcBorders>
              <w:bottom w:val="single" w:sz="4" w:space="0" w:color="auto"/>
            </w:tcBorders>
            <w:shd w:val="clear" w:color="auto" w:fill="auto"/>
            <w:noWrap/>
            <w:vAlign w:val="bottom"/>
            <w:hideMark/>
          </w:tcPr>
          <w:p w14:paraId="59D7CCB1" w14:textId="3CE8B8B4"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153 906 </w:t>
            </w:r>
          </w:p>
        </w:tc>
        <w:tc>
          <w:tcPr>
            <w:tcW w:w="645" w:type="pct"/>
            <w:tcBorders>
              <w:bottom w:val="single" w:sz="4" w:space="0" w:color="auto"/>
            </w:tcBorders>
            <w:shd w:val="clear" w:color="auto" w:fill="auto"/>
            <w:noWrap/>
            <w:vAlign w:val="bottom"/>
            <w:hideMark/>
          </w:tcPr>
          <w:p w14:paraId="46D48F2C" w14:textId="226EABAE"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86 094 </w:t>
            </w:r>
          </w:p>
        </w:tc>
      </w:tr>
      <w:tr w:rsidR="003D0BC9" w:rsidRPr="00E4581C" w14:paraId="08BB1A89" w14:textId="77777777" w:rsidTr="002C027F">
        <w:trPr>
          <w:trHeight w:val="253"/>
        </w:trPr>
        <w:tc>
          <w:tcPr>
            <w:tcW w:w="3086" w:type="pct"/>
            <w:tcBorders>
              <w:top w:val="single" w:sz="4" w:space="0" w:color="auto"/>
              <w:bottom w:val="single" w:sz="4" w:space="0" w:color="auto"/>
            </w:tcBorders>
            <w:shd w:val="clear" w:color="auto" w:fill="auto"/>
            <w:noWrap/>
            <w:vAlign w:val="bottom"/>
            <w:hideMark/>
          </w:tcPr>
          <w:p w14:paraId="0F09A95F" w14:textId="78411E13"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1.2 Reuniones de la Mesa y el Grupo Multidisciplinario de Expertos</w:t>
            </w:r>
          </w:p>
        </w:tc>
        <w:tc>
          <w:tcPr>
            <w:tcW w:w="635" w:type="pct"/>
            <w:tcBorders>
              <w:top w:val="single" w:sz="4" w:space="0" w:color="auto"/>
              <w:bottom w:val="single" w:sz="4" w:space="0" w:color="auto"/>
            </w:tcBorders>
            <w:shd w:val="clear" w:color="auto" w:fill="auto"/>
            <w:noWrap/>
            <w:vAlign w:val="bottom"/>
            <w:hideMark/>
          </w:tcPr>
          <w:p w14:paraId="00B35BCF" w14:textId="4781B53D"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310 900 </w:t>
            </w:r>
          </w:p>
        </w:tc>
        <w:tc>
          <w:tcPr>
            <w:tcW w:w="634" w:type="pct"/>
            <w:tcBorders>
              <w:top w:val="single" w:sz="4" w:space="0" w:color="auto"/>
              <w:bottom w:val="single" w:sz="4" w:space="0" w:color="auto"/>
            </w:tcBorders>
            <w:shd w:val="clear" w:color="auto" w:fill="auto"/>
            <w:noWrap/>
            <w:vAlign w:val="bottom"/>
            <w:hideMark/>
          </w:tcPr>
          <w:p w14:paraId="7BD5D3CF" w14:textId="53610A11"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219 990 </w:t>
            </w:r>
          </w:p>
        </w:tc>
        <w:tc>
          <w:tcPr>
            <w:tcW w:w="645" w:type="pct"/>
            <w:tcBorders>
              <w:top w:val="single" w:sz="4" w:space="0" w:color="auto"/>
              <w:bottom w:val="single" w:sz="4" w:space="0" w:color="auto"/>
            </w:tcBorders>
            <w:shd w:val="clear" w:color="auto" w:fill="auto"/>
            <w:noWrap/>
            <w:vAlign w:val="bottom"/>
            <w:hideMark/>
          </w:tcPr>
          <w:p w14:paraId="552BB492" w14:textId="584BB106"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90 910 </w:t>
            </w:r>
          </w:p>
        </w:tc>
      </w:tr>
      <w:tr w:rsidR="003D0BC9" w:rsidRPr="00E4581C" w14:paraId="14079ECF" w14:textId="77777777" w:rsidTr="002C027F">
        <w:trPr>
          <w:trHeight w:val="253"/>
        </w:trPr>
        <w:tc>
          <w:tcPr>
            <w:tcW w:w="3086" w:type="pct"/>
            <w:tcBorders>
              <w:top w:val="single" w:sz="4" w:space="0" w:color="auto"/>
              <w:bottom w:val="single" w:sz="4" w:space="0" w:color="auto"/>
            </w:tcBorders>
            <w:shd w:val="clear" w:color="auto" w:fill="auto"/>
            <w:noWrap/>
            <w:vAlign w:val="bottom"/>
            <w:hideMark/>
          </w:tcPr>
          <w:p w14:paraId="0CF5B6EA" w14:textId="6251663E"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1.3 Gastos de viaje de la Presidencia en representación de la Plataforma</w:t>
            </w:r>
          </w:p>
        </w:tc>
        <w:tc>
          <w:tcPr>
            <w:tcW w:w="635" w:type="pct"/>
            <w:tcBorders>
              <w:top w:val="single" w:sz="4" w:space="0" w:color="auto"/>
              <w:bottom w:val="single" w:sz="4" w:space="0" w:color="auto"/>
            </w:tcBorders>
            <w:shd w:val="clear" w:color="auto" w:fill="auto"/>
            <w:noWrap/>
            <w:vAlign w:val="bottom"/>
            <w:hideMark/>
          </w:tcPr>
          <w:p w14:paraId="4976EAE0" w14:textId="16DE244E"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25 000 </w:t>
            </w:r>
          </w:p>
        </w:tc>
        <w:tc>
          <w:tcPr>
            <w:tcW w:w="634" w:type="pct"/>
            <w:tcBorders>
              <w:top w:val="single" w:sz="4" w:space="0" w:color="auto"/>
              <w:bottom w:val="single" w:sz="4" w:space="0" w:color="auto"/>
            </w:tcBorders>
            <w:shd w:val="clear" w:color="auto" w:fill="auto"/>
            <w:noWrap/>
            <w:vAlign w:val="bottom"/>
            <w:hideMark/>
          </w:tcPr>
          <w:p w14:paraId="721D723B" w14:textId="5C258EF2" w:rsidR="000958F5" w:rsidRPr="00E4581C" w:rsidRDefault="006D1ED0"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w:t>
            </w:r>
          </w:p>
        </w:tc>
        <w:tc>
          <w:tcPr>
            <w:tcW w:w="645" w:type="pct"/>
            <w:tcBorders>
              <w:top w:val="single" w:sz="4" w:space="0" w:color="auto"/>
              <w:bottom w:val="single" w:sz="4" w:space="0" w:color="auto"/>
            </w:tcBorders>
            <w:shd w:val="clear" w:color="auto" w:fill="auto"/>
            <w:noWrap/>
            <w:vAlign w:val="bottom"/>
            <w:hideMark/>
          </w:tcPr>
          <w:p w14:paraId="6EB43FFC" w14:textId="2809951E"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25 000 </w:t>
            </w:r>
          </w:p>
        </w:tc>
      </w:tr>
      <w:tr w:rsidR="003D0BC9" w:rsidRPr="00E4581C" w14:paraId="29AF780B" w14:textId="77777777" w:rsidTr="00B36368">
        <w:trPr>
          <w:trHeight w:val="269"/>
        </w:trPr>
        <w:tc>
          <w:tcPr>
            <w:tcW w:w="3086" w:type="pct"/>
            <w:tcBorders>
              <w:top w:val="single" w:sz="4" w:space="0" w:color="auto"/>
              <w:bottom w:val="single" w:sz="4" w:space="0" w:color="auto"/>
            </w:tcBorders>
            <w:shd w:val="clear" w:color="auto" w:fill="auto"/>
            <w:noWrap/>
            <w:vAlign w:val="bottom"/>
            <w:hideMark/>
          </w:tcPr>
          <w:p w14:paraId="03643336" w14:textId="3E09732D" w:rsidR="000958F5" w:rsidRPr="00E4581C" w:rsidRDefault="000958F5" w:rsidP="000D3AC4">
            <w:pPr>
              <w:spacing w:before="40" w:after="40" w:line="240" w:lineRule="auto"/>
              <w:rPr>
                <w:rFonts w:ascii="Times New Roman" w:eastAsia="Times New Roman" w:hAnsi="Times New Roman"/>
                <w:b/>
                <w:bCs/>
                <w:sz w:val="18"/>
                <w:szCs w:val="18"/>
                <w:lang w:val="es-ES_tradnl"/>
              </w:rPr>
            </w:pPr>
            <w:r w:rsidRPr="00E4581C">
              <w:rPr>
                <w:rFonts w:ascii="Times New Roman" w:hAnsi="Times New Roman"/>
                <w:b/>
                <w:bCs/>
                <w:sz w:val="18"/>
                <w:szCs w:val="18"/>
                <w:lang w:val="es-ES_tradnl"/>
              </w:rPr>
              <w:t xml:space="preserve">Total parcial 1 </w:t>
            </w:r>
            <w:r w:rsidR="00703A97" w:rsidRPr="00E4581C">
              <w:rPr>
                <w:rFonts w:ascii="Times New Roman" w:hAnsi="Times New Roman"/>
                <w:b/>
                <w:bCs/>
                <w:sz w:val="18"/>
                <w:szCs w:val="18"/>
                <w:lang w:val="es-ES_tradnl"/>
              </w:rPr>
              <w:t>Reuniones</w:t>
            </w:r>
            <w:r w:rsidRPr="00E4581C">
              <w:rPr>
                <w:rFonts w:ascii="Times New Roman" w:hAnsi="Times New Roman"/>
                <w:b/>
                <w:bCs/>
                <w:sz w:val="18"/>
                <w:szCs w:val="18"/>
                <w:lang w:val="es-ES_tradnl"/>
              </w:rPr>
              <w:t xml:space="preserve"> de los órganos de la Plataforma</w:t>
            </w:r>
          </w:p>
        </w:tc>
        <w:tc>
          <w:tcPr>
            <w:tcW w:w="635" w:type="pct"/>
            <w:tcBorders>
              <w:top w:val="single" w:sz="4" w:space="0" w:color="auto"/>
              <w:bottom w:val="single" w:sz="4" w:space="0" w:color="auto"/>
            </w:tcBorders>
            <w:shd w:val="clear" w:color="auto" w:fill="auto"/>
            <w:noWrap/>
            <w:vAlign w:val="bottom"/>
            <w:hideMark/>
          </w:tcPr>
          <w:p w14:paraId="360D4116" w14:textId="3777DBED"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 xml:space="preserve">1 765 900 </w:t>
            </w:r>
          </w:p>
        </w:tc>
        <w:tc>
          <w:tcPr>
            <w:tcW w:w="634" w:type="pct"/>
            <w:tcBorders>
              <w:top w:val="single" w:sz="4" w:space="0" w:color="auto"/>
              <w:bottom w:val="single" w:sz="4" w:space="0" w:color="auto"/>
            </w:tcBorders>
            <w:shd w:val="clear" w:color="auto" w:fill="auto"/>
            <w:noWrap/>
            <w:vAlign w:val="bottom"/>
            <w:hideMark/>
          </w:tcPr>
          <w:p w14:paraId="3586B1C0" w14:textId="4BD6E734"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 xml:space="preserve">1 460 945 </w:t>
            </w:r>
          </w:p>
        </w:tc>
        <w:tc>
          <w:tcPr>
            <w:tcW w:w="645" w:type="pct"/>
            <w:tcBorders>
              <w:top w:val="single" w:sz="4" w:space="0" w:color="auto"/>
              <w:bottom w:val="single" w:sz="4" w:space="0" w:color="auto"/>
            </w:tcBorders>
            <w:shd w:val="clear" w:color="auto" w:fill="auto"/>
            <w:noWrap/>
            <w:vAlign w:val="bottom"/>
            <w:hideMark/>
          </w:tcPr>
          <w:p w14:paraId="0B5DD48A" w14:textId="362C79B3"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 xml:space="preserve">304 955 </w:t>
            </w:r>
          </w:p>
        </w:tc>
      </w:tr>
      <w:tr w:rsidR="003D0BC9" w:rsidRPr="000930FA" w14:paraId="01A7E16A" w14:textId="77777777" w:rsidTr="00B36368">
        <w:trPr>
          <w:trHeight w:val="363"/>
        </w:trPr>
        <w:tc>
          <w:tcPr>
            <w:tcW w:w="3086" w:type="pct"/>
            <w:tcBorders>
              <w:top w:val="single" w:sz="4" w:space="0" w:color="auto"/>
            </w:tcBorders>
            <w:shd w:val="clear" w:color="auto" w:fill="auto"/>
            <w:vAlign w:val="bottom"/>
          </w:tcPr>
          <w:p w14:paraId="4B9D0387" w14:textId="392A51A6"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2.</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Ejecución del programa de trabajo</w:t>
            </w:r>
            <w:r w:rsidRPr="00E4581C">
              <w:rPr>
                <w:rFonts w:ascii="Times New Roman" w:hAnsi="Times New Roman"/>
                <w:sz w:val="18"/>
                <w:szCs w:val="18"/>
                <w:lang w:val="es-ES_tradnl"/>
              </w:rPr>
              <w:t xml:space="preserve"> </w:t>
            </w:r>
          </w:p>
        </w:tc>
        <w:tc>
          <w:tcPr>
            <w:tcW w:w="635" w:type="pct"/>
            <w:tcBorders>
              <w:top w:val="single" w:sz="4" w:space="0" w:color="auto"/>
            </w:tcBorders>
            <w:shd w:val="clear" w:color="auto" w:fill="auto"/>
            <w:noWrap/>
            <w:vAlign w:val="bottom"/>
          </w:tcPr>
          <w:p w14:paraId="619D4176" w14:textId="77777777" w:rsidR="000958F5" w:rsidRPr="00E4581C"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634" w:type="pct"/>
            <w:tcBorders>
              <w:top w:val="single" w:sz="4" w:space="0" w:color="auto"/>
            </w:tcBorders>
            <w:shd w:val="clear" w:color="auto" w:fill="auto"/>
            <w:noWrap/>
            <w:vAlign w:val="bottom"/>
          </w:tcPr>
          <w:p w14:paraId="68E52986" w14:textId="77777777" w:rsidR="000958F5" w:rsidRPr="00E4581C"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645" w:type="pct"/>
            <w:tcBorders>
              <w:top w:val="single" w:sz="4" w:space="0" w:color="auto"/>
            </w:tcBorders>
            <w:shd w:val="clear" w:color="auto" w:fill="auto"/>
            <w:noWrap/>
            <w:vAlign w:val="bottom"/>
          </w:tcPr>
          <w:p w14:paraId="3A76FBD5" w14:textId="77777777" w:rsidR="000958F5" w:rsidRPr="00E4581C" w:rsidRDefault="000958F5" w:rsidP="000D3AC4">
            <w:pPr>
              <w:spacing w:before="40" w:after="40" w:line="240" w:lineRule="auto"/>
              <w:jc w:val="right"/>
              <w:rPr>
                <w:rFonts w:ascii="Times New Roman" w:hAnsi="Times New Roman"/>
                <w:sz w:val="18"/>
                <w:szCs w:val="18"/>
                <w:lang w:val="es-ES_tradnl"/>
              </w:rPr>
            </w:pPr>
          </w:p>
        </w:tc>
      </w:tr>
      <w:tr w:rsidR="003D0BC9" w:rsidRPr="00E4581C" w14:paraId="10CC4718" w14:textId="77777777" w:rsidTr="00B36368">
        <w:trPr>
          <w:trHeight w:val="431"/>
        </w:trPr>
        <w:tc>
          <w:tcPr>
            <w:tcW w:w="3086" w:type="pct"/>
            <w:shd w:val="clear" w:color="auto" w:fill="auto"/>
            <w:hideMark/>
          </w:tcPr>
          <w:p w14:paraId="50BED249" w14:textId="55AC4A26" w:rsidR="000958F5" w:rsidRPr="00E4581C" w:rsidRDefault="000958F5" w:rsidP="00905D1D">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2.1 Objetivo 1:</w:t>
            </w:r>
            <w:r w:rsidRPr="00E4581C">
              <w:rPr>
                <w:rFonts w:ascii="Times New Roman" w:hAnsi="Times New Roman"/>
                <w:sz w:val="18"/>
                <w:szCs w:val="18"/>
                <w:lang w:val="es-ES_tradnl"/>
              </w:rPr>
              <w:t xml:space="preserve"> fortalecer los fundam</w:t>
            </w:r>
            <w:r w:rsidR="002C027F" w:rsidRPr="00E4581C">
              <w:rPr>
                <w:rFonts w:ascii="Times New Roman" w:hAnsi="Times New Roman"/>
                <w:sz w:val="18"/>
                <w:szCs w:val="18"/>
                <w:lang w:val="es-ES_tradnl"/>
              </w:rPr>
              <w:t>entos de la interfaz científico</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normativa en materia de capacidad y conocimi</w:t>
            </w:r>
            <w:r w:rsidR="002C027F" w:rsidRPr="00E4581C">
              <w:rPr>
                <w:rFonts w:ascii="Times New Roman" w:hAnsi="Times New Roman"/>
                <w:sz w:val="18"/>
                <w:szCs w:val="18"/>
                <w:lang w:val="es-ES_tradnl"/>
              </w:rPr>
              <w:t>entos para el </w:t>
            </w:r>
            <w:r w:rsidRPr="00E4581C">
              <w:rPr>
                <w:rFonts w:ascii="Times New Roman" w:hAnsi="Times New Roman"/>
                <w:sz w:val="18"/>
                <w:szCs w:val="18"/>
                <w:lang w:val="es-ES_tradnl"/>
              </w:rPr>
              <w:t>desempeño de las principales funciones de la Plataforma</w:t>
            </w:r>
          </w:p>
        </w:tc>
        <w:tc>
          <w:tcPr>
            <w:tcW w:w="635" w:type="pct"/>
            <w:shd w:val="clear" w:color="auto" w:fill="auto"/>
            <w:noWrap/>
            <w:vAlign w:val="bottom"/>
            <w:hideMark/>
          </w:tcPr>
          <w:p w14:paraId="4396294D" w14:textId="6DEB488F"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1 317 500</w:t>
            </w:r>
          </w:p>
        </w:tc>
        <w:tc>
          <w:tcPr>
            <w:tcW w:w="634" w:type="pct"/>
            <w:shd w:val="clear" w:color="auto" w:fill="auto"/>
            <w:noWrap/>
            <w:vAlign w:val="bottom"/>
            <w:hideMark/>
          </w:tcPr>
          <w:p w14:paraId="72BB4AFB" w14:textId="55B2F5DB"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1 209 859</w:t>
            </w:r>
          </w:p>
        </w:tc>
        <w:tc>
          <w:tcPr>
            <w:tcW w:w="645" w:type="pct"/>
            <w:shd w:val="clear" w:color="auto" w:fill="auto"/>
            <w:noWrap/>
            <w:vAlign w:val="bottom"/>
            <w:hideMark/>
          </w:tcPr>
          <w:p w14:paraId="1638817D" w14:textId="76364E30"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107 641</w:t>
            </w:r>
          </w:p>
        </w:tc>
      </w:tr>
      <w:tr w:rsidR="003D0BC9" w:rsidRPr="00E4581C" w14:paraId="592DD787" w14:textId="77777777" w:rsidTr="00B36368">
        <w:trPr>
          <w:trHeight w:val="431"/>
        </w:trPr>
        <w:tc>
          <w:tcPr>
            <w:tcW w:w="3086" w:type="pct"/>
            <w:shd w:val="clear" w:color="auto" w:fill="auto"/>
          </w:tcPr>
          <w:p w14:paraId="5605401A" w14:textId="5E15E87E"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b/>
                <w:bCs/>
                <w:sz w:val="18"/>
                <w:szCs w:val="18"/>
                <w:lang w:val="es-ES_tradnl"/>
              </w:rPr>
              <w:t>2.2 Objetivo 2:</w:t>
            </w:r>
            <w:r w:rsidRPr="00E4581C">
              <w:rPr>
                <w:rFonts w:ascii="Times New Roman" w:hAnsi="Times New Roman"/>
                <w:sz w:val="18"/>
                <w:szCs w:val="18"/>
                <w:lang w:val="es-ES_tradnl"/>
              </w:rPr>
              <w:t xml:space="preserve"> fortalecer la interfaz científico</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normativa sobre diversidad biológica y servicios de los ecosistemas en los niveles subregional, regional y mundial y entre ellos</w:t>
            </w:r>
          </w:p>
        </w:tc>
        <w:tc>
          <w:tcPr>
            <w:tcW w:w="635" w:type="pct"/>
            <w:shd w:val="clear" w:color="auto" w:fill="auto"/>
            <w:noWrap/>
            <w:vAlign w:val="bottom"/>
          </w:tcPr>
          <w:p w14:paraId="2279020F" w14:textId="4419B542"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1 598 750</w:t>
            </w:r>
          </w:p>
        </w:tc>
        <w:tc>
          <w:tcPr>
            <w:tcW w:w="634" w:type="pct"/>
            <w:shd w:val="clear" w:color="auto" w:fill="auto"/>
            <w:noWrap/>
            <w:vAlign w:val="bottom"/>
          </w:tcPr>
          <w:p w14:paraId="1750C069" w14:textId="093E67C5"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1 189 557</w:t>
            </w:r>
          </w:p>
        </w:tc>
        <w:tc>
          <w:tcPr>
            <w:tcW w:w="645" w:type="pct"/>
            <w:shd w:val="clear" w:color="auto" w:fill="auto"/>
            <w:noWrap/>
            <w:vAlign w:val="bottom"/>
          </w:tcPr>
          <w:p w14:paraId="0FF23026" w14:textId="69BCF8FC"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409 193</w:t>
            </w:r>
          </w:p>
        </w:tc>
      </w:tr>
      <w:tr w:rsidR="003D0BC9" w:rsidRPr="00E4581C" w14:paraId="3970C0C8" w14:textId="77777777" w:rsidTr="00B36368">
        <w:trPr>
          <w:trHeight w:val="431"/>
        </w:trPr>
        <w:tc>
          <w:tcPr>
            <w:tcW w:w="3086" w:type="pct"/>
            <w:shd w:val="clear" w:color="auto" w:fill="auto"/>
            <w:hideMark/>
          </w:tcPr>
          <w:p w14:paraId="263F9320" w14:textId="501EE1BD"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b/>
                <w:bCs/>
                <w:sz w:val="18"/>
                <w:szCs w:val="18"/>
                <w:lang w:val="es-ES_tradnl"/>
              </w:rPr>
              <w:t>2.3 Objetivo 3:</w:t>
            </w:r>
            <w:r w:rsidRPr="00E4581C">
              <w:rPr>
                <w:rFonts w:ascii="Times New Roman" w:hAnsi="Times New Roman"/>
                <w:sz w:val="18"/>
                <w:szCs w:val="18"/>
                <w:lang w:val="es-ES_tradnl"/>
              </w:rPr>
              <w:t xml:space="preserve"> fortalecer la interfaz científico</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normativa respecto de las cuestiones temáticas y metodológicas</w:t>
            </w:r>
          </w:p>
        </w:tc>
        <w:tc>
          <w:tcPr>
            <w:tcW w:w="635" w:type="pct"/>
            <w:shd w:val="clear" w:color="auto" w:fill="auto"/>
            <w:noWrap/>
            <w:vAlign w:val="bottom"/>
            <w:hideMark/>
          </w:tcPr>
          <w:p w14:paraId="6FFC0C16" w14:textId="7B702E05"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651 500</w:t>
            </w:r>
          </w:p>
        </w:tc>
        <w:tc>
          <w:tcPr>
            <w:tcW w:w="634" w:type="pct"/>
            <w:shd w:val="clear" w:color="auto" w:fill="auto"/>
            <w:noWrap/>
            <w:vAlign w:val="bottom"/>
            <w:hideMark/>
          </w:tcPr>
          <w:p w14:paraId="3368A38D" w14:textId="04F31978"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444 894</w:t>
            </w:r>
          </w:p>
        </w:tc>
        <w:tc>
          <w:tcPr>
            <w:tcW w:w="645" w:type="pct"/>
            <w:shd w:val="clear" w:color="auto" w:fill="auto"/>
            <w:noWrap/>
            <w:vAlign w:val="bottom"/>
            <w:hideMark/>
          </w:tcPr>
          <w:p w14:paraId="50571FEE" w14:textId="065D59E5"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206 606</w:t>
            </w:r>
          </w:p>
        </w:tc>
      </w:tr>
      <w:tr w:rsidR="003D0BC9" w:rsidRPr="00E4581C" w14:paraId="45B9264D" w14:textId="77777777" w:rsidTr="00B36368">
        <w:trPr>
          <w:trHeight w:val="431"/>
        </w:trPr>
        <w:tc>
          <w:tcPr>
            <w:tcW w:w="3086" w:type="pct"/>
            <w:tcBorders>
              <w:bottom w:val="single" w:sz="4" w:space="0" w:color="auto"/>
            </w:tcBorders>
            <w:shd w:val="clear" w:color="auto" w:fill="auto"/>
            <w:hideMark/>
          </w:tcPr>
          <w:p w14:paraId="35A091E6" w14:textId="4CB0444C" w:rsidR="000958F5" w:rsidRPr="00E4581C" w:rsidRDefault="000958F5" w:rsidP="000D3AC4">
            <w:pPr>
              <w:spacing w:before="40" w:after="40" w:line="240" w:lineRule="auto"/>
              <w:rPr>
                <w:rFonts w:ascii="Times New Roman" w:eastAsia="Times New Roman" w:hAnsi="Times New Roman"/>
                <w:sz w:val="18"/>
                <w:szCs w:val="18"/>
                <w:lang w:val="es-ES_tradnl"/>
              </w:rPr>
            </w:pPr>
            <w:r w:rsidRPr="00E4581C">
              <w:rPr>
                <w:rFonts w:ascii="Times New Roman" w:hAnsi="Times New Roman"/>
                <w:b/>
                <w:bCs/>
                <w:sz w:val="18"/>
                <w:szCs w:val="18"/>
                <w:lang w:val="es-ES_tradnl"/>
              </w:rPr>
              <w:t>2.4 Objetivo 4:</w:t>
            </w:r>
            <w:r w:rsidRPr="00E4581C">
              <w:rPr>
                <w:rFonts w:ascii="Times New Roman" w:hAnsi="Times New Roman"/>
                <w:sz w:val="18"/>
                <w:szCs w:val="18"/>
                <w:lang w:val="es-ES_tradnl"/>
              </w:rPr>
              <w:t xml:space="preserve"> comunicar y evaluar las actividades, los productos previstos y los resultados de la Plataforma</w:t>
            </w:r>
          </w:p>
        </w:tc>
        <w:tc>
          <w:tcPr>
            <w:tcW w:w="635" w:type="pct"/>
            <w:tcBorders>
              <w:bottom w:val="single" w:sz="4" w:space="0" w:color="auto"/>
            </w:tcBorders>
            <w:shd w:val="clear" w:color="auto" w:fill="auto"/>
            <w:noWrap/>
            <w:vAlign w:val="bottom"/>
            <w:hideMark/>
          </w:tcPr>
          <w:p w14:paraId="6C09E4D7" w14:textId="6AAEBF68"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275 000</w:t>
            </w:r>
          </w:p>
        </w:tc>
        <w:tc>
          <w:tcPr>
            <w:tcW w:w="634" w:type="pct"/>
            <w:tcBorders>
              <w:bottom w:val="single" w:sz="4" w:space="0" w:color="auto"/>
            </w:tcBorders>
            <w:shd w:val="clear" w:color="auto" w:fill="auto"/>
            <w:noWrap/>
            <w:vAlign w:val="bottom"/>
            <w:hideMark/>
          </w:tcPr>
          <w:p w14:paraId="529D0676" w14:textId="7557C1DA"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227 268</w:t>
            </w:r>
          </w:p>
        </w:tc>
        <w:tc>
          <w:tcPr>
            <w:tcW w:w="645" w:type="pct"/>
            <w:tcBorders>
              <w:bottom w:val="single" w:sz="4" w:space="0" w:color="auto"/>
            </w:tcBorders>
            <w:shd w:val="clear" w:color="auto" w:fill="auto"/>
            <w:noWrap/>
            <w:vAlign w:val="bottom"/>
            <w:hideMark/>
          </w:tcPr>
          <w:p w14:paraId="6D0DCE88" w14:textId="2ACC75FF"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47 732</w:t>
            </w:r>
          </w:p>
        </w:tc>
      </w:tr>
      <w:tr w:rsidR="003D0BC9" w:rsidRPr="00E4581C" w14:paraId="5EF974D2" w14:textId="77777777" w:rsidTr="00B36368">
        <w:trPr>
          <w:trHeight w:val="269"/>
        </w:trPr>
        <w:tc>
          <w:tcPr>
            <w:tcW w:w="3086" w:type="pct"/>
            <w:tcBorders>
              <w:top w:val="single" w:sz="4" w:space="0" w:color="auto"/>
              <w:bottom w:val="single" w:sz="4" w:space="0" w:color="auto"/>
            </w:tcBorders>
            <w:shd w:val="clear" w:color="auto" w:fill="auto"/>
            <w:noWrap/>
            <w:vAlign w:val="bottom"/>
            <w:hideMark/>
          </w:tcPr>
          <w:p w14:paraId="6AFF2B37" w14:textId="6117EB19" w:rsidR="000958F5" w:rsidRPr="00E4581C" w:rsidRDefault="000958F5" w:rsidP="00536253">
            <w:pPr>
              <w:keepNext/>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2 Ejecución del programa de trabajo</w:t>
            </w:r>
          </w:p>
        </w:tc>
        <w:tc>
          <w:tcPr>
            <w:tcW w:w="635" w:type="pct"/>
            <w:tcBorders>
              <w:top w:val="single" w:sz="4" w:space="0" w:color="auto"/>
              <w:bottom w:val="single" w:sz="4" w:space="0" w:color="auto"/>
            </w:tcBorders>
            <w:shd w:val="clear" w:color="auto" w:fill="auto"/>
            <w:noWrap/>
            <w:vAlign w:val="bottom"/>
            <w:hideMark/>
          </w:tcPr>
          <w:p w14:paraId="5A29D59D" w14:textId="48C6FE39" w:rsidR="000958F5" w:rsidRPr="00E4581C" w:rsidRDefault="000958F5" w:rsidP="00536253">
            <w:pPr>
              <w:keepNext/>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3 842 750 </w:t>
            </w:r>
          </w:p>
        </w:tc>
        <w:tc>
          <w:tcPr>
            <w:tcW w:w="634" w:type="pct"/>
            <w:tcBorders>
              <w:top w:val="single" w:sz="4" w:space="0" w:color="auto"/>
              <w:bottom w:val="single" w:sz="4" w:space="0" w:color="auto"/>
            </w:tcBorders>
            <w:shd w:val="clear" w:color="auto" w:fill="auto"/>
            <w:noWrap/>
            <w:vAlign w:val="bottom"/>
            <w:hideMark/>
          </w:tcPr>
          <w:p w14:paraId="11F4D2F6" w14:textId="0105860D" w:rsidR="000958F5" w:rsidRPr="00E4581C" w:rsidRDefault="000958F5" w:rsidP="00536253">
            <w:pPr>
              <w:keepNext/>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3 071 578 </w:t>
            </w:r>
          </w:p>
        </w:tc>
        <w:tc>
          <w:tcPr>
            <w:tcW w:w="645" w:type="pct"/>
            <w:tcBorders>
              <w:top w:val="single" w:sz="4" w:space="0" w:color="auto"/>
              <w:bottom w:val="single" w:sz="4" w:space="0" w:color="auto"/>
            </w:tcBorders>
            <w:shd w:val="clear" w:color="auto" w:fill="auto"/>
            <w:noWrap/>
            <w:vAlign w:val="bottom"/>
            <w:hideMark/>
          </w:tcPr>
          <w:p w14:paraId="784DE28F" w14:textId="157C7F27" w:rsidR="000958F5" w:rsidRPr="00E4581C" w:rsidRDefault="000958F5" w:rsidP="00536253">
            <w:pPr>
              <w:keepNext/>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771 172 </w:t>
            </w:r>
          </w:p>
        </w:tc>
      </w:tr>
      <w:tr w:rsidR="003D0BC9" w:rsidRPr="00E4581C" w14:paraId="0B6F0E9F" w14:textId="77777777" w:rsidTr="00B36368">
        <w:trPr>
          <w:trHeight w:val="215"/>
        </w:trPr>
        <w:tc>
          <w:tcPr>
            <w:tcW w:w="3086" w:type="pct"/>
            <w:tcBorders>
              <w:top w:val="single" w:sz="4" w:space="0" w:color="auto"/>
            </w:tcBorders>
            <w:shd w:val="clear" w:color="auto" w:fill="auto"/>
            <w:noWrap/>
            <w:vAlign w:val="bottom"/>
            <w:hideMark/>
          </w:tcPr>
          <w:p w14:paraId="23037348" w14:textId="3F1472ED" w:rsidR="000958F5" w:rsidRPr="00E4581C" w:rsidRDefault="000958F5" w:rsidP="00536253">
            <w:pPr>
              <w:keepNext/>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w:t>
            </w:r>
            <w:r w:rsidRPr="00E4581C">
              <w:rPr>
                <w:rFonts w:ascii="Times New Roman" w:hAnsi="Times New Roman"/>
                <w:sz w:val="18"/>
                <w:szCs w:val="18"/>
                <w:lang w:val="es-ES_tradnl"/>
              </w:rPr>
              <w:t xml:space="preserve"> </w:t>
            </w:r>
            <w:r w:rsidRPr="00E4581C">
              <w:rPr>
                <w:rFonts w:ascii="Times New Roman" w:hAnsi="Times New Roman"/>
                <w:b/>
                <w:bCs/>
                <w:sz w:val="18"/>
                <w:szCs w:val="18"/>
                <w:lang w:val="es-ES_tradnl"/>
              </w:rPr>
              <w:t>Secretaría</w:t>
            </w:r>
          </w:p>
        </w:tc>
        <w:tc>
          <w:tcPr>
            <w:tcW w:w="635" w:type="pct"/>
            <w:tcBorders>
              <w:top w:val="single" w:sz="4" w:space="0" w:color="auto"/>
            </w:tcBorders>
            <w:shd w:val="clear" w:color="auto" w:fill="auto"/>
            <w:vAlign w:val="bottom"/>
            <w:hideMark/>
          </w:tcPr>
          <w:p w14:paraId="566A6693" w14:textId="57FBA605" w:rsidR="000958F5" w:rsidRPr="00E4581C" w:rsidRDefault="000D3AC4" w:rsidP="00536253">
            <w:pPr>
              <w:keepNext/>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c>
          <w:tcPr>
            <w:tcW w:w="634" w:type="pct"/>
            <w:tcBorders>
              <w:top w:val="single" w:sz="4" w:space="0" w:color="auto"/>
            </w:tcBorders>
            <w:shd w:val="clear" w:color="auto" w:fill="auto"/>
            <w:noWrap/>
            <w:vAlign w:val="bottom"/>
            <w:hideMark/>
          </w:tcPr>
          <w:p w14:paraId="4AEDF1F0" w14:textId="2EC728FC" w:rsidR="000958F5" w:rsidRPr="00E4581C" w:rsidRDefault="000D3AC4" w:rsidP="00536253">
            <w:pPr>
              <w:keepNext/>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c>
          <w:tcPr>
            <w:tcW w:w="645" w:type="pct"/>
            <w:tcBorders>
              <w:top w:val="single" w:sz="4" w:space="0" w:color="auto"/>
            </w:tcBorders>
            <w:shd w:val="clear" w:color="auto" w:fill="auto"/>
            <w:noWrap/>
            <w:vAlign w:val="bottom"/>
            <w:hideMark/>
          </w:tcPr>
          <w:p w14:paraId="25676A8B" w14:textId="199F250E" w:rsidR="000958F5" w:rsidRPr="00E4581C" w:rsidRDefault="000D3AC4" w:rsidP="00536253">
            <w:pPr>
              <w:keepNext/>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r>
      <w:tr w:rsidR="003D0BC9" w:rsidRPr="00E4581C" w14:paraId="077D40CD" w14:textId="77777777" w:rsidTr="00B36368">
        <w:trPr>
          <w:trHeight w:val="215"/>
        </w:trPr>
        <w:tc>
          <w:tcPr>
            <w:tcW w:w="3086" w:type="pct"/>
            <w:shd w:val="clear" w:color="auto" w:fill="auto"/>
            <w:noWrap/>
            <w:vAlign w:val="bottom"/>
            <w:hideMark/>
          </w:tcPr>
          <w:p w14:paraId="3E909F1C" w14:textId="5ACA3B11"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3.1 Personal</w:t>
            </w:r>
          </w:p>
        </w:tc>
        <w:tc>
          <w:tcPr>
            <w:tcW w:w="635" w:type="pct"/>
            <w:shd w:val="clear" w:color="auto" w:fill="auto"/>
            <w:vAlign w:val="bottom"/>
            <w:hideMark/>
          </w:tcPr>
          <w:p w14:paraId="4D34DB99" w14:textId="56B02EA3" w:rsidR="000958F5" w:rsidRPr="00E4581C" w:rsidRDefault="000D3AC4"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c>
          <w:tcPr>
            <w:tcW w:w="634" w:type="pct"/>
            <w:shd w:val="clear" w:color="auto" w:fill="auto"/>
            <w:noWrap/>
            <w:vAlign w:val="bottom"/>
            <w:hideMark/>
          </w:tcPr>
          <w:p w14:paraId="7FD96208" w14:textId="7747F2E8" w:rsidR="000958F5" w:rsidRPr="00E4581C" w:rsidRDefault="000D3AC4"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c>
          <w:tcPr>
            <w:tcW w:w="645" w:type="pct"/>
            <w:shd w:val="clear" w:color="auto" w:fill="auto"/>
            <w:noWrap/>
            <w:vAlign w:val="bottom"/>
            <w:hideMark/>
          </w:tcPr>
          <w:p w14:paraId="5192CADC" w14:textId="6403B073" w:rsidR="000958F5" w:rsidRPr="00E4581C" w:rsidRDefault="000D3AC4"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r>
      <w:tr w:rsidR="003D0BC9" w:rsidRPr="000930FA" w14:paraId="1399F825" w14:textId="77777777" w:rsidTr="00B36368">
        <w:trPr>
          <w:trHeight w:val="215"/>
        </w:trPr>
        <w:tc>
          <w:tcPr>
            <w:tcW w:w="3086" w:type="pct"/>
            <w:shd w:val="clear" w:color="auto" w:fill="auto"/>
            <w:noWrap/>
            <w:vAlign w:val="bottom"/>
            <w:hideMark/>
          </w:tcPr>
          <w:p w14:paraId="6B2BBB02" w14:textId="3F89BF09"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3.1.1 Cuadro Orgánico y categorías superiores</w:t>
            </w:r>
          </w:p>
        </w:tc>
        <w:tc>
          <w:tcPr>
            <w:tcW w:w="635" w:type="pct"/>
            <w:shd w:val="clear" w:color="auto" w:fill="auto"/>
            <w:noWrap/>
            <w:vAlign w:val="bottom"/>
            <w:hideMark/>
          </w:tcPr>
          <w:p w14:paraId="07B220F5" w14:textId="1E96FD22" w:rsidR="000958F5" w:rsidRPr="00E4581C" w:rsidRDefault="000D3AC4"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c>
          <w:tcPr>
            <w:tcW w:w="634" w:type="pct"/>
            <w:shd w:val="clear" w:color="auto" w:fill="auto"/>
            <w:noWrap/>
            <w:vAlign w:val="bottom"/>
            <w:hideMark/>
          </w:tcPr>
          <w:p w14:paraId="57A719C4" w14:textId="58DDEF5D" w:rsidR="000958F5" w:rsidRPr="00E4581C" w:rsidRDefault="000D3AC4"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c>
          <w:tcPr>
            <w:tcW w:w="645" w:type="pct"/>
            <w:shd w:val="clear" w:color="auto" w:fill="auto"/>
            <w:noWrap/>
            <w:vAlign w:val="bottom"/>
            <w:hideMark/>
          </w:tcPr>
          <w:p w14:paraId="409447F9" w14:textId="5E6C57AA" w:rsidR="000958F5" w:rsidRPr="00E4581C" w:rsidRDefault="000D3AC4"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r>
      <w:tr w:rsidR="003D0BC9" w:rsidRPr="00E4581C" w14:paraId="57DDCACF" w14:textId="77777777" w:rsidTr="00B36368">
        <w:trPr>
          <w:trHeight w:val="215"/>
        </w:trPr>
        <w:tc>
          <w:tcPr>
            <w:tcW w:w="3086" w:type="pct"/>
            <w:shd w:val="clear" w:color="auto" w:fill="auto"/>
            <w:noWrap/>
            <w:vAlign w:val="bottom"/>
            <w:hideMark/>
          </w:tcPr>
          <w:p w14:paraId="14D1715F" w14:textId="2B31CB91"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Jefe de la Secretaría (D</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1)</w:t>
            </w:r>
          </w:p>
        </w:tc>
        <w:tc>
          <w:tcPr>
            <w:tcW w:w="635" w:type="pct"/>
            <w:shd w:val="clear" w:color="auto" w:fill="auto"/>
            <w:noWrap/>
            <w:vAlign w:val="bottom"/>
            <w:hideMark/>
          </w:tcPr>
          <w:p w14:paraId="41F6F964" w14:textId="3D1894B7"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290 700 </w:t>
            </w:r>
          </w:p>
        </w:tc>
        <w:tc>
          <w:tcPr>
            <w:tcW w:w="634" w:type="pct"/>
            <w:shd w:val="clear" w:color="auto" w:fill="auto"/>
            <w:noWrap/>
            <w:vAlign w:val="bottom"/>
            <w:hideMark/>
          </w:tcPr>
          <w:p w14:paraId="3ACA4DCA" w14:textId="7032FF50"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192 068 </w:t>
            </w:r>
          </w:p>
        </w:tc>
        <w:tc>
          <w:tcPr>
            <w:tcW w:w="645" w:type="pct"/>
            <w:shd w:val="clear" w:color="auto" w:fill="auto"/>
            <w:noWrap/>
            <w:vAlign w:val="bottom"/>
            <w:hideMark/>
          </w:tcPr>
          <w:p w14:paraId="7E171DC3" w14:textId="4496C539"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98 632 </w:t>
            </w:r>
          </w:p>
        </w:tc>
      </w:tr>
      <w:tr w:rsidR="003D0BC9" w:rsidRPr="00E4581C" w14:paraId="55AD7A60" w14:textId="77777777" w:rsidTr="00B36368">
        <w:trPr>
          <w:trHeight w:val="215"/>
        </w:trPr>
        <w:tc>
          <w:tcPr>
            <w:tcW w:w="3086" w:type="pct"/>
            <w:shd w:val="clear" w:color="auto" w:fill="auto"/>
            <w:noWrap/>
            <w:vAlign w:val="bottom"/>
            <w:hideMark/>
          </w:tcPr>
          <w:p w14:paraId="174D6865" w14:textId="3901D340"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Oficial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 xml:space="preserve">4) </w:t>
            </w:r>
          </w:p>
        </w:tc>
        <w:tc>
          <w:tcPr>
            <w:tcW w:w="635" w:type="pct"/>
            <w:shd w:val="clear" w:color="auto" w:fill="auto"/>
            <w:noWrap/>
            <w:vAlign w:val="bottom"/>
            <w:hideMark/>
          </w:tcPr>
          <w:p w14:paraId="0FAAB134" w14:textId="2E3498EC"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228 700 </w:t>
            </w:r>
          </w:p>
        </w:tc>
        <w:tc>
          <w:tcPr>
            <w:tcW w:w="634" w:type="pct"/>
            <w:shd w:val="clear" w:color="auto" w:fill="auto"/>
            <w:noWrap/>
            <w:vAlign w:val="bottom"/>
            <w:hideMark/>
          </w:tcPr>
          <w:p w14:paraId="225CDF73" w14:textId="1DF57A23"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132 454 </w:t>
            </w:r>
          </w:p>
        </w:tc>
        <w:tc>
          <w:tcPr>
            <w:tcW w:w="645" w:type="pct"/>
            <w:shd w:val="clear" w:color="auto" w:fill="auto"/>
            <w:noWrap/>
            <w:vAlign w:val="bottom"/>
            <w:hideMark/>
          </w:tcPr>
          <w:p w14:paraId="5FF50429" w14:textId="2FFDA662"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96 246 </w:t>
            </w:r>
          </w:p>
        </w:tc>
      </w:tr>
      <w:tr w:rsidR="003D0BC9" w:rsidRPr="00E4581C" w14:paraId="0DFE4F67" w14:textId="77777777" w:rsidTr="00B36368">
        <w:trPr>
          <w:trHeight w:val="215"/>
        </w:trPr>
        <w:tc>
          <w:tcPr>
            <w:tcW w:w="3086" w:type="pct"/>
            <w:shd w:val="clear" w:color="auto" w:fill="auto"/>
            <w:noWrap/>
            <w:vAlign w:val="bottom"/>
            <w:hideMark/>
          </w:tcPr>
          <w:p w14:paraId="7B3C9AC6" w14:textId="4C13DFFB" w:rsidR="000958F5" w:rsidRPr="00E4581C" w:rsidRDefault="002C027F"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Oficial de Programas (P</w:t>
            </w:r>
            <w:r w:rsidR="00356A65" w:rsidRPr="00E4581C">
              <w:rPr>
                <w:rFonts w:ascii="Times New Roman" w:hAnsi="Times New Roman"/>
                <w:sz w:val="18"/>
                <w:szCs w:val="18"/>
                <w:lang w:val="es-ES_tradnl"/>
              </w:rPr>
              <w:noBreakHyphen/>
            </w:r>
            <w:r w:rsidR="000958F5" w:rsidRPr="00E4581C">
              <w:rPr>
                <w:rFonts w:ascii="Times New Roman" w:hAnsi="Times New Roman"/>
                <w:sz w:val="18"/>
                <w:szCs w:val="18"/>
                <w:lang w:val="es-ES_tradnl"/>
              </w:rPr>
              <w:t>4)</w:t>
            </w:r>
            <w:r w:rsidR="000958F5" w:rsidRPr="00E4581C">
              <w:rPr>
                <w:rFonts w:ascii="Times New Roman" w:hAnsi="Times New Roman"/>
                <w:sz w:val="18"/>
                <w:szCs w:val="18"/>
                <w:vertAlign w:val="superscript"/>
                <w:lang w:val="es-ES_tradnl"/>
              </w:rPr>
              <w:t>b</w:t>
            </w:r>
          </w:p>
        </w:tc>
        <w:tc>
          <w:tcPr>
            <w:tcW w:w="635" w:type="pct"/>
            <w:shd w:val="clear" w:color="auto" w:fill="auto"/>
            <w:noWrap/>
            <w:vAlign w:val="bottom"/>
            <w:hideMark/>
          </w:tcPr>
          <w:p w14:paraId="5F0A9F54" w14:textId="4C3FDDAC" w:rsidR="000958F5" w:rsidRPr="00E4581C" w:rsidRDefault="006D1ED0"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w:t>
            </w:r>
          </w:p>
        </w:tc>
        <w:tc>
          <w:tcPr>
            <w:tcW w:w="634" w:type="pct"/>
            <w:shd w:val="clear" w:color="auto" w:fill="auto"/>
            <w:noWrap/>
            <w:vAlign w:val="bottom"/>
            <w:hideMark/>
          </w:tcPr>
          <w:p w14:paraId="358F4E08" w14:textId="1BA4C186" w:rsidR="000958F5" w:rsidRPr="00E4581C" w:rsidRDefault="006D1ED0"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w:t>
            </w:r>
          </w:p>
        </w:tc>
        <w:tc>
          <w:tcPr>
            <w:tcW w:w="645" w:type="pct"/>
            <w:shd w:val="clear" w:color="auto" w:fill="auto"/>
            <w:noWrap/>
            <w:vAlign w:val="bottom"/>
            <w:hideMark/>
          </w:tcPr>
          <w:p w14:paraId="55B14DB0" w14:textId="2CDF7A89" w:rsidR="000958F5" w:rsidRPr="00E4581C" w:rsidRDefault="006D1ED0"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w:t>
            </w:r>
          </w:p>
        </w:tc>
      </w:tr>
      <w:tr w:rsidR="003D0BC9" w:rsidRPr="00E4581C" w14:paraId="001B5B64" w14:textId="77777777" w:rsidTr="00B36368">
        <w:trPr>
          <w:trHeight w:val="215"/>
        </w:trPr>
        <w:tc>
          <w:tcPr>
            <w:tcW w:w="3086" w:type="pct"/>
            <w:shd w:val="clear" w:color="auto" w:fill="auto"/>
            <w:noWrap/>
            <w:vAlign w:val="bottom"/>
            <w:hideMark/>
          </w:tcPr>
          <w:p w14:paraId="7038DC8F" w14:textId="416F93AE"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Oficial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3)</w:t>
            </w:r>
          </w:p>
        </w:tc>
        <w:tc>
          <w:tcPr>
            <w:tcW w:w="635" w:type="pct"/>
            <w:shd w:val="clear" w:color="auto" w:fill="auto"/>
            <w:noWrap/>
            <w:vAlign w:val="bottom"/>
            <w:hideMark/>
          </w:tcPr>
          <w:p w14:paraId="5072585A" w14:textId="07735D49"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190 800 </w:t>
            </w:r>
          </w:p>
        </w:tc>
        <w:tc>
          <w:tcPr>
            <w:tcW w:w="634" w:type="pct"/>
            <w:shd w:val="clear" w:color="auto" w:fill="auto"/>
            <w:noWrap/>
            <w:vAlign w:val="bottom"/>
            <w:hideMark/>
          </w:tcPr>
          <w:p w14:paraId="4DB45F05" w14:textId="665D31BD"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97 885 </w:t>
            </w:r>
          </w:p>
        </w:tc>
        <w:tc>
          <w:tcPr>
            <w:tcW w:w="645" w:type="pct"/>
            <w:shd w:val="clear" w:color="auto" w:fill="auto"/>
            <w:noWrap/>
            <w:vAlign w:val="bottom"/>
            <w:hideMark/>
          </w:tcPr>
          <w:p w14:paraId="1BAE12FE" w14:textId="75265A66"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92 915 </w:t>
            </w:r>
          </w:p>
        </w:tc>
      </w:tr>
      <w:tr w:rsidR="003D0BC9" w:rsidRPr="00E4581C" w14:paraId="49BEEBBC" w14:textId="77777777" w:rsidTr="00B36368">
        <w:trPr>
          <w:trHeight w:val="215"/>
        </w:trPr>
        <w:tc>
          <w:tcPr>
            <w:tcW w:w="3086" w:type="pct"/>
            <w:shd w:val="clear" w:color="auto" w:fill="auto"/>
            <w:noWrap/>
            <w:vAlign w:val="bottom"/>
            <w:hideMark/>
          </w:tcPr>
          <w:p w14:paraId="348DB8E3" w14:textId="2D627E4F"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Oficial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3)</w:t>
            </w:r>
          </w:p>
        </w:tc>
        <w:tc>
          <w:tcPr>
            <w:tcW w:w="635" w:type="pct"/>
            <w:shd w:val="clear" w:color="auto" w:fill="auto"/>
            <w:noWrap/>
            <w:vAlign w:val="bottom"/>
            <w:hideMark/>
          </w:tcPr>
          <w:p w14:paraId="3BFAA0BA" w14:textId="7CF5EE1E"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190 800 </w:t>
            </w:r>
          </w:p>
        </w:tc>
        <w:tc>
          <w:tcPr>
            <w:tcW w:w="634" w:type="pct"/>
            <w:shd w:val="clear" w:color="auto" w:fill="auto"/>
            <w:noWrap/>
            <w:vAlign w:val="bottom"/>
            <w:hideMark/>
          </w:tcPr>
          <w:p w14:paraId="18F4D3A4" w14:textId="06A3A0C7"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148 138 </w:t>
            </w:r>
          </w:p>
        </w:tc>
        <w:tc>
          <w:tcPr>
            <w:tcW w:w="645" w:type="pct"/>
            <w:shd w:val="clear" w:color="auto" w:fill="auto"/>
            <w:noWrap/>
            <w:vAlign w:val="bottom"/>
            <w:hideMark/>
          </w:tcPr>
          <w:p w14:paraId="03680CC7" w14:textId="365E1E0D"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42 662 </w:t>
            </w:r>
          </w:p>
        </w:tc>
      </w:tr>
      <w:tr w:rsidR="003D0BC9" w:rsidRPr="00E4581C" w14:paraId="66E666F0" w14:textId="77777777" w:rsidTr="00B36368">
        <w:trPr>
          <w:trHeight w:val="215"/>
        </w:trPr>
        <w:tc>
          <w:tcPr>
            <w:tcW w:w="3086" w:type="pct"/>
            <w:shd w:val="clear" w:color="auto" w:fill="auto"/>
            <w:noWrap/>
            <w:vAlign w:val="bottom"/>
            <w:hideMark/>
          </w:tcPr>
          <w:p w14:paraId="3C66630A" w14:textId="765577AB"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Oficial Adjunto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2)</w:t>
            </w:r>
          </w:p>
        </w:tc>
        <w:tc>
          <w:tcPr>
            <w:tcW w:w="635" w:type="pct"/>
            <w:shd w:val="clear" w:color="auto" w:fill="auto"/>
            <w:noWrap/>
            <w:vAlign w:val="bottom"/>
            <w:hideMark/>
          </w:tcPr>
          <w:p w14:paraId="3EF24502" w14:textId="6E624516"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165 900 </w:t>
            </w:r>
          </w:p>
        </w:tc>
        <w:tc>
          <w:tcPr>
            <w:tcW w:w="634" w:type="pct"/>
            <w:shd w:val="clear" w:color="auto" w:fill="auto"/>
            <w:noWrap/>
            <w:vAlign w:val="bottom"/>
            <w:hideMark/>
          </w:tcPr>
          <w:p w14:paraId="6F4E376A" w14:textId="32DFB4BD"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90 747 </w:t>
            </w:r>
          </w:p>
        </w:tc>
        <w:tc>
          <w:tcPr>
            <w:tcW w:w="645" w:type="pct"/>
            <w:shd w:val="clear" w:color="auto" w:fill="auto"/>
            <w:noWrap/>
            <w:vAlign w:val="bottom"/>
            <w:hideMark/>
          </w:tcPr>
          <w:p w14:paraId="26B0C79C" w14:textId="6534B850"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75 153 </w:t>
            </w:r>
          </w:p>
        </w:tc>
      </w:tr>
      <w:tr w:rsidR="003D0BC9" w:rsidRPr="00E4581C" w14:paraId="09E12175" w14:textId="77777777" w:rsidTr="00B36368">
        <w:trPr>
          <w:trHeight w:val="215"/>
        </w:trPr>
        <w:tc>
          <w:tcPr>
            <w:tcW w:w="3086" w:type="pct"/>
            <w:tcBorders>
              <w:bottom w:val="single" w:sz="4" w:space="0" w:color="auto"/>
            </w:tcBorders>
            <w:shd w:val="clear" w:color="auto" w:fill="auto"/>
            <w:noWrap/>
            <w:vAlign w:val="bottom"/>
            <w:hideMark/>
          </w:tcPr>
          <w:p w14:paraId="3007F907" w14:textId="7BCEB3D0"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Oficial Adjunto de Programas (P</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 xml:space="preserve">2) </w:t>
            </w:r>
          </w:p>
        </w:tc>
        <w:tc>
          <w:tcPr>
            <w:tcW w:w="635" w:type="pct"/>
            <w:tcBorders>
              <w:bottom w:val="single" w:sz="4" w:space="0" w:color="auto"/>
            </w:tcBorders>
            <w:shd w:val="clear" w:color="auto" w:fill="auto"/>
            <w:noWrap/>
            <w:vAlign w:val="bottom"/>
            <w:hideMark/>
          </w:tcPr>
          <w:p w14:paraId="3CE95457" w14:textId="0DE58A9F"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165 900</w:t>
            </w:r>
          </w:p>
        </w:tc>
        <w:tc>
          <w:tcPr>
            <w:tcW w:w="634" w:type="pct"/>
            <w:tcBorders>
              <w:bottom w:val="single" w:sz="4" w:space="0" w:color="auto"/>
            </w:tcBorders>
            <w:shd w:val="clear" w:color="auto" w:fill="auto"/>
            <w:noWrap/>
            <w:vAlign w:val="bottom"/>
            <w:hideMark/>
          </w:tcPr>
          <w:p w14:paraId="5E555C6E" w14:textId="384FA88B"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73 321</w:t>
            </w:r>
          </w:p>
        </w:tc>
        <w:tc>
          <w:tcPr>
            <w:tcW w:w="645" w:type="pct"/>
            <w:tcBorders>
              <w:bottom w:val="single" w:sz="4" w:space="0" w:color="auto"/>
            </w:tcBorders>
            <w:shd w:val="clear" w:color="auto" w:fill="auto"/>
            <w:noWrap/>
            <w:vAlign w:val="bottom"/>
            <w:hideMark/>
          </w:tcPr>
          <w:p w14:paraId="0BC7C51A" w14:textId="5024FC4C"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92 579</w:t>
            </w:r>
          </w:p>
        </w:tc>
      </w:tr>
      <w:tr w:rsidR="003D0BC9" w:rsidRPr="00E4581C" w14:paraId="52DD8C0F"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1CCD4306" w14:textId="4AB38A54"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3.1.1 Personal del Cuadro Orgánico y categorías superiores</w:t>
            </w:r>
          </w:p>
        </w:tc>
        <w:tc>
          <w:tcPr>
            <w:tcW w:w="635" w:type="pct"/>
            <w:tcBorders>
              <w:top w:val="single" w:sz="4" w:space="0" w:color="auto"/>
              <w:bottom w:val="single" w:sz="4" w:space="0" w:color="auto"/>
            </w:tcBorders>
            <w:shd w:val="clear" w:color="auto" w:fill="auto"/>
            <w:noWrap/>
            <w:vAlign w:val="bottom"/>
            <w:hideMark/>
          </w:tcPr>
          <w:p w14:paraId="0990F588" w14:textId="42EF21A5"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1 232 800</w:t>
            </w:r>
          </w:p>
        </w:tc>
        <w:tc>
          <w:tcPr>
            <w:tcW w:w="634" w:type="pct"/>
            <w:tcBorders>
              <w:top w:val="single" w:sz="4" w:space="0" w:color="auto"/>
              <w:bottom w:val="single" w:sz="4" w:space="0" w:color="auto"/>
            </w:tcBorders>
            <w:shd w:val="clear" w:color="auto" w:fill="auto"/>
            <w:noWrap/>
            <w:vAlign w:val="bottom"/>
            <w:hideMark/>
          </w:tcPr>
          <w:p w14:paraId="1928064D" w14:textId="44707270"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734 613</w:t>
            </w:r>
          </w:p>
        </w:tc>
        <w:tc>
          <w:tcPr>
            <w:tcW w:w="645" w:type="pct"/>
            <w:tcBorders>
              <w:top w:val="single" w:sz="4" w:space="0" w:color="auto"/>
              <w:bottom w:val="single" w:sz="4" w:space="0" w:color="auto"/>
            </w:tcBorders>
            <w:shd w:val="clear" w:color="auto" w:fill="auto"/>
            <w:noWrap/>
            <w:vAlign w:val="bottom"/>
            <w:hideMark/>
          </w:tcPr>
          <w:p w14:paraId="2F866BAD" w14:textId="2BE84BBF"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498 187</w:t>
            </w:r>
          </w:p>
        </w:tc>
      </w:tr>
      <w:tr w:rsidR="003D0BC9" w:rsidRPr="00E4581C" w14:paraId="6F3E36F0" w14:textId="77777777" w:rsidTr="00B36368">
        <w:trPr>
          <w:trHeight w:val="215"/>
        </w:trPr>
        <w:tc>
          <w:tcPr>
            <w:tcW w:w="3086" w:type="pct"/>
            <w:tcBorders>
              <w:top w:val="single" w:sz="4" w:space="0" w:color="auto"/>
            </w:tcBorders>
            <w:shd w:val="clear" w:color="auto" w:fill="auto"/>
            <w:noWrap/>
            <w:vAlign w:val="bottom"/>
            <w:hideMark/>
          </w:tcPr>
          <w:p w14:paraId="18530ED7" w14:textId="18FE3D08"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3.1.2 Personal administrativo</w:t>
            </w:r>
          </w:p>
        </w:tc>
        <w:tc>
          <w:tcPr>
            <w:tcW w:w="635" w:type="pct"/>
            <w:tcBorders>
              <w:top w:val="single" w:sz="4" w:space="0" w:color="auto"/>
            </w:tcBorders>
            <w:shd w:val="clear" w:color="auto" w:fill="auto"/>
            <w:noWrap/>
            <w:vAlign w:val="bottom"/>
            <w:hideMark/>
          </w:tcPr>
          <w:p w14:paraId="456D1D74" w14:textId="3D6CA17F" w:rsidR="000958F5" w:rsidRPr="00E4581C" w:rsidRDefault="000958F5" w:rsidP="000D3AC4">
            <w:pPr>
              <w:spacing w:before="40" w:after="40" w:line="240" w:lineRule="auto"/>
              <w:jc w:val="right"/>
              <w:rPr>
                <w:rFonts w:ascii="Times New Roman" w:hAnsi="Times New Roman"/>
                <w:b/>
                <w:sz w:val="18"/>
                <w:szCs w:val="18"/>
                <w:lang w:val="es-ES_tradnl"/>
              </w:rPr>
            </w:pPr>
          </w:p>
        </w:tc>
        <w:tc>
          <w:tcPr>
            <w:tcW w:w="634" w:type="pct"/>
            <w:tcBorders>
              <w:top w:val="single" w:sz="4" w:space="0" w:color="auto"/>
            </w:tcBorders>
            <w:shd w:val="clear" w:color="auto" w:fill="auto"/>
            <w:noWrap/>
            <w:vAlign w:val="bottom"/>
            <w:hideMark/>
          </w:tcPr>
          <w:p w14:paraId="060FD2B2" w14:textId="732C2BEA" w:rsidR="000958F5" w:rsidRPr="00E4581C" w:rsidRDefault="000958F5" w:rsidP="000D3AC4">
            <w:pPr>
              <w:spacing w:before="40" w:after="40" w:line="240" w:lineRule="auto"/>
              <w:jc w:val="right"/>
              <w:rPr>
                <w:rFonts w:ascii="Times New Roman" w:hAnsi="Times New Roman"/>
                <w:b/>
                <w:sz w:val="18"/>
                <w:szCs w:val="18"/>
                <w:lang w:val="es-ES_tradnl"/>
              </w:rPr>
            </w:pPr>
          </w:p>
        </w:tc>
        <w:tc>
          <w:tcPr>
            <w:tcW w:w="645" w:type="pct"/>
            <w:tcBorders>
              <w:top w:val="single" w:sz="4" w:space="0" w:color="auto"/>
            </w:tcBorders>
            <w:shd w:val="clear" w:color="auto" w:fill="auto"/>
            <w:noWrap/>
            <w:vAlign w:val="bottom"/>
            <w:hideMark/>
          </w:tcPr>
          <w:p w14:paraId="2812AB31" w14:textId="687EF2A9" w:rsidR="000958F5" w:rsidRPr="00E4581C" w:rsidRDefault="000958F5" w:rsidP="000D3AC4">
            <w:pPr>
              <w:spacing w:before="40" w:after="40" w:line="240" w:lineRule="auto"/>
              <w:jc w:val="right"/>
              <w:rPr>
                <w:rFonts w:ascii="Times New Roman" w:hAnsi="Times New Roman"/>
                <w:b/>
                <w:sz w:val="18"/>
                <w:szCs w:val="18"/>
                <w:lang w:val="es-ES_tradnl"/>
              </w:rPr>
            </w:pPr>
          </w:p>
        </w:tc>
      </w:tr>
      <w:tr w:rsidR="003D0BC9" w:rsidRPr="00E4581C" w14:paraId="1305B834" w14:textId="77777777" w:rsidTr="00B36368">
        <w:trPr>
          <w:trHeight w:val="215"/>
        </w:trPr>
        <w:tc>
          <w:tcPr>
            <w:tcW w:w="3086" w:type="pct"/>
            <w:shd w:val="clear" w:color="auto" w:fill="auto"/>
            <w:noWrap/>
            <w:vAlign w:val="bottom"/>
            <w:hideMark/>
          </w:tcPr>
          <w:p w14:paraId="40CE819C" w14:textId="66092F5D"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Auxiliar administr</w:t>
            </w:r>
            <w:r w:rsidR="002C027F" w:rsidRPr="00E4581C">
              <w:rPr>
                <w:rFonts w:ascii="Times New Roman" w:hAnsi="Times New Roman"/>
                <w:sz w:val="18"/>
                <w:szCs w:val="18"/>
                <w:lang w:val="es-ES_tradnl"/>
              </w:rPr>
              <w:t>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6)</w:t>
            </w:r>
          </w:p>
        </w:tc>
        <w:tc>
          <w:tcPr>
            <w:tcW w:w="635" w:type="pct"/>
            <w:shd w:val="clear" w:color="auto" w:fill="auto"/>
            <w:noWrap/>
            <w:vAlign w:val="bottom"/>
            <w:hideMark/>
          </w:tcPr>
          <w:p w14:paraId="4D4F1137" w14:textId="21D18D01"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115 900</w:t>
            </w:r>
          </w:p>
        </w:tc>
        <w:tc>
          <w:tcPr>
            <w:tcW w:w="634" w:type="pct"/>
            <w:shd w:val="clear" w:color="auto" w:fill="auto"/>
            <w:noWrap/>
            <w:vAlign w:val="bottom"/>
            <w:hideMark/>
          </w:tcPr>
          <w:p w14:paraId="6D54591F" w14:textId="50D0642F"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41 280</w:t>
            </w:r>
          </w:p>
        </w:tc>
        <w:tc>
          <w:tcPr>
            <w:tcW w:w="645" w:type="pct"/>
            <w:shd w:val="clear" w:color="auto" w:fill="auto"/>
            <w:noWrap/>
            <w:vAlign w:val="bottom"/>
            <w:hideMark/>
          </w:tcPr>
          <w:p w14:paraId="57EBFAEA" w14:textId="5154DC6B"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74 620</w:t>
            </w:r>
          </w:p>
        </w:tc>
      </w:tr>
      <w:tr w:rsidR="003D0BC9" w:rsidRPr="00E4581C" w14:paraId="1C1AB172" w14:textId="77777777" w:rsidTr="00B36368">
        <w:trPr>
          <w:trHeight w:val="215"/>
        </w:trPr>
        <w:tc>
          <w:tcPr>
            <w:tcW w:w="3086" w:type="pct"/>
            <w:shd w:val="clear" w:color="auto" w:fill="auto"/>
            <w:noWrap/>
            <w:vAlign w:val="bottom"/>
            <w:hideMark/>
          </w:tcPr>
          <w:p w14:paraId="5D786A85" w14:textId="66143B79"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6)</w:t>
            </w:r>
          </w:p>
        </w:tc>
        <w:tc>
          <w:tcPr>
            <w:tcW w:w="635" w:type="pct"/>
            <w:shd w:val="clear" w:color="auto" w:fill="auto"/>
            <w:noWrap/>
            <w:vAlign w:val="bottom"/>
            <w:hideMark/>
          </w:tcPr>
          <w:p w14:paraId="6F9B6307" w14:textId="41889F7D"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115 900</w:t>
            </w:r>
          </w:p>
        </w:tc>
        <w:tc>
          <w:tcPr>
            <w:tcW w:w="634" w:type="pct"/>
            <w:shd w:val="clear" w:color="auto" w:fill="auto"/>
            <w:noWrap/>
            <w:vAlign w:val="bottom"/>
            <w:hideMark/>
          </w:tcPr>
          <w:p w14:paraId="37330745" w14:textId="16081B70"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24 937</w:t>
            </w:r>
          </w:p>
        </w:tc>
        <w:tc>
          <w:tcPr>
            <w:tcW w:w="645" w:type="pct"/>
            <w:shd w:val="clear" w:color="auto" w:fill="auto"/>
            <w:noWrap/>
            <w:vAlign w:val="bottom"/>
            <w:hideMark/>
          </w:tcPr>
          <w:p w14:paraId="3BAAA221" w14:textId="428BBB48"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90 963</w:t>
            </w:r>
          </w:p>
        </w:tc>
      </w:tr>
      <w:tr w:rsidR="003D0BC9" w:rsidRPr="00E4581C" w14:paraId="53D1ACC5" w14:textId="77777777" w:rsidTr="00B36368">
        <w:trPr>
          <w:trHeight w:val="215"/>
        </w:trPr>
        <w:tc>
          <w:tcPr>
            <w:tcW w:w="3086" w:type="pct"/>
            <w:shd w:val="clear" w:color="auto" w:fill="auto"/>
            <w:noWrap/>
            <w:vAlign w:val="bottom"/>
            <w:hideMark/>
          </w:tcPr>
          <w:p w14:paraId="471613A4" w14:textId="2BC92722"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 xml:space="preserve">5) </w:t>
            </w:r>
          </w:p>
        </w:tc>
        <w:tc>
          <w:tcPr>
            <w:tcW w:w="635" w:type="pct"/>
            <w:shd w:val="clear" w:color="auto" w:fill="auto"/>
            <w:noWrap/>
            <w:vAlign w:val="bottom"/>
            <w:hideMark/>
          </w:tcPr>
          <w:p w14:paraId="34FC6161" w14:textId="71302484"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115 900</w:t>
            </w:r>
          </w:p>
        </w:tc>
        <w:tc>
          <w:tcPr>
            <w:tcW w:w="634" w:type="pct"/>
            <w:shd w:val="clear" w:color="auto" w:fill="auto"/>
            <w:noWrap/>
            <w:vAlign w:val="bottom"/>
            <w:hideMark/>
          </w:tcPr>
          <w:p w14:paraId="5130A82B" w14:textId="182B865E"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59 485</w:t>
            </w:r>
          </w:p>
        </w:tc>
        <w:tc>
          <w:tcPr>
            <w:tcW w:w="645" w:type="pct"/>
            <w:shd w:val="clear" w:color="auto" w:fill="auto"/>
            <w:noWrap/>
            <w:vAlign w:val="bottom"/>
            <w:hideMark/>
          </w:tcPr>
          <w:p w14:paraId="52B062F8" w14:textId="06F7C276"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56 415</w:t>
            </w:r>
          </w:p>
        </w:tc>
      </w:tr>
      <w:tr w:rsidR="003D0BC9" w:rsidRPr="00E4581C" w14:paraId="6CF06EBD" w14:textId="77777777" w:rsidTr="00B36368">
        <w:trPr>
          <w:trHeight w:val="215"/>
        </w:trPr>
        <w:tc>
          <w:tcPr>
            <w:tcW w:w="3086" w:type="pct"/>
            <w:shd w:val="clear" w:color="auto" w:fill="auto"/>
            <w:noWrap/>
            <w:vAlign w:val="bottom"/>
            <w:hideMark/>
          </w:tcPr>
          <w:p w14:paraId="2DDDD1E4" w14:textId="138AF1A5"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 xml:space="preserve">5) </w:t>
            </w:r>
          </w:p>
        </w:tc>
        <w:tc>
          <w:tcPr>
            <w:tcW w:w="635" w:type="pct"/>
            <w:shd w:val="clear" w:color="auto" w:fill="auto"/>
            <w:noWrap/>
            <w:vAlign w:val="bottom"/>
            <w:hideMark/>
          </w:tcPr>
          <w:p w14:paraId="31C9E6E1" w14:textId="33EC5F07"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115 900</w:t>
            </w:r>
          </w:p>
        </w:tc>
        <w:tc>
          <w:tcPr>
            <w:tcW w:w="634" w:type="pct"/>
            <w:shd w:val="clear" w:color="auto" w:fill="auto"/>
            <w:noWrap/>
            <w:vAlign w:val="bottom"/>
            <w:hideMark/>
          </w:tcPr>
          <w:p w14:paraId="29AB116B" w14:textId="240EC86B"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58 432</w:t>
            </w:r>
          </w:p>
        </w:tc>
        <w:tc>
          <w:tcPr>
            <w:tcW w:w="645" w:type="pct"/>
            <w:shd w:val="clear" w:color="auto" w:fill="auto"/>
            <w:noWrap/>
            <w:vAlign w:val="bottom"/>
            <w:hideMark/>
          </w:tcPr>
          <w:p w14:paraId="22C7FAE2" w14:textId="2BB524FC"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57 468</w:t>
            </w:r>
          </w:p>
        </w:tc>
      </w:tr>
      <w:tr w:rsidR="003D0BC9" w:rsidRPr="00E4581C" w14:paraId="2A721649" w14:textId="77777777" w:rsidTr="00B36368">
        <w:trPr>
          <w:trHeight w:val="215"/>
        </w:trPr>
        <w:tc>
          <w:tcPr>
            <w:tcW w:w="3086" w:type="pct"/>
            <w:tcBorders>
              <w:bottom w:val="single" w:sz="4" w:space="0" w:color="auto"/>
            </w:tcBorders>
            <w:shd w:val="clear" w:color="auto" w:fill="auto"/>
            <w:noWrap/>
            <w:vAlign w:val="bottom"/>
            <w:hideMark/>
          </w:tcPr>
          <w:p w14:paraId="5ED5432B" w14:textId="403294B1" w:rsidR="000958F5" w:rsidRPr="00E4581C" w:rsidRDefault="000958F5" w:rsidP="002C027F">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Auxiliar administrativo (G</w:t>
            </w:r>
            <w:r w:rsidR="00356A65" w:rsidRPr="00E4581C">
              <w:rPr>
                <w:rFonts w:ascii="Times New Roman" w:hAnsi="Times New Roman"/>
                <w:sz w:val="18"/>
                <w:szCs w:val="18"/>
                <w:lang w:val="es-ES_tradnl"/>
              </w:rPr>
              <w:noBreakHyphen/>
            </w:r>
            <w:r w:rsidRPr="00E4581C">
              <w:rPr>
                <w:rFonts w:ascii="Times New Roman" w:hAnsi="Times New Roman"/>
                <w:sz w:val="18"/>
                <w:szCs w:val="18"/>
                <w:lang w:val="es-ES_tradnl"/>
              </w:rPr>
              <w:t>5)</w:t>
            </w:r>
          </w:p>
        </w:tc>
        <w:tc>
          <w:tcPr>
            <w:tcW w:w="635" w:type="pct"/>
            <w:tcBorders>
              <w:bottom w:val="single" w:sz="4" w:space="0" w:color="auto"/>
            </w:tcBorders>
            <w:shd w:val="clear" w:color="auto" w:fill="auto"/>
            <w:noWrap/>
            <w:vAlign w:val="bottom"/>
            <w:hideMark/>
          </w:tcPr>
          <w:p w14:paraId="367EA1DD" w14:textId="1A7F410F"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115 900</w:t>
            </w:r>
          </w:p>
        </w:tc>
        <w:tc>
          <w:tcPr>
            <w:tcW w:w="634" w:type="pct"/>
            <w:tcBorders>
              <w:bottom w:val="single" w:sz="4" w:space="0" w:color="auto"/>
            </w:tcBorders>
            <w:shd w:val="clear" w:color="auto" w:fill="auto"/>
            <w:noWrap/>
            <w:vAlign w:val="bottom"/>
            <w:hideMark/>
          </w:tcPr>
          <w:p w14:paraId="33145B93" w14:textId="6A73A61C"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41 494</w:t>
            </w:r>
          </w:p>
        </w:tc>
        <w:tc>
          <w:tcPr>
            <w:tcW w:w="645" w:type="pct"/>
            <w:tcBorders>
              <w:bottom w:val="single" w:sz="4" w:space="0" w:color="auto"/>
            </w:tcBorders>
            <w:shd w:val="clear" w:color="auto" w:fill="auto"/>
            <w:noWrap/>
            <w:vAlign w:val="bottom"/>
            <w:hideMark/>
          </w:tcPr>
          <w:p w14:paraId="2F09EA66" w14:textId="49872992"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74 406</w:t>
            </w:r>
          </w:p>
        </w:tc>
      </w:tr>
      <w:tr w:rsidR="003D0BC9" w:rsidRPr="00E4581C" w14:paraId="6B7105FA"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75CDB014" w14:textId="769562CE"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3.1.2 Personal administrativo</w:t>
            </w:r>
          </w:p>
        </w:tc>
        <w:tc>
          <w:tcPr>
            <w:tcW w:w="635" w:type="pct"/>
            <w:tcBorders>
              <w:top w:val="single" w:sz="4" w:space="0" w:color="auto"/>
              <w:bottom w:val="single" w:sz="4" w:space="0" w:color="auto"/>
            </w:tcBorders>
            <w:shd w:val="clear" w:color="auto" w:fill="auto"/>
            <w:noWrap/>
            <w:vAlign w:val="bottom"/>
            <w:hideMark/>
          </w:tcPr>
          <w:p w14:paraId="6EE8ECFE" w14:textId="7F8888B4"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579 500</w:t>
            </w:r>
          </w:p>
        </w:tc>
        <w:tc>
          <w:tcPr>
            <w:tcW w:w="634" w:type="pct"/>
            <w:tcBorders>
              <w:top w:val="single" w:sz="4" w:space="0" w:color="auto"/>
              <w:bottom w:val="single" w:sz="4" w:space="0" w:color="auto"/>
            </w:tcBorders>
            <w:shd w:val="clear" w:color="auto" w:fill="auto"/>
            <w:noWrap/>
            <w:vAlign w:val="bottom"/>
            <w:hideMark/>
          </w:tcPr>
          <w:p w14:paraId="78D8C4AE" w14:textId="2D377E51"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225 628 </w:t>
            </w:r>
          </w:p>
        </w:tc>
        <w:tc>
          <w:tcPr>
            <w:tcW w:w="645" w:type="pct"/>
            <w:tcBorders>
              <w:top w:val="single" w:sz="4" w:space="0" w:color="auto"/>
              <w:bottom w:val="single" w:sz="4" w:space="0" w:color="auto"/>
            </w:tcBorders>
            <w:shd w:val="clear" w:color="auto" w:fill="auto"/>
            <w:noWrap/>
            <w:vAlign w:val="bottom"/>
            <w:hideMark/>
          </w:tcPr>
          <w:p w14:paraId="2EFE4385" w14:textId="4B663400"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353 872 </w:t>
            </w:r>
          </w:p>
        </w:tc>
      </w:tr>
      <w:tr w:rsidR="003D0BC9" w:rsidRPr="00E4581C" w14:paraId="3D880A89"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69FF3EA8" w14:textId="20BEB883" w:rsidR="000958F5" w:rsidRPr="00E4581C" w:rsidRDefault="000958F5" w:rsidP="000D3AC4">
            <w:pPr>
              <w:spacing w:before="40" w:after="40" w:line="240" w:lineRule="auto"/>
              <w:rPr>
                <w:rFonts w:ascii="Times New Roman" w:eastAsia="Times New Roman" w:hAnsi="Times New Roman"/>
                <w:b/>
                <w:bCs/>
                <w:sz w:val="18"/>
                <w:szCs w:val="18"/>
                <w:lang w:val="es-ES_tradnl"/>
              </w:rPr>
            </w:pPr>
            <w:r w:rsidRPr="00E4581C">
              <w:rPr>
                <w:rFonts w:ascii="Times New Roman" w:hAnsi="Times New Roman"/>
                <w:b/>
                <w:bCs/>
                <w:sz w:val="18"/>
                <w:szCs w:val="18"/>
                <w:lang w:val="es-ES_tradnl"/>
              </w:rPr>
              <w:t>Total parcial 3.1 Personal</w:t>
            </w:r>
          </w:p>
        </w:tc>
        <w:tc>
          <w:tcPr>
            <w:tcW w:w="635" w:type="pct"/>
            <w:tcBorders>
              <w:top w:val="single" w:sz="4" w:space="0" w:color="auto"/>
              <w:bottom w:val="single" w:sz="4" w:space="0" w:color="auto"/>
            </w:tcBorders>
            <w:shd w:val="clear" w:color="auto" w:fill="auto"/>
            <w:noWrap/>
            <w:vAlign w:val="bottom"/>
            <w:hideMark/>
          </w:tcPr>
          <w:p w14:paraId="0013902C" w14:textId="6770DCBD"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1 812 300</w:t>
            </w:r>
          </w:p>
        </w:tc>
        <w:tc>
          <w:tcPr>
            <w:tcW w:w="634" w:type="pct"/>
            <w:tcBorders>
              <w:top w:val="single" w:sz="4" w:space="0" w:color="auto"/>
              <w:bottom w:val="single" w:sz="4" w:space="0" w:color="auto"/>
            </w:tcBorders>
            <w:shd w:val="clear" w:color="auto" w:fill="auto"/>
            <w:noWrap/>
            <w:vAlign w:val="bottom"/>
            <w:hideMark/>
          </w:tcPr>
          <w:p w14:paraId="098E92FF" w14:textId="6363E1EF"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 xml:space="preserve">960 240 </w:t>
            </w:r>
          </w:p>
        </w:tc>
        <w:tc>
          <w:tcPr>
            <w:tcW w:w="645" w:type="pct"/>
            <w:tcBorders>
              <w:top w:val="single" w:sz="4" w:space="0" w:color="auto"/>
              <w:bottom w:val="single" w:sz="4" w:space="0" w:color="auto"/>
            </w:tcBorders>
            <w:shd w:val="clear" w:color="auto" w:fill="auto"/>
            <w:noWrap/>
            <w:vAlign w:val="bottom"/>
            <w:hideMark/>
          </w:tcPr>
          <w:p w14:paraId="3DA9FE28" w14:textId="758D5125"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 xml:space="preserve">852 060 </w:t>
            </w:r>
          </w:p>
        </w:tc>
      </w:tr>
      <w:tr w:rsidR="003D0BC9" w:rsidRPr="000930FA" w14:paraId="2CD5EFB5" w14:textId="77777777" w:rsidTr="00B36368">
        <w:trPr>
          <w:trHeight w:val="215"/>
        </w:trPr>
        <w:tc>
          <w:tcPr>
            <w:tcW w:w="3086" w:type="pct"/>
            <w:tcBorders>
              <w:top w:val="single" w:sz="4" w:space="0" w:color="auto"/>
            </w:tcBorders>
            <w:shd w:val="clear" w:color="auto" w:fill="auto"/>
            <w:noWrap/>
            <w:vAlign w:val="bottom"/>
            <w:hideMark/>
          </w:tcPr>
          <w:p w14:paraId="2708EE68" w14:textId="3390D7CE" w:rsidR="000958F5" w:rsidRPr="00E4581C" w:rsidRDefault="000958F5" w:rsidP="003A5C90">
            <w:pPr>
              <w:keepNext/>
              <w:keepLines/>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3.2 Secretaría: gastos de funcionamiento (no relacionados con el personal)</w:t>
            </w:r>
          </w:p>
        </w:tc>
        <w:tc>
          <w:tcPr>
            <w:tcW w:w="635" w:type="pct"/>
            <w:tcBorders>
              <w:top w:val="single" w:sz="4" w:space="0" w:color="auto"/>
            </w:tcBorders>
            <w:shd w:val="clear" w:color="auto" w:fill="auto"/>
            <w:noWrap/>
            <w:vAlign w:val="bottom"/>
            <w:hideMark/>
          </w:tcPr>
          <w:p w14:paraId="1CAECDF2" w14:textId="12B1DA0F" w:rsidR="000958F5" w:rsidRPr="00E4581C" w:rsidRDefault="000958F5" w:rsidP="003A5C90">
            <w:pPr>
              <w:keepNext/>
              <w:keepLines/>
              <w:spacing w:before="40" w:after="40" w:line="240" w:lineRule="auto"/>
              <w:jc w:val="right"/>
              <w:rPr>
                <w:rFonts w:ascii="Times New Roman" w:hAnsi="Times New Roman"/>
                <w:b/>
                <w:sz w:val="18"/>
                <w:szCs w:val="18"/>
                <w:lang w:val="es-ES_tradnl"/>
              </w:rPr>
            </w:pPr>
          </w:p>
        </w:tc>
        <w:tc>
          <w:tcPr>
            <w:tcW w:w="634" w:type="pct"/>
            <w:tcBorders>
              <w:top w:val="single" w:sz="4" w:space="0" w:color="auto"/>
            </w:tcBorders>
            <w:shd w:val="clear" w:color="auto" w:fill="auto"/>
            <w:noWrap/>
            <w:vAlign w:val="bottom"/>
            <w:hideMark/>
          </w:tcPr>
          <w:p w14:paraId="791F7F4C" w14:textId="1AC4CE18" w:rsidR="000958F5" w:rsidRPr="00E4581C" w:rsidRDefault="000958F5" w:rsidP="003A5C90">
            <w:pPr>
              <w:keepNext/>
              <w:keepLines/>
              <w:spacing w:before="40" w:after="40" w:line="240" w:lineRule="auto"/>
              <w:jc w:val="right"/>
              <w:rPr>
                <w:rFonts w:ascii="Times New Roman" w:hAnsi="Times New Roman"/>
                <w:b/>
                <w:sz w:val="18"/>
                <w:szCs w:val="18"/>
                <w:lang w:val="es-ES_tradnl"/>
              </w:rPr>
            </w:pPr>
          </w:p>
        </w:tc>
        <w:tc>
          <w:tcPr>
            <w:tcW w:w="645" w:type="pct"/>
            <w:tcBorders>
              <w:top w:val="single" w:sz="4" w:space="0" w:color="auto"/>
            </w:tcBorders>
            <w:shd w:val="clear" w:color="auto" w:fill="auto"/>
            <w:noWrap/>
            <w:vAlign w:val="bottom"/>
            <w:hideMark/>
          </w:tcPr>
          <w:p w14:paraId="48638444" w14:textId="0B232EF0" w:rsidR="000958F5" w:rsidRPr="00E4581C" w:rsidRDefault="000958F5" w:rsidP="003A5C90">
            <w:pPr>
              <w:keepNext/>
              <w:keepLines/>
              <w:spacing w:before="40" w:after="40" w:line="240" w:lineRule="auto"/>
              <w:jc w:val="right"/>
              <w:rPr>
                <w:rFonts w:ascii="Times New Roman" w:hAnsi="Times New Roman"/>
                <w:b/>
                <w:sz w:val="18"/>
                <w:szCs w:val="18"/>
                <w:lang w:val="es-ES_tradnl"/>
              </w:rPr>
            </w:pPr>
          </w:p>
        </w:tc>
      </w:tr>
      <w:tr w:rsidR="003D0BC9" w:rsidRPr="000930FA" w14:paraId="54C8F036" w14:textId="77777777" w:rsidTr="00B36368">
        <w:trPr>
          <w:trHeight w:val="215"/>
        </w:trPr>
        <w:tc>
          <w:tcPr>
            <w:tcW w:w="3086" w:type="pct"/>
            <w:shd w:val="clear" w:color="auto" w:fill="auto"/>
            <w:noWrap/>
            <w:vAlign w:val="bottom"/>
            <w:hideMark/>
          </w:tcPr>
          <w:p w14:paraId="2659C5C7" w14:textId="05CA3616" w:rsidR="000958F5" w:rsidRPr="00E4581C" w:rsidRDefault="000958F5" w:rsidP="003A5C90">
            <w:pPr>
              <w:keepNext/>
              <w:keepLines/>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3.2.1 Viajes en comisión de servicio</w:t>
            </w:r>
          </w:p>
        </w:tc>
        <w:tc>
          <w:tcPr>
            <w:tcW w:w="635" w:type="pct"/>
            <w:shd w:val="clear" w:color="auto" w:fill="auto"/>
            <w:noWrap/>
            <w:vAlign w:val="bottom"/>
            <w:hideMark/>
          </w:tcPr>
          <w:p w14:paraId="5D0520A8" w14:textId="4C0730EA" w:rsidR="000958F5" w:rsidRPr="00E4581C" w:rsidRDefault="000958F5" w:rsidP="003A5C90">
            <w:pPr>
              <w:keepNext/>
              <w:keepLines/>
              <w:spacing w:before="40" w:after="40" w:line="240" w:lineRule="auto"/>
              <w:jc w:val="right"/>
              <w:rPr>
                <w:rFonts w:ascii="Times New Roman" w:hAnsi="Times New Roman"/>
                <w:b/>
                <w:sz w:val="18"/>
                <w:szCs w:val="18"/>
                <w:lang w:val="es-ES_tradnl"/>
              </w:rPr>
            </w:pPr>
          </w:p>
        </w:tc>
        <w:tc>
          <w:tcPr>
            <w:tcW w:w="634" w:type="pct"/>
            <w:shd w:val="clear" w:color="auto" w:fill="auto"/>
            <w:noWrap/>
            <w:vAlign w:val="bottom"/>
            <w:hideMark/>
          </w:tcPr>
          <w:p w14:paraId="28C2C42B" w14:textId="47DD95B3" w:rsidR="000958F5" w:rsidRPr="00E4581C" w:rsidRDefault="000958F5" w:rsidP="003A5C90">
            <w:pPr>
              <w:keepNext/>
              <w:keepLines/>
              <w:spacing w:before="40" w:after="40" w:line="240" w:lineRule="auto"/>
              <w:jc w:val="right"/>
              <w:rPr>
                <w:rFonts w:ascii="Times New Roman" w:hAnsi="Times New Roman"/>
                <w:b/>
                <w:sz w:val="18"/>
                <w:szCs w:val="18"/>
                <w:lang w:val="es-ES_tradnl"/>
              </w:rPr>
            </w:pPr>
          </w:p>
        </w:tc>
        <w:tc>
          <w:tcPr>
            <w:tcW w:w="645" w:type="pct"/>
            <w:shd w:val="clear" w:color="auto" w:fill="auto"/>
            <w:noWrap/>
            <w:vAlign w:val="bottom"/>
            <w:hideMark/>
          </w:tcPr>
          <w:p w14:paraId="52EC781E" w14:textId="5FCC53D9" w:rsidR="000958F5" w:rsidRPr="00E4581C" w:rsidRDefault="000958F5" w:rsidP="003A5C90">
            <w:pPr>
              <w:keepNext/>
              <w:keepLines/>
              <w:spacing w:before="40" w:after="40" w:line="240" w:lineRule="auto"/>
              <w:jc w:val="right"/>
              <w:rPr>
                <w:rFonts w:ascii="Times New Roman" w:hAnsi="Times New Roman"/>
                <w:b/>
                <w:sz w:val="18"/>
                <w:szCs w:val="18"/>
                <w:lang w:val="es-ES_tradnl"/>
              </w:rPr>
            </w:pPr>
          </w:p>
        </w:tc>
      </w:tr>
      <w:tr w:rsidR="003D0BC9" w:rsidRPr="00E4581C" w14:paraId="0ED7CBA3" w14:textId="77777777" w:rsidTr="00B36368">
        <w:trPr>
          <w:trHeight w:val="215"/>
        </w:trPr>
        <w:tc>
          <w:tcPr>
            <w:tcW w:w="3086" w:type="pct"/>
            <w:tcBorders>
              <w:bottom w:val="single" w:sz="4" w:space="0" w:color="auto"/>
            </w:tcBorders>
            <w:shd w:val="clear" w:color="auto" w:fill="auto"/>
            <w:noWrap/>
            <w:vAlign w:val="bottom"/>
            <w:hideMark/>
          </w:tcPr>
          <w:p w14:paraId="3BB4353D" w14:textId="7F4B3E57" w:rsidR="000958F5" w:rsidRPr="00E4581C" w:rsidRDefault="000958F5" w:rsidP="003A5C90">
            <w:pPr>
              <w:keepNext/>
              <w:keepLines/>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Viajes oficiales</w:t>
            </w:r>
          </w:p>
        </w:tc>
        <w:tc>
          <w:tcPr>
            <w:tcW w:w="635" w:type="pct"/>
            <w:tcBorders>
              <w:bottom w:val="single" w:sz="4" w:space="0" w:color="auto"/>
            </w:tcBorders>
            <w:shd w:val="clear" w:color="auto" w:fill="auto"/>
            <w:noWrap/>
            <w:vAlign w:val="bottom"/>
            <w:hideMark/>
          </w:tcPr>
          <w:p w14:paraId="0B6B350A" w14:textId="12D93E0D" w:rsidR="000958F5" w:rsidRPr="00E4581C" w:rsidRDefault="000958F5" w:rsidP="003A5C90">
            <w:pPr>
              <w:keepNext/>
              <w:keepLines/>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120 000</w:t>
            </w:r>
          </w:p>
        </w:tc>
        <w:tc>
          <w:tcPr>
            <w:tcW w:w="634" w:type="pct"/>
            <w:tcBorders>
              <w:bottom w:val="single" w:sz="4" w:space="0" w:color="auto"/>
            </w:tcBorders>
            <w:shd w:val="clear" w:color="auto" w:fill="auto"/>
            <w:noWrap/>
            <w:vAlign w:val="bottom"/>
            <w:hideMark/>
          </w:tcPr>
          <w:p w14:paraId="2ADE65E0" w14:textId="68A61E19" w:rsidR="000958F5" w:rsidRPr="00E4581C" w:rsidRDefault="000958F5" w:rsidP="003A5C90">
            <w:pPr>
              <w:keepNext/>
              <w:keepLines/>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66 898</w:t>
            </w:r>
          </w:p>
        </w:tc>
        <w:tc>
          <w:tcPr>
            <w:tcW w:w="645" w:type="pct"/>
            <w:tcBorders>
              <w:bottom w:val="single" w:sz="4" w:space="0" w:color="auto"/>
            </w:tcBorders>
            <w:shd w:val="clear" w:color="auto" w:fill="auto"/>
            <w:noWrap/>
            <w:vAlign w:val="bottom"/>
            <w:hideMark/>
          </w:tcPr>
          <w:p w14:paraId="30F7006B" w14:textId="3CB9A18B" w:rsidR="000958F5" w:rsidRPr="00E4581C" w:rsidRDefault="000958F5" w:rsidP="003A5C90">
            <w:pPr>
              <w:keepNext/>
              <w:keepLines/>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53 102</w:t>
            </w:r>
          </w:p>
        </w:tc>
      </w:tr>
      <w:tr w:rsidR="003D0BC9" w:rsidRPr="00E4581C" w14:paraId="58620050"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07ABD9A0" w14:textId="4FB93B87" w:rsidR="000958F5" w:rsidRPr="00E4581C" w:rsidRDefault="000958F5" w:rsidP="000D3AC4">
            <w:pPr>
              <w:spacing w:before="40" w:after="40" w:line="240" w:lineRule="auto"/>
              <w:rPr>
                <w:rFonts w:ascii="Times New Roman" w:eastAsia="Times New Roman" w:hAnsi="Times New Roman"/>
                <w:b/>
                <w:sz w:val="18"/>
                <w:szCs w:val="18"/>
                <w:lang w:val="es-ES_tradnl"/>
              </w:rPr>
            </w:pPr>
            <w:r w:rsidRPr="00E4581C">
              <w:rPr>
                <w:rFonts w:ascii="Times New Roman" w:hAnsi="Times New Roman"/>
                <w:b/>
                <w:bCs/>
                <w:sz w:val="18"/>
                <w:szCs w:val="18"/>
                <w:lang w:val="es-ES_tradnl"/>
              </w:rPr>
              <w:t>Total parcial 3.2.1 Viajes en comisión de servicio</w:t>
            </w:r>
          </w:p>
        </w:tc>
        <w:tc>
          <w:tcPr>
            <w:tcW w:w="635" w:type="pct"/>
            <w:tcBorders>
              <w:top w:val="single" w:sz="4" w:space="0" w:color="auto"/>
              <w:bottom w:val="single" w:sz="4" w:space="0" w:color="auto"/>
            </w:tcBorders>
            <w:shd w:val="clear" w:color="auto" w:fill="auto"/>
            <w:noWrap/>
            <w:vAlign w:val="bottom"/>
            <w:hideMark/>
          </w:tcPr>
          <w:p w14:paraId="66C88572" w14:textId="78CE1592" w:rsidR="000958F5" w:rsidRPr="00E4581C" w:rsidRDefault="000958F5" w:rsidP="000D3AC4">
            <w:pPr>
              <w:spacing w:before="40" w:after="40" w:line="240" w:lineRule="auto"/>
              <w:jc w:val="right"/>
              <w:rPr>
                <w:rFonts w:ascii="Times New Roman" w:eastAsia="Times New Roman" w:hAnsi="Times New Roman"/>
                <w:b/>
                <w:sz w:val="18"/>
                <w:szCs w:val="18"/>
                <w:lang w:val="es-ES_tradnl"/>
              </w:rPr>
            </w:pPr>
            <w:r w:rsidRPr="00E4581C">
              <w:rPr>
                <w:rFonts w:ascii="Times New Roman" w:hAnsi="Times New Roman"/>
                <w:b/>
                <w:sz w:val="18"/>
                <w:szCs w:val="18"/>
                <w:lang w:val="es-ES_tradnl"/>
              </w:rPr>
              <w:t>120 000</w:t>
            </w:r>
          </w:p>
        </w:tc>
        <w:tc>
          <w:tcPr>
            <w:tcW w:w="634" w:type="pct"/>
            <w:tcBorders>
              <w:top w:val="single" w:sz="4" w:space="0" w:color="auto"/>
              <w:bottom w:val="single" w:sz="4" w:space="0" w:color="auto"/>
            </w:tcBorders>
            <w:shd w:val="clear" w:color="auto" w:fill="auto"/>
            <w:noWrap/>
            <w:vAlign w:val="bottom"/>
            <w:hideMark/>
          </w:tcPr>
          <w:p w14:paraId="35B45AB4" w14:textId="3246FEB4" w:rsidR="000958F5" w:rsidRPr="00E4581C" w:rsidRDefault="000958F5" w:rsidP="000D3AC4">
            <w:pPr>
              <w:spacing w:before="40" w:after="40" w:line="240" w:lineRule="auto"/>
              <w:jc w:val="right"/>
              <w:rPr>
                <w:rFonts w:ascii="Times New Roman" w:eastAsia="Times New Roman" w:hAnsi="Times New Roman"/>
                <w:b/>
                <w:sz w:val="18"/>
                <w:szCs w:val="18"/>
                <w:lang w:val="es-ES_tradnl"/>
              </w:rPr>
            </w:pPr>
            <w:r w:rsidRPr="00E4581C">
              <w:rPr>
                <w:rFonts w:ascii="Times New Roman" w:hAnsi="Times New Roman"/>
                <w:b/>
                <w:sz w:val="18"/>
                <w:szCs w:val="18"/>
                <w:lang w:val="es-ES_tradnl"/>
              </w:rPr>
              <w:t>66 898</w:t>
            </w:r>
          </w:p>
        </w:tc>
        <w:tc>
          <w:tcPr>
            <w:tcW w:w="645" w:type="pct"/>
            <w:tcBorders>
              <w:top w:val="single" w:sz="4" w:space="0" w:color="auto"/>
              <w:bottom w:val="single" w:sz="4" w:space="0" w:color="auto"/>
            </w:tcBorders>
            <w:shd w:val="clear" w:color="auto" w:fill="auto"/>
            <w:noWrap/>
            <w:vAlign w:val="bottom"/>
            <w:hideMark/>
          </w:tcPr>
          <w:p w14:paraId="630881A2" w14:textId="3877390C" w:rsidR="000958F5" w:rsidRPr="00E4581C" w:rsidRDefault="000958F5" w:rsidP="000D3AC4">
            <w:pPr>
              <w:spacing w:before="40" w:after="40" w:line="240" w:lineRule="auto"/>
              <w:jc w:val="right"/>
              <w:rPr>
                <w:rFonts w:ascii="Times New Roman" w:eastAsia="Times New Roman" w:hAnsi="Times New Roman"/>
                <w:b/>
                <w:sz w:val="18"/>
                <w:szCs w:val="18"/>
                <w:lang w:val="es-ES_tradnl"/>
              </w:rPr>
            </w:pPr>
            <w:r w:rsidRPr="00E4581C">
              <w:rPr>
                <w:rFonts w:ascii="Times New Roman" w:hAnsi="Times New Roman"/>
                <w:b/>
                <w:sz w:val="18"/>
                <w:szCs w:val="18"/>
                <w:lang w:val="es-ES_tradnl"/>
              </w:rPr>
              <w:t>53 102</w:t>
            </w:r>
          </w:p>
        </w:tc>
      </w:tr>
      <w:tr w:rsidR="003D0BC9" w:rsidRPr="00E4581C" w14:paraId="6BAAF3BE" w14:textId="77777777" w:rsidTr="00B36368">
        <w:trPr>
          <w:trHeight w:val="215"/>
        </w:trPr>
        <w:tc>
          <w:tcPr>
            <w:tcW w:w="3086" w:type="pct"/>
            <w:tcBorders>
              <w:top w:val="single" w:sz="4" w:space="0" w:color="auto"/>
            </w:tcBorders>
            <w:shd w:val="clear" w:color="auto" w:fill="auto"/>
            <w:noWrap/>
            <w:vAlign w:val="bottom"/>
            <w:hideMark/>
          </w:tcPr>
          <w:p w14:paraId="42B2DC72" w14:textId="45B9C3A1"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lastRenderedPageBreak/>
              <w:t>3.2.2 Capacitación del personal</w:t>
            </w:r>
            <w:r w:rsidRPr="00E4581C">
              <w:rPr>
                <w:rFonts w:ascii="Times New Roman" w:hAnsi="Times New Roman"/>
                <w:sz w:val="18"/>
                <w:szCs w:val="18"/>
                <w:lang w:val="es-ES_tradnl"/>
              </w:rPr>
              <w:t xml:space="preserve"> </w:t>
            </w:r>
          </w:p>
        </w:tc>
        <w:tc>
          <w:tcPr>
            <w:tcW w:w="635" w:type="pct"/>
            <w:tcBorders>
              <w:top w:val="single" w:sz="4" w:space="0" w:color="auto"/>
            </w:tcBorders>
            <w:shd w:val="clear" w:color="auto" w:fill="auto"/>
            <w:noWrap/>
            <w:vAlign w:val="bottom"/>
            <w:hideMark/>
          </w:tcPr>
          <w:p w14:paraId="62BFE405" w14:textId="02333CAD" w:rsidR="000958F5" w:rsidRPr="00E4581C" w:rsidRDefault="000958F5" w:rsidP="000D3AC4">
            <w:pPr>
              <w:spacing w:before="40" w:after="40" w:line="240" w:lineRule="auto"/>
              <w:jc w:val="right"/>
              <w:rPr>
                <w:rFonts w:ascii="Times New Roman" w:hAnsi="Times New Roman"/>
                <w:b/>
                <w:sz w:val="18"/>
                <w:szCs w:val="18"/>
                <w:lang w:val="es-ES_tradnl"/>
              </w:rPr>
            </w:pPr>
          </w:p>
        </w:tc>
        <w:tc>
          <w:tcPr>
            <w:tcW w:w="634" w:type="pct"/>
            <w:tcBorders>
              <w:top w:val="single" w:sz="4" w:space="0" w:color="auto"/>
            </w:tcBorders>
            <w:shd w:val="clear" w:color="auto" w:fill="auto"/>
            <w:noWrap/>
            <w:vAlign w:val="bottom"/>
            <w:hideMark/>
          </w:tcPr>
          <w:p w14:paraId="769B6F27" w14:textId="6036D2EF" w:rsidR="000958F5" w:rsidRPr="00E4581C" w:rsidRDefault="000958F5" w:rsidP="000D3AC4">
            <w:pPr>
              <w:spacing w:before="40" w:after="40" w:line="240" w:lineRule="auto"/>
              <w:jc w:val="right"/>
              <w:rPr>
                <w:rFonts w:ascii="Times New Roman" w:hAnsi="Times New Roman"/>
                <w:b/>
                <w:sz w:val="18"/>
                <w:szCs w:val="18"/>
                <w:lang w:val="es-ES_tradnl"/>
              </w:rPr>
            </w:pPr>
          </w:p>
        </w:tc>
        <w:tc>
          <w:tcPr>
            <w:tcW w:w="645" w:type="pct"/>
            <w:tcBorders>
              <w:top w:val="single" w:sz="4" w:space="0" w:color="auto"/>
            </w:tcBorders>
            <w:shd w:val="clear" w:color="auto" w:fill="auto"/>
            <w:noWrap/>
            <w:vAlign w:val="bottom"/>
            <w:hideMark/>
          </w:tcPr>
          <w:p w14:paraId="4404151E" w14:textId="50D45C3F" w:rsidR="000958F5" w:rsidRPr="00E4581C" w:rsidRDefault="000958F5" w:rsidP="000D3AC4">
            <w:pPr>
              <w:spacing w:before="40" w:after="40" w:line="240" w:lineRule="auto"/>
              <w:jc w:val="right"/>
              <w:rPr>
                <w:rFonts w:ascii="Times New Roman" w:hAnsi="Times New Roman"/>
                <w:b/>
                <w:sz w:val="18"/>
                <w:szCs w:val="18"/>
                <w:lang w:val="es-ES_tradnl"/>
              </w:rPr>
            </w:pPr>
          </w:p>
        </w:tc>
      </w:tr>
      <w:tr w:rsidR="003D0BC9" w:rsidRPr="00E4581C" w14:paraId="3C25ACDE" w14:textId="77777777" w:rsidTr="00B36368">
        <w:trPr>
          <w:trHeight w:val="215"/>
        </w:trPr>
        <w:tc>
          <w:tcPr>
            <w:tcW w:w="3086" w:type="pct"/>
            <w:tcBorders>
              <w:bottom w:val="single" w:sz="4" w:space="0" w:color="auto"/>
            </w:tcBorders>
            <w:shd w:val="clear" w:color="auto" w:fill="auto"/>
            <w:noWrap/>
            <w:vAlign w:val="bottom"/>
            <w:hideMark/>
          </w:tcPr>
          <w:p w14:paraId="1855A3AE" w14:textId="7A6EB17D"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Capacitación del personal</w:t>
            </w:r>
          </w:p>
        </w:tc>
        <w:tc>
          <w:tcPr>
            <w:tcW w:w="635" w:type="pct"/>
            <w:tcBorders>
              <w:bottom w:val="single" w:sz="4" w:space="0" w:color="auto"/>
            </w:tcBorders>
            <w:shd w:val="clear" w:color="auto" w:fill="auto"/>
            <w:noWrap/>
            <w:vAlign w:val="bottom"/>
            <w:hideMark/>
          </w:tcPr>
          <w:p w14:paraId="2875142B" w14:textId="13B5A434"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25 000</w:t>
            </w:r>
          </w:p>
        </w:tc>
        <w:tc>
          <w:tcPr>
            <w:tcW w:w="634" w:type="pct"/>
            <w:tcBorders>
              <w:bottom w:val="single" w:sz="4" w:space="0" w:color="auto"/>
            </w:tcBorders>
            <w:shd w:val="clear" w:color="auto" w:fill="auto"/>
            <w:noWrap/>
            <w:vAlign w:val="bottom"/>
            <w:hideMark/>
          </w:tcPr>
          <w:p w14:paraId="2E9373D0" w14:textId="041CCED1"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14 499</w:t>
            </w:r>
          </w:p>
        </w:tc>
        <w:tc>
          <w:tcPr>
            <w:tcW w:w="645" w:type="pct"/>
            <w:tcBorders>
              <w:bottom w:val="single" w:sz="4" w:space="0" w:color="auto"/>
            </w:tcBorders>
            <w:shd w:val="clear" w:color="auto" w:fill="auto"/>
            <w:noWrap/>
            <w:vAlign w:val="bottom"/>
            <w:hideMark/>
          </w:tcPr>
          <w:p w14:paraId="69CEC342" w14:textId="7DE3C363"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10 501</w:t>
            </w:r>
          </w:p>
        </w:tc>
      </w:tr>
      <w:tr w:rsidR="003D0BC9" w:rsidRPr="00E4581C" w14:paraId="24B81B76"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0C659E16" w14:textId="1BDEB003"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3.2.2 Capacitación del personal</w:t>
            </w:r>
          </w:p>
        </w:tc>
        <w:tc>
          <w:tcPr>
            <w:tcW w:w="635" w:type="pct"/>
            <w:tcBorders>
              <w:top w:val="single" w:sz="4" w:space="0" w:color="auto"/>
              <w:bottom w:val="single" w:sz="4" w:space="0" w:color="auto"/>
            </w:tcBorders>
            <w:shd w:val="clear" w:color="auto" w:fill="auto"/>
            <w:noWrap/>
            <w:vAlign w:val="bottom"/>
            <w:hideMark/>
          </w:tcPr>
          <w:p w14:paraId="316E78E0" w14:textId="7DBFBA0D"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25 000</w:t>
            </w:r>
          </w:p>
        </w:tc>
        <w:tc>
          <w:tcPr>
            <w:tcW w:w="634" w:type="pct"/>
            <w:tcBorders>
              <w:top w:val="single" w:sz="4" w:space="0" w:color="auto"/>
              <w:bottom w:val="single" w:sz="4" w:space="0" w:color="auto"/>
            </w:tcBorders>
            <w:shd w:val="clear" w:color="auto" w:fill="auto"/>
            <w:noWrap/>
            <w:vAlign w:val="bottom"/>
            <w:hideMark/>
          </w:tcPr>
          <w:p w14:paraId="761FFCC4" w14:textId="4FF1A391"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14 499</w:t>
            </w:r>
          </w:p>
        </w:tc>
        <w:tc>
          <w:tcPr>
            <w:tcW w:w="645" w:type="pct"/>
            <w:tcBorders>
              <w:top w:val="single" w:sz="4" w:space="0" w:color="auto"/>
              <w:bottom w:val="single" w:sz="4" w:space="0" w:color="auto"/>
            </w:tcBorders>
            <w:shd w:val="clear" w:color="auto" w:fill="auto"/>
            <w:noWrap/>
            <w:vAlign w:val="bottom"/>
            <w:hideMark/>
          </w:tcPr>
          <w:p w14:paraId="4430F1C6" w14:textId="25CB9963"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10 501</w:t>
            </w:r>
          </w:p>
        </w:tc>
      </w:tr>
      <w:tr w:rsidR="003D0BC9" w:rsidRPr="000930FA" w14:paraId="1ECA5288" w14:textId="77777777" w:rsidTr="00B36368">
        <w:trPr>
          <w:trHeight w:val="215"/>
        </w:trPr>
        <w:tc>
          <w:tcPr>
            <w:tcW w:w="3086" w:type="pct"/>
            <w:tcBorders>
              <w:top w:val="single" w:sz="4" w:space="0" w:color="auto"/>
            </w:tcBorders>
            <w:shd w:val="clear" w:color="auto" w:fill="auto"/>
            <w:noWrap/>
            <w:vAlign w:val="bottom"/>
            <w:hideMark/>
          </w:tcPr>
          <w:p w14:paraId="4602523D" w14:textId="3C43511F" w:rsidR="000958F5" w:rsidRPr="00E4581C" w:rsidRDefault="000958F5" w:rsidP="00536253">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Gastos de funcionamiento de la Secretaría</w:t>
            </w:r>
          </w:p>
        </w:tc>
        <w:tc>
          <w:tcPr>
            <w:tcW w:w="635" w:type="pct"/>
            <w:tcBorders>
              <w:top w:val="single" w:sz="4" w:space="0" w:color="auto"/>
            </w:tcBorders>
            <w:shd w:val="clear" w:color="auto" w:fill="auto"/>
            <w:noWrap/>
            <w:vAlign w:val="bottom"/>
            <w:hideMark/>
          </w:tcPr>
          <w:p w14:paraId="6219B5DD" w14:textId="5E9F631A" w:rsidR="000958F5" w:rsidRPr="00E4581C" w:rsidRDefault="000958F5" w:rsidP="000D3AC4">
            <w:pPr>
              <w:spacing w:before="40" w:after="40" w:line="240" w:lineRule="auto"/>
              <w:jc w:val="right"/>
              <w:rPr>
                <w:rFonts w:ascii="Times New Roman" w:eastAsia="Times New Roman" w:hAnsi="Times New Roman"/>
                <w:sz w:val="18"/>
                <w:szCs w:val="18"/>
                <w:lang w:val="es-ES_tradnl"/>
              </w:rPr>
            </w:pPr>
          </w:p>
        </w:tc>
        <w:tc>
          <w:tcPr>
            <w:tcW w:w="634" w:type="pct"/>
            <w:tcBorders>
              <w:top w:val="single" w:sz="4" w:space="0" w:color="auto"/>
            </w:tcBorders>
            <w:shd w:val="clear" w:color="auto" w:fill="auto"/>
            <w:noWrap/>
            <w:vAlign w:val="bottom"/>
            <w:hideMark/>
          </w:tcPr>
          <w:p w14:paraId="0F62D8F9" w14:textId="3FA59FD6" w:rsidR="000958F5" w:rsidRPr="00E4581C" w:rsidRDefault="000958F5" w:rsidP="000D3AC4">
            <w:pPr>
              <w:spacing w:before="40" w:after="40" w:line="240" w:lineRule="auto"/>
              <w:jc w:val="right"/>
              <w:rPr>
                <w:rFonts w:ascii="Times New Roman" w:eastAsia="Times New Roman" w:hAnsi="Times New Roman"/>
                <w:sz w:val="18"/>
                <w:szCs w:val="18"/>
                <w:lang w:val="es-ES_tradnl"/>
              </w:rPr>
            </w:pPr>
          </w:p>
        </w:tc>
        <w:tc>
          <w:tcPr>
            <w:tcW w:w="645" w:type="pct"/>
            <w:tcBorders>
              <w:top w:val="single" w:sz="4" w:space="0" w:color="auto"/>
            </w:tcBorders>
            <w:shd w:val="clear" w:color="auto" w:fill="auto"/>
            <w:noWrap/>
            <w:vAlign w:val="bottom"/>
            <w:hideMark/>
          </w:tcPr>
          <w:p w14:paraId="5E2A7B55" w14:textId="0EC83E83" w:rsidR="000958F5" w:rsidRPr="00E4581C" w:rsidRDefault="000958F5" w:rsidP="000D3AC4">
            <w:pPr>
              <w:spacing w:before="40" w:after="40" w:line="240" w:lineRule="auto"/>
              <w:jc w:val="right"/>
              <w:rPr>
                <w:rFonts w:ascii="Times New Roman" w:eastAsia="Times New Roman" w:hAnsi="Times New Roman"/>
                <w:sz w:val="18"/>
                <w:szCs w:val="18"/>
                <w:lang w:val="es-ES_tradnl"/>
              </w:rPr>
            </w:pPr>
          </w:p>
        </w:tc>
      </w:tr>
      <w:tr w:rsidR="003D0BC9" w:rsidRPr="000930FA" w14:paraId="61305159" w14:textId="77777777" w:rsidTr="00B36368">
        <w:trPr>
          <w:trHeight w:val="215"/>
        </w:trPr>
        <w:tc>
          <w:tcPr>
            <w:tcW w:w="3086" w:type="pct"/>
            <w:shd w:val="clear" w:color="auto" w:fill="auto"/>
            <w:noWrap/>
            <w:vAlign w:val="bottom"/>
            <w:hideMark/>
          </w:tcPr>
          <w:p w14:paraId="52CCFF66" w14:textId="19059CA9"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b/>
                <w:bCs/>
                <w:sz w:val="18"/>
                <w:szCs w:val="18"/>
                <w:lang w:val="es-ES_tradnl"/>
              </w:rPr>
              <w:t>3.2.3 Equipo y material de oficina</w:t>
            </w:r>
          </w:p>
        </w:tc>
        <w:tc>
          <w:tcPr>
            <w:tcW w:w="635" w:type="pct"/>
            <w:shd w:val="clear" w:color="auto" w:fill="auto"/>
            <w:noWrap/>
            <w:vAlign w:val="bottom"/>
            <w:hideMark/>
          </w:tcPr>
          <w:p w14:paraId="1D6EDDA6" w14:textId="23A9B5DA" w:rsidR="000958F5" w:rsidRPr="00E4581C" w:rsidRDefault="000958F5" w:rsidP="000D3AC4">
            <w:pPr>
              <w:spacing w:before="40" w:after="40" w:line="240" w:lineRule="auto"/>
              <w:jc w:val="right"/>
              <w:rPr>
                <w:rFonts w:ascii="Times New Roman" w:hAnsi="Times New Roman"/>
                <w:sz w:val="18"/>
                <w:szCs w:val="18"/>
                <w:lang w:val="es-ES_tradnl"/>
              </w:rPr>
            </w:pPr>
          </w:p>
        </w:tc>
        <w:tc>
          <w:tcPr>
            <w:tcW w:w="634" w:type="pct"/>
            <w:shd w:val="clear" w:color="auto" w:fill="auto"/>
            <w:noWrap/>
            <w:vAlign w:val="bottom"/>
            <w:hideMark/>
          </w:tcPr>
          <w:p w14:paraId="4139EADE" w14:textId="7875E9CC" w:rsidR="000958F5" w:rsidRPr="00E4581C" w:rsidRDefault="000958F5" w:rsidP="000D3AC4">
            <w:pPr>
              <w:spacing w:before="40" w:after="40" w:line="240" w:lineRule="auto"/>
              <w:jc w:val="right"/>
              <w:rPr>
                <w:rFonts w:ascii="Times New Roman" w:hAnsi="Times New Roman"/>
                <w:sz w:val="18"/>
                <w:szCs w:val="18"/>
                <w:lang w:val="es-ES_tradnl"/>
              </w:rPr>
            </w:pPr>
          </w:p>
        </w:tc>
        <w:tc>
          <w:tcPr>
            <w:tcW w:w="645" w:type="pct"/>
            <w:shd w:val="clear" w:color="auto" w:fill="auto"/>
            <w:noWrap/>
            <w:vAlign w:val="bottom"/>
            <w:hideMark/>
          </w:tcPr>
          <w:p w14:paraId="65F41E03" w14:textId="3312EF5F" w:rsidR="000958F5" w:rsidRPr="00E4581C" w:rsidRDefault="000958F5" w:rsidP="000D3AC4">
            <w:pPr>
              <w:spacing w:before="40" w:after="40" w:line="240" w:lineRule="auto"/>
              <w:jc w:val="right"/>
              <w:rPr>
                <w:rFonts w:ascii="Times New Roman" w:hAnsi="Times New Roman"/>
                <w:sz w:val="18"/>
                <w:szCs w:val="18"/>
                <w:lang w:val="es-ES_tradnl"/>
              </w:rPr>
            </w:pPr>
          </w:p>
        </w:tc>
      </w:tr>
      <w:tr w:rsidR="003D0BC9" w:rsidRPr="00E4581C" w14:paraId="1A53FF5C" w14:textId="77777777" w:rsidTr="00B36368">
        <w:trPr>
          <w:trHeight w:val="215"/>
        </w:trPr>
        <w:tc>
          <w:tcPr>
            <w:tcW w:w="3086" w:type="pct"/>
            <w:shd w:val="clear" w:color="auto" w:fill="auto"/>
            <w:noWrap/>
            <w:vAlign w:val="bottom"/>
            <w:hideMark/>
          </w:tcPr>
          <w:p w14:paraId="15ADB1A1" w14:textId="7D8BDC10" w:rsidR="000958F5" w:rsidRPr="00E4581C" w:rsidRDefault="000958F5" w:rsidP="000D3AC4">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Equipo fungible (artículos valorados en menos de 1.500 dólares)</w:t>
            </w:r>
          </w:p>
        </w:tc>
        <w:tc>
          <w:tcPr>
            <w:tcW w:w="635" w:type="pct"/>
            <w:shd w:val="clear" w:color="auto" w:fill="auto"/>
            <w:noWrap/>
            <w:vAlign w:val="bottom"/>
            <w:hideMark/>
          </w:tcPr>
          <w:p w14:paraId="43842F5A" w14:textId="72EE5CEF"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4 500</w:t>
            </w:r>
          </w:p>
        </w:tc>
        <w:tc>
          <w:tcPr>
            <w:tcW w:w="634" w:type="pct"/>
            <w:shd w:val="clear" w:color="auto" w:fill="auto"/>
            <w:noWrap/>
            <w:vAlign w:val="bottom"/>
            <w:hideMark/>
          </w:tcPr>
          <w:p w14:paraId="41195C92" w14:textId="1F69EA53"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2 849 </w:t>
            </w:r>
          </w:p>
        </w:tc>
        <w:tc>
          <w:tcPr>
            <w:tcW w:w="645" w:type="pct"/>
            <w:shd w:val="clear" w:color="auto" w:fill="auto"/>
            <w:noWrap/>
            <w:vAlign w:val="bottom"/>
            <w:hideMark/>
          </w:tcPr>
          <w:p w14:paraId="050134D2" w14:textId="697CB1E1"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1 651</w:t>
            </w:r>
          </w:p>
        </w:tc>
      </w:tr>
      <w:tr w:rsidR="003D0BC9" w:rsidRPr="00E4581C" w14:paraId="047F40F4" w14:textId="77777777" w:rsidTr="00B36368">
        <w:trPr>
          <w:trHeight w:val="215"/>
        </w:trPr>
        <w:tc>
          <w:tcPr>
            <w:tcW w:w="3086" w:type="pct"/>
            <w:tcBorders>
              <w:bottom w:val="single" w:sz="4" w:space="0" w:color="auto"/>
            </w:tcBorders>
            <w:shd w:val="clear" w:color="auto" w:fill="auto"/>
            <w:noWrap/>
            <w:vAlign w:val="bottom"/>
            <w:hideMark/>
          </w:tcPr>
          <w:p w14:paraId="23782033" w14:textId="5D9B269E"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Material de oficina</w:t>
            </w:r>
          </w:p>
        </w:tc>
        <w:tc>
          <w:tcPr>
            <w:tcW w:w="635" w:type="pct"/>
            <w:tcBorders>
              <w:bottom w:val="single" w:sz="4" w:space="0" w:color="auto"/>
            </w:tcBorders>
            <w:shd w:val="clear" w:color="auto" w:fill="auto"/>
            <w:noWrap/>
            <w:vAlign w:val="bottom"/>
            <w:hideMark/>
          </w:tcPr>
          <w:p w14:paraId="52780BB5" w14:textId="48A566ED"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12 000</w:t>
            </w:r>
          </w:p>
        </w:tc>
        <w:tc>
          <w:tcPr>
            <w:tcW w:w="634" w:type="pct"/>
            <w:tcBorders>
              <w:bottom w:val="single" w:sz="4" w:space="0" w:color="auto"/>
            </w:tcBorders>
            <w:shd w:val="clear" w:color="auto" w:fill="auto"/>
            <w:noWrap/>
            <w:vAlign w:val="bottom"/>
            <w:hideMark/>
          </w:tcPr>
          <w:p w14:paraId="62660E05" w14:textId="5E973297"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10 106</w:t>
            </w:r>
          </w:p>
        </w:tc>
        <w:tc>
          <w:tcPr>
            <w:tcW w:w="645" w:type="pct"/>
            <w:tcBorders>
              <w:bottom w:val="single" w:sz="4" w:space="0" w:color="auto"/>
            </w:tcBorders>
            <w:shd w:val="clear" w:color="auto" w:fill="auto"/>
            <w:noWrap/>
            <w:vAlign w:val="bottom"/>
            <w:hideMark/>
          </w:tcPr>
          <w:p w14:paraId="0034CBE8" w14:textId="6FC0FB92"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1 894</w:t>
            </w:r>
          </w:p>
        </w:tc>
      </w:tr>
      <w:tr w:rsidR="003D0BC9" w:rsidRPr="00E4581C" w14:paraId="1D413220"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20EB7090" w14:textId="594BE278" w:rsidR="000958F5" w:rsidRPr="00E4581C" w:rsidRDefault="000958F5" w:rsidP="001E71BD">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3.2.3 Equipo y material de oficina</w:t>
            </w:r>
          </w:p>
        </w:tc>
        <w:tc>
          <w:tcPr>
            <w:tcW w:w="635" w:type="pct"/>
            <w:tcBorders>
              <w:top w:val="single" w:sz="4" w:space="0" w:color="auto"/>
              <w:bottom w:val="single" w:sz="4" w:space="0" w:color="auto"/>
            </w:tcBorders>
            <w:shd w:val="clear" w:color="auto" w:fill="auto"/>
            <w:noWrap/>
            <w:vAlign w:val="bottom"/>
            <w:hideMark/>
          </w:tcPr>
          <w:p w14:paraId="034A14B3" w14:textId="44793F87"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16 500</w:t>
            </w:r>
          </w:p>
        </w:tc>
        <w:tc>
          <w:tcPr>
            <w:tcW w:w="634" w:type="pct"/>
            <w:tcBorders>
              <w:top w:val="single" w:sz="4" w:space="0" w:color="auto"/>
              <w:bottom w:val="single" w:sz="4" w:space="0" w:color="auto"/>
            </w:tcBorders>
            <w:shd w:val="clear" w:color="auto" w:fill="auto"/>
            <w:noWrap/>
            <w:vAlign w:val="bottom"/>
            <w:hideMark/>
          </w:tcPr>
          <w:p w14:paraId="4C08D627" w14:textId="3ECCCE2F"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12 955 </w:t>
            </w:r>
          </w:p>
        </w:tc>
        <w:tc>
          <w:tcPr>
            <w:tcW w:w="645" w:type="pct"/>
            <w:tcBorders>
              <w:top w:val="single" w:sz="4" w:space="0" w:color="auto"/>
              <w:bottom w:val="single" w:sz="4" w:space="0" w:color="auto"/>
            </w:tcBorders>
            <w:shd w:val="clear" w:color="auto" w:fill="auto"/>
            <w:noWrap/>
            <w:vAlign w:val="bottom"/>
            <w:hideMark/>
          </w:tcPr>
          <w:p w14:paraId="0A0C846E" w14:textId="66D240C5"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3 545 </w:t>
            </w:r>
          </w:p>
        </w:tc>
      </w:tr>
      <w:tr w:rsidR="003D0BC9" w:rsidRPr="00E4581C" w14:paraId="3D1B3D5B" w14:textId="77777777" w:rsidTr="00B36368">
        <w:trPr>
          <w:trHeight w:val="215"/>
        </w:trPr>
        <w:tc>
          <w:tcPr>
            <w:tcW w:w="3086" w:type="pct"/>
            <w:tcBorders>
              <w:top w:val="single" w:sz="4" w:space="0" w:color="auto"/>
            </w:tcBorders>
            <w:shd w:val="clear" w:color="auto" w:fill="auto"/>
            <w:noWrap/>
            <w:vAlign w:val="bottom"/>
            <w:hideMark/>
          </w:tcPr>
          <w:p w14:paraId="692CB802" w14:textId="2C3C5B24"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3.2.4 Locales</w:t>
            </w:r>
            <w:r w:rsidRPr="00E4581C">
              <w:rPr>
                <w:rFonts w:ascii="Times New Roman" w:hAnsi="Times New Roman"/>
                <w:sz w:val="18"/>
                <w:szCs w:val="18"/>
                <w:lang w:val="es-ES_tradnl"/>
              </w:rPr>
              <w:t xml:space="preserve"> </w:t>
            </w:r>
          </w:p>
        </w:tc>
        <w:tc>
          <w:tcPr>
            <w:tcW w:w="635" w:type="pct"/>
            <w:tcBorders>
              <w:top w:val="single" w:sz="4" w:space="0" w:color="auto"/>
            </w:tcBorders>
            <w:shd w:val="clear" w:color="auto" w:fill="auto"/>
            <w:noWrap/>
            <w:vAlign w:val="bottom"/>
            <w:hideMark/>
          </w:tcPr>
          <w:p w14:paraId="739C2261" w14:textId="5BE13860" w:rsidR="000958F5" w:rsidRPr="00E4581C" w:rsidRDefault="000958F5" w:rsidP="000D3AC4">
            <w:pPr>
              <w:spacing w:before="40" w:after="40" w:line="240" w:lineRule="auto"/>
              <w:jc w:val="right"/>
              <w:rPr>
                <w:rFonts w:ascii="Times New Roman" w:hAnsi="Times New Roman"/>
                <w:sz w:val="18"/>
                <w:szCs w:val="18"/>
                <w:lang w:val="es-ES_tradnl"/>
              </w:rPr>
            </w:pPr>
          </w:p>
        </w:tc>
        <w:tc>
          <w:tcPr>
            <w:tcW w:w="634" w:type="pct"/>
            <w:tcBorders>
              <w:top w:val="single" w:sz="4" w:space="0" w:color="auto"/>
            </w:tcBorders>
            <w:shd w:val="clear" w:color="auto" w:fill="auto"/>
            <w:noWrap/>
            <w:vAlign w:val="bottom"/>
            <w:hideMark/>
          </w:tcPr>
          <w:p w14:paraId="47DFD488" w14:textId="53F0750E" w:rsidR="000958F5" w:rsidRPr="00E4581C" w:rsidRDefault="000D3AC4"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c>
          <w:tcPr>
            <w:tcW w:w="645" w:type="pct"/>
            <w:tcBorders>
              <w:top w:val="single" w:sz="4" w:space="0" w:color="auto"/>
            </w:tcBorders>
            <w:shd w:val="clear" w:color="auto" w:fill="auto"/>
            <w:noWrap/>
            <w:vAlign w:val="bottom"/>
            <w:hideMark/>
          </w:tcPr>
          <w:p w14:paraId="70E93175" w14:textId="5F724B62" w:rsidR="000958F5" w:rsidRPr="00E4581C" w:rsidRDefault="000D3AC4"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 </w:t>
            </w:r>
          </w:p>
        </w:tc>
      </w:tr>
      <w:tr w:rsidR="003D0BC9" w:rsidRPr="00E4581C" w14:paraId="5C12D796" w14:textId="77777777" w:rsidTr="00B36368">
        <w:trPr>
          <w:trHeight w:val="215"/>
        </w:trPr>
        <w:tc>
          <w:tcPr>
            <w:tcW w:w="3086" w:type="pct"/>
            <w:tcBorders>
              <w:bottom w:val="single" w:sz="4" w:space="0" w:color="auto"/>
            </w:tcBorders>
            <w:shd w:val="clear" w:color="auto" w:fill="auto"/>
            <w:hideMark/>
          </w:tcPr>
          <w:p w14:paraId="590D9C9B" w14:textId="7BD40762" w:rsidR="000958F5" w:rsidRPr="00E4581C" w:rsidRDefault="000958F5" w:rsidP="000D3AC4">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Contribución a los gastos comunes (mantenimiento de oficinas, seguridad común, servicios de central telefónica, etc.)</w:t>
            </w:r>
          </w:p>
        </w:tc>
        <w:tc>
          <w:tcPr>
            <w:tcW w:w="635" w:type="pct"/>
            <w:tcBorders>
              <w:bottom w:val="single" w:sz="4" w:space="0" w:color="auto"/>
            </w:tcBorders>
            <w:shd w:val="clear" w:color="auto" w:fill="auto"/>
            <w:noWrap/>
            <w:vAlign w:val="bottom"/>
            <w:hideMark/>
          </w:tcPr>
          <w:p w14:paraId="7A3DCA42" w14:textId="0DB02D60"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45 000</w:t>
            </w:r>
          </w:p>
        </w:tc>
        <w:tc>
          <w:tcPr>
            <w:tcW w:w="634" w:type="pct"/>
            <w:tcBorders>
              <w:bottom w:val="single" w:sz="4" w:space="0" w:color="auto"/>
            </w:tcBorders>
            <w:shd w:val="clear" w:color="auto" w:fill="auto"/>
            <w:noWrap/>
            <w:vAlign w:val="bottom"/>
            <w:hideMark/>
          </w:tcPr>
          <w:p w14:paraId="2F855205" w14:textId="7FA561BD"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41 812 </w:t>
            </w:r>
          </w:p>
        </w:tc>
        <w:tc>
          <w:tcPr>
            <w:tcW w:w="645" w:type="pct"/>
            <w:tcBorders>
              <w:bottom w:val="single" w:sz="4" w:space="0" w:color="auto"/>
            </w:tcBorders>
            <w:shd w:val="clear" w:color="auto" w:fill="auto"/>
            <w:noWrap/>
            <w:vAlign w:val="bottom"/>
            <w:hideMark/>
          </w:tcPr>
          <w:p w14:paraId="28A85007" w14:textId="58B9F91E"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 xml:space="preserve">3 188 </w:t>
            </w:r>
          </w:p>
        </w:tc>
      </w:tr>
      <w:tr w:rsidR="003D0BC9" w:rsidRPr="00E4581C" w14:paraId="24489B30"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59E5746D" w14:textId="7F215A18"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3.2.4 Locales</w:t>
            </w:r>
          </w:p>
        </w:tc>
        <w:tc>
          <w:tcPr>
            <w:tcW w:w="635" w:type="pct"/>
            <w:tcBorders>
              <w:top w:val="single" w:sz="4" w:space="0" w:color="auto"/>
              <w:bottom w:val="single" w:sz="4" w:space="0" w:color="auto"/>
            </w:tcBorders>
            <w:shd w:val="clear" w:color="auto" w:fill="auto"/>
            <w:noWrap/>
            <w:vAlign w:val="bottom"/>
            <w:hideMark/>
          </w:tcPr>
          <w:p w14:paraId="52B058C1" w14:textId="47326DEA"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45 000</w:t>
            </w:r>
          </w:p>
        </w:tc>
        <w:tc>
          <w:tcPr>
            <w:tcW w:w="634" w:type="pct"/>
            <w:tcBorders>
              <w:top w:val="single" w:sz="4" w:space="0" w:color="auto"/>
              <w:bottom w:val="single" w:sz="4" w:space="0" w:color="auto"/>
            </w:tcBorders>
            <w:shd w:val="clear" w:color="auto" w:fill="auto"/>
            <w:noWrap/>
            <w:vAlign w:val="bottom"/>
            <w:hideMark/>
          </w:tcPr>
          <w:p w14:paraId="5249D82D" w14:textId="7E015D53"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41 812 </w:t>
            </w:r>
          </w:p>
        </w:tc>
        <w:tc>
          <w:tcPr>
            <w:tcW w:w="645" w:type="pct"/>
            <w:tcBorders>
              <w:top w:val="single" w:sz="4" w:space="0" w:color="auto"/>
              <w:bottom w:val="single" w:sz="4" w:space="0" w:color="auto"/>
            </w:tcBorders>
            <w:shd w:val="clear" w:color="auto" w:fill="auto"/>
            <w:noWrap/>
            <w:vAlign w:val="bottom"/>
            <w:hideMark/>
          </w:tcPr>
          <w:p w14:paraId="75F71E0C" w14:textId="13C1FCA4"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3 188 </w:t>
            </w:r>
          </w:p>
        </w:tc>
      </w:tr>
      <w:tr w:rsidR="003D0BC9" w:rsidRPr="00E4581C" w14:paraId="13ED8B07" w14:textId="77777777" w:rsidTr="00B36368">
        <w:trPr>
          <w:trHeight w:val="215"/>
        </w:trPr>
        <w:tc>
          <w:tcPr>
            <w:tcW w:w="3086" w:type="pct"/>
            <w:tcBorders>
              <w:top w:val="single" w:sz="4" w:space="0" w:color="auto"/>
            </w:tcBorders>
            <w:shd w:val="clear" w:color="auto" w:fill="auto"/>
            <w:noWrap/>
            <w:vAlign w:val="bottom"/>
            <w:hideMark/>
          </w:tcPr>
          <w:p w14:paraId="1076386A" w14:textId="30899AB0"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3.2.5 Impresoras, fotocopiadoras, apoyo informático y componentes varios</w:t>
            </w:r>
          </w:p>
          <w:p w14:paraId="225EE1EC" w14:textId="0A34072F"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Funcionamiento y mantenimiento de impresoras y fotocopiadoras</w:t>
            </w:r>
          </w:p>
        </w:tc>
        <w:tc>
          <w:tcPr>
            <w:tcW w:w="635" w:type="pct"/>
            <w:tcBorders>
              <w:top w:val="single" w:sz="4" w:space="0" w:color="auto"/>
            </w:tcBorders>
            <w:shd w:val="clear" w:color="auto" w:fill="auto"/>
            <w:noWrap/>
            <w:vAlign w:val="bottom"/>
            <w:hideMark/>
          </w:tcPr>
          <w:p w14:paraId="2D0DE30B" w14:textId="031F2810"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5 000</w:t>
            </w:r>
          </w:p>
        </w:tc>
        <w:tc>
          <w:tcPr>
            <w:tcW w:w="634" w:type="pct"/>
            <w:tcBorders>
              <w:top w:val="single" w:sz="4" w:space="0" w:color="auto"/>
            </w:tcBorders>
            <w:shd w:val="clear" w:color="auto" w:fill="auto"/>
            <w:noWrap/>
            <w:vAlign w:val="bottom"/>
            <w:hideMark/>
          </w:tcPr>
          <w:p w14:paraId="08CBDB57" w14:textId="59801363"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4 101</w:t>
            </w:r>
          </w:p>
        </w:tc>
        <w:tc>
          <w:tcPr>
            <w:tcW w:w="645" w:type="pct"/>
            <w:tcBorders>
              <w:top w:val="single" w:sz="4" w:space="0" w:color="auto"/>
            </w:tcBorders>
            <w:shd w:val="clear" w:color="auto" w:fill="auto"/>
            <w:noWrap/>
            <w:vAlign w:val="bottom"/>
            <w:hideMark/>
          </w:tcPr>
          <w:p w14:paraId="0FAA50E1" w14:textId="77777777"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899</w:t>
            </w:r>
          </w:p>
        </w:tc>
      </w:tr>
      <w:tr w:rsidR="003D0BC9" w:rsidRPr="00E4581C" w14:paraId="195E902F" w14:textId="77777777" w:rsidTr="00B36368">
        <w:trPr>
          <w:trHeight w:val="215"/>
        </w:trPr>
        <w:tc>
          <w:tcPr>
            <w:tcW w:w="3086" w:type="pct"/>
            <w:shd w:val="clear" w:color="auto" w:fill="auto"/>
            <w:noWrap/>
            <w:vAlign w:val="bottom"/>
            <w:hideMark/>
          </w:tcPr>
          <w:p w14:paraId="1AFB435E" w14:textId="6562F465"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Programas informáticos y otros gastos</w:t>
            </w:r>
          </w:p>
        </w:tc>
        <w:tc>
          <w:tcPr>
            <w:tcW w:w="635" w:type="pct"/>
            <w:shd w:val="clear" w:color="auto" w:fill="auto"/>
            <w:noWrap/>
            <w:vAlign w:val="bottom"/>
            <w:hideMark/>
          </w:tcPr>
          <w:p w14:paraId="34542CFD" w14:textId="5312F5D9"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4 000</w:t>
            </w:r>
          </w:p>
        </w:tc>
        <w:tc>
          <w:tcPr>
            <w:tcW w:w="634" w:type="pct"/>
            <w:shd w:val="clear" w:color="auto" w:fill="auto"/>
            <w:noWrap/>
            <w:vAlign w:val="bottom"/>
            <w:hideMark/>
          </w:tcPr>
          <w:p w14:paraId="1C4EB676" w14:textId="2174A6D7"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1 000</w:t>
            </w:r>
          </w:p>
        </w:tc>
        <w:tc>
          <w:tcPr>
            <w:tcW w:w="645" w:type="pct"/>
            <w:shd w:val="clear" w:color="auto" w:fill="auto"/>
            <w:noWrap/>
            <w:vAlign w:val="bottom"/>
            <w:hideMark/>
          </w:tcPr>
          <w:p w14:paraId="12BA8A76" w14:textId="66438F37"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3 000</w:t>
            </w:r>
          </w:p>
        </w:tc>
      </w:tr>
      <w:tr w:rsidR="003D0BC9" w:rsidRPr="00E4581C" w14:paraId="3DFA65B1" w14:textId="77777777" w:rsidTr="00B36368">
        <w:trPr>
          <w:trHeight w:val="215"/>
        </w:trPr>
        <w:tc>
          <w:tcPr>
            <w:tcW w:w="3086" w:type="pct"/>
            <w:tcBorders>
              <w:bottom w:val="single" w:sz="4" w:space="0" w:color="auto"/>
            </w:tcBorders>
            <w:shd w:val="clear" w:color="auto" w:fill="auto"/>
            <w:noWrap/>
            <w:vAlign w:val="bottom"/>
            <w:hideMark/>
          </w:tcPr>
          <w:p w14:paraId="5BCE2135" w14:textId="2A001CCB" w:rsidR="000958F5" w:rsidRPr="00E4581C" w:rsidRDefault="000958F5" w:rsidP="000D3AC4">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Servicios de apoyo informático</w:t>
            </w:r>
            <w:r w:rsidRPr="00E4581C">
              <w:rPr>
                <w:rFonts w:ascii="Times New Roman" w:hAnsi="Times New Roman"/>
                <w:sz w:val="18"/>
                <w:szCs w:val="18"/>
                <w:vertAlign w:val="superscript"/>
                <w:lang w:val="es-ES_tradnl"/>
              </w:rPr>
              <w:t>c</w:t>
            </w:r>
          </w:p>
        </w:tc>
        <w:tc>
          <w:tcPr>
            <w:tcW w:w="635" w:type="pct"/>
            <w:tcBorders>
              <w:bottom w:val="single" w:sz="4" w:space="0" w:color="auto"/>
            </w:tcBorders>
            <w:shd w:val="clear" w:color="auto" w:fill="auto"/>
            <w:noWrap/>
            <w:vAlign w:val="bottom"/>
            <w:hideMark/>
          </w:tcPr>
          <w:p w14:paraId="0DDCC8B2" w14:textId="453E9979"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20 000</w:t>
            </w:r>
          </w:p>
        </w:tc>
        <w:tc>
          <w:tcPr>
            <w:tcW w:w="634" w:type="pct"/>
            <w:tcBorders>
              <w:bottom w:val="single" w:sz="4" w:space="0" w:color="auto"/>
            </w:tcBorders>
            <w:shd w:val="clear" w:color="auto" w:fill="auto"/>
            <w:noWrap/>
            <w:vAlign w:val="bottom"/>
            <w:hideMark/>
          </w:tcPr>
          <w:p w14:paraId="6A0C115B" w14:textId="133152D6"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49 000</w:t>
            </w:r>
          </w:p>
        </w:tc>
        <w:tc>
          <w:tcPr>
            <w:tcW w:w="645" w:type="pct"/>
            <w:tcBorders>
              <w:bottom w:val="single" w:sz="4" w:space="0" w:color="auto"/>
            </w:tcBorders>
            <w:shd w:val="clear" w:color="auto" w:fill="auto"/>
            <w:noWrap/>
            <w:vAlign w:val="bottom"/>
            <w:hideMark/>
          </w:tcPr>
          <w:p w14:paraId="6C02AED7" w14:textId="0BB3AE4A" w:rsidR="000958F5" w:rsidRPr="00E4581C" w:rsidRDefault="006D1ED0" w:rsidP="000D3AC4">
            <w:pPr>
              <w:spacing w:before="40" w:after="40" w:line="240" w:lineRule="auto"/>
              <w:jc w:val="right"/>
              <w:rPr>
                <w:rFonts w:ascii="Times New Roman" w:eastAsia="Times New Roman" w:hAnsi="Times New Roman"/>
                <w:color w:val="000000"/>
                <w:sz w:val="18"/>
                <w:szCs w:val="18"/>
                <w:lang w:val="es-ES_tradnl"/>
              </w:rPr>
            </w:pPr>
            <w:r w:rsidRPr="00E4581C">
              <w:rPr>
                <w:rFonts w:ascii="Times New Roman" w:hAnsi="Times New Roman"/>
                <w:sz w:val="18"/>
                <w:szCs w:val="18"/>
                <w:lang w:val="es-ES_tradnl"/>
              </w:rPr>
              <w:t>-29 000</w:t>
            </w:r>
          </w:p>
        </w:tc>
      </w:tr>
      <w:tr w:rsidR="003D0BC9" w:rsidRPr="00E4581C" w14:paraId="29F809E7"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4A1C0D3E" w14:textId="42FE8CDB"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3.2.5</w:t>
            </w:r>
            <w:r w:rsidR="00356A65" w:rsidRPr="00E4581C">
              <w:rPr>
                <w:rFonts w:ascii="Times New Roman" w:hAnsi="Times New Roman"/>
                <w:b/>
                <w:bCs/>
                <w:sz w:val="18"/>
                <w:szCs w:val="18"/>
                <w:lang w:val="es-ES_tradnl"/>
              </w:rPr>
              <w:t xml:space="preserve"> </w:t>
            </w:r>
            <w:r w:rsidRPr="00E4581C">
              <w:rPr>
                <w:rFonts w:ascii="Times New Roman" w:hAnsi="Times New Roman"/>
                <w:b/>
                <w:bCs/>
                <w:sz w:val="18"/>
                <w:szCs w:val="18"/>
                <w:lang w:val="es-ES_tradnl"/>
              </w:rPr>
              <w:t>Impresoras, fotocopiadoras y servicios informáticos</w:t>
            </w:r>
          </w:p>
        </w:tc>
        <w:tc>
          <w:tcPr>
            <w:tcW w:w="635" w:type="pct"/>
            <w:tcBorders>
              <w:top w:val="single" w:sz="4" w:space="0" w:color="auto"/>
              <w:bottom w:val="single" w:sz="4" w:space="0" w:color="auto"/>
            </w:tcBorders>
            <w:shd w:val="clear" w:color="auto" w:fill="auto"/>
            <w:noWrap/>
            <w:vAlign w:val="bottom"/>
            <w:hideMark/>
          </w:tcPr>
          <w:p w14:paraId="3134EA7A" w14:textId="04CEC414"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29 000</w:t>
            </w:r>
          </w:p>
        </w:tc>
        <w:tc>
          <w:tcPr>
            <w:tcW w:w="634" w:type="pct"/>
            <w:tcBorders>
              <w:top w:val="single" w:sz="4" w:space="0" w:color="auto"/>
              <w:bottom w:val="single" w:sz="4" w:space="0" w:color="auto"/>
            </w:tcBorders>
            <w:shd w:val="clear" w:color="auto" w:fill="auto"/>
            <w:noWrap/>
            <w:vAlign w:val="bottom"/>
            <w:hideMark/>
          </w:tcPr>
          <w:p w14:paraId="561413D3" w14:textId="48DA2904"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54 101</w:t>
            </w:r>
          </w:p>
        </w:tc>
        <w:tc>
          <w:tcPr>
            <w:tcW w:w="645" w:type="pct"/>
            <w:tcBorders>
              <w:top w:val="single" w:sz="4" w:space="0" w:color="auto"/>
              <w:bottom w:val="single" w:sz="4" w:space="0" w:color="auto"/>
            </w:tcBorders>
            <w:shd w:val="clear" w:color="auto" w:fill="auto"/>
            <w:noWrap/>
            <w:vAlign w:val="bottom"/>
            <w:hideMark/>
          </w:tcPr>
          <w:p w14:paraId="5B4966C2" w14:textId="3A463F46" w:rsidR="000958F5" w:rsidRPr="00E4581C" w:rsidRDefault="006D1ED0" w:rsidP="000D3AC4">
            <w:pPr>
              <w:spacing w:before="40" w:after="40" w:line="240" w:lineRule="auto"/>
              <w:jc w:val="right"/>
              <w:rPr>
                <w:rFonts w:ascii="Times New Roman" w:hAnsi="Times New Roman"/>
                <w:b/>
                <w:color w:val="000000"/>
                <w:sz w:val="18"/>
                <w:szCs w:val="18"/>
                <w:lang w:val="es-ES_tradnl"/>
              </w:rPr>
            </w:pPr>
            <w:r w:rsidRPr="00E4581C">
              <w:rPr>
                <w:rFonts w:ascii="Times New Roman" w:hAnsi="Times New Roman"/>
                <w:b/>
                <w:sz w:val="18"/>
                <w:szCs w:val="18"/>
                <w:lang w:val="es-ES_tradnl"/>
              </w:rPr>
              <w:t>-25 101</w:t>
            </w:r>
          </w:p>
        </w:tc>
      </w:tr>
      <w:tr w:rsidR="003D0BC9" w:rsidRPr="000930FA" w14:paraId="5AE68A88" w14:textId="77777777" w:rsidTr="00B36368">
        <w:trPr>
          <w:trHeight w:val="215"/>
        </w:trPr>
        <w:tc>
          <w:tcPr>
            <w:tcW w:w="3086" w:type="pct"/>
            <w:tcBorders>
              <w:top w:val="single" w:sz="4" w:space="0" w:color="auto"/>
            </w:tcBorders>
            <w:shd w:val="clear" w:color="auto" w:fill="auto"/>
            <w:noWrap/>
            <w:vAlign w:val="bottom"/>
            <w:hideMark/>
          </w:tcPr>
          <w:p w14:paraId="2BA0AC33" w14:textId="1035F010"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3.2.6 Teléfono, franqueos y gastos diversos</w:t>
            </w:r>
          </w:p>
        </w:tc>
        <w:tc>
          <w:tcPr>
            <w:tcW w:w="635" w:type="pct"/>
            <w:tcBorders>
              <w:top w:val="single" w:sz="4" w:space="0" w:color="auto"/>
            </w:tcBorders>
            <w:shd w:val="clear" w:color="auto" w:fill="auto"/>
            <w:noWrap/>
            <w:vAlign w:val="bottom"/>
            <w:hideMark/>
          </w:tcPr>
          <w:p w14:paraId="4DFAECBB" w14:textId="33FB932D" w:rsidR="000958F5" w:rsidRPr="00E4581C" w:rsidRDefault="000958F5" w:rsidP="000D3AC4">
            <w:pPr>
              <w:spacing w:before="40" w:after="40" w:line="240" w:lineRule="auto"/>
              <w:jc w:val="right"/>
              <w:rPr>
                <w:rFonts w:ascii="Times New Roman" w:hAnsi="Times New Roman"/>
                <w:sz w:val="18"/>
                <w:szCs w:val="18"/>
                <w:lang w:val="es-ES_tradnl"/>
              </w:rPr>
            </w:pPr>
          </w:p>
        </w:tc>
        <w:tc>
          <w:tcPr>
            <w:tcW w:w="634" w:type="pct"/>
            <w:tcBorders>
              <w:top w:val="single" w:sz="4" w:space="0" w:color="auto"/>
            </w:tcBorders>
            <w:shd w:val="clear" w:color="auto" w:fill="auto"/>
            <w:noWrap/>
            <w:vAlign w:val="bottom"/>
            <w:hideMark/>
          </w:tcPr>
          <w:p w14:paraId="2E58915C" w14:textId="746457D7" w:rsidR="000958F5" w:rsidRPr="00E4581C" w:rsidRDefault="000958F5" w:rsidP="000D3AC4">
            <w:pPr>
              <w:spacing w:before="40" w:after="40" w:line="240" w:lineRule="auto"/>
              <w:jc w:val="right"/>
              <w:rPr>
                <w:rFonts w:ascii="Times New Roman" w:hAnsi="Times New Roman"/>
                <w:sz w:val="18"/>
                <w:szCs w:val="18"/>
                <w:lang w:val="es-ES_tradnl"/>
              </w:rPr>
            </w:pPr>
          </w:p>
        </w:tc>
        <w:tc>
          <w:tcPr>
            <w:tcW w:w="645" w:type="pct"/>
            <w:tcBorders>
              <w:top w:val="single" w:sz="4" w:space="0" w:color="auto"/>
            </w:tcBorders>
            <w:shd w:val="clear" w:color="auto" w:fill="auto"/>
            <w:noWrap/>
            <w:vAlign w:val="bottom"/>
            <w:hideMark/>
          </w:tcPr>
          <w:p w14:paraId="16CD3E95" w14:textId="3724ABD9" w:rsidR="000958F5" w:rsidRPr="00E4581C" w:rsidRDefault="000958F5" w:rsidP="000D3AC4">
            <w:pPr>
              <w:spacing w:before="40" w:after="40" w:line="240" w:lineRule="auto"/>
              <w:jc w:val="right"/>
              <w:rPr>
                <w:rFonts w:ascii="Times New Roman" w:hAnsi="Times New Roman"/>
                <w:sz w:val="18"/>
                <w:szCs w:val="18"/>
                <w:lang w:val="es-ES_tradnl"/>
              </w:rPr>
            </w:pPr>
          </w:p>
        </w:tc>
      </w:tr>
      <w:tr w:rsidR="003D0BC9" w:rsidRPr="00E4581C" w14:paraId="56C70A35" w14:textId="77777777" w:rsidTr="00B36368">
        <w:trPr>
          <w:trHeight w:val="215"/>
        </w:trPr>
        <w:tc>
          <w:tcPr>
            <w:tcW w:w="3086" w:type="pct"/>
            <w:shd w:val="clear" w:color="auto" w:fill="auto"/>
            <w:noWrap/>
            <w:vAlign w:val="bottom"/>
            <w:hideMark/>
          </w:tcPr>
          <w:p w14:paraId="595D6A48" w14:textId="662536A9"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 xml:space="preserve">Teléfono </w:t>
            </w:r>
          </w:p>
        </w:tc>
        <w:tc>
          <w:tcPr>
            <w:tcW w:w="635" w:type="pct"/>
            <w:shd w:val="clear" w:color="auto" w:fill="auto"/>
            <w:noWrap/>
            <w:vAlign w:val="bottom"/>
            <w:hideMark/>
          </w:tcPr>
          <w:p w14:paraId="6FC3350E" w14:textId="1BA5CCB8"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20 000</w:t>
            </w:r>
          </w:p>
        </w:tc>
        <w:tc>
          <w:tcPr>
            <w:tcW w:w="634" w:type="pct"/>
            <w:shd w:val="clear" w:color="auto" w:fill="auto"/>
            <w:noWrap/>
            <w:vAlign w:val="bottom"/>
            <w:hideMark/>
          </w:tcPr>
          <w:p w14:paraId="2ED73F51" w14:textId="488AC7B2"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9 843</w:t>
            </w:r>
          </w:p>
        </w:tc>
        <w:tc>
          <w:tcPr>
            <w:tcW w:w="645" w:type="pct"/>
            <w:shd w:val="clear" w:color="auto" w:fill="auto"/>
            <w:noWrap/>
            <w:vAlign w:val="bottom"/>
            <w:hideMark/>
          </w:tcPr>
          <w:p w14:paraId="12A4C931" w14:textId="14E184B8"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10 157</w:t>
            </w:r>
          </w:p>
        </w:tc>
      </w:tr>
      <w:tr w:rsidR="003D0BC9" w:rsidRPr="00E4581C" w14:paraId="1280FF51" w14:textId="77777777" w:rsidTr="00B36368">
        <w:trPr>
          <w:trHeight w:val="215"/>
        </w:trPr>
        <w:tc>
          <w:tcPr>
            <w:tcW w:w="3086" w:type="pct"/>
            <w:tcBorders>
              <w:bottom w:val="single" w:sz="4" w:space="0" w:color="auto"/>
            </w:tcBorders>
            <w:shd w:val="clear" w:color="auto" w:fill="auto"/>
            <w:noWrap/>
            <w:vAlign w:val="bottom"/>
            <w:hideMark/>
          </w:tcPr>
          <w:p w14:paraId="2CDF6FF1" w14:textId="125449EA"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 xml:space="preserve">Franqueos y gastos diversos </w:t>
            </w:r>
          </w:p>
        </w:tc>
        <w:tc>
          <w:tcPr>
            <w:tcW w:w="635" w:type="pct"/>
            <w:tcBorders>
              <w:bottom w:val="single" w:sz="4" w:space="0" w:color="auto"/>
            </w:tcBorders>
            <w:shd w:val="clear" w:color="auto" w:fill="auto"/>
            <w:noWrap/>
            <w:vAlign w:val="bottom"/>
            <w:hideMark/>
          </w:tcPr>
          <w:p w14:paraId="12D63E7B" w14:textId="270E7272"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2 000</w:t>
            </w:r>
          </w:p>
        </w:tc>
        <w:tc>
          <w:tcPr>
            <w:tcW w:w="634" w:type="pct"/>
            <w:tcBorders>
              <w:bottom w:val="single" w:sz="4" w:space="0" w:color="auto"/>
            </w:tcBorders>
            <w:shd w:val="clear" w:color="auto" w:fill="auto"/>
            <w:noWrap/>
            <w:vAlign w:val="bottom"/>
            <w:hideMark/>
          </w:tcPr>
          <w:p w14:paraId="4027A490" w14:textId="0F1BC36B"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335</w:t>
            </w:r>
          </w:p>
        </w:tc>
        <w:tc>
          <w:tcPr>
            <w:tcW w:w="645" w:type="pct"/>
            <w:tcBorders>
              <w:bottom w:val="single" w:sz="4" w:space="0" w:color="auto"/>
            </w:tcBorders>
            <w:shd w:val="clear" w:color="auto" w:fill="auto"/>
            <w:noWrap/>
            <w:vAlign w:val="bottom"/>
            <w:hideMark/>
          </w:tcPr>
          <w:p w14:paraId="4BE104C6" w14:textId="2AAD3500"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1 665</w:t>
            </w:r>
          </w:p>
        </w:tc>
      </w:tr>
      <w:tr w:rsidR="003D0BC9" w:rsidRPr="00E4581C" w14:paraId="5AEB9D5A"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79CF82AA" w14:textId="3DF3DE3A"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3.2.6</w:t>
            </w:r>
            <w:r w:rsidR="00356A65" w:rsidRPr="00E4581C">
              <w:rPr>
                <w:rFonts w:ascii="Times New Roman" w:hAnsi="Times New Roman"/>
                <w:b/>
                <w:bCs/>
                <w:sz w:val="18"/>
                <w:szCs w:val="18"/>
                <w:lang w:val="es-ES_tradnl"/>
              </w:rPr>
              <w:t xml:space="preserve"> </w:t>
            </w:r>
            <w:r w:rsidRPr="00E4581C">
              <w:rPr>
                <w:rFonts w:ascii="Times New Roman" w:hAnsi="Times New Roman"/>
                <w:b/>
                <w:bCs/>
                <w:sz w:val="18"/>
                <w:szCs w:val="18"/>
                <w:lang w:val="es-ES_tradnl"/>
              </w:rPr>
              <w:t>Teléfono, franqueos y gastos diversos</w:t>
            </w:r>
          </w:p>
        </w:tc>
        <w:tc>
          <w:tcPr>
            <w:tcW w:w="635" w:type="pct"/>
            <w:tcBorders>
              <w:top w:val="single" w:sz="4" w:space="0" w:color="auto"/>
              <w:bottom w:val="single" w:sz="4" w:space="0" w:color="auto"/>
            </w:tcBorders>
            <w:shd w:val="clear" w:color="auto" w:fill="auto"/>
            <w:noWrap/>
            <w:vAlign w:val="bottom"/>
            <w:hideMark/>
          </w:tcPr>
          <w:p w14:paraId="28D4B576" w14:textId="7B05763E"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22 000</w:t>
            </w:r>
          </w:p>
        </w:tc>
        <w:tc>
          <w:tcPr>
            <w:tcW w:w="634" w:type="pct"/>
            <w:tcBorders>
              <w:top w:val="single" w:sz="4" w:space="0" w:color="auto"/>
              <w:bottom w:val="single" w:sz="4" w:space="0" w:color="auto"/>
            </w:tcBorders>
            <w:shd w:val="clear" w:color="auto" w:fill="auto"/>
            <w:noWrap/>
            <w:vAlign w:val="bottom"/>
            <w:hideMark/>
          </w:tcPr>
          <w:p w14:paraId="03423388" w14:textId="772F76D8"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10 178 </w:t>
            </w:r>
          </w:p>
        </w:tc>
        <w:tc>
          <w:tcPr>
            <w:tcW w:w="645" w:type="pct"/>
            <w:tcBorders>
              <w:top w:val="single" w:sz="4" w:space="0" w:color="auto"/>
              <w:bottom w:val="single" w:sz="4" w:space="0" w:color="auto"/>
            </w:tcBorders>
            <w:shd w:val="clear" w:color="auto" w:fill="auto"/>
            <w:noWrap/>
            <w:vAlign w:val="bottom"/>
            <w:hideMark/>
          </w:tcPr>
          <w:p w14:paraId="1DBF9CB5" w14:textId="51D716A4"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11 822</w:t>
            </w:r>
          </w:p>
        </w:tc>
      </w:tr>
      <w:tr w:rsidR="003D0BC9" w:rsidRPr="00E4581C" w14:paraId="1361694D" w14:textId="77777777" w:rsidTr="00B36368">
        <w:trPr>
          <w:trHeight w:val="215"/>
        </w:trPr>
        <w:tc>
          <w:tcPr>
            <w:tcW w:w="3086" w:type="pct"/>
            <w:tcBorders>
              <w:top w:val="single" w:sz="4" w:space="0" w:color="auto"/>
            </w:tcBorders>
            <w:shd w:val="clear" w:color="auto" w:fill="auto"/>
            <w:noWrap/>
            <w:vAlign w:val="bottom"/>
            <w:hideMark/>
          </w:tcPr>
          <w:p w14:paraId="1C006F1F" w14:textId="6307DC91"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3.2.7 Atenciones sociales</w:t>
            </w:r>
            <w:r w:rsidRPr="00E4581C">
              <w:rPr>
                <w:rFonts w:ascii="Times New Roman" w:hAnsi="Times New Roman"/>
                <w:sz w:val="18"/>
                <w:szCs w:val="18"/>
                <w:lang w:val="es-ES_tradnl"/>
              </w:rPr>
              <w:t xml:space="preserve"> </w:t>
            </w:r>
          </w:p>
        </w:tc>
        <w:tc>
          <w:tcPr>
            <w:tcW w:w="635" w:type="pct"/>
            <w:tcBorders>
              <w:top w:val="single" w:sz="4" w:space="0" w:color="auto"/>
            </w:tcBorders>
            <w:shd w:val="clear" w:color="auto" w:fill="auto"/>
            <w:noWrap/>
            <w:vAlign w:val="bottom"/>
            <w:hideMark/>
          </w:tcPr>
          <w:p w14:paraId="57B3C18A" w14:textId="1EA9EB60" w:rsidR="000958F5" w:rsidRPr="00E4581C" w:rsidRDefault="000958F5" w:rsidP="000D3AC4">
            <w:pPr>
              <w:spacing w:before="40" w:after="40" w:line="240" w:lineRule="auto"/>
              <w:jc w:val="right"/>
              <w:rPr>
                <w:rFonts w:ascii="Times New Roman" w:hAnsi="Times New Roman"/>
                <w:sz w:val="18"/>
                <w:szCs w:val="18"/>
                <w:lang w:val="es-ES_tradnl"/>
              </w:rPr>
            </w:pPr>
          </w:p>
        </w:tc>
        <w:tc>
          <w:tcPr>
            <w:tcW w:w="634" w:type="pct"/>
            <w:tcBorders>
              <w:top w:val="single" w:sz="4" w:space="0" w:color="auto"/>
            </w:tcBorders>
            <w:shd w:val="clear" w:color="auto" w:fill="auto"/>
            <w:noWrap/>
            <w:vAlign w:val="bottom"/>
            <w:hideMark/>
          </w:tcPr>
          <w:p w14:paraId="2614BDB3" w14:textId="008B30CF" w:rsidR="000958F5" w:rsidRPr="00E4581C" w:rsidRDefault="000958F5" w:rsidP="000D3AC4">
            <w:pPr>
              <w:spacing w:before="40" w:after="40" w:line="240" w:lineRule="auto"/>
              <w:jc w:val="right"/>
              <w:rPr>
                <w:rFonts w:ascii="Times New Roman" w:hAnsi="Times New Roman"/>
                <w:sz w:val="18"/>
                <w:szCs w:val="18"/>
                <w:lang w:val="es-ES_tradnl"/>
              </w:rPr>
            </w:pPr>
          </w:p>
        </w:tc>
        <w:tc>
          <w:tcPr>
            <w:tcW w:w="645" w:type="pct"/>
            <w:tcBorders>
              <w:top w:val="single" w:sz="4" w:space="0" w:color="auto"/>
            </w:tcBorders>
            <w:shd w:val="clear" w:color="auto" w:fill="auto"/>
            <w:noWrap/>
            <w:vAlign w:val="bottom"/>
            <w:hideMark/>
          </w:tcPr>
          <w:p w14:paraId="04BE4B75" w14:textId="438C8305" w:rsidR="000958F5" w:rsidRPr="00E4581C" w:rsidRDefault="000958F5" w:rsidP="000D3AC4">
            <w:pPr>
              <w:spacing w:before="40" w:after="40" w:line="240" w:lineRule="auto"/>
              <w:jc w:val="right"/>
              <w:rPr>
                <w:rFonts w:ascii="Times New Roman" w:hAnsi="Times New Roman"/>
                <w:sz w:val="18"/>
                <w:szCs w:val="18"/>
                <w:lang w:val="es-ES_tradnl"/>
              </w:rPr>
            </w:pPr>
          </w:p>
        </w:tc>
      </w:tr>
      <w:tr w:rsidR="003D0BC9" w:rsidRPr="00E4581C" w14:paraId="783F7587" w14:textId="77777777" w:rsidTr="00B36368">
        <w:trPr>
          <w:trHeight w:val="215"/>
        </w:trPr>
        <w:tc>
          <w:tcPr>
            <w:tcW w:w="3086" w:type="pct"/>
            <w:tcBorders>
              <w:bottom w:val="single" w:sz="4" w:space="0" w:color="auto"/>
            </w:tcBorders>
            <w:shd w:val="clear" w:color="auto" w:fill="auto"/>
            <w:noWrap/>
            <w:vAlign w:val="bottom"/>
            <w:hideMark/>
          </w:tcPr>
          <w:p w14:paraId="1B115F61" w14:textId="252AC311"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 xml:space="preserve">Atenciones sociales </w:t>
            </w:r>
          </w:p>
        </w:tc>
        <w:tc>
          <w:tcPr>
            <w:tcW w:w="635" w:type="pct"/>
            <w:tcBorders>
              <w:bottom w:val="single" w:sz="4" w:space="0" w:color="auto"/>
            </w:tcBorders>
            <w:shd w:val="clear" w:color="auto" w:fill="auto"/>
            <w:noWrap/>
            <w:vAlign w:val="bottom"/>
            <w:hideMark/>
          </w:tcPr>
          <w:p w14:paraId="0484CCC1" w14:textId="71FE060B"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5 000</w:t>
            </w:r>
          </w:p>
        </w:tc>
        <w:tc>
          <w:tcPr>
            <w:tcW w:w="634" w:type="pct"/>
            <w:tcBorders>
              <w:bottom w:val="single" w:sz="4" w:space="0" w:color="auto"/>
            </w:tcBorders>
            <w:shd w:val="clear" w:color="auto" w:fill="auto"/>
            <w:noWrap/>
            <w:vAlign w:val="bottom"/>
            <w:hideMark/>
          </w:tcPr>
          <w:p w14:paraId="75AFCAA6" w14:textId="1DC69E7D"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 xml:space="preserve">0 </w:t>
            </w:r>
          </w:p>
        </w:tc>
        <w:tc>
          <w:tcPr>
            <w:tcW w:w="645" w:type="pct"/>
            <w:tcBorders>
              <w:bottom w:val="single" w:sz="4" w:space="0" w:color="auto"/>
            </w:tcBorders>
            <w:shd w:val="clear" w:color="auto" w:fill="auto"/>
            <w:noWrap/>
            <w:vAlign w:val="bottom"/>
            <w:hideMark/>
          </w:tcPr>
          <w:p w14:paraId="73FE2788" w14:textId="7582BDBA"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5 000</w:t>
            </w:r>
          </w:p>
        </w:tc>
      </w:tr>
      <w:tr w:rsidR="003D0BC9" w:rsidRPr="00E4581C" w14:paraId="7866198E"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358CB641" w14:textId="0D3C7A44"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3.2.7 Atenciones sociales</w:t>
            </w:r>
          </w:p>
        </w:tc>
        <w:tc>
          <w:tcPr>
            <w:tcW w:w="635" w:type="pct"/>
            <w:tcBorders>
              <w:top w:val="single" w:sz="4" w:space="0" w:color="auto"/>
              <w:bottom w:val="single" w:sz="4" w:space="0" w:color="auto"/>
            </w:tcBorders>
            <w:shd w:val="clear" w:color="auto" w:fill="auto"/>
            <w:noWrap/>
            <w:vAlign w:val="bottom"/>
            <w:hideMark/>
          </w:tcPr>
          <w:p w14:paraId="723898FA" w14:textId="554721E0"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5 000</w:t>
            </w:r>
          </w:p>
        </w:tc>
        <w:tc>
          <w:tcPr>
            <w:tcW w:w="634" w:type="pct"/>
            <w:tcBorders>
              <w:top w:val="single" w:sz="4" w:space="0" w:color="auto"/>
              <w:bottom w:val="single" w:sz="4" w:space="0" w:color="auto"/>
            </w:tcBorders>
            <w:shd w:val="clear" w:color="auto" w:fill="auto"/>
            <w:noWrap/>
            <w:vAlign w:val="bottom"/>
            <w:hideMark/>
          </w:tcPr>
          <w:p w14:paraId="0051A5F6" w14:textId="2ADDA2EB"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 xml:space="preserve">0 </w:t>
            </w:r>
          </w:p>
        </w:tc>
        <w:tc>
          <w:tcPr>
            <w:tcW w:w="645" w:type="pct"/>
            <w:tcBorders>
              <w:top w:val="single" w:sz="4" w:space="0" w:color="auto"/>
              <w:bottom w:val="single" w:sz="4" w:space="0" w:color="auto"/>
            </w:tcBorders>
            <w:shd w:val="clear" w:color="auto" w:fill="auto"/>
            <w:noWrap/>
            <w:vAlign w:val="bottom"/>
            <w:hideMark/>
          </w:tcPr>
          <w:p w14:paraId="57587AA6" w14:textId="24EB64B2"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5 000</w:t>
            </w:r>
          </w:p>
        </w:tc>
      </w:tr>
      <w:tr w:rsidR="003D0BC9" w:rsidRPr="00E4581C" w14:paraId="749B6873"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7FEF5059" w14:textId="74105922"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3.2 Gastos de funcion</w:t>
            </w:r>
            <w:r w:rsidR="002C027F" w:rsidRPr="00E4581C">
              <w:rPr>
                <w:rFonts w:ascii="Times New Roman" w:hAnsi="Times New Roman"/>
                <w:b/>
                <w:bCs/>
                <w:sz w:val="18"/>
                <w:szCs w:val="18"/>
                <w:lang w:val="es-ES_tradnl"/>
              </w:rPr>
              <w:t>amiento (no relacionados con el </w:t>
            </w:r>
            <w:r w:rsidRPr="00E4581C">
              <w:rPr>
                <w:rFonts w:ascii="Times New Roman" w:hAnsi="Times New Roman"/>
                <w:b/>
                <w:bCs/>
                <w:sz w:val="18"/>
                <w:szCs w:val="18"/>
                <w:lang w:val="es-ES_tradnl"/>
              </w:rPr>
              <w:t>personal)</w:t>
            </w:r>
          </w:p>
        </w:tc>
        <w:tc>
          <w:tcPr>
            <w:tcW w:w="635" w:type="pct"/>
            <w:tcBorders>
              <w:top w:val="single" w:sz="4" w:space="0" w:color="auto"/>
              <w:bottom w:val="single" w:sz="4" w:space="0" w:color="auto"/>
            </w:tcBorders>
            <w:shd w:val="clear" w:color="auto" w:fill="auto"/>
            <w:noWrap/>
            <w:vAlign w:val="bottom"/>
            <w:hideMark/>
          </w:tcPr>
          <w:p w14:paraId="1AEA589A" w14:textId="6C1DD586"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262 500</w:t>
            </w:r>
          </w:p>
        </w:tc>
        <w:tc>
          <w:tcPr>
            <w:tcW w:w="634" w:type="pct"/>
            <w:tcBorders>
              <w:top w:val="single" w:sz="4" w:space="0" w:color="auto"/>
              <w:bottom w:val="single" w:sz="4" w:space="0" w:color="auto"/>
            </w:tcBorders>
            <w:shd w:val="clear" w:color="auto" w:fill="auto"/>
            <w:noWrap/>
            <w:vAlign w:val="bottom"/>
            <w:hideMark/>
          </w:tcPr>
          <w:p w14:paraId="2B55BF93" w14:textId="76DC2E71"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200 444</w:t>
            </w:r>
          </w:p>
        </w:tc>
        <w:tc>
          <w:tcPr>
            <w:tcW w:w="645" w:type="pct"/>
            <w:tcBorders>
              <w:top w:val="single" w:sz="4" w:space="0" w:color="auto"/>
              <w:bottom w:val="single" w:sz="4" w:space="0" w:color="auto"/>
            </w:tcBorders>
            <w:shd w:val="clear" w:color="auto" w:fill="auto"/>
            <w:noWrap/>
            <w:vAlign w:val="bottom"/>
            <w:hideMark/>
          </w:tcPr>
          <w:p w14:paraId="13A323A7" w14:textId="56838325"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62 056</w:t>
            </w:r>
          </w:p>
        </w:tc>
      </w:tr>
      <w:tr w:rsidR="003D0BC9" w:rsidRPr="00E4581C" w14:paraId="7CC32F83" w14:textId="77777777" w:rsidTr="00B36368">
        <w:trPr>
          <w:trHeight w:val="269"/>
        </w:trPr>
        <w:tc>
          <w:tcPr>
            <w:tcW w:w="3086" w:type="pct"/>
            <w:tcBorders>
              <w:top w:val="single" w:sz="4" w:space="0" w:color="auto"/>
              <w:bottom w:val="single" w:sz="4" w:space="0" w:color="auto"/>
            </w:tcBorders>
            <w:shd w:val="clear" w:color="auto" w:fill="auto"/>
            <w:noWrap/>
            <w:vAlign w:val="bottom"/>
            <w:hideMark/>
          </w:tcPr>
          <w:p w14:paraId="0902F91E" w14:textId="615D5CD4" w:rsidR="000958F5" w:rsidRPr="00E4581C" w:rsidRDefault="000958F5" w:rsidP="000D3AC4">
            <w:pPr>
              <w:spacing w:before="40" w:after="40" w:line="240" w:lineRule="auto"/>
              <w:rPr>
                <w:rFonts w:ascii="Times New Roman" w:eastAsia="Times New Roman" w:hAnsi="Times New Roman"/>
                <w:b/>
                <w:bCs/>
                <w:sz w:val="18"/>
                <w:szCs w:val="18"/>
                <w:lang w:val="es-ES_tradnl"/>
              </w:rPr>
            </w:pPr>
            <w:r w:rsidRPr="00E4581C">
              <w:rPr>
                <w:rFonts w:ascii="Times New Roman" w:hAnsi="Times New Roman"/>
                <w:b/>
                <w:bCs/>
                <w:sz w:val="18"/>
                <w:szCs w:val="18"/>
                <w:lang w:val="es-ES_tradnl"/>
              </w:rPr>
              <w:t>Total parcial 3 Secretaría (gastos de personal y de funcionamiento)</w:t>
            </w:r>
          </w:p>
        </w:tc>
        <w:tc>
          <w:tcPr>
            <w:tcW w:w="635" w:type="pct"/>
            <w:tcBorders>
              <w:top w:val="single" w:sz="4" w:space="0" w:color="auto"/>
              <w:bottom w:val="single" w:sz="4" w:space="0" w:color="auto"/>
            </w:tcBorders>
            <w:shd w:val="clear" w:color="auto" w:fill="auto"/>
            <w:noWrap/>
            <w:vAlign w:val="bottom"/>
            <w:hideMark/>
          </w:tcPr>
          <w:p w14:paraId="521BB8C2" w14:textId="48CF5871"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2 074 800</w:t>
            </w:r>
          </w:p>
        </w:tc>
        <w:tc>
          <w:tcPr>
            <w:tcW w:w="634" w:type="pct"/>
            <w:tcBorders>
              <w:top w:val="single" w:sz="4" w:space="0" w:color="auto"/>
              <w:bottom w:val="single" w:sz="4" w:space="0" w:color="auto"/>
            </w:tcBorders>
            <w:shd w:val="clear" w:color="auto" w:fill="auto"/>
            <w:noWrap/>
            <w:vAlign w:val="bottom"/>
            <w:hideMark/>
          </w:tcPr>
          <w:p w14:paraId="0C8BC18C" w14:textId="77EE9C8F"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1 160 684</w:t>
            </w:r>
          </w:p>
        </w:tc>
        <w:tc>
          <w:tcPr>
            <w:tcW w:w="645" w:type="pct"/>
            <w:tcBorders>
              <w:top w:val="single" w:sz="4" w:space="0" w:color="auto"/>
              <w:bottom w:val="single" w:sz="4" w:space="0" w:color="auto"/>
            </w:tcBorders>
            <w:shd w:val="clear" w:color="auto" w:fill="auto"/>
            <w:noWrap/>
            <w:vAlign w:val="bottom"/>
            <w:hideMark/>
          </w:tcPr>
          <w:p w14:paraId="688CCDE1" w14:textId="33B58A33" w:rsidR="000958F5" w:rsidRPr="00E4581C" w:rsidRDefault="000958F5" w:rsidP="000D3AC4">
            <w:pPr>
              <w:spacing w:before="40" w:after="40" w:line="240" w:lineRule="auto"/>
              <w:jc w:val="right"/>
              <w:rPr>
                <w:rFonts w:ascii="Times New Roman" w:eastAsia="Times New Roman" w:hAnsi="Times New Roman"/>
                <w:b/>
                <w:bCs/>
                <w:sz w:val="18"/>
                <w:szCs w:val="18"/>
                <w:lang w:val="es-ES_tradnl"/>
              </w:rPr>
            </w:pPr>
            <w:r w:rsidRPr="00E4581C">
              <w:rPr>
                <w:rFonts w:ascii="Times New Roman" w:hAnsi="Times New Roman"/>
                <w:b/>
                <w:sz w:val="18"/>
                <w:szCs w:val="18"/>
                <w:lang w:val="es-ES_tradnl"/>
              </w:rPr>
              <w:t>914 116</w:t>
            </w:r>
          </w:p>
        </w:tc>
      </w:tr>
      <w:tr w:rsidR="003D0BC9" w:rsidRPr="00E4581C" w14:paraId="4E8A58D7" w14:textId="77777777" w:rsidTr="00B36368">
        <w:trPr>
          <w:trHeight w:val="289"/>
        </w:trPr>
        <w:tc>
          <w:tcPr>
            <w:tcW w:w="3086" w:type="pct"/>
            <w:tcBorders>
              <w:top w:val="single" w:sz="4" w:space="0" w:color="auto"/>
              <w:bottom w:val="single" w:sz="4" w:space="0" w:color="auto"/>
            </w:tcBorders>
            <w:shd w:val="clear" w:color="auto" w:fill="auto"/>
            <w:noWrap/>
            <w:vAlign w:val="bottom"/>
            <w:hideMark/>
          </w:tcPr>
          <w:p w14:paraId="6702C1AE" w14:textId="014CAB01"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parcial 1+2+3</w:t>
            </w:r>
          </w:p>
        </w:tc>
        <w:tc>
          <w:tcPr>
            <w:tcW w:w="635" w:type="pct"/>
            <w:tcBorders>
              <w:top w:val="single" w:sz="4" w:space="0" w:color="auto"/>
              <w:bottom w:val="single" w:sz="4" w:space="0" w:color="auto"/>
            </w:tcBorders>
            <w:shd w:val="clear" w:color="auto" w:fill="auto"/>
            <w:noWrap/>
            <w:vAlign w:val="bottom"/>
            <w:hideMark/>
          </w:tcPr>
          <w:p w14:paraId="6FCD0B3F" w14:textId="6FC8E680"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7 683 450</w:t>
            </w:r>
          </w:p>
        </w:tc>
        <w:tc>
          <w:tcPr>
            <w:tcW w:w="634" w:type="pct"/>
            <w:tcBorders>
              <w:top w:val="single" w:sz="4" w:space="0" w:color="auto"/>
              <w:bottom w:val="single" w:sz="4" w:space="0" w:color="auto"/>
            </w:tcBorders>
            <w:shd w:val="clear" w:color="auto" w:fill="auto"/>
            <w:noWrap/>
            <w:vAlign w:val="bottom"/>
            <w:hideMark/>
          </w:tcPr>
          <w:p w14:paraId="28356454" w14:textId="17F91AC1"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5 693 208</w:t>
            </w:r>
          </w:p>
        </w:tc>
        <w:tc>
          <w:tcPr>
            <w:tcW w:w="645" w:type="pct"/>
            <w:tcBorders>
              <w:top w:val="single" w:sz="4" w:space="0" w:color="auto"/>
              <w:bottom w:val="single" w:sz="4" w:space="0" w:color="auto"/>
            </w:tcBorders>
            <w:shd w:val="clear" w:color="auto" w:fill="auto"/>
            <w:noWrap/>
            <w:vAlign w:val="bottom"/>
            <w:hideMark/>
          </w:tcPr>
          <w:p w14:paraId="2356A87C" w14:textId="0E4AFA43"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1 990 242</w:t>
            </w:r>
          </w:p>
        </w:tc>
      </w:tr>
      <w:tr w:rsidR="003D0BC9" w:rsidRPr="00E4581C" w14:paraId="4BF5EBAD" w14:textId="77777777" w:rsidTr="00B36368">
        <w:trPr>
          <w:trHeight w:val="238"/>
        </w:trPr>
        <w:tc>
          <w:tcPr>
            <w:tcW w:w="3086" w:type="pct"/>
            <w:tcBorders>
              <w:top w:val="single" w:sz="4" w:space="0" w:color="auto"/>
              <w:bottom w:val="single" w:sz="4" w:space="0" w:color="auto"/>
            </w:tcBorders>
            <w:shd w:val="clear" w:color="auto" w:fill="auto"/>
            <w:noWrap/>
            <w:vAlign w:val="bottom"/>
            <w:hideMark/>
          </w:tcPr>
          <w:p w14:paraId="2C7F07FF" w14:textId="08FD0847" w:rsidR="000958F5" w:rsidRPr="00E4581C" w:rsidRDefault="000958F5" w:rsidP="000D3AC4">
            <w:pPr>
              <w:spacing w:before="40" w:after="40" w:line="240" w:lineRule="auto"/>
              <w:rPr>
                <w:rFonts w:ascii="Times New Roman" w:hAnsi="Times New Roman"/>
                <w:sz w:val="18"/>
                <w:szCs w:val="18"/>
                <w:lang w:val="es-ES_tradnl"/>
              </w:rPr>
            </w:pPr>
            <w:r w:rsidRPr="00E4581C">
              <w:rPr>
                <w:rFonts w:ascii="Times New Roman" w:hAnsi="Times New Roman"/>
                <w:sz w:val="18"/>
                <w:szCs w:val="18"/>
                <w:lang w:val="es-ES_tradnl"/>
              </w:rPr>
              <w:t>Gastos de apoyo a los programas (8%)</w:t>
            </w:r>
          </w:p>
        </w:tc>
        <w:tc>
          <w:tcPr>
            <w:tcW w:w="635" w:type="pct"/>
            <w:tcBorders>
              <w:top w:val="single" w:sz="4" w:space="0" w:color="auto"/>
              <w:bottom w:val="single" w:sz="4" w:space="0" w:color="auto"/>
            </w:tcBorders>
            <w:shd w:val="clear" w:color="auto" w:fill="auto"/>
            <w:noWrap/>
            <w:vAlign w:val="bottom"/>
            <w:hideMark/>
          </w:tcPr>
          <w:p w14:paraId="20629DF3" w14:textId="49080F7E"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614 676</w:t>
            </w:r>
          </w:p>
        </w:tc>
        <w:tc>
          <w:tcPr>
            <w:tcW w:w="634" w:type="pct"/>
            <w:tcBorders>
              <w:top w:val="single" w:sz="4" w:space="0" w:color="auto"/>
              <w:bottom w:val="single" w:sz="4" w:space="0" w:color="auto"/>
            </w:tcBorders>
            <w:shd w:val="clear" w:color="auto" w:fill="auto"/>
            <w:noWrap/>
            <w:vAlign w:val="bottom"/>
            <w:hideMark/>
          </w:tcPr>
          <w:p w14:paraId="025244BA" w14:textId="4A841AE1"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455 457</w:t>
            </w:r>
          </w:p>
        </w:tc>
        <w:tc>
          <w:tcPr>
            <w:tcW w:w="645" w:type="pct"/>
            <w:tcBorders>
              <w:top w:val="single" w:sz="4" w:space="0" w:color="auto"/>
              <w:bottom w:val="single" w:sz="4" w:space="0" w:color="auto"/>
            </w:tcBorders>
            <w:shd w:val="clear" w:color="auto" w:fill="auto"/>
            <w:noWrap/>
            <w:vAlign w:val="bottom"/>
            <w:hideMark/>
          </w:tcPr>
          <w:p w14:paraId="2923580E" w14:textId="6D6F8B51" w:rsidR="000958F5" w:rsidRPr="00E4581C" w:rsidRDefault="000958F5" w:rsidP="000D3AC4">
            <w:pPr>
              <w:spacing w:before="40" w:after="40" w:line="240" w:lineRule="auto"/>
              <w:jc w:val="right"/>
              <w:rPr>
                <w:rFonts w:ascii="Times New Roman" w:hAnsi="Times New Roman"/>
                <w:sz w:val="18"/>
                <w:szCs w:val="18"/>
                <w:lang w:val="es-ES_tradnl"/>
              </w:rPr>
            </w:pPr>
            <w:r w:rsidRPr="00E4581C">
              <w:rPr>
                <w:rFonts w:ascii="Times New Roman" w:hAnsi="Times New Roman"/>
                <w:sz w:val="18"/>
                <w:szCs w:val="18"/>
                <w:lang w:val="es-ES_tradnl"/>
              </w:rPr>
              <w:t>159 219</w:t>
            </w:r>
          </w:p>
        </w:tc>
      </w:tr>
      <w:tr w:rsidR="003D0BC9" w:rsidRPr="00E4581C" w14:paraId="698361C2" w14:textId="77777777" w:rsidTr="00B36368">
        <w:trPr>
          <w:trHeight w:val="253"/>
        </w:trPr>
        <w:tc>
          <w:tcPr>
            <w:tcW w:w="3086" w:type="pct"/>
            <w:tcBorders>
              <w:top w:val="single" w:sz="4" w:space="0" w:color="auto"/>
              <w:bottom w:val="single" w:sz="4" w:space="0" w:color="auto"/>
            </w:tcBorders>
            <w:shd w:val="clear" w:color="auto" w:fill="auto"/>
            <w:noWrap/>
            <w:vAlign w:val="bottom"/>
            <w:hideMark/>
          </w:tcPr>
          <w:p w14:paraId="345F2D7B" w14:textId="6F674670"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Costo total para el fondo fiduciario</w:t>
            </w:r>
          </w:p>
        </w:tc>
        <w:tc>
          <w:tcPr>
            <w:tcW w:w="635" w:type="pct"/>
            <w:tcBorders>
              <w:top w:val="single" w:sz="4" w:space="0" w:color="auto"/>
              <w:bottom w:val="single" w:sz="4" w:space="0" w:color="auto"/>
            </w:tcBorders>
            <w:shd w:val="clear" w:color="auto" w:fill="auto"/>
            <w:noWrap/>
            <w:vAlign w:val="bottom"/>
            <w:hideMark/>
          </w:tcPr>
          <w:p w14:paraId="42609529" w14:textId="31168698"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8 298 126</w:t>
            </w:r>
          </w:p>
        </w:tc>
        <w:tc>
          <w:tcPr>
            <w:tcW w:w="634" w:type="pct"/>
            <w:tcBorders>
              <w:top w:val="single" w:sz="4" w:space="0" w:color="auto"/>
              <w:bottom w:val="single" w:sz="4" w:space="0" w:color="auto"/>
            </w:tcBorders>
            <w:shd w:val="clear" w:color="auto" w:fill="auto"/>
            <w:noWrap/>
            <w:vAlign w:val="bottom"/>
            <w:hideMark/>
          </w:tcPr>
          <w:p w14:paraId="0E4718B2" w14:textId="2907F389"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6 148 664</w:t>
            </w:r>
          </w:p>
        </w:tc>
        <w:tc>
          <w:tcPr>
            <w:tcW w:w="645" w:type="pct"/>
            <w:tcBorders>
              <w:top w:val="single" w:sz="4" w:space="0" w:color="auto"/>
              <w:bottom w:val="single" w:sz="4" w:space="0" w:color="auto"/>
            </w:tcBorders>
            <w:shd w:val="clear" w:color="auto" w:fill="auto"/>
            <w:noWrap/>
            <w:vAlign w:val="bottom"/>
            <w:hideMark/>
          </w:tcPr>
          <w:p w14:paraId="588B0D20" w14:textId="6B409E5B"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2 149 462</w:t>
            </w:r>
          </w:p>
        </w:tc>
      </w:tr>
      <w:tr w:rsidR="003D0BC9" w:rsidRPr="00E4581C" w14:paraId="511896D1" w14:textId="77777777" w:rsidTr="00B36368">
        <w:trPr>
          <w:trHeight w:val="238"/>
        </w:trPr>
        <w:tc>
          <w:tcPr>
            <w:tcW w:w="3086" w:type="pct"/>
            <w:tcBorders>
              <w:top w:val="single" w:sz="4" w:space="0" w:color="auto"/>
              <w:bottom w:val="single" w:sz="4" w:space="0" w:color="auto"/>
            </w:tcBorders>
            <w:shd w:val="clear" w:color="auto" w:fill="auto"/>
            <w:noWrap/>
            <w:vAlign w:val="bottom"/>
            <w:hideMark/>
          </w:tcPr>
          <w:p w14:paraId="704A4736" w14:textId="7F04E052" w:rsidR="000958F5" w:rsidRPr="00E4581C" w:rsidRDefault="000958F5" w:rsidP="002C027F">
            <w:pPr>
              <w:spacing w:before="40" w:after="40" w:line="240" w:lineRule="auto"/>
              <w:rPr>
                <w:rFonts w:ascii="Times New Roman" w:eastAsia="Times New Roman" w:hAnsi="Times New Roman"/>
                <w:sz w:val="18"/>
                <w:szCs w:val="18"/>
                <w:lang w:val="es-ES_tradnl"/>
              </w:rPr>
            </w:pPr>
            <w:r w:rsidRPr="00E4581C">
              <w:rPr>
                <w:rFonts w:ascii="Times New Roman" w:hAnsi="Times New Roman"/>
                <w:sz w:val="18"/>
                <w:szCs w:val="18"/>
                <w:lang w:val="es-ES_tradnl"/>
              </w:rPr>
              <w:t>Contribución a la reserva de capital circulante</w:t>
            </w:r>
            <w:r w:rsidR="006D3DDF" w:rsidRPr="00E4581C">
              <w:rPr>
                <w:rFonts w:ascii="Times New Roman" w:hAnsi="Times New Roman"/>
                <w:sz w:val="18"/>
                <w:szCs w:val="18"/>
                <w:lang w:val="es-ES_tradnl"/>
              </w:rPr>
              <w:t xml:space="preserve"> </w:t>
            </w:r>
            <w:r w:rsidRPr="00E4581C">
              <w:rPr>
                <w:rFonts w:ascii="Times New Roman" w:hAnsi="Times New Roman"/>
                <w:sz w:val="18"/>
                <w:szCs w:val="18"/>
                <w:lang w:val="es-ES_tradnl"/>
              </w:rPr>
              <w:t>(10%)</w:t>
            </w:r>
          </w:p>
        </w:tc>
        <w:tc>
          <w:tcPr>
            <w:tcW w:w="635" w:type="pct"/>
            <w:tcBorders>
              <w:top w:val="single" w:sz="4" w:space="0" w:color="auto"/>
              <w:bottom w:val="single" w:sz="4" w:space="0" w:color="auto"/>
            </w:tcBorders>
            <w:shd w:val="clear" w:color="auto" w:fill="auto"/>
            <w:noWrap/>
            <w:vAlign w:val="bottom"/>
            <w:hideMark/>
          </w:tcPr>
          <w:p w14:paraId="6C9AC67F" w14:textId="4836350F"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126 873</w:t>
            </w:r>
          </w:p>
        </w:tc>
        <w:tc>
          <w:tcPr>
            <w:tcW w:w="634" w:type="pct"/>
            <w:tcBorders>
              <w:top w:val="single" w:sz="4" w:space="0" w:color="auto"/>
              <w:bottom w:val="single" w:sz="4" w:space="0" w:color="auto"/>
            </w:tcBorders>
            <w:shd w:val="clear" w:color="auto" w:fill="auto"/>
            <w:noWrap/>
            <w:vAlign w:val="bottom"/>
            <w:hideMark/>
          </w:tcPr>
          <w:p w14:paraId="08BDD4ED" w14:textId="6E962A97"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126 873</w:t>
            </w:r>
          </w:p>
        </w:tc>
        <w:tc>
          <w:tcPr>
            <w:tcW w:w="645" w:type="pct"/>
            <w:tcBorders>
              <w:top w:val="single" w:sz="4" w:space="0" w:color="auto"/>
              <w:bottom w:val="single" w:sz="4" w:space="0" w:color="auto"/>
            </w:tcBorders>
            <w:shd w:val="clear" w:color="auto" w:fill="auto"/>
            <w:noWrap/>
            <w:vAlign w:val="bottom"/>
            <w:hideMark/>
          </w:tcPr>
          <w:p w14:paraId="759E3307" w14:textId="024A593B" w:rsidR="000958F5" w:rsidRPr="00E4581C" w:rsidRDefault="000958F5" w:rsidP="000D3AC4">
            <w:pPr>
              <w:spacing w:before="40" w:after="40" w:line="240" w:lineRule="auto"/>
              <w:jc w:val="right"/>
              <w:rPr>
                <w:rFonts w:ascii="Times New Roman" w:eastAsia="Times New Roman" w:hAnsi="Times New Roman"/>
                <w:sz w:val="18"/>
                <w:szCs w:val="18"/>
                <w:lang w:val="es-ES_tradnl"/>
              </w:rPr>
            </w:pPr>
            <w:r w:rsidRPr="00E4581C">
              <w:rPr>
                <w:rFonts w:ascii="Times New Roman" w:hAnsi="Times New Roman"/>
                <w:sz w:val="18"/>
                <w:szCs w:val="18"/>
                <w:lang w:val="es-ES_tradnl"/>
              </w:rPr>
              <w:t>0</w:t>
            </w:r>
          </w:p>
        </w:tc>
      </w:tr>
      <w:tr w:rsidR="003D0BC9" w:rsidRPr="00E4581C" w14:paraId="00CFB7FF" w14:textId="77777777" w:rsidTr="00B36368">
        <w:trPr>
          <w:trHeight w:val="289"/>
        </w:trPr>
        <w:tc>
          <w:tcPr>
            <w:tcW w:w="3086" w:type="pct"/>
            <w:tcBorders>
              <w:top w:val="single" w:sz="4" w:space="0" w:color="auto"/>
              <w:bottom w:val="single" w:sz="12" w:space="0" w:color="auto"/>
            </w:tcBorders>
            <w:shd w:val="clear" w:color="auto" w:fill="auto"/>
            <w:noWrap/>
            <w:vAlign w:val="bottom"/>
            <w:hideMark/>
          </w:tcPr>
          <w:p w14:paraId="375EB2C2" w14:textId="7B70C0E4" w:rsidR="000958F5" w:rsidRPr="00E4581C" w:rsidRDefault="000958F5" w:rsidP="000D3AC4">
            <w:pPr>
              <w:spacing w:before="40" w:after="40" w:line="240" w:lineRule="auto"/>
              <w:rPr>
                <w:rFonts w:ascii="Times New Roman" w:hAnsi="Times New Roman"/>
                <w:b/>
                <w:sz w:val="18"/>
                <w:szCs w:val="18"/>
                <w:lang w:val="es-ES_tradnl"/>
              </w:rPr>
            </w:pPr>
            <w:r w:rsidRPr="00E4581C">
              <w:rPr>
                <w:rFonts w:ascii="Times New Roman" w:hAnsi="Times New Roman"/>
                <w:b/>
                <w:bCs/>
                <w:sz w:val="18"/>
                <w:szCs w:val="18"/>
                <w:lang w:val="es-ES_tradnl"/>
              </w:rPr>
              <w:t>Total de efectivo que se necesita</w:t>
            </w:r>
          </w:p>
        </w:tc>
        <w:tc>
          <w:tcPr>
            <w:tcW w:w="635" w:type="pct"/>
            <w:tcBorders>
              <w:top w:val="single" w:sz="4" w:space="0" w:color="auto"/>
              <w:bottom w:val="single" w:sz="12" w:space="0" w:color="auto"/>
            </w:tcBorders>
            <w:shd w:val="clear" w:color="auto" w:fill="auto"/>
            <w:noWrap/>
            <w:vAlign w:val="bottom"/>
            <w:hideMark/>
          </w:tcPr>
          <w:p w14:paraId="46FC865B" w14:textId="629E50FF"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8 424 999</w:t>
            </w:r>
          </w:p>
        </w:tc>
        <w:tc>
          <w:tcPr>
            <w:tcW w:w="634" w:type="pct"/>
            <w:tcBorders>
              <w:top w:val="single" w:sz="4" w:space="0" w:color="auto"/>
              <w:bottom w:val="single" w:sz="12" w:space="0" w:color="auto"/>
            </w:tcBorders>
            <w:shd w:val="clear" w:color="auto" w:fill="auto"/>
            <w:noWrap/>
            <w:vAlign w:val="bottom"/>
            <w:hideMark/>
          </w:tcPr>
          <w:p w14:paraId="60BB2EA4" w14:textId="11ECC889"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6 275 537</w:t>
            </w:r>
          </w:p>
        </w:tc>
        <w:tc>
          <w:tcPr>
            <w:tcW w:w="645" w:type="pct"/>
            <w:tcBorders>
              <w:top w:val="single" w:sz="4" w:space="0" w:color="auto"/>
              <w:bottom w:val="single" w:sz="12" w:space="0" w:color="auto"/>
            </w:tcBorders>
            <w:shd w:val="clear" w:color="auto" w:fill="auto"/>
            <w:noWrap/>
            <w:vAlign w:val="bottom"/>
            <w:hideMark/>
          </w:tcPr>
          <w:p w14:paraId="07F944C4" w14:textId="43D5F5FA" w:rsidR="000958F5" w:rsidRPr="00E4581C" w:rsidRDefault="000958F5" w:rsidP="000D3AC4">
            <w:pPr>
              <w:spacing w:before="40" w:after="40" w:line="240" w:lineRule="auto"/>
              <w:jc w:val="right"/>
              <w:rPr>
                <w:rFonts w:ascii="Times New Roman" w:hAnsi="Times New Roman"/>
                <w:b/>
                <w:sz w:val="18"/>
                <w:szCs w:val="18"/>
                <w:lang w:val="es-ES_tradnl"/>
              </w:rPr>
            </w:pPr>
            <w:r w:rsidRPr="00E4581C">
              <w:rPr>
                <w:rFonts w:ascii="Times New Roman" w:hAnsi="Times New Roman"/>
                <w:b/>
                <w:sz w:val="18"/>
                <w:szCs w:val="18"/>
                <w:lang w:val="es-ES_tradnl"/>
              </w:rPr>
              <w:t>2 149 462</w:t>
            </w:r>
          </w:p>
        </w:tc>
      </w:tr>
    </w:tbl>
    <w:p w14:paraId="3BD26C3B" w14:textId="051C5FD0" w:rsidR="000958F5" w:rsidRPr="003A5C90" w:rsidRDefault="000958F5" w:rsidP="00372A69">
      <w:pPr>
        <w:spacing w:before="40" w:after="0" w:line="240" w:lineRule="auto"/>
        <w:rPr>
          <w:rFonts w:ascii="Times New Roman" w:hAnsi="Times New Roman"/>
          <w:color w:val="000000"/>
          <w:sz w:val="16"/>
          <w:szCs w:val="16"/>
          <w:lang w:val="es-ES_tradnl"/>
        </w:rPr>
      </w:pPr>
      <w:r w:rsidRPr="003A5C90">
        <w:rPr>
          <w:rFonts w:ascii="Times New Roman" w:hAnsi="Times New Roman"/>
          <w:sz w:val="16"/>
          <w:szCs w:val="16"/>
          <w:lang w:val="es-ES_tradnl"/>
        </w:rPr>
        <w:t>a Según la evaluación de los riesgos de seguridad realizada por el Departamento de Seguridad de las Naciones Unidas, Malasia se encontraba en el nivel de seguridad I (el nivel más bajo). Como resultado de ello, no se pidió a las Naciones Unidas que prestaran servicios de seguridad</w:t>
      </w:r>
      <w:r w:rsidR="00BC4483" w:rsidRPr="003A5C90">
        <w:rPr>
          <w:rFonts w:ascii="Times New Roman" w:hAnsi="Times New Roman"/>
          <w:sz w:val="16"/>
          <w:szCs w:val="16"/>
          <w:lang w:val="es-ES_tradnl"/>
        </w:rPr>
        <w:t>,</w:t>
      </w:r>
      <w:r w:rsidRPr="003A5C90">
        <w:rPr>
          <w:rFonts w:ascii="Times New Roman" w:hAnsi="Times New Roman"/>
          <w:sz w:val="16"/>
          <w:szCs w:val="16"/>
          <w:lang w:val="es-ES_tradnl"/>
        </w:rPr>
        <w:t xml:space="preserve"> que fueron prestados, en cambio, por </w:t>
      </w:r>
      <w:r w:rsidR="00BC4483" w:rsidRPr="003A5C90">
        <w:rPr>
          <w:rFonts w:ascii="Times New Roman" w:hAnsi="Times New Roman"/>
          <w:sz w:val="16"/>
          <w:szCs w:val="16"/>
          <w:lang w:val="es-ES_tradnl"/>
        </w:rPr>
        <w:t xml:space="preserve">cuenta propia por </w:t>
      </w:r>
      <w:r w:rsidRPr="003A5C90">
        <w:rPr>
          <w:rFonts w:ascii="Times New Roman" w:hAnsi="Times New Roman"/>
          <w:sz w:val="16"/>
          <w:szCs w:val="16"/>
          <w:lang w:val="es-ES_tradnl"/>
        </w:rPr>
        <w:t xml:space="preserve">el </w:t>
      </w:r>
      <w:r w:rsidR="00BC4483" w:rsidRPr="003A5C90">
        <w:rPr>
          <w:rFonts w:ascii="Times New Roman" w:hAnsi="Times New Roman"/>
          <w:sz w:val="16"/>
          <w:szCs w:val="16"/>
          <w:lang w:val="es-ES_tradnl"/>
        </w:rPr>
        <w:t>g</w:t>
      </w:r>
      <w:r w:rsidRPr="003A5C90">
        <w:rPr>
          <w:rFonts w:ascii="Times New Roman" w:hAnsi="Times New Roman"/>
          <w:sz w:val="16"/>
          <w:szCs w:val="16"/>
          <w:lang w:val="es-ES_tradnl"/>
        </w:rPr>
        <w:t>obierno anfitrión por cuenta propia, de conformidad con el acuerdo suscrito entre el PNUMA y el Gobierno de Malasia.</w:t>
      </w:r>
    </w:p>
    <w:p w14:paraId="128EEEED" w14:textId="7A32FAEA" w:rsidR="000958F5" w:rsidRPr="003A5C90" w:rsidRDefault="00BC4483" w:rsidP="00372A69">
      <w:pPr>
        <w:spacing w:before="40" w:after="0" w:line="240" w:lineRule="auto"/>
        <w:rPr>
          <w:rFonts w:ascii="Times New Roman" w:hAnsi="Times New Roman"/>
          <w:color w:val="000000"/>
          <w:sz w:val="16"/>
          <w:szCs w:val="16"/>
          <w:lang w:val="es-ES_tradnl"/>
        </w:rPr>
      </w:pPr>
      <w:r w:rsidRPr="003A5C90">
        <w:rPr>
          <w:rFonts w:ascii="Times New Roman" w:hAnsi="Times New Roman"/>
          <w:sz w:val="16"/>
          <w:szCs w:val="16"/>
          <w:lang w:val="es-ES_tradnl"/>
        </w:rPr>
        <w:t>b Un P</w:t>
      </w:r>
      <w:r w:rsidR="00356A65" w:rsidRPr="003A5C90">
        <w:rPr>
          <w:rFonts w:ascii="Times New Roman" w:hAnsi="Times New Roman"/>
          <w:sz w:val="16"/>
          <w:szCs w:val="16"/>
          <w:lang w:val="es-ES_tradnl"/>
        </w:rPr>
        <w:noBreakHyphen/>
      </w:r>
      <w:r w:rsidR="000958F5" w:rsidRPr="003A5C90">
        <w:rPr>
          <w:rFonts w:ascii="Times New Roman" w:hAnsi="Times New Roman"/>
          <w:sz w:val="16"/>
          <w:szCs w:val="16"/>
          <w:lang w:val="es-ES_tradnl"/>
        </w:rPr>
        <w:t>4 adscripto del PNUMA.</w:t>
      </w:r>
    </w:p>
    <w:p w14:paraId="1070B0B9" w14:textId="39713489" w:rsidR="000958F5" w:rsidRPr="003A5C90" w:rsidRDefault="00B36368" w:rsidP="00372A69">
      <w:pPr>
        <w:spacing w:before="40" w:after="0" w:line="240" w:lineRule="auto"/>
        <w:rPr>
          <w:rFonts w:ascii="Times New Roman" w:hAnsi="Times New Roman"/>
          <w:color w:val="000000"/>
          <w:sz w:val="16"/>
          <w:szCs w:val="16"/>
          <w:lang w:val="es-ES_tradnl"/>
        </w:rPr>
      </w:pPr>
      <w:r w:rsidRPr="003A5C90">
        <w:rPr>
          <w:rFonts w:ascii="Times New Roman" w:hAnsi="Times New Roman"/>
          <w:sz w:val="16"/>
          <w:szCs w:val="16"/>
          <w:lang w:val="es-ES_tradnl"/>
        </w:rPr>
        <w:t>c</w:t>
      </w:r>
      <w:r w:rsidR="000958F5" w:rsidRPr="003A5C90">
        <w:rPr>
          <w:rFonts w:ascii="Times New Roman" w:hAnsi="Times New Roman"/>
          <w:sz w:val="16"/>
          <w:szCs w:val="16"/>
          <w:lang w:val="es-ES_tradnl"/>
        </w:rPr>
        <w:t xml:space="preserve"> Los Voluntarios de las Naciones Unidas prestan servicios de apoyo informático a todas las oficinas relacionadas con el PNUMA con sede en Bonn mediante un acuerdo de prestación de servicios. Estos servicios incluyen un servicio de asistencia a los usuarios, la red local, la seguridad de Internet, los</w:t>
      </w:r>
      <w:r w:rsidR="003A5C90">
        <w:rPr>
          <w:rFonts w:ascii="Times New Roman" w:hAnsi="Times New Roman"/>
          <w:sz w:val="16"/>
          <w:szCs w:val="16"/>
          <w:lang w:val="es-ES_tradnl"/>
        </w:rPr>
        <w:t> </w:t>
      </w:r>
      <w:r w:rsidR="000958F5" w:rsidRPr="003A5C90">
        <w:rPr>
          <w:rFonts w:ascii="Times New Roman" w:hAnsi="Times New Roman"/>
          <w:sz w:val="16"/>
          <w:szCs w:val="16"/>
          <w:lang w:val="es-ES_tradnl"/>
        </w:rPr>
        <w:t>servicios al sistema de nombres de dominio (DNS), la ubicación de servidores y suscripciones a Microsoft Office 365 Enterprise E3. En virtud de este acuerdo, que ha estado en vigor desde el 1 de enero de 2015, la tarifa a</w:t>
      </w:r>
      <w:r w:rsidR="006D3DDF" w:rsidRPr="003A5C90">
        <w:rPr>
          <w:rFonts w:ascii="Times New Roman" w:hAnsi="Times New Roman"/>
          <w:sz w:val="16"/>
          <w:szCs w:val="16"/>
          <w:lang w:val="es-ES_tradnl"/>
        </w:rPr>
        <w:t>n</w:t>
      </w:r>
      <w:r w:rsidR="000958F5" w:rsidRPr="003A5C90">
        <w:rPr>
          <w:rFonts w:ascii="Times New Roman" w:hAnsi="Times New Roman"/>
          <w:sz w:val="16"/>
          <w:szCs w:val="16"/>
          <w:lang w:val="es-ES_tradnl"/>
        </w:rPr>
        <w:t>ual que se carga cada año depende del número de usuarios; en 2015 fue de</w:t>
      </w:r>
      <w:r w:rsidR="003A5C90">
        <w:rPr>
          <w:rFonts w:ascii="Times New Roman" w:hAnsi="Times New Roman"/>
          <w:sz w:val="16"/>
          <w:szCs w:val="16"/>
          <w:lang w:val="es-ES_tradnl"/>
        </w:rPr>
        <w:t> </w:t>
      </w:r>
      <w:r w:rsidR="000958F5" w:rsidRPr="003A5C90">
        <w:rPr>
          <w:rFonts w:ascii="Times New Roman" w:hAnsi="Times New Roman"/>
          <w:sz w:val="16"/>
          <w:szCs w:val="16"/>
          <w:lang w:val="es-ES_tradnl"/>
        </w:rPr>
        <w:t>22.000 dólares. En 2016 aumentó a 49.000</w:t>
      </w:r>
      <w:r w:rsidR="00BC4483" w:rsidRPr="003A5C90">
        <w:rPr>
          <w:rFonts w:ascii="Times New Roman" w:hAnsi="Times New Roman"/>
          <w:sz w:val="16"/>
          <w:szCs w:val="16"/>
          <w:lang w:val="es-ES_tradnl"/>
        </w:rPr>
        <w:t xml:space="preserve"> dólares debido a un aumento d</w:t>
      </w:r>
      <w:r w:rsidR="000958F5" w:rsidRPr="003A5C90">
        <w:rPr>
          <w:rFonts w:ascii="Times New Roman" w:hAnsi="Times New Roman"/>
          <w:sz w:val="16"/>
          <w:szCs w:val="16"/>
          <w:lang w:val="es-ES_tradnl"/>
        </w:rPr>
        <w:t>el número de usuarios, así como a un aumento de la tarifa de asistencia a los usuarios</w:t>
      </w:r>
      <w:r w:rsidR="00BC4483" w:rsidRPr="003A5C90">
        <w:rPr>
          <w:rFonts w:ascii="Times New Roman" w:hAnsi="Times New Roman"/>
          <w:sz w:val="16"/>
          <w:szCs w:val="16"/>
          <w:lang w:val="es-ES_tradnl"/>
        </w:rPr>
        <w:t xml:space="preserve"> que cobran</w:t>
      </w:r>
      <w:r w:rsidR="000958F5" w:rsidRPr="003A5C90">
        <w:rPr>
          <w:rFonts w:ascii="Times New Roman" w:hAnsi="Times New Roman"/>
          <w:sz w:val="16"/>
          <w:szCs w:val="16"/>
          <w:lang w:val="es-ES_tradnl"/>
        </w:rPr>
        <w:t xml:space="preserve"> los Voluntarios de las Naciones Unidas. </w:t>
      </w:r>
    </w:p>
    <w:p w14:paraId="5FFCFB6F" w14:textId="77777777" w:rsidR="002C027F" w:rsidRDefault="002C027F">
      <w:pPr>
        <w:spacing w:after="0" w:line="240" w:lineRule="auto"/>
        <w:rPr>
          <w:rFonts w:ascii="Times New Roman" w:eastAsia="Times New Roman" w:hAnsi="Times New Roman"/>
          <w:sz w:val="20"/>
          <w:szCs w:val="20"/>
          <w:lang w:val="es-ES_tradnl"/>
        </w:rPr>
      </w:pPr>
      <w:r>
        <w:rPr>
          <w:lang w:val="es-ES_tradnl"/>
        </w:rPr>
        <w:br w:type="page"/>
      </w:r>
    </w:p>
    <w:p w14:paraId="65ACBBB3" w14:textId="52985601" w:rsidR="000958F5" w:rsidRPr="00703A97" w:rsidRDefault="000958F5" w:rsidP="002C027F">
      <w:pPr>
        <w:pStyle w:val="Normalnumber"/>
        <w:numPr>
          <w:ilvl w:val="0"/>
          <w:numId w:val="5"/>
        </w:numPr>
        <w:ind w:left="1247" w:firstLine="0"/>
        <w:rPr>
          <w:lang w:val="es-ES_tradnl"/>
        </w:rPr>
      </w:pPr>
      <w:r w:rsidRPr="00703A97">
        <w:rPr>
          <w:lang w:val="es-ES_tradnl"/>
        </w:rPr>
        <w:lastRenderedPageBreak/>
        <w:t>Se calcula que en 2016 los gastos ascendieron a 6.148.664 dólares, que repre</w:t>
      </w:r>
      <w:r w:rsidR="002C027F">
        <w:rPr>
          <w:lang w:val="es-ES_tradnl"/>
        </w:rPr>
        <w:t>sentan un ahorro de </w:t>
      </w:r>
      <w:r w:rsidRPr="00703A97">
        <w:rPr>
          <w:lang w:val="es-ES_tradnl"/>
        </w:rPr>
        <w:t>2.149.462 dólares respecto del presupuesto aprobado por el Plenario. Al igual que en 2015, las economías logradas respecto del monto presupuestado fueron el resultado</w:t>
      </w:r>
      <w:r w:rsidR="002C027F">
        <w:rPr>
          <w:lang w:val="es-ES_tradnl"/>
        </w:rPr>
        <w:t xml:space="preserve"> principalmente de economías en </w:t>
      </w:r>
      <w:r w:rsidRPr="00703A97">
        <w:rPr>
          <w:lang w:val="es-ES_tradnl"/>
        </w:rPr>
        <w:t xml:space="preserve">el programa de trabajo (771.172 dólares) y en los gastos de </w:t>
      </w:r>
      <w:r w:rsidR="00AC44DC">
        <w:rPr>
          <w:lang w:val="es-ES_tradnl"/>
        </w:rPr>
        <w:t>personal de la Secretaría</w:t>
      </w:r>
      <w:r w:rsidRPr="00703A97">
        <w:rPr>
          <w:lang w:val="es-ES_tradnl"/>
        </w:rPr>
        <w:t xml:space="preserve"> y funcionamiento (852.060 dólares) y, en menor medida, gracias a los ahorros en las reuniones de los órganos de la Plataforma (304.955 dólares) </w:t>
      </w:r>
    </w:p>
    <w:p w14:paraId="3C6B7E35" w14:textId="67BA13A5" w:rsidR="000958F5" w:rsidRPr="00703A97" w:rsidRDefault="00A03CD8" w:rsidP="002C027F">
      <w:pPr>
        <w:pStyle w:val="Normalnumber"/>
        <w:numPr>
          <w:ilvl w:val="0"/>
          <w:numId w:val="5"/>
        </w:numPr>
        <w:ind w:left="1247" w:firstLine="0"/>
        <w:rPr>
          <w:lang w:val="es-ES_tradnl"/>
        </w:rPr>
      </w:pPr>
      <w:r w:rsidRPr="00703A97">
        <w:rPr>
          <w:lang w:val="es-ES_tradnl"/>
        </w:rPr>
        <w:t xml:space="preserve">El ahorro estimado de 771.172 dólares en el programa de trabajo </w:t>
      </w:r>
      <w:r w:rsidR="00C811F1" w:rsidRPr="00703A97">
        <w:rPr>
          <w:lang w:val="es-ES_tradnl"/>
        </w:rPr>
        <w:t xml:space="preserve">se </w:t>
      </w:r>
      <w:r w:rsidRPr="00703A97">
        <w:rPr>
          <w:lang w:val="es-ES_tradnl"/>
        </w:rPr>
        <w:t>deriv</w:t>
      </w:r>
      <w:r w:rsidR="00C811F1" w:rsidRPr="00703A97">
        <w:rPr>
          <w:lang w:val="es-ES_tradnl"/>
        </w:rPr>
        <w:t>ó</w:t>
      </w:r>
      <w:r w:rsidRPr="00703A97">
        <w:rPr>
          <w:lang w:val="es-ES_tradnl"/>
        </w:rPr>
        <w:t xml:space="preserve"> de economías </w:t>
      </w:r>
      <w:r w:rsidR="00C811F1" w:rsidRPr="00703A97">
        <w:rPr>
          <w:lang w:val="es-ES_tradnl"/>
        </w:rPr>
        <w:t>previstas</w:t>
      </w:r>
      <w:r w:rsidRPr="00703A97">
        <w:rPr>
          <w:lang w:val="es-ES_tradnl"/>
        </w:rPr>
        <w:t xml:space="preserve"> en los cuatro objetivos, pero en particular en los objetivos 2 (409.193 dólares) y 3 (206.606 dólares), correspondientes a las evaluaciones en curso, como se indica a continuación: </w:t>
      </w:r>
      <w:r w:rsidR="00C811F1" w:rsidRPr="00703A97">
        <w:rPr>
          <w:lang w:val="es-ES_tradnl"/>
        </w:rPr>
        <w:t xml:space="preserve">ahorros </w:t>
      </w:r>
      <w:r w:rsidRPr="00703A97">
        <w:rPr>
          <w:lang w:val="es-ES_tradnl"/>
        </w:rPr>
        <w:t>en los lugares de celebración de conferencias gracias al apoyo en especie de países y organizaciones y a la cel</w:t>
      </w:r>
      <w:r w:rsidR="00C811F1" w:rsidRPr="00703A97">
        <w:rPr>
          <w:lang w:val="es-ES_tradnl"/>
        </w:rPr>
        <w:t>ebración de reuniones en los pr</w:t>
      </w:r>
      <w:r w:rsidRPr="00703A97">
        <w:rPr>
          <w:lang w:val="es-ES_tradnl"/>
        </w:rPr>
        <w:t xml:space="preserve">edios universitarios de las Naciones Unidas en Bonn (aproximadamente 176.000 dólares y 27.000 dólares respectivamente, en relación con los objetivos 2 y 3); </w:t>
      </w:r>
      <w:r w:rsidRPr="00703A97">
        <w:rPr>
          <w:bCs/>
          <w:lang w:val="es-ES_tradnl"/>
        </w:rPr>
        <w:t xml:space="preserve">gastos de viajes y dietas inferiores a los previstos </w:t>
      </w:r>
      <w:r w:rsidR="00C811F1" w:rsidRPr="00703A97">
        <w:rPr>
          <w:bCs/>
          <w:lang w:val="es-ES_tradnl"/>
        </w:rPr>
        <w:t xml:space="preserve">en </w:t>
      </w:r>
      <w:r w:rsidRPr="00703A97">
        <w:rPr>
          <w:bCs/>
          <w:lang w:val="es-ES_tradnl"/>
        </w:rPr>
        <w:t xml:space="preserve">las reuniones organizadas </w:t>
      </w:r>
      <w:r w:rsidR="00703A97" w:rsidRPr="00703A97">
        <w:rPr>
          <w:bCs/>
          <w:lang w:val="es-ES_tradnl"/>
        </w:rPr>
        <w:t>durante</w:t>
      </w:r>
      <w:r w:rsidR="00C811F1" w:rsidRPr="00703A97">
        <w:rPr>
          <w:bCs/>
          <w:lang w:val="es-ES_tradnl"/>
        </w:rPr>
        <w:t xml:space="preserve"> </w:t>
      </w:r>
      <w:r w:rsidRPr="00703A97">
        <w:rPr>
          <w:bCs/>
          <w:lang w:val="es-ES_tradnl"/>
        </w:rPr>
        <w:t>2016</w:t>
      </w:r>
      <w:r w:rsidR="00DD0943" w:rsidRPr="00703A97">
        <w:rPr>
          <w:bCs/>
          <w:lang w:val="es-ES_tradnl"/>
        </w:rPr>
        <w:t xml:space="preserve"> debido a que </w:t>
      </w:r>
      <w:r w:rsidRPr="00703A97">
        <w:rPr>
          <w:bCs/>
          <w:lang w:val="es-ES_tradnl"/>
        </w:rPr>
        <w:t xml:space="preserve">en algunas reuniones </w:t>
      </w:r>
      <w:r w:rsidR="00DD0943" w:rsidRPr="00703A97">
        <w:rPr>
          <w:bCs/>
          <w:lang w:val="es-ES_tradnl"/>
        </w:rPr>
        <w:t xml:space="preserve">participó un número menor de </w:t>
      </w:r>
      <w:r w:rsidRPr="00703A97">
        <w:rPr>
          <w:bCs/>
          <w:lang w:val="es-ES_tradnl"/>
        </w:rPr>
        <w:t>expertos que el previsto; menos expertos</w:t>
      </w:r>
      <w:r w:rsidR="00DD0943" w:rsidRPr="00703A97">
        <w:rPr>
          <w:bCs/>
          <w:lang w:val="es-ES_tradnl"/>
        </w:rPr>
        <w:t xml:space="preserve"> </w:t>
      </w:r>
      <w:r w:rsidRPr="00703A97">
        <w:rPr>
          <w:bCs/>
          <w:lang w:val="es-ES_tradnl"/>
        </w:rPr>
        <w:t xml:space="preserve">reunieron los requisitos para recibir financiación (se prestó apoyo a menos del 75% de los participantes), </w:t>
      </w:r>
      <w:r w:rsidR="00DD0943" w:rsidRPr="00703A97">
        <w:rPr>
          <w:bCs/>
          <w:lang w:val="es-ES_tradnl"/>
        </w:rPr>
        <w:t xml:space="preserve">asistió un número menor de </w:t>
      </w:r>
      <w:r w:rsidRPr="00703A97">
        <w:rPr>
          <w:bCs/>
          <w:lang w:val="es-ES_tradnl"/>
        </w:rPr>
        <w:t xml:space="preserve">expertos </w:t>
      </w:r>
      <w:r w:rsidR="00DD0943" w:rsidRPr="00703A97">
        <w:rPr>
          <w:bCs/>
          <w:lang w:val="es-ES_tradnl"/>
        </w:rPr>
        <w:t>a</w:t>
      </w:r>
      <w:r w:rsidRPr="00703A97">
        <w:rPr>
          <w:bCs/>
          <w:lang w:val="es-ES_tradnl"/>
        </w:rPr>
        <w:t xml:space="preserve"> las reuniones y algunas reuniones terminaron antes de los cinco días de duración previstos (</w:t>
      </w:r>
      <w:r w:rsidR="00DD0943" w:rsidRPr="00703A97">
        <w:rPr>
          <w:bCs/>
          <w:lang w:val="es-ES_tradnl"/>
        </w:rPr>
        <w:t xml:space="preserve">lo que representó un ahorro de </w:t>
      </w:r>
      <w:r w:rsidR="00F861D8">
        <w:rPr>
          <w:bCs/>
          <w:lang w:val="es-ES_tradnl"/>
        </w:rPr>
        <w:t>330.000</w:t>
      </w:r>
      <w:r w:rsidRPr="00703A97">
        <w:rPr>
          <w:bCs/>
          <w:lang w:val="es-ES_tradnl"/>
        </w:rPr>
        <w:t xml:space="preserve"> dólares</w:t>
      </w:r>
      <w:r w:rsidR="00F861D8">
        <w:rPr>
          <w:bCs/>
          <w:lang w:val="es-ES_tradnl"/>
        </w:rPr>
        <w:t xml:space="preserve"> para las reuniones celbradas en Bonn</w:t>
      </w:r>
      <w:r w:rsidRPr="00703A97">
        <w:rPr>
          <w:bCs/>
          <w:lang w:val="es-ES_tradnl"/>
        </w:rPr>
        <w:t>).</w:t>
      </w:r>
      <w:r w:rsidRPr="00703A97">
        <w:rPr>
          <w:lang w:val="es-ES_tradnl"/>
        </w:rPr>
        <w:t xml:space="preserve"> Los gastos en concepto de difusión y divulgación relacionados con las evaluaciones sobre polinización e hipótesis se imputaron en su mayoría en 2015 por medio del contrato con el CMVC del PNUMA, lo que </w:t>
      </w:r>
      <w:r w:rsidR="00703A97" w:rsidRPr="00703A97">
        <w:rPr>
          <w:lang w:val="es-ES_tradnl"/>
        </w:rPr>
        <w:t>redundó</w:t>
      </w:r>
      <w:r w:rsidRPr="00703A97">
        <w:rPr>
          <w:lang w:val="es-ES_tradnl"/>
        </w:rPr>
        <w:t xml:space="preserve"> en un ahorro de aproximadamente 260.000 dólares en 2016.</w:t>
      </w:r>
    </w:p>
    <w:p w14:paraId="02D5942B" w14:textId="418F31EF" w:rsidR="000958F5" w:rsidRPr="00703A97" w:rsidRDefault="00931163" w:rsidP="004D359B">
      <w:pPr>
        <w:pStyle w:val="Normalnumber"/>
        <w:numPr>
          <w:ilvl w:val="0"/>
          <w:numId w:val="5"/>
        </w:numPr>
        <w:ind w:left="1247" w:firstLine="0"/>
        <w:rPr>
          <w:lang w:val="es-ES_tradnl"/>
        </w:rPr>
      </w:pPr>
      <w:r w:rsidRPr="00703A97">
        <w:rPr>
          <w:lang w:val="es-ES_tradnl"/>
        </w:rPr>
        <w:t>Las economías por valor de 852</w:t>
      </w:r>
      <w:r w:rsidR="00F861D8">
        <w:rPr>
          <w:lang w:val="es-ES_tradnl"/>
        </w:rPr>
        <w:t>.</w:t>
      </w:r>
      <w:r w:rsidRPr="00703A97">
        <w:rPr>
          <w:lang w:val="es-ES_tradnl"/>
        </w:rPr>
        <w:t>060 dólares logradas en los gastos de personal de la Secretaría obedecieron a demoras en la contratación de personal para ocupar nuevos cargos y sustituir a funcionarios que cesaron en sus funciones. Durante parte de 2016, la Secretaría funcionó con solo 7 de los 11 puestos presupuestados para ese año y personal adicional que se incorporó en mayo, julio y agosto. Se lograron economías adicionales como resultado de la inclusión en el crédito total de una suma sustancial para prestaciones de 600.000 dólares que no se gastaron; esa reserva no se suel</w:t>
      </w:r>
      <w:r w:rsidR="002C027F">
        <w:rPr>
          <w:lang w:val="es-ES_tradnl"/>
        </w:rPr>
        <w:t>e gastar, y tampoco se gastó en </w:t>
      </w:r>
      <w:r w:rsidRPr="00703A97">
        <w:rPr>
          <w:lang w:val="es-ES_tradnl"/>
        </w:rPr>
        <w:t>2016.</w:t>
      </w:r>
    </w:p>
    <w:p w14:paraId="204A834C" w14:textId="68AA7633" w:rsidR="00A03CD8" w:rsidRPr="00703A97" w:rsidRDefault="005F728D" w:rsidP="004D359B">
      <w:pPr>
        <w:pStyle w:val="Normalnumber"/>
        <w:numPr>
          <w:ilvl w:val="0"/>
          <w:numId w:val="5"/>
        </w:numPr>
        <w:ind w:left="1247" w:firstLine="0"/>
        <w:rPr>
          <w:lang w:val="es-ES_tradnl"/>
        </w:rPr>
      </w:pPr>
      <w:r w:rsidRPr="00703A97">
        <w:rPr>
          <w:lang w:val="es-ES_tradnl"/>
        </w:rPr>
        <w:t xml:space="preserve">El ahorro estimado de 304.955 dólares en relación con las reuniones de los órganos de la Plataforma se produjo en parte porque las Naciones Unidas ha clasificado a Kuala Lumpur en el nivel de seguridad I (el nivel más bajo) Por esa razón, no fue necesario utilizar los fondos presupuestados para los servicios de seguridad de las Naciones Unidas durante el cuarto período de sesiones del Plenario, además el Gobierno anfitrión se encargó de la seguridad por </w:t>
      </w:r>
      <w:r w:rsidR="00703A97" w:rsidRPr="00703A97">
        <w:rPr>
          <w:lang w:val="es-ES_tradnl"/>
        </w:rPr>
        <w:t>cuenta</w:t>
      </w:r>
      <w:r w:rsidRPr="00703A97">
        <w:rPr>
          <w:lang w:val="es-ES_tradnl"/>
        </w:rPr>
        <w:t xml:space="preserve"> propia (véase la nota al pie del cuadro 4). Otra parte de las economías logradas en este ámbito fue el resultado de la inclusión por error en el presupuesto, desde que se estableció la </w:t>
      </w:r>
      <w:r w:rsidR="00703A97" w:rsidRPr="00703A97">
        <w:rPr>
          <w:lang w:val="es-ES_tradnl"/>
        </w:rPr>
        <w:t>Plataforma</w:t>
      </w:r>
      <w:r w:rsidRPr="00703A97">
        <w:rPr>
          <w:lang w:val="es-ES_tradnl"/>
        </w:rPr>
        <w:t xml:space="preserve">. de fondos para una tercera reunión anual del Grupo Multidisciplinario de Expertos, un error que se corregirá en 2017; dado que </w:t>
      </w:r>
      <w:r w:rsidR="003B4951">
        <w:rPr>
          <w:lang w:val="es-ES_tradnl"/>
        </w:rPr>
        <w:t>solo se han celebrado dos </w:t>
      </w:r>
      <w:r w:rsidRPr="00703A97">
        <w:rPr>
          <w:lang w:val="es-ES_tradnl"/>
        </w:rPr>
        <w:t xml:space="preserve">reuniones del Grupo cada año, los fondos asignados para la tercera </w:t>
      </w:r>
      <w:r w:rsidR="003B4951">
        <w:rPr>
          <w:lang w:val="es-ES_tradnl"/>
        </w:rPr>
        <w:t>reunión no se han utilizado. El </w:t>
      </w:r>
      <w:r w:rsidRPr="00703A97">
        <w:rPr>
          <w:lang w:val="es-ES_tradnl"/>
        </w:rPr>
        <w:t xml:space="preserve">resto de las economías en este ámbito se logró gracias a que el Reino Unido de Gran Bretaña e Irlanda del Norte financió los gastos de viaje de la Presidencia del Grupo y a la </w:t>
      </w:r>
      <w:r w:rsidR="003B4951">
        <w:rPr>
          <w:lang w:val="es-ES_tradnl"/>
        </w:rPr>
        <w:t>planificación anticipada de los </w:t>
      </w:r>
      <w:r w:rsidRPr="00703A97">
        <w:rPr>
          <w:lang w:val="es-ES_tradnl"/>
        </w:rPr>
        <w:t xml:space="preserve">gastos de viaje de los participantes en el período de sesiones del Plenario. </w:t>
      </w:r>
    </w:p>
    <w:p w14:paraId="56A1F216" w14:textId="12E11167" w:rsidR="000958F5" w:rsidRPr="00703A97" w:rsidRDefault="000958F5" w:rsidP="000958F5">
      <w:pPr>
        <w:pStyle w:val="CH1"/>
        <w:rPr>
          <w:lang w:val="es-ES_tradnl"/>
        </w:rPr>
      </w:pPr>
      <w:r w:rsidRPr="00703A97">
        <w:rPr>
          <w:lang w:val="es-ES_tradnl"/>
        </w:rPr>
        <w:tab/>
      </w:r>
      <w:r w:rsidR="00FB57B5">
        <w:rPr>
          <w:lang w:val="es-ES_tradnl"/>
        </w:rPr>
        <w:t>I</w:t>
      </w:r>
      <w:r w:rsidRPr="00703A97">
        <w:rPr>
          <w:bCs/>
          <w:lang w:val="es-ES_tradnl"/>
        </w:rPr>
        <w:t>V</w:t>
      </w:r>
      <w:r w:rsidRPr="00703A97">
        <w:rPr>
          <w:lang w:val="es-ES_tradnl"/>
        </w:rPr>
        <w:t>.</w:t>
      </w:r>
      <w:r w:rsidRPr="00703A97">
        <w:rPr>
          <w:lang w:val="es-ES_tradnl"/>
        </w:rPr>
        <w:tab/>
      </w:r>
      <w:r w:rsidRPr="00703A97">
        <w:rPr>
          <w:bCs/>
          <w:lang w:val="es-ES_tradnl"/>
        </w:rPr>
        <w:t>Proyectos de presupuestos para 2017 y 2018</w:t>
      </w:r>
      <w:r w:rsidRPr="00703A97">
        <w:rPr>
          <w:lang w:val="es-ES_tradnl"/>
        </w:rPr>
        <w:t xml:space="preserve"> </w:t>
      </w:r>
    </w:p>
    <w:p w14:paraId="1DD1263D" w14:textId="40B6E91F" w:rsidR="000958F5" w:rsidRPr="00703A97" w:rsidRDefault="000958F5" w:rsidP="004D359B">
      <w:pPr>
        <w:pStyle w:val="Normalnumber"/>
        <w:numPr>
          <w:ilvl w:val="0"/>
          <w:numId w:val="5"/>
        </w:numPr>
        <w:ind w:left="1247" w:firstLine="0"/>
        <w:rPr>
          <w:lang w:val="es-ES_tradnl"/>
        </w:rPr>
      </w:pPr>
      <w:r w:rsidRPr="00703A97">
        <w:rPr>
          <w:lang w:val="es-ES_tradnl"/>
        </w:rPr>
        <w:t>En la decisión IPBES</w:t>
      </w:r>
      <w:r w:rsidR="00356A65">
        <w:rPr>
          <w:lang w:val="es-ES_tradnl"/>
        </w:rPr>
        <w:noBreakHyphen/>
      </w:r>
      <w:r w:rsidRPr="00703A97">
        <w:rPr>
          <w:lang w:val="es-ES_tradnl"/>
        </w:rPr>
        <w:t>4/2, el Plenario aprobó el presupuesto para el bienio 2016</w:t>
      </w:r>
      <w:r w:rsidR="00356A65">
        <w:rPr>
          <w:lang w:val="es-ES_tradnl"/>
        </w:rPr>
        <w:noBreakHyphen/>
      </w:r>
      <w:r w:rsidRPr="00703A97">
        <w:rPr>
          <w:lang w:val="es-ES_tradnl"/>
        </w:rPr>
        <w:t xml:space="preserve">2017 y a tomar nota de los proyectos de presupuestos para 2018 y 2019, con la advertencia de que estos requerirían revisión antes de ser aprobados. En el cuadro 5 se presenta el presupuesto aprobado para 2017 y el proyecto de presupuesto para 2018, junto con los cambios propuestos y los proyectos de presupuestos revisados para esos dos años. </w:t>
      </w:r>
    </w:p>
    <w:p w14:paraId="0D9FAF0A" w14:textId="77777777" w:rsidR="003B4951" w:rsidRDefault="003B4951">
      <w:pPr>
        <w:spacing w:after="0" w:line="240" w:lineRule="auto"/>
        <w:rPr>
          <w:rFonts w:ascii="Times New Roman" w:eastAsia="Times New Roman" w:hAnsi="Times New Roman"/>
          <w:b/>
          <w:bCs/>
          <w:sz w:val="20"/>
          <w:szCs w:val="20"/>
          <w:lang w:val="es-ES_tradnl"/>
        </w:rPr>
      </w:pPr>
      <w:r>
        <w:rPr>
          <w:lang w:val="es-ES_tradnl"/>
        </w:rPr>
        <w:br w:type="page"/>
      </w:r>
    </w:p>
    <w:p w14:paraId="7BB4C062" w14:textId="4B79AD86" w:rsidR="000958F5" w:rsidRPr="00703A97" w:rsidRDefault="000958F5" w:rsidP="000A5F8F">
      <w:pPr>
        <w:pStyle w:val="Titletable"/>
        <w:spacing w:before="120" w:after="0"/>
        <w:ind w:left="0"/>
        <w:rPr>
          <w:lang w:val="es-ES_tradnl"/>
        </w:rPr>
      </w:pPr>
      <w:r w:rsidRPr="000A5F8F">
        <w:rPr>
          <w:b w:val="0"/>
          <w:lang w:val="es-ES_tradnl"/>
        </w:rPr>
        <w:lastRenderedPageBreak/>
        <w:t xml:space="preserve">Cuadro 5 </w:t>
      </w:r>
      <w:r w:rsidR="000A5F8F" w:rsidRPr="000A5F8F">
        <w:rPr>
          <w:b w:val="0"/>
          <w:lang w:val="es-ES_tradnl"/>
        </w:rPr>
        <w:br/>
      </w:r>
      <w:r w:rsidRPr="00703A97">
        <w:rPr>
          <w:lang w:val="es-ES_tradnl"/>
        </w:rPr>
        <w:t xml:space="preserve">Proyectos de presupuestos para 2017 y 2018 </w:t>
      </w:r>
    </w:p>
    <w:p w14:paraId="604561B7" w14:textId="710C042D" w:rsidR="000958F5" w:rsidRPr="00045A4D" w:rsidRDefault="000958F5">
      <w:pPr>
        <w:pStyle w:val="Titletable"/>
        <w:keepNext w:val="0"/>
        <w:keepLines w:val="0"/>
        <w:ind w:left="0"/>
        <w:rPr>
          <w:b w:val="0"/>
          <w:sz w:val="18"/>
          <w:szCs w:val="18"/>
          <w:lang w:val="es-ES_tradnl"/>
        </w:rPr>
      </w:pPr>
      <w:r w:rsidRPr="00045A4D">
        <w:rPr>
          <w:b w:val="0"/>
          <w:sz w:val="18"/>
          <w:szCs w:val="18"/>
          <w:lang w:val="es-ES_tradnl"/>
        </w:rPr>
        <w:t>(en dólares de los E</w:t>
      </w:r>
      <w:r w:rsidR="003B4951" w:rsidRPr="00045A4D">
        <w:rPr>
          <w:b w:val="0"/>
          <w:sz w:val="18"/>
          <w:szCs w:val="18"/>
          <w:lang w:val="es-ES_tradnl"/>
        </w:rPr>
        <w:t>stados Unidos</w:t>
      </w:r>
      <w:r w:rsidRPr="00045A4D">
        <w:rPr>
          <w:b w:val="0"/>
          <w:sz w:val="18"/>
          <w:szCs w:val="18"/>
          <w:lang w:val="es-ES_tradnl"/>
        </w:rPr>
        <w:t>)</w:t>
      </w:r>
    </w:p>
    <w:tbl>
      <w:tblPr>
        <w:tblW w:w="10584" w:type="dxa"/>
        <w:tblLayout w:type="fixed"/>
        <w:tblLook w:val="04A0" w:firstRow="1" w:lastRow="0" w:firstColumn="1" w:lastColumn="0" w:noHBand="0" w:noVBand="1"/>
      </w:tblPr>
      <w:tblGrid>
        <w:gridCol w:w="4248"/>
        <w:gridCol w:w="1170"/>
        <w:gridCol w:w="990"/>
        <w:gridCol w:w="990"/>
        <w:gridCol w:w="1170"/>
        <w:gridCol w:w="990"/>
        <w:gridCol w:w="1026"/>
      </w:tblGrid>
      <w:tr w:rsidR="000958F5" w:rsidRPr="000930FA" w14:paraId="35C739CD" w14:textId="77777777" w:rsidTr="00372A69">
        <w:trPr>
          <w:trHeight w:val="789"/>
          <w:tblHeader/>
        </w:trPr>
        <w:tc>
          <w:tcPr>
            <w:tcW w:w="4248" w:type="dxa"/>
            <w:tcBorders>
              <w:top w:val="single" w:sz="4" w:space="0" w:color="auto"/>
              <w:left w:val="nil"/>
              <w:bottom w:val="single" w:sz="12" w:space="0" w:color="auto"/>
              <w:right w:val="nil"/>
            </w:tcBorders>
            <w:shd w:val="clear" w:color="auto" w:fill="auto"/>
            <w:vAlign w:val="bottom"/>
            <w:hideMark/>
          </w:tcPr>
          <w:p w14:paraId="60C29BE5" w14:textId="7A96FD4C" w:rsidR="000958F5" w:rsidRPr="00F861D8" w:rsidRDefault="000958F5" w:rsidP="00CB4B9F">
            <w:pPr>
              <w:spacing w:before="40" w:after="40" w:line="240" w:lineRule="auto"/>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Partidas presupuestarias</w:t>
            </w:r>
          </w:p>
        </w:tc>
        <w:tc>
          <w:tcPr>
            <w:tcW w:w="1170" w:type="dxa"/>
            <w:tcBorders>
              <w:top w:val="single" w:sz="4" w:space="0" w:color="auto"/>
              <w:left w:val="nil"/>
              <w:bottom w:val="single" w:sz="12" w:space="0" w:color="auto"/>
              <w:right w:val="nil"/>
            </w:tcBorders>
            <w:shd w:val="clear" w:color="auto" w:fill="auto"/>
            <w:vAlign w:val="bottom"/>
            <w:hideMark/>
          </w:tcPr>
          <w:p w14:paraId="24E3880B" w14:textId="07C10602" w:rsidR="000958F5" w:rsidRPr="00F861D8" w:rsidRDefault="000958F5" w:rsidP="00536253">
            <w:pPr>
              <w:spacing w:before="40" w:after="40" w:line="240" w:lineRule="auto"/>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Presupuesto para 2017 aprobado en el cuarto período de sesiones del Plenario</w:t>
            </w:r>
          </w:p>
        </w:tc>
        <w:tc>
          <w:tcPr>
            <w:tcW w:w="990" w:type="dxa"/>
            <w:tcBorders>
              <w:top w:val="single" w:sz="4" w:space="0" w:color="auto"/>
              <w:left w:val="nil"/>
              <w:bottom w:val="single" w:sz="12" w:space="0" w:color="auto"/>
              <w:right w:val="nil"/>
            </w:tcBorders>
            <w:shd w:val="clear" w:color="auto" w:fill="auto"/>
            <w:vAlign w:val="bottom"/>
            <w:hideMark/>
          </w:tcPr>
          <w:p w14:paraId="47E6DE65" w14:textId="6A3BD821" w:rsidR="000958F5" w:rsidRPr="00F861D8" w:rsidRDefault="004A5F8F" w:rsidP="00DD0943">
            <w:pPr>
              <w:spacing w:before="40" w:after="40" w:line="240" w:lineRule="auto"/>
              <w:ind w:right="-108"/>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Cambios propuestos</w:t>
            </w:r>
          </w:p>
        </w:tc>
        <w:tc>
          <w:tcPr>
            <w:tcW w:w="990" w:type="dxa"/>
            <w:tcBorders>
              <w:top w:val="single" w:sz="4" w:space="0" w:color="auto"/>
              <w:left w:val="nil"/>
              <w:bottom w:val="single" w:sz="12" w:space="0" w:color="auto"/>
              <w:right w:val="nil"/>
            </w:tcBorders>
            <w:shd w:val="clear" w:color="auto" w:fill="auto"/>
            <w:vAlign w:val="bottom"/>
            <w:hideMark/>
          </w:tcPr>
          <w:p w14:paraId="7EEE9EB5" w14:textId="67046509" w:rsidR="000958F5" w:rsidRPr="00F861D8" w:rsidRDefault="004A5F8F" w:rsidP="00FB57B5">
            <w:pPr>
              <w:spacing w:before="40" w:after="40" w:line="240" w:lineRule="auto"/>
              <w:ind w:left="-57" w:right="-57"/>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Proyecto de presupuesto revisado</w:t>
            </w:r>
            <w:r w:rsidR="003B4951" w:rsidRPr="00F861D8">
              <w:rPr>
                <w:rFonts w:ascii="Times New Roman" w:hAnsi="Times New Roman"/>
                <w:i/>
                <w:iCs/>
                <w:sz w:val="18"/>
                <w:szCs w:val="18"/>
                <w:lang w:val="es-ES_tradnl"/>
              </w:rPr>
              <w:t xml:space="preserve"> </w:t>
            </w:r>
            <w:r w:rsidRPr="00F861D8">
              <w:rPr>
                <w:rFonts w:ascii="Times New Roman" w:hAnsi="Times New Roman"/>
                <w:i/>
                <w:iCs/>
                <w:sz w:val="18"/>
                <w:szCs w:val="18"/>
                <w:lang w:val="es-ES_tradnl"/>
              </w:rPr>
              <w:t>para 2017</w:t>
            </w:r>
          </w:p>
        </w:tc>
        <w:tc>
          <w:tcPr>
            <w:tcW w:w="1170" w:type="dxa"/>
            <w:tcBorders>
              <w:top w:val="single" w:sz="4" w:space="0" w:color="auto"/>
              <w:left w:val="nil"/>
              <w:bottom w:val="single" w:sz="12" w:space="0" w:color="auto"/>
              <w:right w:val="nil"/>
            </w:tcBorders>
            <w:shd w:val="clear" w:color="auto" w:fill="auto"/>
            <w:vAlign w:val="bottom"/>
            <w:hideMark/>
          </w:tcPr>
          <w:p w14:paraId="234B73AD" w14:textId="30C2A931" w:rsidR="000958F5" w:rsidRPr="00F861D8" w:rsidRDefault="000958F5" w:rsidP="00CB4B9F">
            <w:pPr>
              <w:spacing w:before="40" w:after="40" w:line="240" w:lineRule="auto"/>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Presupuesto para 2018 propuesto en el cuarto período de sesiones del Plenario</w:t>
            </w:r>
          </w:p>
        </w:tc>
        <w:tc>
          <w:tcPr>
            <w:tcW w:w="990" w:type="dxa"/>
            <w:tcBorders>
              <w:top w:val="single" w:sz="4" w:space="0" w:color="auto"/>
              <w:left w:val="nil"/>
              <w:bottom w:val="single" w:sz="12" w:space="0" w:color="auto"/>
              <w:right w:val="nil"/>
            </w:tcBorders>
            <w:shd w:val="clear" w:color="auto" w:fill="auto"/>
            <w:vAlign w:val="bottom"/>
            <w:hideMark/>
          </w:tcPr>
          <w:p w14:paraId="20A1794F" w14:textId="6B1537D6" w:rsidR="000958F5" w:rsidRPr="00F861D8" w:rsidRDefault="004A5F8F" w:rsidP="00DD0943">
            <w:pPr>
              <w:spacing w:before="40" w:after="40" w:line="240" w:lineRule="auto"/>
              <w:ind w:right="-108"/>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Cambios propuestos</w:t>
            </w:r>
          </w:p>
        </w:tc>
        <w:tc>
          <w:tcPr>
            <w:tcW w:w="1026" w:type="dxa"/>
            <w:tcBorders>
              <w:top w:val="single" w:sz="4" w:space="0" w:color="auto"/>
              <w:left w:val="nil"/>
              <w:bottom w:val="single" w:sz="12" w:space="0" w:color="auto"/>
              <w:right w:val="nil"/>
            </w:tcBorders>
            <w:shd w:val="clear" w:color="auto" w:fill="auto"/>
            <w:vAlign w:val="bottom"/>
            <w:hideMark/>
          </w:tcPr>
          <w:p w14:paraId="6DB78DC9" w14:textId="2D3BB7BC" w:rsidR="000958F5" w:rsidRPr="00F861D8" w:rsidRDefault="004A5F8F" w:rsidP="00FB57B5">
            <w:pPr>
              <w:spacing w:before="40" w:after="40" w:line="240" w:lineRule="auto"/>
              <w:ind w:left="-57" w:right="-57"/>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Proyecto de presupuesto revisado</w:t>
            </w:r>
            <w:r w:rsidR="003B4951" w:rsidRPr="00F861D8">
              <w:rPr>
                <w:rFonts w:ascii="Times New Roman" w:hAnsi="Times New Roman"/>
                <w:i/>
                <w:iCs/>
                <w:sz w:val="18"/>
                <w:szCs w:val="18"/>
                <w:lang w:val="es-ES_tradnl"/>
              </w:rPr>
              <w:t xml:space="preserve"> </w:t>
            </w:r>
            <w:r w:rsidRPr="00F861D8">
              <w:rPr>
                <w:rFonts w:ascii="Times New Roman" w:hAnsi="Times New Roman"/>
                <w:i/>
                <w:iCs/>
                <w:sz w:val="18"/>
                <w:szCs w:val="18"/>
                <w:lang w:val="es-ES_tradnl"/>
              </w:rPr>
              <w:t>para 2018</w:t>
            </w:r>
          </w:p>
        </w:tc>
      </w:tr>
      <w:tr w:rsidR="000958F5" w:rsidRPr="000930FA" w14:paraId="2D659347" w14:textId="77777777" w:rsidTr="00F861D8">
        <w:trPr>
          <w:trHeight w:val="273"/>
        </w:trPr>
        <w:tc>
          <w:tcPr>
            <w:tcW w:w="4248" w:type="dxa"/>
            <w:tcBorders>
              <w:top w:val="nil"/>
              <w:left w:val="nil"/>
              <w:bottom w:val="nil"/>
              <w:right w:val="nil"/>
            </w:tcBorders>
            <w:shd w:val="clear" w:color="000000" w:fill="FFFFFF"/>
            <w:noWrap/>
            <w:vAlign w:val="center"/>
            <w:hideMark/>
          </w:tcPr>
          <w:p w14:paraId="370148F6" w14:textId="6970861C"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1.</w:t>
            </w:r>
            <w:r w:rsidRPr="00F861D8">
              <w:rPr>
                <w:rFonts w:ascii="Times New Roman" w:hAnsi="Times New Roman"/>
                <w:sz w:val="18"/>
                <w:szCs w:val="18"/>
                <w:lang w:val="es-ES_tradnl"/>
              </w:rPr>
              <w:t xml:space="preserve"> </w:t>
            </w:r>
            <w:r w:rsidRPr="00F861D8">
              <w:rPr>
                <w:rFonts w:ascii="Times New Roman" w:hAnsi="Times New Roman"/>
                <w:b/>
                <w:bCs/>
                <w:sz w:val="18"/>
                <w:szCs w:val="18"/>
                <w:lang w:val="es-ES_tradnl"/>
              </w:rPr>
              <w:t>Reuniones de los órganos de la Plataforma</w:t>
            </w:r>
          </w:p>
        </w:tc>
        <w:tc>
          <w:tcPr>
            <w:tcW w:w="1170" w:type="dxa"/>
            <w:tcBorders>
              <w:top w:val="nil"/>
              <w:left w:val="nil"/>
              <w:bottom w:val="nil"/>
              <w:right w:val="nil"/>
            </w:tcBorders>
            <w:shd w:val="clear" w:color="000000" w:fill="FFFFFF"/>
            <w:noWrap/>
            <w:vAlign w:val="bottom"/>
            <w:hideMark/>
          </w:tcPr>
          <w:p w14:paraId="4758D6E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u w:val="single"/>
                <w:lang w:val="es-ES_tradnl"/>
              </w:rPr>
            </w:pPr>
          </w:p>
        </w:tc>
        <w:tc>
          <w:tcPr>
            <w:tcW w:w="990" w:type="dxa"/>
            <w:tcBorders>
              <w:top w:val="nil"/>
              <w:left w:val="nil"/>
              <w:bottom w:val="nil"/>
              <w:right w:val="nil"/>
            </w:tcBorders>
            <w:shd w:val="clear" w:color="auto" w:fill="auto"/>
            <w:noWrap/>
            <w:vAlign w:val="bottom"/>
            <w:hideMark/>
          </w:tcPr>
          <w:p w14:paraId="3638B44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u w:val="single"/>
                <w:lang w:val="es-ES_tradnl"/>
              </w:rPr>
            </w:pPr>
          </w:p>
        </w:tc>
        <w:tc>
          <w:tcPr>
            <w:tcW w:w="990" w:type="dxa"/>
            <w:tcBorders>
              <w:top w:val="nil"/>
              <w:left w:val="nil"/>
              <w:bottom w:val="nil"/>
              <w:right w:val="nil"/>
            </w:tcBorders>
            <w:shd w:val="clear" w:color="auto" w:fill="auto"/>
            <w:noWrap/>
            <w:vAlign w:val="bottom"/>
            <w:hideMark/>
          </w:tcPr>
          <w:p w14:paraId="386904A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nil"/>
              <w:left w:val="nil"/>
              <w:bottom w:val="nil"/>
              <w:right w:val="nil"/>
            </w:tcBorders>
            <w:shd w:val="clear" w:color="auto" w:fill="auto"/>
            <w:noWrap/>
            <w:vAlign w:val="bottom"/>
            <w:hideMark/>
          </w:tcPr>
          <w:p w14:paraId="2FE3392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nil"/>
              <w:left w:val="nil"/>
              <w:bottom w:val="nil"/>
              <w:right w:val="nil"/>
            </w:tcBorders>
            <w:shd w:val="clear" w:color="auto" w:fill="auto"/>
            <w:noWrap/>
            <w:vAlign w:val="bottom"/>
            <w:hideMark/>
          </w:tcPr>
          <w:p w14:paraId="3B137A0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nil"/>
              <w:left w:val="nil"/>
              <w:bottom w:val="nil"/>
              <w:right w:val="nil"/>
            </w:tcBorders>
            <w:shd w:val="clear" w:color="auto" w:fill="auto"/>
            <w:noWrap/>
            <w:vAlign w:val="bottom"/>
            <w:hideMark/>
          </w:tcPr>
          <w:p w14:paraId="753C827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0930FA" w14:paraId="39F45DD7" w14:textId="77777777" w:rsidTr="00F861D8">
        <w:trPr>
          <w:trHeight w:val="273"/>
        </w:trPr>
        <w:tc>
          <w:tcPr>
            <w:tcW w:w="4248" w:type="dxa"/>
            <w:tcBorders>
              <w:top w:val="nil"/>
              <w:left w:val="nil"/>
              <w:bottom w:val="nil"/>
              <w:right w:val="nil"/>
            </w:tcBorders>
            <w:shd w:val="clear" w:color="000000" w:fill="FFFFFF"/>
            <w:noWrap/>
            <w:vAlign w:val="center"/>
            <w:hideMark/>
          </w:tcPr>
          <w:p w14:paraId="2CCFDD71" w14:textId="730ADB68"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1.1 Períodos de sesiones anuales del Plenario</w:t>
            </w:r>
            <w:r w:rsidRPr="00F861D8">
              <w:rPr>
                <w:rFonts w:ascii="Times New Roman" w:hAnsi="Times New Roman"/>
                <w:sz w:val="18"/>
                <w:szCs w:val="18"/>
                <w:lang w:val="es-ES_tradnl"/>
              </w:rPr>
              <w:t xml:space="preserve"> </w:t>
            </w:r>
          </w:p>
        </w:tc>
        <w:tc>
          <w:tcPr>
            <w:tcW w:w="1170" w:type="dxa"/>
            <w:tcBorders>
              <w:top w:val="nil"/>
              <w:left w:val="nil"/>
              <w:bottom w:val="nil"/>
              <w:right w:val="nil"/>
            </w:tcBorders>
            <w:shd w:val="clear" w:color="000000" w:fill="FFFFFF"/>
            <w:noWrap/>
            <w:vAlign w:val="bottom"/>
            <w:hideMark/>
          </w:tcPr>
          <w:p w14:paraId="3D6EF8F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6550F49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6DC32F4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nil"/>
              <w:left w:val="nil"/>
              <w:bottom w:val="nil"/>
              <w:right w:val="nil"/>
            </w:tcBorders>
            <w:shd w:val="clear" w:color="auto" w:fill="auto"/>
            <w:noWrap/>
            <w:vAlign w:val="bottom"/>
            <w:hideMark/>
          </w:tcPr>
          <w:p w14:paraId="73FA618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nil"/>
              <w:left w:val="nil"/>
              <w:bottom w:val="nil"/>
              <w:right w:val="nil"/>
            </w:tcBorders>
            <w:shd w:val="clear" w:color="auto" w:fill="auto"/>
            <w:noWrap/>
            <w:vAlign w:val="bottom"/>
            <w:hideMark/>
          </w:tcPr>
          <w:p w14:paraId="677C800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nil"/>
              <w:left w:val="nil"/>
              <w:bottom w:val="nil"/>
              <w:right w:val="nil"/>
            </w:tcBorders>
            <w:shd w:val="clear" w:color="auto" w:fill="auto"/>
            <w:noWrap/>
            <w:vAlign w:val="bottom"/>
            <w:hideMark/>
          </w:tcPr>
          <w:p w14:paraId="2E48CD2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7A981607" w14:textId="77777777" w:rsidTr="00F861D8">
        <w:trPr>
          <w:trHeight w:val="273"/>
        </w:trPr>
        <w:tc>
          <w:tcPr>
            <w:tcW w:w="4248" w:type="dxa"/>
            <w:tcBorders>
              <w:top w:val="nil"/>
              <w:left w:val="nil"/>
              <w:bottom w:val="nil"/>
              <w:right w:val="nil"/>
            </w:tcBorders>
            <w:shd w:val="clear" w:color="000000" w:fill="FFFFFF"/>
            <w:noWrap/>
            <w:vAlign w:val="center"/>
            <w:hideMark/>
          </w:tcPr>
          <w:p w14:paraId="6EC0CBCE" w14:textId="58532D04" w:rsidR="000958F5" w:rsidRPr="00F861D8" w:rsidRDefault="000958F5" w:rsidP="00536253">
            <w:pPr>
              <w:spacing w:before="40" w:after="40" w:line="240" w:lineRule="auto"/>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 xml:space="preserve">Gastos de viaje de los participantes en los períodos de sesiones quinto y sexto del Plenario (viajes y dietas) </w:t>
            </w:r>
          </w:p>
        </w:tc>
        <w:tc>
          <w:tcPr>
            <w:tcW w:w="1170" w:type="dxa"/>
            <w:tcBorders>
              <w:top w:val="nil"/>
              <w:left w:val="nil"/>
              <w:bottom w:val="nil"/>
              <w:right w:val="nil"/>
            </w:tcBorders>
            <w:shd w:val="clear" w:color="000000" w:fill="FFFFFF"/>
            <w:noWrap/>
            <w:vAlign w:val="bottom"/>
            <w:hideMark/>
          </w:tcPr>
          <w:p w14:paraId="7557A1B5" w14:textId="2261CECC"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500 000</w:t>
            </w:r>
          </w:p>
        </w:tc>
        <w:tc>
          <w:tcPr>
            <w:tcW w:w="990" w:type="dxa"/>
            <w:tcBorders>
              <w:top w:val="nil"/>
              <w:left w:val="nil"/>
              <w:bottom w:val="nil"/>
              <w:right w:val="nil"/>
            </w:tcBorders>
            <w:shd w:val="clear" w:color="000000" w:fill="FFFFFF"/>
            <w:noWrap/>
            <w:vAlign w:val="bottom"/>
            <w:hideMark/>
          </w:tcPr>
          <w:p w14:paraId="3DE390F8" w14:textId="77777777"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p>
        </w:tc>
        <w:tc>
          <w:tcPr>
            <w:tcW w:w="990" w:type="dxa"/>
            <w:tcBorders>
              <w:top w:val="nil"/>
              <w:left w:val="nil"/>
              <w:bottom w:val="nil"/>
              <w:right w:val="nil"/>
            </w:tcBorders>
            <w:shd w:val="clear" w:color="000000" w:fill="FFFFFF"/>
            <w:noWrap/>
            <w:vAlign w:val="bottom"/>
            <w:hideMark/>
          </w:tcPr>
          <w:p w14:paraId="5E3D4971" w14:textId="4DD745B2"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500 000</w:t>
            </w:r>
          </w:p>
        </w:tc>
        <w:tc>
          <w:tcPr>
            <w:tcW w:w="1170" w:type="dxa"/>
            <w:tcBorders>
              <w:top w:val="nil"/>
              <w:left w:val="nil"/>
              <w:bottom w:val="nil"/>
              <w:right w:val="nil"/>
            </w:tcBorders>
            <w:shd w:val="clear" w:color="000000" w:fill="FFFFFF"/>
            <w:noWrap/>
            <w:vAlign w:val="bottom"/>
            <w:hideMark/>
          </w:tcPr>
          <w:p w14:paraId="70375B99" w14:textId="5E3BF730"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500 000</w:t>
            </w:r>
          </w:p>
        </w:tc>
        <w:tc>
          <w:tcPr>
            <w:tcW w:w="990" w:type="dxa"/>
            <w:tcBorders>
              <w:top w:val="nil"/>
              <w:left w:val="nil"/>
              <w:bottom w:val="nil"/>
              <w:right w:val="nil"/>
            </w:tcBorders>
            <w:shd w:val="clear" w:color="000000" w:fill="FFFFFF"/>
            <w:noWrap/>
            <w:vAlign w:val="bottom"/>
            <w:hideMark/>
          </w:tcPr>
          <w:p w14:paraId="16C1FDD6" w14:textId="77777777"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p>
        </w:tc>
        <w:tc>
          <w:tcPr>
            <w:tcW w:w="1026" w:type="dxa"/>
            <w:tcBorders>
              <w:top w:val="nil"/>
              <w:left w:val="nil"/>
              <w:bottom w:val="nil"/>
              <w:right w:val="nil"/>
            </w:tcBorders>
            <w:shd w:val="clear" w:color="000000" w:fill="FFFFFF"/>
            <w:noWrap/>
            <w:vAlign w:val="bottom"/>
            <w:hideMark/>
          </w:tcPr>
          <w:p w14:paraId="2B33BAF5" w14:textId="78B60956"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500 000</w:t>
            </w:r>
          </w:p>
        </w:tc>
      </w:tr>
      <w:tr w:rsidR="000958F5" w:rsidRPr="00F861D8" w14:paraId="490CB183" w14:textId="77777777" w:rsidTr="00F861D8">
        <w:trPr>
          <w:trHeight w:val="273"/>
        </w:trPr>
        <w:tc>
          <w:tcPr>
            <w:tcW w:w="4248" w:type="dxa"/>
            <w:tcBorders>
              <w:top w:val="nil"/>
              <w:left w:val="nil"/>
              <w:bottom w:val="nil"/>
              <w:right w:val="nil"/>
            </w:tcBorders>
            <w:shd w:val="clear" w:color="000000" w:fill="FFFFFF"/>
            <w:noWrap/>
            <w:vAlign w:val="center"/>
            <w:hideMark/>
          </w:tcPr>
          <w:p w14:paraId="37920042" w14:textId="68875F87"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Servicios de conferencias (traducción, edición e interpretación) y lugar de celebración</w:t>
            </w:r>
          </w:p>
        </w:tc>
        <w:tc>
          <w:tcPr>
            <w:tcW w:w="1170" w:type="dxa"/>
            <w:tcBorders>
              <w:top w:val="nil"/>
              <w:left w:val="nil"/>
              <w:bottom w:val="nil"/>
              <w:right w:val="nil"/>
            </w:tcBorders>
            <w:shd w:val="clear" w:color="000000" w:fill="FFFFFF"/>
            <w:noWrap/>
            <w:vAlign w:val="bottom"/>
            <w:hideMark/>
          </w:tcPr>
          <w:p w14:paraId="7720A53C" w14:textId="7A25951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765 000</w:t>
            </w:r>
          </w:p>
        </w:tc>
        <w:tc>
          <w:tcPr>
            <w:tcW w:w="990" w:type="dxa"/>
            <w:tcBorders>
              <w:top w:val="nil"/>
              <w:left w:val="nil"/>
              <w:bottom w:val="nil"/>
              <w:right w:val="nil"/>
            </w:tcBorders>
            <w:shd w:val="clear" w:color="000000" w:fill="FFFFFF"/>
            <w:noWrap/>
            <w:vAlign w:val="bottom"/>
            <w:hideMark/>
          </w:tcPr>
          <w:p w14:paraId="3A6FF704" w14:textId="5FB0FE9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c>
          <w:tcPr>
            <w:tcW w:w="990" w:type="dxa"/>
            <w:tcBorders>
              <w:top w:val="nil"/>
              <w:left w:val="nil"/>
              <w:bottom w:val="nil"/>
              <w:right w:val="nil"/>
            </w:tcBorders>
            <w:shd w:val="clear" w:color="000000" w:fill="FFFFFF"/>
            <w:noWrap/>
            <w:vAlign w:val="bottom"/>
            <w:hideMark/>
          </w:tcPr>
          <w:p w14:paraId="746436FB" w14:textId="1C2594B8"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830 000</w:t>
            </w:r>
          </w:p>
        </w:tc>
        <w:tc>
          <w:tcPr>
            <w:tcW w:w="1170" w:type="dxa"/>
            <w:tcBorders>
              <w:top w:val="nil"/>
              <w:left w:val="nil"/>
              <w:bottom w:val="nil"/>
              <w:right w:val="nil"/>
            </w:tcBorders>
            <w:shd w:val="clear" w:color="000000" w:fill="FFFFFF"/>
            <w:noWrap/>
            <w:vAlign w:val="bottom"/>
            <w:hideMark/>
          </w:tcPr>
          <w:p w14:paraId="439E35EB" w14:textId="39DD7B3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765 000</w:t>
            </w:r>
          </w:p>
        </w:tc>
        <w:tc>
          <w:tcPr>
            <w:tcW w:w="990" w:type="dxa"/>
            <w:tcBorders>
              <w:top w:val="nil"/>
              <w:left w:val="nil"/>
              <w:bottom w:val="nil"/>
              <w:right w:val="nil"/>
            </w:tcBorders>
            <w:shd w:val="clear" w:color="000000" w:fill="FFFFFF"/>
            <w:noWrap/>
            <w:vAlign w:val="bottom"/>
            <w:hideMark/>
          </w:tcPr>
          <w:p w14:paraId="2787403B" w14:textId="25B584F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300 000</w:t>
            </w:r>
          </w:p>
        </w:tc>
        <w:tc>
          <w:tcPr>
            <w:tcW w:w="1026" w:type="dxa"/>
            <w:tcBorders>
              <w:top w:val="nil"/>
              <w:left w:val="nil"/>
              <w:bottom w:val="nil"/>
              <w:right w:val="nil"/>
            </w:tcBorders>
            <w:shd w:val="clear" w:color="000000" w:fill="FFFFFF"/>
            <w:noWrap/>
            <w:vAlign w:val="bottom"/>
            <w:hideMark/>
          </w:tcPr>
          <w:p w14:paraId="0AB7D255" w14:textId="7BE742E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1 065 000</w:t>
            </w:r>
          </w:p>
        </w:tc>
      </w:tr>
      <w:tr w:rsidR="000958F5" w:rsidRPr="00F861D8" w14:paraId="3019D383" w14:textId="77777777" w:rsidTr="00F861D8">
        <w:trPr>
          <w:trHeight w:val="273"/>
        </w:trPr>
        <w:tc>
          <w:tcPr>
            <w:tcW w:w="4248" w:type="dxa"/>
            <w:tcBorders>
              <w:top w:val="nil"/>
              <w:left w:val="nil"/>
              <w:right w:val="nil"/>
            </w:tcBorders>
            <w:shd w:val="clear" w:color="000000" w:fill="FFFFFF"/>
            <w:noWrap/>
            <w:vAlign w:val="center"/>
            <w:hideMark/>
          </w:tcPr>
          <w:p w14:paraId="0702D5FF" w14:textId="64E4ED4F" w:rsidR="000958F5" w:rsidRPr="00F861D8" w:rsidRDefault="000958F5" w:rsidP="00CB4B9F">
            <w:pPr>
              <w:spacing w:before="40" w:after="40" w:line="240" w:lineRule="auto"/>
              <w:rPr>
                <w:rFonts w:ascii="Times New Roman" w:hAnsi="Times New Roman"/>
                <w:color w:val="000000"/>
                <w:spacing w:val="-2"/>
                <w:sz w:val="18"/>
                <w:szCs w:val="18"/>
                <w:lang w:val="es-ES_tradnl"/>
              </w:rPr>
            </w:pPr>
            <w:r w:rsidRPr="00F861D8">
              <w:rPr>
                <w:rFonts w:ascii="Times New Roman" w:hAnsi="Times New Roman"/>
                <w:spacing w:val="-2"/>
                <w:sz w:val="18"/>
                <w:szCs w:val="18"/>
                <w:lang w:val="es-ES_tradnl"/>
              </w:rPr>
              <w:t>Servicios de presentación de informes del Plenario</w:t>
            </w:r>
          </w:p>
        </w:tc>
        <w:tc>
          <w:tcPr>
            <w:tcW w:w="1170" w:type="dxa"/>
            <w:tcBorders>
              <w:top w:val="nil"/>
              <w:left w:val="nil"/>
              <w:right w:val="nil"/>
            </w:tcBorders>
            <w:shd w:val="clear" w:color="000000" w:fill="FFFFFF"/>
            <w:noWrap/>
            <w:vAlign w:val="bottom"/>
            <w:hideMark/>
          </w:tcPr>
          <w:p w14:paraId="12D83E3A" w14:textId="2F1814F5"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c>
          <w:tcPr>
            <w:tcW w:w="990" w:type="dxa"/>
            <w:tcBorders>
              <w:top w:val="nil"/>
              <w:left w:val="nil"/>
              <w:right w:val="nil"/>
            </w:tcBorders>
            <w:shd w:val="clear" w:color="000000" w:fill="FFFFFF"/>
            <w:noWrap/>
            <w:vAlign w:val="bottom"/>
            <w:hideMark/>
          </w:tcPr>
          <w:p w14:paraId="0CD7FF7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right w:val="nil"/>
            </w:tcBorders>
            <w:shd w:val="clear" w:color="000000" w:fill="FFFFFF"/>
            <w:noWrap/>
            <w:vAlign w:val="bottom"/>
            <w:hideMark/>
          </w:tcPr>
          <w:p w14:paraId="556FCA73" w14:textId="7FDEE65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c>
          <w:tcPr>
            <w:tcW w:w="1170" w:type="dxa"/>
            <w:tcBorders>
              <w:top w:val="nil"/>
              <w:left w:val="nil"/>
              <w:right w:val="nil"/>
            </w:tcBorders>
            <w:shd w:val="clear" w:color="000000" w:fill="FFFFFF"/>
            <w:noWrap/>
            <w:vAlign w:val="bottom"/>
            <w:hideMark/>
          </w:tcPr>
          <w:p w14:paraId="3CB6784B" w14:textId="3C60953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c>
          <w:tcPr>
            <w:tcW w:w="990" w:type="dxa"/>
            <w:tcBorders>
              <w:top w:val="nil"/>
              <w:left w:val="nil"/>
              <w:right w:val="nil"/>
            </w:tcBorders>
            <w:shd w:val="clear" w:color="000000" w:fill="FFFFFF"/>
            <w:noWrap/>
            <w:vAlign w:val="bottom"/>
            <w:hideMark/>
          </w:tcPr>
          <w:p w14:paraId="3F3198E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right w:val="nil"/>
            </w:tcBorders>
            <w:shd w:val="clear" w:color="000000" w:fill="FFFFFF"/>
            <w:noWrap/>
            <w:vAlign w:val="bottom"/>
            <w:hideMark/>
          </w:tcPr>
          <w:p w14:paraId="6CC3D6F1" w14:textId="7C50A32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r>
      <w:tr w:rsidR="000958F5" w:rsidRPr="00F861D8" w14:paraId="17F6BFF8" w14:textId="77777777" w:rsidTr="00F861D8">
        <w:trPr>
          <w:trHeight w:val="273"/>
        </w:trPr>
        <w:tc>
          <w:tcPr>
            <w:tcW w:w="4248" w:type="dxa"/>
            <w:tcBorders>
              <w:top w:val="nil"/>
              <w:left w:val="nil"/>
              <w:bottom w:val="single" w:sz="4" w:space="0" w:color="auto"/>
              <w:right w:val="nil"/>
            </w:tcBorders>
            <w:shd w:val="clear" w:color="000000" w:fill="FFFFFF"/>
            <w:noWrap/>
            <w:vAlign w:val="center"/>
            <w:hideMark/>
          </w:tcPr>
          <w:p w14:paraId="69D41B15" w14:textId="4F5CC544"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Seguridad para el Plenario</w:t>
            </w:r>
          </w:p>
        </w:tc>
        <w:tc>
          <w:tcPr>
            <w:tcW w:w="1170" w:type="dxa"/>
            <w:tcBorders>
              <w:top w:val="nil"/>
              <w:left w:val="nil"/>
              <w:bottom w:val="single" w:sz="4" w:space="0" w:color="auto"/>
              <w:right w:val="nil"/>
            </w:tcBorders>
            <w:shd w:val="clear" w:color="000000" w:fill="FFFFFF"/>
            <w:noWrap/>
            <w:vAlign w:val="bottom"/>
            <w:hideMark/>
          </w:tcPr>
          <w:p w14:paraId="091FF44F" w14:textId="287A3BB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100 000</w:t>
            </w:r>
          </w:p>
        </w:tc>
        <w:tc>
          <w:tcPr>
            <w:tcW w:w="990" w:type="dxa"/>
            <w:tcBorders>
              <w:top w:val="nil"/>
              <w:left w:val="nil"/>
              <w:bottom w:val="single" w:sz="4" w:space="0" w:color="auto"/>
              <w:right w:val="nil"/>
            </w:tcBorders>
            <w:shd w:val="clear" w:color="000000" w:fill="FFFFFF"/>
            <w:noWrap/>
            <w:vAlign w:val="bottom"/>
            <w:hideMark/>
          </w:tcPr>
          <w:p w14:paraId="29EC41F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000000" w:fill="FFFFFF"/>
            <w:noWrap/>
            <w:vAlign w:val="bottom"/>
            <w:hideMark/>
          </w:tcPr>
          <w:p w14:paraId="67AB23E0" w14:textId="5A27954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100 000</w:t>
            </w:r>
          </w:p>
        </w:tc>
        <w:tc>
          <w:tcPr>
            <w:tcW w:w="1170" w:type="dxa"/>
            <w:tcBorders>
              <w:top w:val="nil"/>
              <w:left w:val="nil"/>
              <w:bottom w:val="single" w:sz="4" w:space="0" w:color="auto"/>
              <w:right w:val="nil"/>
            </w:tcBorders>
            <w:shd w:val="clear" w:color="000000" w:fill="FFFFFF"/>
            <w:noWrap/>
            <w:vAlign w:val="bottom"/>
            <w:hideMark/>
          </w:tcPr>
          <w:p w14:paraId="2B8C3A58" w14:textId="02BC652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100 000</w:t>
            </w:r>
          </w:p>
        </w:tc>
        <w:tc>
          <w:tcPr>
            <w:tcW w:w="990" w:type="dxa"/>
            <w:tcBorders>
              <w:top w:val="nil"/>
              <w:left w:val="nil"/>
              <w:bottom w:val="single" w:sz="4" w:space="0" w:color="auto"/>
              <w:right w:val="nil"/>
            </w:tcBorders>
            <w:shd w:val="clear" w:color="000000" w:fill="FFFFFF"/>
            <w:noWrap/>
            <w:vAlign w:val="bottom"/>
            <w:hideMark/>
          </w:tcPr>
          <w:p w14:paraId="3DA7000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000000" w:fill="FFFFFF"/>
            <w:noWrap/>
            <w:vAlign w:val="bottom"/>
            <w:hideMark/>
          </w:tcPr>
          <w:p w14:paraId="4AB835DA" w14:textId="2A8136DE"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100 000</w:t>
            </w:r>
          </w:p>
        </w:tc>
      </w:tr>
      <w:tr w:rsidR="000958F5" w:rsidRPr="00F861D8" w14:paraId="60579C59"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702F436A" w14:textId="050130B4"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1.1 Períodos de sesiones del Plenario</w:t>
            </w:r>
          </w:p>
        </w:tc>
        <w:tc>
          <w:tcPr>
            <w:tcW w:w="1170" w:type="dxa"/>
            <w:tcBorders>
              <w:top w:val="single" w:sz="4" w:space="0" w:color="auto"/>
              <w:left w:val="nil"/>
              <w:bottom w:val="single" w:sz="4" w:space="0" w:color="auto"/>
              <w:right w:val="nil"/>
            </w:tcBorders>
            <w:shd w:val="clear" w:color="auto" w:fill="auto"/>
            <w:noWrap/>
            <w:vAlign w:val="bottom"/>
            <w:hideMark/>
          </w:tcPr>
          <w:p w14:paraId="603A2DCB" w14:textId="506E74A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1 430 000</w:t>
            </w:r>
          </w:p>
        </w:tc>
        <w:tc>
          <w:tcPr>
            <w:tcW w:w="990" w:type="dxa"/>
            <w:tcBorders>
              <w:top w:val="single" w:sz="4" w:space="0" w:color="auto"/>
              <w:left w:val="nil"/>
              <w:bottom w:val="single" w:sz="4" w:space="0" w:color="auto"/>
              <w:right w:val="nil"/>
            </w:tcBorders>
            <w:shd w:val="clear" w:color="auto" w:fill="auto"/>
            <w:noWrap/>
            <w:vAlign w:val="bottom"/>
            <w:hideMark/>
          </w:tcPr>
          <w:p w14:paraId="32FBC15A" w14:textId="75D36C91"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65 000</w:t>
            </w:r>
          </w:p>
        </w:tc>
        <w:tc>
          <w:tcPr>
            <w:tcW w:w="990" w:type="dxa"/>
            <w:tcBorders>
              <w:top w:val="single" w:sz="4" w:space="0" w:color="auto"/>
              <w:left w:val="nil"/>
              <w:bottom w:val="single" w:sz="4" w:space="0" w:color="auto"/>
              <w:right w:val="nil"/>
            </w:tcBorders>
            <w:shd w:val="clear" w:color="auto" w:fill="auto"/>
            <w:noWrap/>
            <w:vAlign w:val="bottom"/>
            <w:hideMark/>
          </w:tcPr>
          <w:p w14:paraId="7F357627" w14:textId="7DBC08FF"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1 495 000</w:t>
            </w:r>
          </w:p>
        </w:tc>
        <w:tc>
          <w:tcPr>
            <w:tcW w:w="1170" w:type="dxa"/>
            <w:tcBorders>
              <w:top w:val="single" w:sz="4" w:space="0" w:color="auto"/>
              <w:left w:val="nil"/>
              <w:bottom w:val="single" w:sz="4" w:space="0" w:color="auto"/>
              <w:right w:val="nil"/>
            </w:tcBorders>
            <w:shd w:val="clear" w:color="auto" w:fill="auto"/>
            <w:noWrap/>
            <w:vAlign w:val="bottom"/>
            <w:hideMark/>
          </w:tcPr>
          <w:p w14:paraId="4102BBEA" w14:textId="51DCFEF4"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1 430 000</w:t>
            </w:r>
          </w:p>
        </w:tc>
        <w:tc>
          <w:tcPr>
            <w:tcW w:w="990" w:type="dxa"/>
            <w:tcBorders>
              <w:top w:val="single" w:sz="4" w:space="0" w:color="auto"/>
              <w:left w:val="nil"/>
              <w:bottom w:val="single" w:sz="4" w:space="0" w:color="auto"/>
              <w:right w:val="nil"/>
            </w:tcBorders>
            <w:shd w:val="clear" w:color="auto" w:fill="auto"/>
            <w:noWrap/>
            <w:vAlign w:val="bottom"/>
            <w:hideMark/>
          </w:tcPr>
          <w:p w14:paraId="20EFE2B1" w14:textId="40EF71D6"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300 000</w:t>
            </w:r>
          </w:p>
        </w:tc>
        <w:tc>
          <w:tcPr>
            <w:tcW w:w="1026" w:type="dxa"/>
            <w:tcBorders>
              <w:top w:val="single" w:sz="4" w:space="0" w:color="auto"/>
              <w:left w:val="nil"/>
              <w:bottom w:val="single" w:sz="4" w:space="0" w:color="auto"/>
              <w:right w:val="nil"/>
            </w:tcBorders>
            <w:shd w:val="clear" w:color="auto" w:fill="auto"/>
            <w:noWrap/>
            <w:vAlign w:val="bottom"/>
            <w:hideMark/>
          </w:tcPr>
          <w:p w14:paraId="2DD85C3F" w14:textId="7C63C5BB"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1 730 000</w:t>
            </w:r>
          </w:p>
        </w:tc>
      </w:tr>
      <w:tr w:rsidR="000958F5" w:rsidRPr="000930FA" w14:paraId="144FA691"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1C15FCC4" w14:textId="5E960FFC"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1.2 Reuniones de la Mesa y el Grupo Multidisciplinario de Expertos</w:t>
            </w:r>
          </w:p>
        </w:tc>
        <w:tc>
          <w:tcPr>
            <w:tcW w:w="1170" w:type="dxa"/>
            <w:tcBorders>
              <w:top w:val="single" w:sz="4" w:space="0" w:color="auto"/>
              <w:left w:val="nil"/>
              <w:bottom w:val="nil"/>
              <w:right w:val="nil"/>
            </w:tcBorders>
            <w:shd w:val="clear" w:color="auto" w:fill="auto"/>
            <w:noWrap/>
            <w:vAlign w:val="bottom"/>
            <w:hideMark/>
          </w:tcPr>
          <w:p w14:paraId="128EBD6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0904D5D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198D30A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5890B82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42F4CA0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43F7CBB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77F45A1F" w14:textId="77777777" w:rsidTr="00F861D8">
        <w:trPr>
          <w:trHeight w:val="273"/>
        </w:trPr>
        <w:tc>
          <w:tcPr>
            <w:tcW w:w="4248" w:type="dxa"/>
            <w:tcBorders>
              <w:top w:val="nil"/>
              <w:left w:val="nil"/>
              <w:right w:val="nil"/>
            </w:tcBorders>
            <w:shd w:val="clear" w:color="auto" w:fill="auto"/>
            <w:noWrap/>
            <w:vAlign w:val="center"/>
            <w:hideMark/>
          </w:tcPr>
          <w:p w14:paraId="4EB5D627" w14:textId="48A51094" w:rsidR="000958F5" w:rsidRPr="00F861D8" w:rsidRDefault="000958F5" w:rsidP="00536253">
            <w:pPr>
              <w:spacing w:before="40" w:after="40" w:line="240" w:lineRule="auto"/>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 xml:space="preserve">Gastos de viaje y reuniones de participantes en dos reuniones de la Mesa </w:t>
            </w:r>
          </w:p>
        </w:tc>
        <w:tc>
          <w:tcPr>
            <w:tcW w:w="1170" w:type="dxa"/>
            <w:tcBorders>
              <w:top w:val="nil"/>
              <w:left w:val="nil"/>
              <w:right w:val="nil"/>
            </w:tcBorders>
            <w:shd w:val="clear" w:color="auto" w:fill="auto"/>
            <w:noWrap/>
            <w:vAlign w:val="bottom"/>
            <w:hideMark/>
          </w:tcPr>
          <w:p w14:paraId="30E568F7" w14:textId="60ACEDCF"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70 900</w:t>
            </w:r>
          </w:p>
        </w:tc>
        <w:tc>
          <w:tcPr>
            <w:tcW w:w="990" w:type="dxa"/>
            <w:tcBorders>
              <w:top w:val="nil"/>
              <w:left w:val="nil"/>
              <w:right w:val="nil"/>
            </w:tcBorders>
            <w:shd w:val="clear" w:color="auto" w:fill="auto"/>
            <w:noWrap/>
            <w:vAlign w:val="bottom"/>
            <w:hideMark/>
          </w:tcPr>
          <w:p w14:paraId="6BF89A8D" w14:textId="77777777"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p>
        </w:tc>
        <w:tc>
          <w:tcPr>
            <w:tcW w:w="990" w:type="dxa"/>
            <w:tcBorders>
              <w:top w:val="nil"/>
              <w:left w:val="nil"/>
              <w:right w:val="nil"/>
            </w:tcBorders>
            <w:shd w:val="clear" w:color="auto" w:fill="auto"/>
            <w:noWrap/>
            <w:vAlign w:val="bottom"/>
            <w:hideMark/>
          </w:tcPr>
          <w:p w14:paraId="3B4E16B9" w14:textId="65D9C6A5"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70 900</w:t>
            </w:r>
          </w:p>
        </w:tc>
        <w:tc>
          <w:tcPr>
            <w:tcW w:w="1170" w:type="dxa"/>
            <w:tcBorders>
              <w:top w:val="nil"/>
              <w:left w:val="nil"/>
              <w:right w:val="nil"/>
            </w:tcBorders>
            <w:shd w:val="clear" w:color="auto" w:fill="auto"/>
            <w:noWrap/>
            <w:vAlign w:val="bottom"/>
            <w:hideMark/>
          </w:tcPr>
          <w:p w14:paraId="3DCA88A8" w14:textId="05F2DA24"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70 900</w:t>
            </w:r>
          </w:p>
        </w:tc>
        <w:tc>
          <w:tcPr>
            <w:tcW w:w="990" w:type="dxa"/>
            <w:tcBorders>
              <w:top w:val="nil"/>
              <w:left w:val="nil"/>
              <w:right w:val="nil"/>
            </w:tcBorders>
            <w:shd w:val="clear" w:color="auto" w:fill="auto"/>
            <w:noWrap/>
            <w:vAlign w:val="bottom"/>
            <w:hideMark/>
          </w:tcPr>
          <w:p w14:paraId="1DE95985" w14:textId="77777777"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p>
        </w:tc>
        <w:tc>
          <w:tcPr>
            <w:tcW w:w="1026" w:type="dxa"/>
            <w:tcBorders>
              <w:top w:val="nil"/>
              <w:left w:val="nil"/>
              <w:right w:val="nil"/>
            </w:tcBorders>
            <w:shd w:val="clear" w:color="auto" w:fill="auto"/>
            <w:noWrap/>
            <w:vAlign w:val="bottom"/>
            <w:hideMark/>
          </w:tcPr>
          <w:p w14:paraId="1C1BF78B" w14:textId="3D11F930"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70 900</w:t>
            </w:r>
          </w:p>
        </w:tc>
      </w:tr>
      <w:tr w:rsidR="000958F5" w:rsidRPr="00F861D8" w14:paraId="009EC782"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7432542A" w14:textId="7E4BBE41" w:rsidR="000958F5" w:rsidRPr="00F861D8" w:rsidRDefault="000958F5" w:rsidP="00536253">
            <w:pPr>
              <w:spacing w:before="40" w:after="40" w:line="240" w:lineRule="auto"/>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 xml:space="preserve">Gastos de viaje y reuniones de participantes en dos reuniones del Grupo </w:t>
            </w:r>
          </w:p>
        </w:tc>
        <w:tc>
          <w:tcPr>
            <w:tcW w:w="1170" w:type="dxa"/>
            <w:tcBorders>
              <w:top w:val="nil"/>
              <w:left w:val="nil"/>
              <w:bottom w:val="single" w:sz="4" w:space="0" w:color="auto"/>
              <w:right w:val="nil"/>
            </w:tcBorders>
            <w:shd w:val="clear" w:color="auto" w:fill="auto"/>
            <w:noWrap/>
            <w:vAlign w:val="bottom"/>
            <w:hideMark/>
          </w:tcPr>
          <w:p w14:paraId="49D3C7AB" w14:textId="57B7E9A8"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240 000</w:t>
            </w:r>
          </w:p>
        </w:tc>
        <w:tc>
          <w:tcPr>
            <w:tcW w:w="990" w:type="dxa"/>
            <w:tcBorders>
              <w:top w:val="nil"/>
              <w:left w:val="nil"/>
              <w:bottom w:val="single" w:sz="4" w:space="0" w:color="auto"/>
              <w:right w:val="nil"/>
            </w:tcBorders>
            <w:shd w:val="clear" w:color="auto" w:fill="auto"/>
            <w:noWrap/>
            <w:vAlign w:val="bottom"/>
            <w:hideMark/>
          </w:tcPr>
          <w:p w14:paraId="5C9FC110" w14:textId="1E9D2A06" w:rsidR="000958F5" w:rsidRPr="00F861D8" w:rsidRDefault="006D1ED0"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-70 000</w:t>
            </w:r>
          </w:p>
        </w:tc>
        <w:tc>
          <w:tcPr>
            <w:tcW w:w="990" w:type="dxa"/>
            <w:tcBorders>
              <w:top w:val="nil"/>
              <w:left w:val="nil"/>
              <w:bottom w:val="single" w:sz="4" w:space="0" w:color="auto"/>
              <w:right w:val="nil"/>
            </w:tcBorders>
            <w:shd w:val="clear" w:color="auto" w:fill="auto"/>
            <w:noWrap/>
            <w:vAlign w:val="bottom"/>
            <w:hideMark/>
          </w:tcPr>
          <w:p w14:paraId="77BE69C3" w14:textId="5F731CD1"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170 000</w:t>
            </w:r>
          </w:p>
        </w:tc>
        <w:tc>
          <w:tcPr>
            <w:tcW w:w="1170" w:type="dxa"/>
            <w:tcBorders>
              <w:top w:val="nil"/>
              <w:left w:val="nil"/>
              <w:bottom w:val="single" w:sz="4" w:space="0" w:color="auto"/>
              <w:right w:val="nil"/>
            </w:tcBorders>
            <w:shd w:val="clear" w:color="auto" w:fill="auto"/>
            <w:noWrap/>
            <w:vAlign w:val="bottom"/>
            <w:hideMark/>
          </w:tcPr>
          <w:p w14:paraId="5EEC4DB5" w14:textId="5BD83287"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240 000</w:t>
            </w:r>
          </w:p>
        </w:tc>
        <w:tc>
          <w:tcPr>
            <w:tcW w:w="990" w:type="dxa"/>
            <w:tcBorders>
              <w:top w:val="nil"/>
              <w:left w:val="nil"/>
              <w:bottom w:val="single" w:sz="4" w:space="0" w:color="auto"/>
              <w:right w:val="nil"/>
            </w:tcBorders>
            <w:shd w:val="clear" w:color="auto" w:fill="auto"/>
            <w:noWrap/>
            <w:vAlign w:val="bottom"/>
            <w:hideMark/>
          </w:tcPr>
          <w:p w14:paraId="2A6DF9F0" w14:textId="66727A2B" w:rsidR="000958F5" w:rsidRPr="00F861D8" w:rsidRDefault="006D1ED0"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-70 000</w:t>
            </w:r>
          </w:p>
        </w:tc>
        <w:tc>
          <w:tcPr>
            <w:tcW w:w="1026" w:type="dxa"/>
            <w:tcBorders>
              <w:top w:val="nil"/>
              <w:left w:val="nil"/>
              <w:bottom w:val="single" w:sz="4" w:space="0" w:color="auto"/>
              <w:right w:val="nil"/>
            </w:tcBorders>
            <w:shd w:val="clear" w:color="auto" w:fill="auto"/>
            <w:noWrap/>
            <w:vAlign w:val="bottom"/>
            <w:hideMark/>
          </w:tcPr>
          <w:p w14:paraId="581A3637" w14:textId="4BE55F1F"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170 000</w:t>
            </w:r>
          </w:p>
        </w:tc>
      </w:tr>
      <w:tr w:rsidR="000958F5" w:rsidRPr="00F861D8" w14:paraId="084E8C83"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66586C70" w14:textId="554E8610"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sz w:val="18"/>
                <w:szCs w:val="18"/>
                <w:lang w:val="es-ES_tradnl"/>
              </w:rPr>
              <w:t>Total parcial 1.2 Reuniones de la Mesa y el Grupo Multidisciplinario de Expertos</w:t>
            </w:r>
          </w:p>
        </w:tc>
        <w:tc>
          <w:tcPr>
            <w:tcW w:w="1170" w:type="dxa"/>
            <w:tcBorders>
              <w:top w:val="single" w:sz="4" w:space="0" w:color="auto"/>
              <w:left w:val="nil"/>
              <w:bottom w:val="single" w:sz="4" w:space="0" w:color="auto"/>
              <w:right w:val="nil"/>
            </w:tcBorders>
            <w:shd w:val="clear" w:color="auto" w:fill="auto"/>
            <w:noWrap/>
            <w:vAlign w:val="bottom"/>
            <w:hideMark/>
          </w:tcPr>
          <w:p w14:paraId="6944F6F4" w14:textId="22A45A10"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310 900</w:t>
            </w:r>
          </w:p>
        </w:tc>
        <w:tc>
          <w:tcPr>
            <w:tcW w:w="990" w:type="dxa"/>
            <w:tcBorders>
              <w:top w:val="single" w:sz="4" w:space="0" w:color="auto"/>
              <w:left w:val="nil"/>
              <w:bottom w:val="single" w:sz="4" w:space="0" w:color="auto"/>
              <w:right w:val="nil"/>
            </w:tcBorders>
            <w:shd w:val="clear" w:color="auto" w:fill="auto"/>
            <w:noWrap/>
            <w:vAlign w:val="bottom"/>
            <w:hideMark/>
          </w:tcPr>
          <w:p w14:paraId="15C2D406" w14:textId="6086BC5C" w:rsidR="000958F5" w:rsidRPr="00F861D8" w:rsidRDefault="006D1ED0"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-70 000</w:t>
            </w:r>
          </w:p>
        </w:tc>
        <w:tc>
          <w:tcPr>
            <w:tcW w:w="990" w:type="dxa"/>
            <w:tcBorders>
              <w:top w:val="single" w:sz="4" w:space="0" w:color="auto"/>
              <w:left w:val="nil"/>
              <w:bottom w:val="single" w:sz="4" w:space="0" w:color="auto"/>
              <w:right w:val="nil"/>
            </w:tcBorders>
            <w:shd w:val="clear" w:color="auto" w:fill="auto"/>
            <w:noWrap/>
            <w:vAlign w:val="bottom"/>
            <w:hideMark/>
          </w:tcPr>
          <w:p w14:paraId="6E4C9470" w14:textId="6F2CA7C4"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240 900</w:t>
            </w:r>
          </w:p>
        </w:tc>
        <w:tc>
          <w:tcPr>
            <w:tcW w:w="1170" w:type="dxa"/>
            <w:tcBorders>
              <w:top w:val="single" w:sz="4" w:space="0" w:color="auto"/>
              <w:left w:val="nil"/>
              <w:bottom w:val="single" w:sz="4" w:space="0" w:color="auto"/>
              <w:right w:val="nil"/>
            </w:tcBorders>
            <w:shd w:val="clear" w:color="auto" w:fill="auto"/>
            <w:noWrap/>
            <w:vAlign w:val="bottom"/>
            <w:hideMark/>
          </w:tcPr>
          <w:p w14:paraId="0AE7779D" w14:textId="1DCCCB57"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310 900</w:t>
            </w:r>
          </w:p>
        </w:tc>
        <w:tc>
          <w:tcPr>
            <w:tcW w:w="990" w:type="dxa"/>
            <w:tcBorders>
              <w:top w:val="single" w:sz="4" w:space="0" w:color="auto"/>
              <w:left w:val="nil"/>
              <w:bottom w:val="single" w:sz="4" w:space="0" w:color="auto"/>
              <w:right w:val="nil"/>
            </w:tcBorders>
            <w:shd w:val="clear" w:color="auto" w:fill="auto"/>
            <w:noWrap/>
            <w:vAlign w:val="bottom"/>
            <w:hideMark/>
          </w:tcPr>
          <w:p w14:paraId="6CE47D4D" w14:textId="5601B6AF" w:rsidR="000958F5" w:rsidRPr="00F861D8" w:rsidRDefault="006D1ED0"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-70 000</w:t>
            </w:r>
          </w:p>
        </w:tc>
        <w:tc>
          <w:tcPr>
            <w:tcW w:w="1026" w:type="dxa"/>
            <w:tcBorders>
              <w:top w:val="single" w:sz="4" w:space="0" w:color="auto"/>
              <w:left w:val="nil"/>
              <w:bottom w:val="single" w:sz="4" w:space="0" w:color="auto"/>
              <w:right w:val="nil"/>
            </w:tcBorders>
            <w:shd w:val="clear" w:color="auto" w:fill="auto"/>
            <w:noWrap/>
            <w:vAlign w:val="bottom"/>
            <w:hideMark/>
          </w:tcPr>
          <w:p w14:paraId="14A7E6D1" w14:textId="596C25F7"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240 900</w:t>
            </w:r>
          </w:p>
        </w:tc>
      </w:tr>
      <w:tr w:rsidR="000958F5" w:rsidRPr="00F861D8" w14:paraId="46CD9E95"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487133FD" w14:textId="673F337B"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1.3 Gastos de viaje de la Presidencia en representación de la Plataforma</w:t>
            </w:r>
          </w:p>
        </w:tc>
        <w:tc>
          <w:tcPr>
            <w:tcW w:w="1170" w:type="dxa"/>
            <w:tcBorders>
              <w:top w:val="single" w:sz="4" w:space="0" w:color="auto"/>
              <w:left w:val="nil"/>
              <w:bottom w:val="single" w:sz="4" w:space="0" w:color="auto"/>
              <w:right w:val="nil"/>
            </w:tcBorders>
            <w:shd w:val="clear" w:color="auto" w:fill="auto"/>
            <w:noWrap/>
            <w:vAlign w:val="bottom"/>
            <w:hideMark/>
          </w:tcPr>
          <w:p w14:paraId="39E445CE" w14:textId="627F41D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25 000</w:t>
            </w:r>
          </w:p>
        </w:tc>
        <w:tc>
          <w:tcPr>
            <w:tcW w:w="990" w:type="dxa"/>
            <w:tcBorders>
              <w:top w:val="single" w:sz="4" w:space="0" w:color="auto"/>
              <w:left w:val="nil"/>
              <w:bottom w:val="single" w:sz="4" w:space="0" w:color="auto"/>
              <w:right w:val="nil"/>
            </w:tcBorders>
            <w:shd w:val="clear" w:color="auto" w:fill="auto"/>
            <w:noWrap/>
            <w:vAlign w:val="bottom"/>
            <w:hideMark/>
          </w:tcPr>
          <w:p w14:paraId="0556C1F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single" w:sz="4" w:space="0" w:color="auto"/>
              <w:right w:val="nil"/>
            </w:tcBorders>
            <w:shd w:val="clear" w:color="auto" w:fill="auto"/>
            <w:noWrap/>
            <w:vAlign w:val="bottom"/>
            <w:hideMark/>
          </w:tcPr>
          <w:p w14:paraId="6C5BB0D6" w14:textId="4D42FE1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25 000</w:t>
            </w:r>
          </w:p>
        </w:tc>
        <w:tc>
          <w:tcPr>
            <w:tcW w:w="1170" w:type="dxa"/>
            <w:tcBorders>
              <w:top w:val="single" w:sz="4" w:space="0" w:color="auto"/>
              <w:left w:val="nil"/>
              <w:bottom w:val="single" w:sz="4" w:space="0" w:color="auto"/>
              <w:right w:val="nil"/>
            </w:tcBorders>
            <w:shd w:val="clear" w:color="auto" w:fill="auto"/>
            <w:noWrap/>
            <w:vAlign w:val="bottom"/>
            <w:hideMark/>
          </w:tcPr>
          <w:p w14:paraId="149C03F8" w14:textId="29F80D0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30 000</w:t>
            </w:r>
          </w:p>
        </w:tc>
        <w:tc>
          <w:tcPr>
            <w:tcW w:w="990" w:type="dxa"/>
            <w:tcBorders>
              <w:top w:val="single" w:sz="4" w:space="0" w:color="auto"/>
              <w:left w:val="nil"/>
              <w:bottom w:val="single" w:sz="4" w:space="0" w:color="auto"/>
              <w:right w:val="nil"/>
            </w:tcBorders>
            <w:shd w:val="clear" w:color="auto" w:fill="auto"/>
            <w:noWrap/>
            <w:vAlign w:val="bottom"/>
            <w:hideMark/>
          </w:tcPr>
          <w:p w14:paraId="40510F3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single" w:sz="4" w:space="0" w:color="auto"/>
              <w:left w:val="nil"/>
              <w:bottom w:val="single" w:sz="4" w:space="0" w:color="auto"/>
              <w:right w:val="nil"/>
            </w:tcBorders>
            <w:shd w:val="clear" w:color="auto" w:fill="auto"/>
            <w:noWrap/>
            <w:vAlign w:val="bottom"/>
            <w:hideMark/>
          </w:tcPr>
          <w:p w14:paraId="00C2A8AD" w14:textId="4DCE7D6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30 000</w:t>
            </w:r>
          </w:p>
        </w:tc>
      </w:tr>
      <w:tr w:rsidR="000958F5" w:rsidRPr="00F861D8" w14:paraId="441DA5E8"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59499AA3" w14:textId="7A727929" w:rsidR="000958F5" w:rsidRPr="00F861D8" w:rsidRDefault="003B4951"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 xml:space="preserve">Total parcial 1 </w:t>
            </w:r>
            <w:r w:rsidR="000958F5" w:rsidRPr="00F861D8">
              <w:rPr>
                <w:rFonts w:ascii="Times New Roman" w:hAnsi="Times New Roman"/>
                <w:b/>
                <w:bCs/>
                <w:sz w:val="18"/>
                <w:szCs w:val="18"/>
                <w:lang w:val="es-ES_tradnl"/>
              </w:rPr>
              <w:t>Reuniones de los órganos de la Plataforma</w:t>
            </w:r>
          </w:p>
        </w:tc>
        <w:tc>
          <w:tcPr>
            <w:tcW w:w="1170" w:type="dxa"/>
            <w:tcBorders>
              <w:top w:val="single" w:sz="4" w:space="0" w:color="auto"/>
              <w:left w:val="nil"/>
              <w:bottom w:val="single" w:sz="4" w:space="0" w:color="auto"/>
              <w:right w:val="nil"/>
            </w:tcBorders>
            <w:shd w:val="clear" w:color="auto" w:fill="auto"/>
            <w:noWrap/>
            <w:vAlign w:val="bottom"/>
            <w:hideMark/>
          </w:tcPr>
          <w:p w14:paraId="77BE42B7" w14:textId="7A5C88E2"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1 765 900</w:t>
            </w:r>
          </w:p>
        </w:tc>
        <w:tc>
          <w:tcPr>
            <w:tcW w:w="990" w:type="dxa"/>
            <w:tcBorders>
              <w:top w:val="single" w:sz="4" w:space="0" w:color="auto"/>
              <w:left w:val="nil"/>
              <w:bottom w:val="single" w:sz="4" w:space="0" w:color="auto"/>
              <w:right w:val="nil"/>
            </w:tcBorders>
            <w:shd w:val="clear" w:color="auto" w:fill="auto"/>
            <w:noWrap/>
            <w:vAlign w:val="bottom"/>
            <w:hideMark/>
          </w:tcPr>
          <w:p w14:paraId="59126F13" w14:textId="4947A559" w:rsidR="000958F5" w:rsidRPr="00F861D8" w:rsidRDefault="006D1ED0"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-5 000</w:t>
            </w:r>
          </w:p>
        </w:tc>
        <w:tc>
          <w:tcPr>
            <w:tcW w:w="990" w:type="dxa"/>
            <w:tcBorders>
              <w:top w:val="single" w:sz="4" w:space="0" w:color="auto"/>
              <w:left w:val="nil"/>
              <w:bottom w:val="single" w:sz="4" w:space="0" w:color="auto"/>
              <w:right w:val="nil"/>
            </w:tcBorders>
            <w:shd w:val="clear" w:color="auto" w:fill="auto"/>
            <w:noWrap/>
            <w:vAlign w:val="bottom"/>
            <w:hideMark/>
          </w:tcPr>
          <w:p w14:paraId="333C0AD6" w14:textId="79A533A6"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1 760 900</w:t>
            </w:r>
          </w:p>
        </w:tc>
        <w:tc>
          <w:tcPr>
            <w:tcW w:w="1170" w:type="dxa"/>
            <w:tcBorders>
              <w:top w:val="single" w:sz="4" w:space="0" w:color="auto"/>
              <w:left w:val="nil"/>
              <w:bottom w:val="single" w:sz="4" w:space="0" w:color="auto"/>
              <w:right w:val="nil"/>
            </w:tcBorders>
            <w:shd w:val="clear" w:color="auto" w:fill="auto"/>
            <w:noWrap/>
            <w:vAlign w:val="bottom"/>
            <w:hideMark/>
          </w:tcPr>
          <w:p w14:paraId="217892E7" w14:textId="163A2E52"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1 770 900</w:t>
            </w:r>
          </w:p>
        </w:tc>
        <w:tc>
          <w:tcPr>
            <w:tcW w:w="990" w:type="dxa"/>
            <w:tcBorders>
              <w:top w:val="single" w:sz="4" w:space="0" w:color="auto"/>
              <w:left w:val="nil"/>
              <w:bottom w:val="single" w:sz="4" w:space="0" w:color="auto"/>
              <w:right w:val="nil"/>
            </w:tcBorders>
            <w:shd w:val="clear" w:color="auto" w:fill="auto"/>
            <w:noWrap/>
            <w:vAlign w:val="bottom"/>
            <w:hideMark/>
          </w:tcPr>
          <w:p w14:paraId="29A8759F" w14:textId="66313D46"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230 000</w:t>
            </w:r>
          </w:p>
        </w:tc>
        <w:tc>
          <w:tcPr>
            <w:tcW w:w="1026" w:type="dxa"/>
            <w:tcBorders>
              <w:top w:val="single" w:sz="4" w:space="0" w:color="auto"/>
              <w:left w:val="nil"/>
              <w:bottom w:val="single" w:sz="4" w:space="0" w:color="auto"/>
              <w:right w:val="nil"/>
            </w:tcBorders>
            <w:shd w:val="clear" w:color="auto" w:fill="auto"/>
            <w:noWrap/>
            <w:vAlign w:val="bottom"/>
            <w:hideMark/>
          </w:tcPr>
          <w:p w14:paraId="3EB51619" w14:textId="7CF9FA0D"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2 000 900</w:t>
            </w:r>
          </w:p>
        </w:tc>
      </w:tr>
      <w:tr w:rsidR="000958F5" w:rsidRPr="000930FA" w14:paraId="509D5669" w14:textId="77777777" w:rsidTr="00F861D8">
        <w:trPr>
          <w:trHeight w:val="379"/>
        </w:trPr>
        <w:tc>
          <w:tcPr>
            <w:tcW w:w="4248" w:type="dxa"/>
            <w:tcBorders>
              <w:top w:val="single" w:sz="4" w:space="0" w:color="auto"/>
              <w:left w:val="nil"/>
              <w:bottom w:val="nil"/>
              <w:right w:val="nil"/>
            </w:tcBorders>
            <w:shd w:val="clear" w:color="000000" w:fill="FFFFFF"/>
            <w:noWrap/>
            <w:hideMark/>
          </w:tcPr>
          <w:p w14:paraId="4072938B" w14:textId="2540D0A4" w:rsidR="00FD0D40" w:rsidRPr="00F861D8" w:rsidRDefault="000958F5" w:rsidP="00CB4B9F">
            <w:pPr>
              <w:keepNext/>
              <w:keepLines/>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2.</w:t>
            </w:r>
            <w:r w:rsidRPr="00F861D8">
              <w:rPr>
                <w:rFonts w:ascii="Times New Roman" w:hAnsi="Times New Roman"/>
                <w:sz w:val="18"/>
                <w:szCs w:val="18"/>
                <w:lang w:val="es-ES_tradnl"/>
              </w:rPr>
              <w:t xml:space="preserve"> </w:t>
            </w:r>
            <w:r w:rsidRPr="00F861D8">
              <w:rPr>
                <w:rFonts w:ascii="Times New Roman" w:hAnsi="Times New Roman"/>
                <w:b/>
                <w:bCs/>
                <w:sz w:val="18"/>
                <w:szCs w:val="18"/>
                <w:lang w:val="es-ES_tradnl"/>
              </w:rPr>
              <w:t>Ejecución del programa de trabajo</w:t>
            </w:r>
            <w:r w:rsidRPr="00F861D8">
              <w:rPr>
                <w:rFonts w:ascii="Times New Roman" w:hAnsi="Times New Roman"/>
                <w:sz w:val="18"/>
                <w:szCs w:val="18"/>
                <w:lang w:val="es-ES_tradnl"/>
              </w:rPr>
              <w:t xml:space="preserve"> </w:t>
            </w:r>
          </w:p>
        </w:tc>
        <w:tc>
          <w:tcPr>
            <w:tcW w:w="1170" w:type="dxa"/>
            <w:tcBorders>
              <w:top w:val="single" w:sz="4" w:space="0" w:color="auto"/>
              <w:left w:val="nil"/>
              <w:bottom w:val="nil"/>
              <w:right w:val="nil"/>
            </w:tcBorders>
            <w:shd w:val="clear" w:color="000000" w:fill="FFFFFF"/>
            <w:noWrap/>
            <w:vAlign w:val="bottom"/>
            <w:hideMark/>
          </w:tcPr>
          <w:p w14:paraId="0693024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50CC36C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455DBB2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000000" w:fill="FFFFFF"/>
            <w:noWrap/>
            <w:vAlign w:val="bottom"/>
            <w:hideMark/>
          </w:tcPr>
          <w:p w14:paraId="37E242C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000000" w:fill="FFFFFF"/>
            <w:noWrap/>
            <w:vAlign w:val="bottom"/>
            <w:hideMark/>
          </w:tcPr>
          <w:p w14:paraId="7E28A42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single" w:sz="4" w:space="0" w:color="auto"/>
              <w:left w:val="nil"/>
              <w:bottom w:val="nil"/>
              <w:right w:val="nil"/>
            </w:tcBorders>
            <w:shd w:val="clear" w:color="000000" w:fill="FFFFFF"/>
            <w:noWrap/>
            <w:vAlign w:val="bottom"/>
            <w:hideMark/>
          </w:tcPr>
          <w:p w14:paraId="782F7B6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r>
      <w:tr w:rsidR="000958F5" w:rsidRPr="00F861D8" w14:paraId="6150C16F" w14:textId="77777777" w:rsidTr="00F861D8">
        <w:trPr>
          <w:trHeight w:val="496"/>
        </w:trPr>
        <w:tc>
          <w:tcPr>
            <w:tcW w:w="4248" w:type="dxa"/>
            <w:tcBorders>
              <w:top w:val="nil"/>
              <w:left w:val="nil"/>
              <w:bottom w:val="nil"/>
              <w:right w:val="nil"/>
            </w:tcBorders>
            <w:shd w:val="clear" w:color="000000" w:fill="FFFFFF"/>
            <w:vAlign w:val="center"/>
            <w:hideMark/>
          </w:tcPr>
          <w:p w14:paraId="3F08E511" w14:textId="39E7CB1E"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b/>
                <w:bCs/>
                <w:sz w:val="18"/>
                <w:szCs w:val="18"/>
                <w:lang w:val="es-ES_tradnl"/>
              </w:rPr>
              <w:t xml:space="preserve">2.1 Objetivo 1: </w:t>
            </w:r>
            <w:r w:rsidRPr="00F861D8">
              <w:rPr>
                <w:rFonts w:ascii="Times New Roman" w:hAnsi="Times New Roman"/>
                <w:sz w:val="18"/>
                <w:szCs w:val="18"/>
                <w:lang w:val="es-ES_tradnl"/>
              </w:rPr>
              <w:t>fortalecer los fundamentos de la interfaz científico</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normativa en materia de capacidad y conocimientos para el desempeño de las principales funciones de la Plataforma</w:t>
            </w:r>
          </w:p>
        </w:tc>
        <w:tc>
          <w:tcPr>
            <w:tcW w:w="1170" w:type="dxa"/>
            <w:tcBorders>
              <w:top w:val="nil"/>
              <w:left w:val="nil"/>
              <w:bottom w:val="nil"/>
              <w:right w:val="nil"/>
            </w:tcBorders>
            <w:shd w:val="clear" w:color="000000" w:fill="FFFFFF"/>
            <w:noWrap/>
            <w:vAlign w:val="bottom"/>
            <w:hideMark/>
          </w:tcPr>
          <w:p w14:paraId="53489EBB" w14:textId="434C5D4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1 067 500</w:t>
            </w:r>
          </w:p>
        </w:tc>
        <w:tc>
          <w:tcPr>
            <w:tcW w:w="990" w:type="dxa"/>
            <w:tcBorders>
              <w:top w:val="nil"/>
              <w:left w:val="nil"/>
              <w:bottom w:val="nil"/>
              <w:right w:val="nil"/>
            </w:tcBorders>
            <w:shd w:val="clear" w:color="000000" w:fill="FFFFFF"/>
            <w:noWrap/>
            <w:vAlign w:val="bottom"/>
            <w:hideMark/>
          </w:tcPr>
          <w:p w14:paraId="23FE58C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000000" w:fill="FFFFFF"/>
            <w:noWrap/>
            <w:vAlign w:val="bottom"/>
            <w:hideMark/>
          </w:tcPr>
          <w:p w14:paraId="6FA1ADC0" w14:textId="62C1095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1 067 500</w:t>
            </w:r>
          </w:p>
        </w:tc>
        <w:tc>
          <w:tcPr>
            <w:tcW w:w="1170" w:type="dxa"/>
            <w:tcBorders>
              <w:top w:val="nil"/>
              <w:left w:val="nil"/>
              <w:bottom w:val="nil"/>
              <w:right w:val="nil"/>
            </w:tcBorders>
            <w:shd w:val="clear" w:color="000000" w:fill="FFFFFF"/>
            <w:noWrap/>
            <w:vAlign w:val="bottom"/>
            <w:hideMark/>
          </w:tcPr>
          <w:p w14:paraId="28939391" w14:textId="2FEFD77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1 067 500</w:t>
            </w:r>
          </w:p>
        </w:tc>
        <w:tc>
          <w:tcPr>
            <w:tcW w:w="990" w:type="dxa"/>
            <w:tcBorders>
              <w:top w:val="nil"/>
              <w:left w:val="nil"/>
              <w:bottom w:val="nil"/>
              <w:right w:val="nil"/>
            </w:tcBorders>
            <w:shd w:val="clear" w:color="000000" w:fill="FFFFFF"/>
            <w:noWrap/>
            <w:vAlign w:val="bottom"/>
            <w:hideMark/>
          </w:tcPr>
          <w:p w14:paraId="4090DC0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000000" w:fill="FFFFFF"/>
            <w:noWrap/>
            <w:vAlign w:val="bottom"/>
            <w:hideMark/>
          </w:tcPr>
          <w:p w14:paraId="10567EF2" w14:textId="7B22CF2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1 067 500</w:t>
            </w:r>
          </w:p>
        </w:tc>
      </w:tr>
      <w:tr w:rsidR="000958F5" w:rsidRPr="00F861D8" w14:paraId="2160FC4E" w14:textId="77777777" w:rsidTr="00F861D8">
        <w:trPr>
          <w:trHeight w:val="517"/>
        </w:trPr>
        <w:tc>
          <w:tcPr>
            <w:tcW w:w="4248" w:type="dxa"/>
            <w:tcBorders>
              <w:top w:val="nil"/>
              <w:left w:val="nil"/>
              <w:bottom w:val="nil"/>
              <w:right w:val="nil"/>
            </w:tcBorders>
            <w:shd w:val="clear" w:color="000000" w:fill="FFFFFF"/>
            <w:vAlign w:val="center"/>
            <w:hideMark/>
          </w:tcPr>
          <w:p w14:paraId="7219B003" w14:textId="1052401C" w:rsidR="000958F5" w:rsidRPr="00F861D8" w:rsidRDefault="000958F5" w:rsidP="000A5F8F">
            <w:pPr>
              <w:spacing w:before="40" w:after="40" w:line="240" w:lineRule="auto"/>
              <w:rPr>
                <w:rFonts w:ascii="Times New Roman" w:hAnsi="Times New Roman"/>
                <w:color w:val="000000"/>
                <w:sz w:val="18"/>
                <w:szCs w:val="18"/>
                <w:lang w:val="es-ES_tradnl"/>
              </w:rPr>
            </w:pPr>
            <w:r w:rsidRPr="00F861D8">
              <w:rPr>
                <w:rFonts w:ascii="Times New Roman" w:hAnsi="Times New Roman"/>
                <w:b/>
                <w:bCs/>
                <w:sz w:val="18"/>
                <w:szCs w:val="18"/>
                <w:lang w:val="es-ES_tradnl"/>
              </w:rPr>
              <w:t>2.2 Objetivo 2:</w:t>
            </w:r>
            <w:r w:rsidRPr="00F861D8">
              <w:rPr>
                <w:rFonts w:ascii="Times New Roman" w:hAnsi="Times New Roman"/>
                <w:sz w:val="18"/>
                <w:szCs w:val="18"/>
                <w:lang w:val="es-ES_tradnl"/>
              </w:rPr>
              <w:t xml:space="preserve"> fortalecer la interfaz científico</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normativa sobre diversidad biológica y servicios de los ecosistemas en los niveles subregional, regional y mundial y entre ellos</w:t>
            </w:r>
          </w:p>
        </w:tc>
        <w:tc>
          <w:tcPr>
            <w:tcW w:w="1170" w:type="dxa"/>
            <w:tcBorders>
              <w:top w:val="nil"/>
              <w:left w:val="nil"/>
              <w:bottom w:val="nil"/>
              <w:right w:val="nil"/>
            </w:tcBorders>
            <w:shd w:val="clear" w:color="000000" w:fill="FFFFFF"/>
            <w:noWrap/>
            <w:vAlign w:val="bottom"/>
            <w:hideMark/>
          </w:tcPr>
          <w:p w14:paraId="5E826A7C" w14:textId="14FACF8E"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2 414 250</w:t>
            </w:r>
          </w:p>
        </w:tc>
        <w:tc>
          <w:tcPr>
            <w:tcW w:w="990" w:type="dxa"/>
            <w:tcBorders>
              <w:top w:val="nil"/>
              <w:left w:val="nil"/>
              <w:bottom w:val="nil"/>
              <w:right w:val="nil"/>
            </w:tcBorders>
            <w:shd w:val="clear" w:color="000000" w:fill="FFFFFF"/>
            <w:noWrap/>
            <w:vAlign w:val="bottom"/>
            <w:hideMark/>
          </w:tcPr>
          <w:p w14:paraId="4C3BF994" w14:textId="1979AA2E"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312 000</w:t>
            </w:r>
          </w:p>
        </w:tc>
        <w:tc>
          <w:tcPr>
            <w:tcW w:w="990" w:type="dxa"/>
            <w:tcBorders>
              <w:top w:val="nil"/>
              <w:left w:val="nil"/>
              <w:bottom w:val="nil"/>
              <w:right w:val="nil"/>
            </w:tcBorders>
            <w:shd w:val="clear" w:color="000000" w:fill="FFFFFF"/>
            <w:noWrap/>
            <w:vAlign w:val="bottom"/>
            <w:hideMark/>
          </w:tcPr>
          <w:p w14:paraId="33E27723" w14:textId="3D19037B"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2 726 250</w:t>
            </w:r>
          </w:p>
        </w:tc>
        <w:tc>
          <w:tcPr>
            <w:tcW w:w="1170" w:type="dxa"/>
            <w:tcBorders>
              <w:top w:val="nil"/>
              <w:left w:val="nil"/>
              <w:bottom w:val="nil"/>
              <w:right w:val="nil"/>
            </w:tcBorders>
            <w:shd w:val="clear" w:color="000000" w:fill="FFFFFF"/>
            <w:noWrap/>
            <w:vAlign w:val="bottom"/>
            <w:hideMark/>
          </w:tcPr>
          <w:p w14:paraId="1201416D" w14:textId="5E480D3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1 347 500</w:t>
            </w:r>
          </w:p>
        </w:tc>
        <w:tc>
          <w:tcPr>
            <w:tcW w:w="990" w:type="dxa"/>
            <w:tcBorders>
              <w:top w:val="nil"/>
              <w:left w:val="nil"/>
              <w:bottom w:val="nil"/>
              <w:right w:val="nil"/>
            </w:tcBorders>
            <w:shd w:val="clear" w:color="000000" w:fill="FFFFFF"/>
            <w:noWrap/>
            <w:vAlign w:val="bottom"/>
            <w:hideMark/>
          </w:tcPr>
          <w:p w14:paraId="55379F8E" w14:textId="664C6FC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218 750</w:t>
            </w:r>
          </w:p>
        </w:tc>
        <w:tc>
          <w:tcPr>
            <w:tcW w:w="1026" w:type="dxa"/>
            <w:tcBorders>
              <w:top w:val="nil"/>
              <w:left w:val="nil"/>
              <w:bottom w:val="nil"/>
              <w:right w:val="nil"/>
            </w:tcBorders>
            <w:shd w:val="clear" w:color="000000" w:fill="FFFFFF"/>
            <w:noWrap/>
            <w:vAlign w:val="bottom"/>
            <w:hideMark/>
          </w:tcPr>
          <w:p w14:paraId="51F0E3D3" w14:textId="76AD1C6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1 566 250</w:t>
            </w:r>
          </w:p>
        </w:tc>
      </w:tr>
      <w:tr w:rsidR="000958F5" w:rsidRPr="00F861D8" w14:paraId="00EF3219" w14:textId="77777777" w:rsidTr="00F861D8">
        <w:trPr>
          <w:trHeight w:val="507"/>
        </w:trPr>
        <w:tc>
          <w:tcPr>
            <w:tcW w:w="4248" w:type="dxa"/>
            <w:tcBorders>
              <w:top w:val="nil"/>
              <w:left w:val="nil"/>
              <w:bottom w:val="nil"/>
              <w:right w:val="nil"/>
            </w:tcBorders>
            <w:shd w:val="clear" w:color="000000" w:fill="FFFFFF"/>
            <w:vAlign w:val="center"/>
            <w:hideMark/>
          </w:tcPr>
          <w:p w14:paraId="20BC1055" w14:textId="3FBE7913" w:rsidR="000958F5" w:rsidRPr="00F861D8" w:rsidRDefault="000958F5" w:rsidP="000A5F8F">
            <w:pPr>
              <w:spacing w:before="40" w:after="40" w:line="240" w:lineRule="auto"/>
              <w:rPr>
                <w:rFonts w:ascii="Times New Roman" w:hAnsi="Times New Roman"/>
                <w:color w:val="000000"/>
                <w:sz w:val="18"/>
                <w:szCs w:val="18"/>
                <w:lang w:val="es-ES_tradnl"/>
              </w:rPr>
            </w:pPr>
            <w:r w:rsidRPr="00F861D8">
              <w:rPr>
                <w:rFonts w:ascii="Times New Roman" w:hAnsi="Times New Roman"/>
                <w:b/>
                <w:bCs/>
                <w:sz w:val="18"/>
                <w:szCs w:val="18"/>
                <w:lang w:val="es-ES_tradnl"/>
              </w:rPr>
              <w:t>2.3 Objetivo 3:</w:t>
            </w:r>
            <w:r w:rsidRPr="00F861D8">
              <w:rPr>
                <w:rFonts w:ascii="Times New Roman" w:hAnsi="Times New Roman"/>
                <w:sz w:val="18"/>
                <w:szCs w:val="18"/>
                <w:lang w:val="es-ES_tradnl"/>
              </w:rPr>
              <w:t xml:space="preserve"> fortalecer la interfaz científico</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normativa respecto de las cuestiones temáticas y metodológicas</w:t>
            </w:r>
          </w:p>
        </w:tc>
        <w:tc>
          <w:tcPr>
            <w:tcW w:w="1170" w:type="dxa"/>
            <w:tcBorders>
              <w:top w:val="nil"/>
              <w:left w:val="nil"/>
              <w:bottom w:val="nil"/>
              <w:right w:val="nil"/>
            </w:tcBorders>
            <w:shd w:val="clear" w:color="000000" w:fill="FFFFFF"/>
            <w:noWrap/>
            <w:vAlign w:val="bottom"/>
            <w:hideMark/>
          </w:tcPr>
          <w:p w14:paraId="69CB581B" w14:textId="31B5F10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507 000</w:t>
            </w:r>
          </w:p>
        </w:tc>
        <w:tc>
          <w:tcPr>
            <w:tcW w:w="990" w:type="dxa"/>
            <w:tcBorders>
              <w:top w:val="nil"/>
              <w:left w:val="nil"/>
              <w:bottom w:val="nil"/>
              <w:right w:val="nil"/>
            </w:tcBorders>
            <w:shd w:val="clear" w:color="000000" w:fill="FFFFFF"/>
            <w:noWrap/>
            <w:vAlign w:val="bottom"/>
            <w:hideMark/>
          </w:tcPr>
          <w:p w14:paraId="38FFEBBC" w14:textId="28D12B4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56 000</w:t>
            </w:r>
          </w:p>
        </w:tc>
        <w:tc>
          <w:tcPr>
            <w:tcW w:w="990" w:type="dxa"/>
            <w:tcBorders>
              <w:top w:val="nil"/>
              <w:left w:val="nil"/>
              <w:bottom w:val="nil"/>
              <w:right w:val="nil"/>
            </w:tcBorders>
            <w:shd w:val="clear" w:color="000000" w:fill="FFFFFF"/>
            <w:noWrap/>
            <w:vAlign w:val="bottom"/>
            <w:hideMark/>
          </w:tcPr>
          <w:p w14:paraId="4D0362AA" w14:textId="51DAD7D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563 000</w:t>
            </w:r>
          </w:p>
        </w:tc>
        <w:tc>
          <w:tcPr>
            <w:tcW w:w="1170" w:type="dxa"/>
            <w:tcBorders>
              <w:top w:val="nil"/>
              <w:left w:val="nil"/>
              <w:bottom w:val="nil"/>
              <w:right w:val="nil"/>
            </w:tcBorders>
            <w:shd w:val="clear" w:color="000000" w:fill="FFFFFF"/>
            <w:noWrap/>
            <w:vAlign w:val="bottom"/>
            <w:hideMark/>
          </w:tcPr>
          <w:p w14:paraId="15ECE5A8" w14:textId="796D9BC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902 500</w:t>
            </w:r>
          </w:p>
        </w:tc>
        <w:tc>
          <w:tcPr>
            <w:tcW w:w="990" w:type="dxa"/>
            <w:tcBorders>
              <w:top w:val="nil"/>
              <w:left w:val="nil"/>
              <w:bottom w:val="nil"/>
              <w:right w:val="nil"/>
            </w:tcBorders>
            <w:shd w:val="clear" w:color="000000" w:fill="FFFFFF"/>
            <w:noWrap/>
            <w:vAlign w:val="bottom"/>
            <w:hideMark/>
          </w:tcPr>
          <w:p w14:paraId="3C3325F7" w14:textId="13D4A97F" w:rsidR="000958F5" w:rsidRPr="00F861D8" w:rsidRDefault="006D1ED0"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-800 000</w:t>
            </w:r>
          </w:p>
        </w:tc>
        <w:tc>
          <w:tcPr>
            <w:tcW w:w="1026" w:type="dxa"/>
            <w:tcBorders>
              <w:top w:val="nil"/>
              <w:left w:val="nil"/>
              <w:bottom w:val="nil"/>
              <w:right w:val="nil"/>
            </w:tcBorders>
            <w:shd w:val="clear" w:color="000000" w:fill="FFFFFF"/>
            <w:noWrap/>
            <w:vAlign w:val="bottom"/>
            <w:hideMark/>
          </w:tcPr>
          <w:p w14:paraId="11443698" w14:textId="53BB0943"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102 500</w:t>
            </w:r>
          </w:p>
        </w:tc>
      </w:tr>
      <w:tr w:rsidR="000958F5" w:rsidRPr="00F861D8" w14:paraId="23F07ED2" w14:textId="77777777" w:rsidTr="00F861D8">
        <w:trPr>
          <w:trHeight w:val="379"/>
        </w:trPr>
        <w:tc>
          <w:tcPr>
            <w:tcW w:w="4248" w:type="dxa"/>
            <w:tcBorders>
              <w:top w:val="nil"/>
              <w:left w:val="nil"/>
              <w:bottom w:val="single" w:sz="4" w:space="0" w:color="auto"/>
              <w:right w:val="nil"/>
            </w:tcBorders>
            <w:shd w:val="clear" w:color="auto" w:fill="auto"/>
            <w:vAlign w:val="center"/>
            <w:hideMark/>
          </w:tcPr>
          <w:p w14:paraId="7361AA7E" w14:textId="0F16E959"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b/>
                <w:bCs/>
                <w:sz w:val="18"/>
                <w:szCs w:val="18"/>
                <w:lang w:val="es-ES_tradnl"/>
              </w:rPr>
              <w:t>2.4 Objetivo 4:</w:t>
            </w:r>
            <w:r w:rsidRPr="00F861D8">
              <w:rPr>
                <w:rFonts w:ascii="Times New Roman" w:hAnsi="Times New Roman"/>
                <w:sz w:val="18"/>
                <w:szCs w:val="18"/>
                <w:lang w:val="es-ES_tradnl"/>
              </w:rPr>
              <w:t xml:space="preserve"> comunicar y evaluar las actividades, los productos previstos y los resultados de la Plataforma</w:t>
            </w:r>
          </w:p>
        </w:tc>
        <w:tc>
          <w:tcPr>
            <w:tcW w:w="1170" w:type="dxa"/>
            <w:tcBorders>
              <w:top w:val="nil"/>
              <w:left w:val="nil"/>
              <w:bottom w:val="single" w:sz="4" w:space="0" w:color="auto"/>
              <w:right w:val="nil"/>
            </w:tcBorders>
            <w:shd w:val="clear" w:color="auto" w:fill="auto"/>
            <w:noWrap/>
            <w:vAlign w:val="bottom"/>
            <w:hideMark/>
          </w:tcPr>
          <w:p w14:paraId="04D69392" w14:textId="6B15CB93"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275 000</w:t>
            </w:r>
          </w:p>
        </w:tc>
        <w:tc>
          <w:tcPr>
            <w:tcW w:w="990" w:type="dxa"/>
            <w:tcBorders>
              <w:top w:val="nil"/>
              <w:left w:val="nil"/>
              <w:bottom w:val="single" w:sz="4" w:space="0" w:color="auto"/>
              <w:right w:val="nil"/>
            </w:tcBorders>
            <w:shd w:val="clear" w:color="auto" w:fill="auto"/>
            <w:noWrap/>
            <w:vAlign w:val="bottom"/>
            <w:hideMark/>
          </w:tcPr>
          <w:p w14:paraId="36E8075B" w14:textId="49647FB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150 035</w:t>
            </w:r>
          </w:p>
        </w:tc>
        <w:tc>
          <w:tcPr>
            <w:tcW w:w="990" w:type="dxa"/>
            <w:tcBorders>
              <w:top w:val="nil"/>
              <w:left w:val="nil"/>
              <w:bottom w:val="single" w:sz="4" w:space="0" w:color="auto"/>
              <w:right w:val="nil"/>
            </w:tcBorders>
            <w:shd w:val="clear" w:color="000000" w:fill="FFFFFF"/>
            <w:noWrap/>
            <w:vAlign w:val="bottom"/>
            <w:hideMark/>
          </w:tcPr>
          <w:p w14:paraId="7E6EF430" w14:textId="332ED59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425 035</w:t>
            </w:r>
          </w:p>
        </w:tc>
        <w:tc>
          <w:tcPr>
            <w:tcW w:w="1170" w:type="dxa"/>
            <w:tcBorders>
              <w:top w:val="nil"/>
              <w:left w:val="nil"/>
              <w:bottom w:val="single" w:sz="4" w:space="0" w:color="auto"/>
              <w:right w:val="nil"/>
            </w:tcBorders>
            <w:shd w:val="clear" w:color="auto" w:fill="auto"/>
            <w:noWrap/>
            <w:vAlign w:val="bottom"/>
            <w:hideMark/>
          </w:tcPr>
          <w:p w14:paraId="019AD63E" w14:textId="72D7FDFC"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345 000</w:t>
            </w:r>
          </w:p>
        </w:tc>
        <w:tc>
          <w:tcPr>
            <w:tcW w:w="990" w:type="dxa"/>
            <w:tcBorders>
              <w:top w:val="nil"/>
              <w:left w:val="nil"/>
              <w:bottom w:val="single" w:sz="4" w:space="0" w:color="auto"/>
              <w:right w:val="nil"/>
            </w:tcBorders>
            <w:shd w:val="clear" w:color="auto" w:fill="auto"/>
            <w:noWrap/>
            <w:vAlign w:val="bottom"/>
            <w:hideMark/>
          </w:tcPr>
          <w:p w14:paraId="2C19C54B" w14:textId="670854A8"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100 035</w:t>
            </w:r>
          </w:p>
        </w:tc>
        <w:tc>
          <w:tcPr>
            <w:tcW w:w="1026" w:type="dxa"/>
            <w:tcBorders>
              <w:top w:val="nil"/>
              <w:left w:val="nil"/>
              <w:bottom w:val="single" w:sz="4" w:space="0" w:color="auto"/>
              <w:right w:val="nil"/>
            </w:tcBorders>
            <w:shd w:val="clear" w:color="000000" w:fill="FFFFFF"/>
            <w:noWrap/>
            <w:vAlign w:val="bottom"/>
            <w:hideMark/>
          </w:tcPr>
          <w:p w14:paraId="73B28DA2" w14:textId="57DD173D"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445 035</w:t>
            </w:r>
          </w:p>
        </w:tc>
      </w:tr>
      <w:tr w:rsidR="000958F5" w:rsidRPr="00F861D8" w14:paraId="38163AD7"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5C3DFD01" w14:textId="3E4FF7D6"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2 Ejecución del programa de trabajo</w:t>
            </w:r>
          </w:p>
        </w:tc>
        <w:tc>
          <w:tcPr>
            <w:tcW w:w="1170" w:type="dxa"/>
            <w:tcBorders>
              <w:top w:val="single" w:sz="4" w:space="0" w:color="auto"/>
              <w:left w:val="nil"/>
              <w:bottom w:val="single" w:sz="4" w:space="0" w:color="auto"/>
              <w:right w:val="nil"/>
            </w:tcBorders>
            <w:shd w:val="clear" w:color="auto" w:fill="auto"/>
            <w:noWrap/>
            <w:vAlign w:val="bottom"/>
            <w:hideMark/>
          </w:tcPr>
          <w:p w14:paraId="511FEA7A" w14:textId="0E1FA488"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4 263 750</w:t>
            </w:r>
          </w:p>
        </w:tc>
        <w:tc>
          <w:tcPr>
            <w:tcW w:w="990" w:type="dxa"/>
            <w:tcBorders>
              <w:top w:val="single" w:sz="4" w:space="0" w:color="auto"/>
              <w:left w:val="nil"/>
              <w:bottom w:val="single" w:sz="4" w:space="0" w:color="auto"/>
              <w:right w:val="nil"/>
            </w:tcBorders>
            <w:shd w:val="clear" w:color="auto" w:fill="auto"/>
            <w:noWrap/>
            <w:vAlign w:val="bottom"/>
            <w:hideMark/>
          </w:tcPr>
          <w:p w14:paraId="50731F5D" w14:textId="30473E8E"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518 035</w:t>
            </w:r>
          </w:p>
        </w:tc>
        <w:tc>
          <w:tcPr>
            <w:tcW w:w="990" w:type="dxa"/>
            <w:tcBorders>
              <w:top w:val="single" w:sz="4" w:space="0" w:color="auto"/>
              <w:left w:val="nil"/>
              <w:bottom w:val="single" w:sz="4" w:space="0" w:color="auto"/>
              <w:right w:val="nil"/>
            </w:tcBorders>
            <w:shd w:val="clear" w:color="auto" w:fill="auto"/>
            <w:noWrap/>
            <w:vAlign w:val="bottom"/>
            <w:hideMark/>
          </w:tcPr>
          <w:p w14:paraId="6B8712D7" w14:textId="4D768D30"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4 781 785</w:t>
            </w:r>
          </w:p>
        </w:tc>
        <w:tc>
          <w:tcPr>
            <w:tcW w:w="1170" w:type="dxa"/>
            <w:tcBorders>
              <w:top w:val="single" w:sz="4" w:space="0" w:color="auto"/>
              <w:left w:val="nil"/>
              <w:bottom w:val="single" w:sz="4" w:space="0" w:color="auto"/>
              <w:right w:val="nil"/>
            </w:tcBorders>
            <w:shd w:val="clear" w:color="auto" w:fill="auto"/>
            <w:noWrap/>
            <w:vAlign w:val="bottom"/>
            <w:hideMark/>
          </w:tcPr>
          <w:p w14:paraId="37EABD10" w14:textId="420468BB"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3 662 500</w:t>
            </w:r>
          </w:p>
        </w:tc>
        <w:tc>
          <w:tcPr>
            <w:tcW w:w="990" w:type="dxa"/>
            <w:tcBorders>
              <w:top w:val="single" w:sz="4" w:space="0" w:color="auto"/>
              <w:left w:val="nil"/>
              <w:bottom w:val="single" w:sz="4" w:space="0" w:color="auto"/>
              <w:right w:val="nil"/>
            </w:tcBorders>
            <w:shd w:val="clear" w:color="auto" w:fill="auto"/>
            <w:noWrap/>
            <w:vAlign w:val="bottom"/>
            <w:hideMark/>
          </w:tcPr>
          <w:p w14:paraId="4363EB80" w14:textId="384CC940" w:rsidR="000958F5" w:rsidRPr="00F861D8" w:rsidRDefault="006D1ED0"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-481 215</w:t>
            </w:r>
          </w:p>
        </w:tc>
        <w:tc>
          <w:tcPr>
            <w:tcW w:w="1026" w:type="dxa"/>
            <w:tcBorders>
              <w:top w:val="single" w:sz="4" w:space="0" w:color="auto"/>
              <w:left w:val="nil"/>
              <w:bottom w:val="single" w:sz="4" w:space="0" w:color="auto"/>
              <w:right w:val="nil"/>
            </w:tcBorders>
            <w:shd w:val="clear" w:color="auto" w:fill="auto"/>
            <w:noWrap/>
            <w:vAlign w:val="bottom"/>
            <w:hideMark/>
          </w:tcPr>
          <w:p w14:paraId="6B4E5B6C" w14:textId="0A0E40A7"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3 181 285</w:t>
            </w:r>
          </w:p>
        </w:tc>
      </w:tr>
      <w:tr w:rsidR="000958F5" w:rsidRPr="00F861D8" w14:paraId="7750DF3A"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47DC26A4" w14:textId="3ADBFA3C" w:rsidR="000958F5" w:rsidRPr="00F861D8" w:rsidRDefault="000958F5" w:rsidP="00536253">
            <w:pPr>
              <w:keepNext/>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w:t>
            </w:r>
            <w:r w:rsidRPr="00F861D8">
              <w:rPr>
                <w:rFonts w:ascii="Times New Roman" w:hAnsi="Times New Roman"/>
                <w:sz w:val="18"/>
                <w:szCs w:val="18"/>
                <w:lang w:val="es-ES_tradnl"/>
              </w:rPr>
              <w:t xml:space="preserve"> </w:t>
            </w:r>
            <w:r w:rsidRPr="00F861D8">
              <w:rPr>
                <w:rFonts w:ascii="Times New Roman" w:hAnsi="Times New Roman"/>
                <w:b/>
                <w:bCs/>
                <w:sz w:val="18"/>
                <w:szCs w:val="18"/>
                <w:lang w:val="es-ES_tradnl"/>
              </w:rPr>
              <w:t>Secretaría</w:t>
            </w:r>
          </w:p>
        </w:tc>
        <w:tc>
          <w:tcPr>
            <w:tcW w:w="1170" w:type="dxa"/>
            <w:vMerge w:val="restart"/>
            <w:tcBorders>
              <w:top w:val="single" w:sz="4" w:space="0" w:color="auto"/>
              <w:left w:val="nil"/>
              <w:bottom w:val="nil"/>
              <w:right w:val="nil"/>
            </w:tcBorders>
            <w:shd w:val="clear" w:color="auto" w:fill="auto"/>
            <w:vAlign w:val="bottom"/>
            <w:hideMark/>
          </w:tcPr>
          <w:p w14:paraId="63C347EE" w14:textId="77777777" w:rsidR="000958F5" w:rsidRPr="00F861D8" w:rsidRDefault="000958F5" w:rsidP="00536253">
            <w:pPr>
              <w:keepNext/>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55AB53F2" w14:textId="77777777" w:rsidR="000958F5" w:rsidRPr="00F861D8" w:rsidRDefault="000958F5" w:rsidP="00536253">
            <w:pPr>
              <w:keepNext/>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28C046A1" w14:textId="77777777" w:rsidR="000958F5" w:rsidRPr="00F861D8" w:rsidRDefault="000958F5" w:rsidP="00536253">
            <w:pPr>
              <w:keepNext/>
              <w:spacing w:before="40" w:after="40" w:line="240" w:lineRule="auto"/>
              <w:jc w:val="right"/>
              <w:rPr>
                <w:rFonts w:ascii="Times New Roman" w:hAnsi="Times New Roman"/>
                <w:sz w:val="18"/>
                <w:szCs w:val="18"/>
                <w:lang w:val="es-ES_tradnl"/>
              </w:rPr>
            </w:pPr>
          </w:p>
        </w:tc>
        <w:tc>
          <w:tcPr>
            <w:tcW w:w="1170" w:type="dxa"/>
            <w:vMerge w:val="restart"/>
            <w:tcBorders>
              <w:top w:val="single" w:sz="4" w:space="0" w:color="auto"/>
              <w:left w:val="nil"/>
              <w:bottom w:val="nil"/>
              <w:right w:val="nil"/>
            </w:tcBorders>
            <w:shd w:val="clear" w:color="auto" w:fill="auto"/>
            <w:vAlign w:val="bottom"/>
            <w:hideMark/>
          </w:tcPr>
          <w:p w14:paraId="73624E8D" w14:textId="77777777" w:rsidR="000958F5" w:rsidRPr="00F861D8" w:rsidRDefault="000958F5" w:rsidP="00536253">
            <w:pPr>
              <w:keepNext/>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vAlign w:val="bottom"/>
            <w:hideMark/>
          </w:tcPr>
          <w:p w14:paraId="1D6C5CAE" w14:textId="77777777" w:rsidR="000958F5" w:rsidRPr="00F861D8" w:rsidRDefault="000958F5" w:rsidP="00536253">
            <w:pPr>
              <w:keepNext/>
              <w:spacing w:before="40" w:after="40" w:line="240" w:lineRule="auto"/>
              <w:jc w:val="right"/>
              <w:rPr>
                <w:rFonts w:ascii="Times New Roman" w:hAnsi="Times New Roman"/>
                <w:color w:val="000000"/>
                <w:sz w:val="18"/>
                <w:szCs w:val="18"/>
                <w:lang w:val="es-ES_tradnl"/>
              </w:rPr>
            </w:pPr>
          </w:p>
        </w:tc>
        <w:tc>
          <w:tcPr>
            <w:tcW w:w="1026" w:type="dxa"/>
            <w:vMerge w:val="restart"/>
            <w:tcBorders>
              <w:top w:val="single" w:sz="4" w:space="0" w:color="auto"/>
              <w:left w:val="nil"/>
              <w:bottom w:val="nil"/>
              <w:right w:val="nil"/>
            </w:tcBorders>
            <w:shd w:val="clear" w:color="auto" w:fill="auto"/>
            <w:vAlign w:val="bottom"/>
            <w:hideMark/>
          </w:tcPr>
          <w:p w14:paraId="612C3096" w14:textId="77777777" w:rsidR="000958F5" w:rsidRPr="00F861D8" w:rsidRDefault="000958F5" w:rsidP="00536253">
            <w:pPr>
              <w:keepNext/>
              <w:spacing w:before="40" w:after="40" w:line="240" w:lineRule="auto"/>
              <w:jc w:val="right"/>
              <w:rPr>
                <w:rFonts w:ascii="Times New Roman" w:hAnsi="Times New Roman"/>
                <w:color w:val="000000"/>
                <w:sz w:val="18"/>
                <w:szCs w:val="18"/>
                <w:lang w:val="es-ES_tradnl"/>
              </w:rPr>
            </w:pPr>
          </w:p>
        </w:tc>
      </w:tr>
      <w:tr w:rsidR="000958F5" w:rsidRPr="00F861D8" w14:paraId="1E6D11BC" w14:textId="77777777" w:rsidTr="00F861D8">
        <w:trPr>
          <w:trHeight w:val="273"/>
        </w:trPr>
        <w:tc>
          <w:tcPr>
            <w:tcW w:w="4248" w:type="dxa"/>
            <w:tcBorders>
              <w:top w:val="nil"/>
              <w:left w:val="nil"/>
              <w:bottom w:val="nil"/>
              <w:right w:val="nil"/>
            </w:tcBorders>
            <w:shd w:val="clear" w:color="auto" w:fill="auto"/>
            <w:noWrap/>
            <w:vAlign w:val="center"/>
            <w:hideMark/>
          </w:tcPr>
          <w:p w14:paraId="7490B41F" w14:textId="559514E2"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3.1 Personal</w:t>
            </w:r>
          </w:p>
        </w:tc>
        <w:tc>
          <w:tcPr>
            <w:tcW w:w="1170" w:type="dxa"/>
            <w:vMerge/>
            <w:tcBorders>
              <w:top w:val="nil"/>
              <w:left w:val="nil"/>
              <w:bottom w:val="nil"/>
              <w:right w:val="nil"/>
            </w:tcBorders>
            <w:vAlign w:val="bottom"/>
            <w:hideMark/>
          </w:tcPr>
          <w:p w14:paraId="6E5AF36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3239D20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6F3A1A6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vMerge/>
            <w:tcBorders>
              <w:top w:val="nil"/>
              <w:left w:val="nil"/>
              <w:bottom w:val="nil"/>
              <w:right w:val="nil"/>
            </w:tcBorders>
            <w:vAlign w:val="bottom"/>
            <w:hideMark/>
          </w:tcPr>
          <w:p w14:paraId="2313911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vAlign w:val="bottom"/>
            <w:hideMark/>
          </w:tcPr>
          <w:p w14:paraId="40B14D7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vMerge/>
            <w:tcBorders>
              <w:top w:val="nil"/>
              <w:left w:val="nil"/>
              <w:bottom w:val="nil"/>
              <w:right w:val="nil"/>
            </w:tcBorders>
            <w:vAlign w:val="bottom"/>
            <w:hideMark/>
          </w:tcPr>
          <w:p w14:paraId="6CF56D4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r>
      <w:tr w:rsidR="000958F5" w:rsidRPr="000930FA" w14:paraId="4A7A2B15" w14:textId="77777777" w:rsidTr="00F861D8">
        <w:trPr>
          <w:trHeight w:val="273"/>
        </w:trPr>
        <w:tc>
          <w:tcPr>
            <w:tcW w:w="4248" w:type="dxa"/>
            <w:tcBorders>
              <w:top w:val="nil"/>
              <w:left w:val="nil"/>
              <w:bottom w:val="nil"/>
              <w:right w:val="nil"/>
            </w:tcBorders>
            <w:shd w:val="clear" w:color="auto" w:fill="auto"/>
            <w:noWrap/>
            <w:vAlign w:val="center"/>
            <w:hideMark/>
          </w:tcPr>
          <w:p w14:paraId="594E18E9" w14:textId="4B32986A"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3.1.1 Cuadro Orgánico y categorías superiores</w:t>
            </w:r>
          </w:p>
        </w:tc>
        <w:tc>
          <w:tcPr>
            <w:tcW w:w="1170" w:type="dxa"/>
            <w:tcBorders>
              <w:top w:val="nil"/>
              <w:left w:val="nil"/>
              <w:bottom w:val="nil"/>
              <w:right w:val="nil"/>
            </w:tcBorders>
            <w:shd w:val="clear" w:color="auto" w:fill="auto"/>
            <w:noWrap/>
            <w:vAlign w:val="bottom"/>
            <w:hideMark/>
          </w:tcPr>
          <w:p w14:paraId="241E84A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41D3C49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nil"/>
              <w:left w:val="nil"/>
              <w:bottom w:val="nil"/>
              <w:right w:val="nil"/>
            </w:tcBorders>
            <w:shd w:val="clear" w:color="auto" w:fill="auto"/>
            <w:noWrap/>
            <w:vAlign w:val="bottom"/>
            <w:hideMark/>
          </w:tcPr>
          <w:p w14:paraId="742AEC5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nil"/>
              <w:left w:val="nil"/>
              <w:bottom w:val="nil"/>
              <w:right w:val="nil"/>
            </w:tcBorders>
            <w:shd w:val="clear" w:color="auto" w:fill="auto"/>
            <w:noWrap/>
            <w:vAlign w:val="bottom"/>
            <w:hideMark/>
          </w:tcPr>
          <w:p w14:paraId="2DB8B02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nil"/>
              <w:left w:val="nil"/>
              <w:bottom w:val="nil"/>
              <w:right w:val="nil"/>
            </w:tcBorders>
            <w:shd w:val="clear" w:color="auto" w:fill="auto"/>
            <w:noWrap/>
            <w:vAlign w:val="bottom"/>
            <w:hideMark/>
          </w:tcPr>
          <w:p w14:paraId="2149873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nil"/>
              <w:left w:val="nil"/>
              <w:bottom w:val="nil"/>
              <w:right w:val="nil"/>
            </w:tcBorders>
            <w:shd w:val="clear" w:color="auto" w:fill="auto"/>
            <w:noWrap/>
            <w:vAlign w:val="bottom"/>
            <w:hideMark/>
          </w:tcPr>
          <w:p w14:paraId="1CD5A07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143D7E7B" w14:textId="77777777" w:rsidTr="00F861D8">
        <w:trPr>
          <w:trHeight w:val="273"/>
        </w:trPr>
        <w:tc>
          <w:tcPr>
            <w:tcW w:w="4248" w:type="dxa"/>
            <w:tcBorders>
              <w:top w:val="nil"/>
              <w:left w:val="nil"/>
              <w:bottom w:val="nil"/>
              <w:right w:val="nil"/>
            </w:tcBorders>
            <w:shd w:val="clear" w:color="auto" w:fill="auto"/>
            <w:noWrap/>
            <w:vAlign w:val="center"/>
            <w:hideMark/>
          </w:tcPr>
          <w:p w14:paraId="4BD39866" w14:textId="3839298A"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Jefe de la Secretaría (D</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1)</w:t>
            </w:r>
          </w:p>
        </w:tc>
        <w:tc>
          <w:tcPr>
            <w:tcW w:w="1170" w:type="dxa"/>
            <w:tcBorders>
              <w:top w:val="nil"/>
              <w:left w:val="nil"/>
              <w:bottom w:val="nil"/>
              <w:right w:val="nil"/>
            </w:tcBorders>
            <w:shd w:val="clear" w:color="auto" w:fill="auto"/>
            <w:noWrap/>
            <w:vAlign w:val="bottom"/>
            <w:hideMark/>
          </w:tcPr>
          <w:p w14:paraId="0F8A5DBF" w14:textId="1D7F15DC"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298 000</w:t>
            </w:r>
          </w:p>
        </w:tc>
        <w:tc>
          <w:tcPr>
            <w:tcW w:w="990" w:type="dxa"/>
            <w:tcBorders>
              <w:top w:val="nil"/>
              <w:left w:val="nil"/>
              <w:bottom w:val="nil"/>
              <w:right w:val="nil"/>
            </w:tcBorders>
            <w:shd w:val="clear" w:color="auto" w:fill="auto"/>
            <w:noWrap/>
            <w:vAlign w:val="bottom"/>
            <w:hideMark/>
          </w:tcPr>
          <w:p w14:paraId="4A3B0FF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56DFB385" w14:textId="6B93D1BD"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298 000</w:t>
            </w:r>
          </w:p>
        </w:tc>
        <w:tc>
          <w:tcPr>
            <w:tcW w:w="1170" w:type="dxa"/>
            <w:tcBorders>
              <w:top w:val="nil"/>
              <w:left w:val="nil"/>
              <w:bottom w:val="nil"/>
              <w:right w:val="nil"/>
            </w:tcBorders>
            <w:shd w:val="clear" w:color="auto" w:fill="auto"/>
            <w:noWrap/>
            <w:vAlign w:val="bottom"/>
            <w:hideMark/>
          </w:tcPr>
          <w:p w14:paraId="5EF6D1C7" w14:textId="1E8003A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305 400</w:t>
            </w:r>
          </w:p>
        </w:tc>
        <w:tc>
          <w:tcPr>
            <w:tcW w:w="990" w:type="dxa"/>
            <w:tcBorders>
              <w:top w:val="nil"/>
              <w:left w:val="nil"/>
              <w:bottom w:val="nil"/>
              <w:right w:val="nil"/>
            </w:tcBorders>
            <w:shd w:val="clear" w:color="auto" w:fill="auto"/>
            <w:noWrap/>
            <w:vAlign w:val="bottom"/>
            <w:hideMark/>
          </w:tcPr>
          <w:p w14:paraId="3DDA9EA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07063575" w14:textId="51D4C09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305 400</w:t>
            </w:r>
          </w:p>
        </w:tc>
      </w:tr>
      <w:tr w:rsidR="000958F5" w:rsidRPr="00F861D8" w14:paraId="49AF1A3C" w14:textId="77777777" w:rsidTr="00F861D8">
        <w:trPr>
          <w:trHeight w:val="273"/>
        </w:trPr>
        <w:tc>
          <w:tcPr>
            <w:tcW w:w="4248" w:type="dxa"/>
            <w:tcBorders>
              <w:top w:val="nil"/>
              <w:left w:val="nil"/>
              <w:bottom w:val="nil"/>
              <w:right w:val="nil"/>
            </w:tcBorders>
            <w:shd w:val="clear" w:color="auto" w:fill="auto"/>
            <w:noWrap/>
            <w:vAlign w:val="center"/>
            <w:hideMark/>
          </w:tcPr>
          <w:p w14:paraId="1629F846" w14:textId="5EEF655F" w:rsidR="000958F5" w:rsidRPr="00F861D8" w:rsidRDefault="003B4951"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de Programas (P</w:t>
            </w:r>
            <w:r w:rsidR="00356A65" w:rsidRPr="00F861D8">
              <w:rPr>
                <w:rFonts w:ascii="Times New Roman" w:hAnsi="Times New Roman"/>
                <w:sz w:val="18"/>
                <w:szCs w:val="18"/>
                <w:lang w:val="es-ES_tradnl"/>
              </w:rPr>
              <w:noBreakHyphen/>
            </w:r>
            <w:r w:rsidR="000958F5" w:rsidRPr="00F861D8">
              <w:rPr>
                <w:rFonts w:ascii="Times New Roman" w:hAnsi="Times New Roman"/>
                <w:sz w:val="18"/>
                <w:szCs w:val="18"/>
                <w:lang w:val="es-ES_tradnl"/>
              </w:rPr>
              <w:t xml:space="preserve">4) </w:t>
            </w:r>
          </w:p>
        </w:tc>
        <w:tc>
          <w:tcPr>
            <w:tcW w:w="1170" w:type="dxa"/>
            <w:tcBorders>
              <w:top w:val="nil"/>
              <w:left w:val="nil"/>
              <w:bottom w:val="nil"/>
              <w:right w:val="nil"/>
            </w:tcBorders>
            <w:shd w:val="clear" w:color="auto" w:fill="auto"/>
            <w:noWrap/>
            <w:vAlign w:val="bottom"/>
            <w:hideMark/>
          </w:tcPr>
          <w:p w14:paraId="632642C2" w14:textId="74BC220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234 400</w:t>
            </w:r>
          </w:p>
        </w:tc>
        <w:tc>
          <w:tcPr>
            <w:tcW w:w="990" w:type="dxa"/>
            <w:tcBorders>
              <w:top w:val="nil"/>
              <w:left w:val="nil"/>
              <w:bottom w:val="nil"/>
              <w:right w:val="nil"/>
            </w:tcBorders>
            <w:shd w:val="clear" w:color="auto" w:fill="auto"/>
            <w:noWrap/>
            <w:vAlign w:val="bottom"/>
            <w:hideMark/>
          </w:tcPr>
          <w:p w14:paraId="4DDC088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0D412800" w14:textId="79F78ABD"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234 400</w:t>
            </w:r>
          </w:p>
        </w:tc>
        <w:tc>
          <w:tcPr>
            <w:tcW w:w="1170" w:type="dxa"/>
            <w:tcBorders>
              <w:top w:val="nil"/>
              <w:left w:val="nil"/>
              <w:bottom w:val="nil"/>
              <w:right w:val="nil"/>
            </w:tcBorders>
            <w:shd w:val="clear" w:color="auto" w:fill="auto"/>
            <w:noWrap/>
            <w:vAlign w:val="bottom"/>
            <w:hideMark/>
          </w:tcPr>
          <w:p w14:paraId="17A83782" w14:textId="12AEB5A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240 300</w:t>
            </w:r>
          </w:p>
        </w:tc>
        <w:tc>
          <w:tcPr>
            <w:tcW w:w="990" w:type="dxa"/>
            <w:tcBorders>
              <w:top w:val="nil"/>
              <w:left w:val="nil"/>
              <w:bottom w:val="nil"/>
              <w:right w:val="nil"/>
            </w:tcBorders>
            <w:shd w:val="clear" w:color="auto" w:fill="auto"/>
            <w:noWrap/>
            <w:vAlign w:val="bottom"/>
            <w:hideMark/>
          </w:tcPr>
          <w:p w14:paraId="2B662FD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0A466576" w14:textId="4F422116"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240 300</w:t>
            </w:r>
          </w:p>
        </w:tc>
      </w:tr>
      <w:tr w:rsidR="000958F5" w:rsidRPr="00F861D8" w14:paraId="7CFF97F2" w14:textId="77777777" w:rsidTr="00F861D8">
        <w:trPr>
          <w:trHeight w:val="273"/>
        </w:trPr>
        <w:tc>
          <w:tcPr>
            <w:tcW w:w="4248" w:type="dxa"/>
            <w:tcBorders>
              <w:top w:val="nil"/>
              <w:left w:val="nil"/>
              <w:bottom w:val="nil"/>
              <w:right w:val="nil"/>
            </w:tcBorders>
            <w:shd w:val="clear" w:color="auto" w:fill="auto"/>
            <w:noWrap/>
            <w:vAlign w:val="center"/>
            <w:hideMark/>
          </w:tcPr>
          <w:p w14:paraId="5D8E5CBE" w14:textId="1BC2591C"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4)</w:t>
            </w:r>
            <w:r w:rsidRPr="00F861D8">
              <w:rPr>
                <w:rFonts w:ascii="Times New Roman" w:hAnsi="Times New Roman"/>
                <w:sz w:val="18"/>
                <w:szCs w:val="18"/>
                <w:vertAlign w:val="superscript"/>
                <w:lang w:val="es-ES_tradnl"/>
              </w:rPr>
              <w:t>a</w:t>
            </w:r>
          </w:p>
        </w:tc>
        <w:tc>
          <w:tcPr>
            <w:tcW w:w="1170" w:type="dxa"/>
            <w:tcBorders>
              <w:top w:val="nil"/>
              <w:left w:val="nil"/>
              <w:bottom w:val="nil"/>
              <w:right w:val="nil"/>
            </w:tcBorders>
            <w:shd w:val="clear" w:color="auto" w:fill="auto"/>
            <w:noWrap/>
            <w:vAlign w:val="bottom"/>
            <w:hideMark/>
          </w:tcPr>
          <w:p w14:paraId="3988C2E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4EAA2EF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nil"/>
              <w:left w:val="nil"/>
              <w:bottom w:val="nil"/>
              <w:right w:val="nil"/>
            </w:tcBorders>
            <w:shd w:val="clear" w:color="auto" w:fill="auto"/>
            <w:noWrap/>
            <w:vAlign w:val="bottom"/>
            <w:hideMark/>
          </w:tcPr>
          <w:p w14:paraId="71D8E77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nil"/>
              <w:left w:val="nil"/>
              <w:bottom w:val="nil"/>
              <w:right w:val="nil"/>
            </w:tcBorders>
            <w:shd w:val="clear" w:color="auto" w:fill="auto"/>
            <w:noWrap/>
            <w:vAlign w:val="bottom"/>
            <w:hideMark/>
          </w:tcPr>
          <w:p w14:paraId="293588DE" w14:textId="2539A010" w:rsidR="000958F5" w:rsidRPr="00F861D8" w:rsidRDefault="006D1ED0"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w:t>
            </w:r>
          </w:p>
        </w:tc>
        <w:tc>
          <w:tcPr>
            <w:tcW w:w="990" w:type="dxa"/>
            <w:tcBorders>
              <w:top w:val="nil"/>
              <w:left w:val="nil"/>
              <w:bottom w:val="nil"/>
              <w:right w:val="nil"/>
            </w:tcBorders>
            <w:shd w:val="clear" w:color="auto" w:fill="auto"/>
            <w:noWrap/>
            <w:vAlign w:val="bottom"/>
            <w:hideMark/>
          </w:tcPr>
          <w:p w14:paraId="05D07A3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29ECD04B" w14:textId="2872A203" w:rsidR="000958F5" w:rsidRPr="00F861D8" w:rsidRDefault="006D1ED0"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w:t>
            </w:r>
          </w:p>
        </w:tc>
      </w:tr>
      <w:tr w:rsidR="000958F5" w:rsidRPr="00F861D8" w14:paraId="0F8C5902" w14:textId="77777777" w:rsidTr="00F861D8">
        <w:trPr>
          <w:trHeight w:val="273"/>
        </w:trPr>
        <w:tc>
          <w:tcPr>
            <w:tcW w:w="4248" w:type="dxa"/>
            <w:tcBorders>
              <w:top w:val="nil"/>
              <w:left w:val="nil"/>
              <w:bottom w:val="nil"/>
              <w:right w:val="nil"/>
            </w:tcBorders>
            <w:shd w:val="clear" w:color="auto" w:fill="auto"/>
            <w:noWrap/>
            <w:vAlign w:val="center"/>
            <w:hideMark/>
          </w:tcPr>
          <w:p w14:paraId="747522C9" w14:textId="250610C4"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lastRenderedPageBreak/>
              <w:t>Oficial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3)</w:t>
            </w:r>
          </w:p>
        </w:tc>
        <w:tc>
          <w:tcPr>
            <w:tcW w:w="1170" w:type="dxa"/>
            <w:tcBorders>
              <w:top w:val="nil"/>
              <w:left w:val="nil"/>
              <w:bottom w:val="nil"/>
              <w:right w:val="nil"/>
            </w:tcBorders>
            <w:shd w:val="clear" w:color="auto" w:fill="auto"/>
            <w:noWrap/>
            <w:vAlign w:val="bottom"/>
            <w:hideMark/>
          </w:tcPr>
          <w:p w14:paraId="4CC46D3C" w14:textId="5C5C7E2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195 600</w:t>
            </w:r>
          </w:p>
        </w:tc>
        <w:tc>
          <w:tcPr>
            <w:tcW w:w="990" w:type="dxa"/>
            <w:tcBorders>
              <w:top w:val="nil"/>
              <w:left w:val="nil"/>
              <w:bottom w:val="nil"/>
              <w:right w:val="nil"/>
            </w:tcBorders>
            <w:shd w:val="clear" w:color="auto" w:fill="auto"/>
            <w:noWrap/>
            <w:vAlign w:val="bottom"/>
            <w:hideMark/>
          </w:tcPr>
          <w:p w14:paraId="269F662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4C1E80FE" w14:textId="6BF5ECC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195 600</w:t>
            </w:r>
          </w:p>
        </w:tc>
        <w:tc>
          <w:tcPr>
            <w:tcW w:w="1170" w:type="dxa"/>
            <w:tcBorders>
              <w:top w:val="nil"/>
              <w:left w:val="nil"/>
              <w:bottom w:val="nil"/>
              <w:right w:val="nil"/>
            </w:tcBorders>
            <w:shd w:val="clear" w:color="auto" w:fill="auto"/>
            <w:noWrap/>
            <w:vAlign w:val="bottom"/>
            <w:hideMark/>
          </w:tcPr>
          <w:p w14:paraId="49476B29" w14:textId="3B073D13"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200 500</w:t>
            </w:r>
          </w:p>
        </w:tc>
        <w:tc>
          <w:tcPr>
            <w:tcW w:w="990" w:type="dxa"/>
            <w:tcBorders>
              <w:top w:val="nil"/>
              <w:left w:val="nil"/>
              <w:bottom w:val="nil"/>
              <w:right w:val="nil"/>
            </w:tcBorders>
            <w:shd w:val="clear" w:color="auto" w:fill="auto"/>
            <w:noWrap/>
            <w:vAlign w:val="bottom"/>
            <w:hideMark/>
          </w:tcPr>
          <w:p w14:paraId="53E6EA6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5CBB111C" w14:textId="78BBB14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200 500</w:t>
            </w:r>
          </w:p>
        </w:tc>
      </w:tr>
      <w:tr w:rsidR="000958F5" w:rsidRPr="00F861D8" w14:paraId="57537E99" w14:textId="77777777" w:rsidTr="00F861D8">
        <w:trPr>
          <w:trHeight w:val="273"/>
        </w:trPr>
        <w:tc>
          <w:tcPr>
            <w:tcW w:w="4248" w:type="dxa"/>
            <w:tcBorders>
              <w:top w:val="nil"/>
              <w:left w:val="nil"/>
              <w:bottom w:val="nil"/>
              <w:right w:val="nil"/>
            </w:tcBorders>
            <w:shd w:val="clear" w:color="auto" w:fill="auto"/>
            <w:noWrap/>
            <w:vAlign w:val="center"/>
            <w:hideMark/>
          </w:tcPr>
          <w:p w14:paraId="163F628B" w14:textId="36432124"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3)</w:t>
            </w:r>
          </w:p>
        </w:tc>
        <w:tc>
          <w:tcPr>
            <w:tcW w:w="1170" w:type="dxa"/>
            <w:tcBorders>
              <w:top w:val="nil"/>
              <w:left w:val="nil"/>
              <w:bottom w:val="nil"/>
              <w:right w:val="nil"/>
            </w:tcBorders>
            <w:shd w:val="clear" w:color="auto" w:fill="auto"/>
            <w:noWrap/>
            <w:vAlign w:val="bottom"/>
            <w:hideMark/>
          </w:tcPr>
          <w:p w14:paraId="18B4268C" w14:textId="3662BDF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195 600</w:t>
            </w:r>
          </w:p>
        </w:tc>
        <w:tc>
          <w:tcPr>
            <w:tcW w:w="990" w:type="dxa"/>
            <w:tcBorders>
              <w:top w:val="nil"/>
              <w:left w:val="nil"/>
              <w:bottom w:val="nil"/>
              <w:right w:val="nil"/>
            </w:tcBorders>
            <w:shd w:val="clear" w:color="auto" w:fill="auto"/>
            <w:noWrap/>
            <w:vAlign w:val="bottom"/>
            <w:hideMark/>
          </w:tcPr>
          <w:p w14:paraId="5237773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34E649B6" w14:textId="29415B5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195 600</w:t>
            </w:r>
          </w:p>
        </w:tc>
        <w:tc>
          <w:tcPr>
            <w:tcW w:w="1170" w:type="dxa"/>
            <w:tcBorders>
              <w:top w:val="nil"/>
              <w:left w:val="nil"/>
              <w:bottom w:val="nil"/>
              <w:right w:val="nil"/>
            </w:tcBorders>
            <w:shd w:val="clear" w:color="auto" w:fill="auto"/>
            <w:noWrap/>
            <w:vAlign w:val="bottom"/>
            <w:hideMark/>
          </w:tcPr>
          <w:p w14:paraId="01A689D6" w14:textId="6501B56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200 500</w:t>
            </w:r>
          </w:p>
        </w:tc>
        <w:tc>
          <w:tcPr>
            <w:tcW w:w="990" w:type="dxa"/>
            <w:tcBorders>
              <w:top w:val="nil"/>
              <w:left w:val="nil"/>
              <w:bottom w:val="nil"/>
              <w:right w:val="nil"/>
            </w:tcBorders>
            <w:shd w:val="clear" w:color="auto" w:fill="auto"/>
            <w:noWrap/>
            <w:vAlign w:val="bottom"/>
            <w:hideMark/>
          </w:tcPr>
          <w:p w14:paraId="6D028B7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15AE35D2" w14:textId="71D89E0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200 500</w:t>
            </w:r>
          </w:p>
        </w:tc>
      </w:tr>
      <w:tr w:rsidR="000958F5" w:rsidRPr="00F861D8" w14:paraId="7F35A56C" w14:textId="77777777" w:rsidTr="00F861D8">
        <w:trPr>
          <w:trHeight w:val="273"/>
        </w:trPr>
        <w:tc>
          <w:tcPr>
            <w:tcW w:w="4248" w:type="dxa"/>
            <w:tcBorders>
              <w:top w:val="nil"/>
              <w:left w:val="nil"/>
              <w:bottom w:val="nil"/>
              <w:right w:val="nil"/>
            </w:tcBorders>
            <w:shd w:val="clear" w:color="auto" w:fill="auto"/>
            <w:noWrap/>
            <w:vAlign w:val="center"/>
            <w:hideMark/>
          </w:tcPr>
          <w:p w14:paraId="392C8E19" w14:textId="6AF4A7A2"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Adjunto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2)</w:t>
            </w:r>
          </w:p>
        </w:tc>
        <w:tc>
          <w:tcPr>
            <w:tcW w:w="1170" w:type="dxa"/>
            <w:tcBorders>
              <w:top w:val="nil"/>
              <w:left w:val="nil"/>
              <w:bottom w:val="nil"/>
              <w:right w:val="nil"/>
            </w:tcBorders>
            <w:shd w:val="clear" w:color="auto" w:fill="auto"/>
            <w:noWrap/>
            <w:vAlign w:val="bottom"/>
            <w:hideMark/>
          </w:tcPr>
          <w:p w14:paraId="7D5418BD" w14:textId="4C6CDB2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170 000</w:t>
            </w:r>
          </w:p>
        </w:tc>
        <w:tc>
          <w:tcPr>
            <w:tcW w:w="990" w:type="dxa"/>
            <w:tcBorders>
              <w:top w:val="nil"/>
              <w:left w:val="nil"/>
              <w:bottom w:val="nil"/>
              <w:right w:val="nil"/>
            </w:tcBorders>
            <w:shd w:val="clear" w:color="auto" w:fill="auto"/>
            <w:noWrap/>
            <w:vAlign w:val="bottom"/>
            <w:hideMark/>
          </w:tcPr>
          <w:p w14:paraId="1E460BB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003B30B0" w14:textId="297CC8C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170 000</w:t>
            </w:r>
          </w:p>
        </w:tc>
        <w:tc>
          <w:tcPr>
            <w:tcW w:w="1170" w:type="dxa"/>
            <w:tcBorders>
              <w:top w:val="nil"/>
              <w:left w:val="nil"/>
              <w:bottom w:val="nil"/>
              <w:right w:val="nil"/>
            </w:tcBorders>
            <w:shd w:val="clear" w:color="auto" w:fill="auto"/>
            <w:noWrap/>
            <w:vAlign w:val="bottom"/>
            <w:hideMark/>
          </w:tcPr>
          <w:p w14:paraId="79C789EE" w14:textId="3557809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174 300</w:t>
            </w:r>
          </w:p>
        </w:tc>
        <w:tc>
          <w:tcPr>
            <w:tcW w:w="990" w:type="dxa"/>
            <w:tcBorders>
              <w:top w:val="nil"/>
              <w:left w:val="nil"/>
              <w:bottom w:val="nil"/>
              <w:right w:val="nil"/>
            </w:tcBorders>
            <w:shd w:val="clear" w:color="auto" w:fill="auto"/>
            <w:noWrap/>
            <w:vAlign w:val="bottom"/>
            <w:hideMark/>
          </w:tcPr>
          <w:p w14:paraId="77035FE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5784080C" w14:textId="364BF0FC"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174 300</w:t>
            </w:r>
          </w:p>
        </w:tc>
      </w:tr>
      <w:tr w:rsidR="000958F5" w:rsidRPr="00F861D8" w14:paraId="3BED7FD3"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4818241C" w14:textId="2FC2B4A6"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Adjunto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2)</w:t>
            </w:r>
          </w:p>
        </w:tc>
        <w:tc>
          <w:tcPr>
            <w:tcW w:w="1170" w:type="dxa"/>
            <w:tcBorders>
              <w:top w:val="nil"/>
              <w:left w:val="nil"/>
              <w:bottom w:val="single" w:sz="4" w:space="0" w:color="auto"/>
              <w:right w:val="nil"/>
            </w:tcBorders>
            <w:shd w:val="clear" w:color="auto" w:fill="auto"/>
            <w:noWrap/>
            <w:vAlign w:val="bottom"/>
            <w:hideMark/>
          </w:tcPr>
          <w:p w14:paraId="612E1405" w14:textId="4FF71B0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170 000</w:t>
            </w:r>
          </w:p>
        </w:tc>
        <w:tc>
          <w:tcPr>
            <w:tcW w:w="990" w:type="dxa"/>
            <w:tcBorders>
              <w:top w:val="nil"/>
              <w:left w:val="nil"/>
              <w:bottom w:val="single" w:sz="4" w:space="0" w:color="auto"/>
              <w:right w:val="nil"/>
            </w:tcBorders>
            <w:shd w:val="clear" w:color="auto" w:fill="auto"/>
            <w:noWrap/>
            <w:vAlign w:val="bottom"/>
            <w:hideMark/>
          </w:tcPr>
          <w:p w14:paraId="3FC2F97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auto" w:fill="auto"/>
            <w:noWrap/>
            <w:vAlign w:val="bottom"/>
            <w:hideMark/>
          </w:tcPr>
          <w:p w14:paraId="35E8B7B9" w14:textId="70B1B6C5"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170 000</w:t>
            </w:r>
          </w:p>
        </w:tc>
        <w:tc>
          <w:tcPr>
            <w:tcW w:w="1170" w:type="dxa"/>
            <w:tcBorders>
              <w:top w:val="nil"/>
              <w:left w:val="nil"/>
              <w:bottom w:val="single" w:sz="4" w:space="0" w:color="auto"/>
              <w:right w:val="nil"/>
            </w:tcBorders>
            <w:shd w:val="clear" w:color="auto" w:fill="auto"/>
            <w:noWrap/>
            <w:vAlign w:val="bottom"/>
            <w:hideMark/>
          </w:tcPr>
          <w:p w14:paraId="3BDD1337" w14:textId="3EA5D7C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174 300</w:t>
            </w:r>
          </w:p>
        </w:tc>
        <w:tc>
          <w:tcPr>
            <w:tcW w:w="990" w:type="dxa"/>
            <w:tcBorders>
              <w:top w:val="nil"/>
              <w:left w:val="nil"/>
              <w:bottom w:val="single" w:sz="4" w:space="0" w:color="auto"/>
              <w:right w:val="nil"/>
            </w:tcBorders>
            <w:shd w:val="clear" w:color="auto" w:fill="auto"/>
            <w:noWrap/>
            <w:vAlign w:val="bottom"/>
            <w:hideMark/>
          </w:tcPr>
          <w:p w14:paraId="2B370B1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auto" w:fill="auto"/>
            <w:noWrap/>
            <w:vAlign w:val="bottom"/>
            <w:hideMark/>
          </w:tcPr>
          <w:p w14:paraId="79B1FAC0" w14:textId="3284A53B"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174 300</w:t>
            </w:r>
          </w:p>
        </w:tc>
      </w:tr>
      <w:tr w:rsidR="000958F5" w:rsidRPr="00F861D8" w14:paraId="1CB7D6FA"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214DA708" w14:textId="695A38CA"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3.1.1 Personal del Cuadro Orgánico y categorías superiores</w:t>
            </w:r>
          </w:p>
        </w:tc>
        <w:tc>
          <w:tcPr>
            <w:tcW w:w="1170" w:type="dxa"/>
            <w:tcBorders>
              <w:top w:val="single" w:sz="4" w:space="0" w:color="auto"/>
              <w:left w:val="nil"/>
              <w:bottom w:val="single" w:sz="4" w:space="0" w:color="auto"/>
              <w:right w:val="nil"/>
            </w:tcBorders>
            <w:shd w:val="clear" w:color="auto" w:fill="auto"/>
            <w:noWrap/>
            <w:vAlign w:val="bottom"/>
            <w:hideMark/>
          </w:tcPr>
          <w:p w14:paraId="3B0DAE88" w14:textId="096B037F"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1 263 600</w:t>
            </w:r>
          </w:p>
        </w:tc>
        <w:tc>
          <w:tcPr>
            <w:tcW w:w="990" w:type="dxa"/>
            <w:tcBorders>
              <w:top w:val="single" w:sz="4" w:space="0" w:color="auto"/>
              <w:left w:val="nil"/>
              <w:bottom w:val="single" w:sz="4" w:space="0" w:color="auto"/>
              <w:right w:val="nil"/>
            </w:tcBorders>
            <w:shd w:val="clear" w:color="auto" w:fill="auto"/>
            <w:noWrap/>
            <w:vAlign w:val="bottom"/>
            <w:hideMark/>
          </w:tcPr>
          <w:p w14:paraId="16ED5BF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990" w:type="dxa"/>
            <w:tcBorders>
              <w:top w:val="single" w:sz="4" w:space="0" w:color="auto"/>
              <w:left w:val="nil"/>
              <w:bottom w:val="single" w:sz="4" w:space="0" w:color="auto"/>
              <w:right w:val="nil"/>
            </w:tcBorders>
            <w:shd w:val="clear" w:color="auto" w:fill="auto"/>
            <w:noWrap/>
            <w:vAlign w:val="bottom"/>
            <w:hideMark/>
          </w:tcPr>
          <w:p w14:paraId="2AEDF44A" w14:textId="24FD168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1 263 600</w:t>
            </w:r>
          </w:p>
        </w:tc>
        <w:tc>
          <w:tcPr>
            <w:tcW w:w="1170" w:type="dxa"/>
            <w:tcBorders>
              <w:top w:val="single" w:sz="4" w:space="0" w:color="auto"/>
              <w:left w:val="nil"/>
              <w:bottom w:val="single" w:sz="4" w:space="0" w:color="auto"/>
              <w:right w:val="nil"/>
            </w:tcBorders>
            <w:shd w:val="clear" w:color="auto" w:fill="auto"/>
            <w:noWrap/>
            <w:vAlign w:val="bottom"/>
            <w:hideMark/>
          </w:tcPr>
          <w:p w14:paraId="05C18165" w14:textId="148B7E0F"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1 295 300</w:t>
            </w:r>
          </w:p>
        </w:tc>
        <w:tc>
          <w:tcPr>
            <w:tcW w:w="990" w:type="dxa"/>
            <w:tcBorders>
              <w:top w:val="single" w:sz="4" w:space="0" w:color="auto"/>
              <w:left w:val="nil"/>
              <w:bottom w:val="single" w:sz="4" w:space="0" w:color="auto"/>
              <w:right w:val="nil"/>
            </w:tcBorders>
            <w:shd w:val="clear" w:color="auto" w:fill="auto"/>
            <w:noWrap/>
            <w:vAlign w:val="bottom"/>
            <w:hideMark/>
          </w:tcPr>
          <w:p w14:paraId="6B8DB03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1026" w:type="dxa"/>
            <w:tcBorders>
              <w:top w:val="single" w:sz="4" w:space="0" w:color="auto"/>
              <w:left w:val="nil"/>
              <w:bottom w:val="single" w:sz="4" w:space="0" w:color="auto"/>
              <w:right w:val="nil"/>
            </w:tcBorders>
            <w:shd w:val="clear" w:color="auto" w:fill="auto"/>
            <w:noWrap/>
            <w:vAlign w:val="bottom"/>
            <w:hideMark/>
          </w:tcPr>
          <w:p w14:paraId="35AF2F56" w14:textId="19F5E173"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1 295 300</w:t>
            </w:r>
          </w:p>
        </w:tc>
      </w:tr>
      <w:tr w:rsidR="000958F5" w:rsidRPr="00F861D8" w14:paraId="1572C2D1"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53BEFB67" w14:textId="49098963"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3.1.2 Personal administrativo</w:t>
            </w:r>
          </w:p>
        </w:tc>
        <w:tc>
          <w:tcPr>
            <w:tcW w:w="1170" w:type="dxa"/>
            <w:tcBorders>
              <w:top w:val="single" w:sz="4" w:space="0" w:color="auto"/>
              <w:left w:val="nil"/>
              <w:bottom w:val="nil"/>
              <w:right w:val="nil"/>
            </w:tcBorders>
            <w:shd w:val="clear" w:color="auto" w:fill="auto"/>
            <w:noWrap/>
            <w:vAlign w:val="bottom"/>
            <w:hideMark/>
          </w:tcPr>
          <w:p w14:paraId="60BF7C4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2D1086A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6E0B08C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385D0FD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653578A8" w14:textId="77777777" w:rsidR="000958F5" w:rsidRPr="00F861D8" w:rsidRDefault="000958F5" w:rsidP="000D3AC4">
            <w:pPr>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4F629EC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45F9C5FE" w14:textId="77777777" w:rsidTr="00F861D8">
        <w:trPr>
          <w:trHeight w:val="273"/>
        </w:trPr>
        <w:tc>
          <w:tcPr>
            <w:tcW w:w="4248" w:type="dxa"/>
            <w:tcBorders>
              <w:top w:val="nil"/>
              <w:left w:val="nil"/>
              <w:right w:val="nil"/>
            </w:tcBorders>
            <w:shd w:val="clear" w:color="auto" w:fill="auto"/>
            <w:noWrap/>
            <w:vAlign w:val="center"/>
            <w:hideMark/>
          </w:tcPr>
          <w:p w14:paraId="6EA88312" w14:textId="19D33DE3"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6)</w:t>
            </w:r>
          </w:p>
        </w:tc>
        <w:tc>
          <w:tcPr>
            <w:tcW w:w="1170" w:type="dxa"/>
            <w:tcBorders>
              <w:top w:val="nil"/>
              <w:left w:val="nil"/>
              <w:right w:val="nil"/>
            </w:tcBorders>
            <w:shd w:val="clear" w:color="auto" w:fill="auto"/>
            <w:vAlign w:val="bottom"/>
            <w:hideMark/>
          </w:tcPr>
          <w:p w14:paraId="51B93DC1" w14:textId="03729F1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990" w:type="dxa"/>
            <w:tcBorders>
              <w:top w:val="nil"/>
              <w:left w:val="nil"/>
              <w:right w:val="nil"/>
            </w:tcBorders>
            <w:shd w:val="clear" w:color="auto" w:fill="auto"/>
            <w:vAlign w:val="bottom"/>
            <w:hideMark/>
          </w:tcPr>
          <w:p w14:paraId="4A82E47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right w:val="nil"/>
            </w:tcBorders>
            <w:shd w:val="clear" w:color="auto" w:fill="auto"/>
            <w:vAlign w:val="bottom"/>
            <w:hideMark/>
          </w:tcPr>
          <w:p w14:paraId="1A836A6C" w14:textId="2C0368F5"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1170" w:type="dxa"/>
            <w:tcBorders>
              <w:top w:val="nil"/>
              <w:left w:val="nil"/>
              <w:right w:val="nil"/>
            </w:tcBorders>
            <w:shd w:val="clear" w:color="auto" w:fill="auto"/>
            <w:vAlign w:val="bottom"/>
            <w:hideMark/>
          </w:tcPr>
          <w:p w14:paraId="3E9665C2" w14:textId="7FCA01BE"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c>
          <w:tcPr>
            <w:tcW w:w="990" w:type="dxa"/>
            <w:tcBorders>
              <w:top w:val="nil"/>
              <w:left w:val="nil"/>
              <w:right w:val="nil"/>
            </w:tcBorders>
            <w:shd w:val="clear" w:color="auto" w:fill="auto"/>
            <w:vAlign w:val="bottom"/>
            <w:hideMark/>
          </w:tcPr>
          <w:p w14:paraId="2ACAA9F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right w:val="nil"/>
            </w:tcBorders>
            <w:shd w:val="clear" w:color="auto" w:fill="auto"/>
            <w:vAlign w:val="bottom"/>
            <w:hideMark/>
          </w:tcPr>
          <w:p w14:paraId="3BE7C83E" w14:textId="59EFAFB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r>
      <w:tr w:rsidR="000958F5" w:rsidRPr="00F861D8" w14:paraId="6EC8B248" w14:textId="77777777" w:rsidTr="00F861D8">
        <w:trPr>
          <w:trHeight w:val="273"/>
        </w:trPr>
        <w:tc>
          <w:tcPr>
            <w:tcW w:w="4248" w:type="dxa"/>
            <w:tcBorders>
              <w:top w:val="nil"/>
              <w:left w:val="nil"/>
              <w:bottom w:val="nil"/>
              <w:right w:val="nil"/>
            </w:tcBorders>
            <w:shd w:val="clear" w:color="auto" w:fill="auto"/>
            <w:noWrap/>
            <w:vAlign w:val="center"/>
            <w:hideMark/>
          </w:tcPr>
          <w:p w14:paraId="1A2D8874" w14:textId="2981E05A"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6)</w:t>
            </w:r>
          </w:p>
        </w:tc>
        <w:tc>
          <w:tcPr>
            <w:tcW w:w="1170" w:type="dxa"/>
            <w:tcBorders>
              <w:top w:val="nil"/>
              <w:left w:val="nil"/>
              <w:bottom w:val="nil"/>
              <w:right w:val="nil"/>
            </w:tcBorders>
            <w:shd w:val="clear" w:color="auto" w:fill="auto"/>
            <w:vAlign w:val="bottom"/>
            <w:hideMark/>
          </w:tcPr>
          <w:p w14:paraId="5FD8822F" w14:textId="7FDE019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990" w:type="dxa"/>
            <w:tcBorders>
              <w:top w:val="nil"/>
              <w:left w:val="nil"/>
              <w:bottom w:val="nil"/>
              <w:right w:val="nil"/>
            </w:tcBorders>
            <w:shd w:val="clear" w:color="auto" w:fill="auto"/>
            <w:vAlign w:val="bottom"/>
            <w:hideMark/>
          </w:tcPr>
          <w:p w14:paraId="1007402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vAlign w:val="bottom"/>
            <w:hideMark/>
          </w:tcPr>
          <w:p w14:paraId="01360F43" w14:textId="55C585F6"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1170" w:type="dxa"/>
            <w:tcBorders>
              <w:top w:val="nil"/>
              <w:left w:val="nil"/>
              <w:bottom w:val="nil"/>
              <w:right w:val="nil"/>
            </w:tcBorders>
            <w:shd w:val="clear" w:color="auto" w:fill="auto"/>
            <w:vAlign w:val="bottom"/>
            <w:hideMark/>
          </w:tcPr>
          <w:p w14:paraId="11F43C0F" w14:textId="438C225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c>
          <w:tcPr>
            <w:tcW w:w="990" w:type="dxa"/>
            <w:tcBorders>
              <w:top w:val="nil"/>
              <w:left w:val="nil"/>
              <w:bottom w:val="nil"/>
              <w:right w:val="nil"/>
            </w:tcBorders>
            <w:shd w:val="clear" w:color="auto" w:fill="auto"/>
            <w:vAlign w:val="bottom"/>
            <w:hideMark/>
          </w:tcPr>
          <w:p w14:paraId="61B0C03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vAlign w:val="bottom"/>
            <w:hideMark/>
          </w:tcPr>
          <w:p w14:paraId="54CA4512" w14:textId="0546D87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r>
      <w:tr w:rsidR="000958F5" w:rsidRPr="00F861D8" w14:paraId="5D0BC82D" w14:textId="77777777" w:rsidTr="00F861D8">
        <w:trPr>
          <w:trHeight w:val="273"/>
        </w:trPr>
        <w:tc>
          <w:tcPr>
            <w:tcW w:w="4248" w:type="dxa"/>
            <w:tcBorders>
              <w:top w:val="nil"/>
              <w:left w:val="nil"/>
              <w:bottom w:val="nil"/>
              <w:right w:val="nil"/>
            </w:tcBorders>
            <w:shd w:val="clear" w:color="auto" w:fill="auto"/>
            <w:noWrap/>
            <w:vAlign w:val="center"/>
            <w:hideMark/>
          </w:tcPr>
          <w:p w14:paraId="246C5FD5" w14:textId="73B5EF9F"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6)</w:t>
            </w:r>
          </w:p>
        </w:tc>
        <w:tc>
          <w:tcPr>
            <w:tcW w:w="1170" w:type="dxa"/>
            <w:tcBorders>
              <w:top w:val="nil"/>
              <w:left w:val="nil"/>
              <w:bottom w:val="nil"/>
              <w:right w:val="nil"/>
            </w:tcBorders>
            <w:shd w:val="clear" w:color="auto" w:fill="auto"/>
            <w:vAlign w:val="bottom"/>
            <w:hideMark/>
          </w:tcPr>
          <w:p w14:paraId="6CA5229A" w14:textId="4AAF36D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990" w:type="dxa"/>
            <w:tcBorders>
              <w:top w:val="nil"/>
              <w:left w:val="nil"/>
              <w:bottom w:val="nil"/>
              <w:right w:val="nil"/>
            </w:tcBorders>
            <w:shd w:val="clear" w:color="auto" w:fill="auto"/>
            <w:vAlign w:val="bottom"/>
            <w:hideMark/>
          </w:tcPr>
          <w:p w14:paraId="162D5EF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vAlign w:val="bottom"/>
            <w:hideMark/>
          </w:tcPr>
          <w:p w14:paraId="659FF3BA" w14:textId="7D27F99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1170" w:type="dxa"/>
            <w:tcBorders>
              <w:top w:val="nil"/>
              <w:left w:val="nil"/>
              <w:bottom w:val="nil"/>
              <w:right w:val="nil"/>
            </w:tcBorders>
            <w:shd w:val="clear" w:color="auto" w:fill="auto"/>
            <w:vAlign w:val="bottom"/>
            <w:hideMark/>
          </w:tcPr>
          <w:p w14:paraId="44561EE8" w14:textId="7C13895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c>
          <w:tcPr>
            <w:tcW w:w="990" w:type="dxa"/>
            <w:tcBorders>
              <w:top w:val="nil"/>
              <w:left w:val="nil"/>
              <w:bottom w:val="nil"/>
              <w:right w:val="nil"/>
            </w:tcBorders>
            <w:shd w:val="clear" w:color="auto" w:fill="auto"/>
            <w:vAlign w:val="bottom"/>
            <w:hideMark/>
          </w:tcPr>
          <w:p w14:paraId="36EC792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vAlign w:val="bottom"/>
            <w:hideMark/>
          </w:tcPr>
          <w:p w14:paraId="28F1BDD1" w14:textId="0DBE4334"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r>
      <w:tr w:rsidR="000958F5" w:rsidRPr="00F861D8" w14:paraId="1F33574B" w14:textId="77777777" w:rsidTr="00F861D8">
        <w:trPr>
          <w:trHeight w:val="273"/>
        </w:trPr>
        <w:tc>
          <w:tcPr>
            <w:tcW w:w="4248" w:type="dxa"/>
            <w:tcBorders>
              <w:top w:val="nil"/>
              <w:left w:val="nil"/>
              <w:bottom w:val="nil"/>
              <w:right w:val="nil"/>
            </w:tcBorders>
            <w:shd w:val="clear" w:color="auto" w:fill="auto"/>
            <w:noWrap/>
            <w:vAlign w:val="center"/>
          </w:tcPr>
          <w:p w14:paraId="20DF4E2E" w14:textId="6BA31E4D"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6) a jornada parcial</w:t>
            </w:r>
          </w:p>
        </w:tc>
        <w:tc>
          <w:tcPr>
            <w:tcW w:w="1170" w:type="dxa"/>
            <w:tcBorders>
              <w:top w:val="nil"/>
              <w:left w:val="nil"/>
              <w:bottom w:val="nil"/>
              <w:right w:val="nil"/>
            </w:tcBorders>
            <w:shd w:val="clear" w:color="auto" w:fill="auto"/>
            <w:vAlign w:val="bottom"/>
          </w:tcPr>
          <w:p w14:paraId="31C6F42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vAlign w:val="bottom"/>
          </w:tcPr>
          <w:p w14:paraId="38926EC4" w14:textId="1C56248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59 400</w:t>
            </w:r>
          </w:p>
        </w:tc>
        <w:tc>
          <w:tcPr>
            <w:tcW w:w="990" w:type="dxa"/>
            <w:tcBorders>
              <w:top w:val="nil"/>
              <w:left w:val="nil"/>
              <w:bottom w:val="nil"/>
              <w:right w:val="nil"/>
            </w:tcBorders>
            <w:shd w:val="clear" w:color="auto" w:fill="auto"/>
            <w:vAlign w:val="bottom"/>
          </w:tcPr>
          <w:p w14:paraId="64B017D0" w14:textId="6F41F7D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59 400</w:t>
            </w:r>
          </w:p>
        </w:tc>
        <w:tc>
          <w:tcPr>
            <w:tcW w:w="1170" w:type="dxa"/>
            <w:tcBorders>
              <w:top w:val="nil"/>
              <w:left w:val="nil"/>
              <w:bottom w:val="nil"/>
              <w:right w:val="nil"/>
            </w:tcBorders>
            <w:shd w:val="clear" w:color="auto" w:fill="auto"/>
            <w:vAlign w:val="bottom"/>
          </w:tcPr>
          <w:p w14:paraId="528E72C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vAlign w:val="bottom"/>
          </w:tcPr>
          <w:p w14:paraId="3DD56168" w14:textId="5D3CBBB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59 400</w:t>
            </w:r>
          </w:p>
        </w:tc>
        <w:tc>
          <w:tcPr>
            <w:tcW w:w="1026" w:type="dxa"/>
            <w:tcBorders>
              <w:top w:val="nil"/>
              <w:left w:val="nil"/>
              <w:bottom w:val="nil"/>
              <w:right w:val="nil"/>
            </w:tcBorders>
            <w:shd w:val="clear" w:color="auto" w:fill="auto"/>
            <w:vAlign w:val="bottom"/>
          </w:tcPr>
          <w:p w14:paraId="3E069FF5" w14:textId="0289003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59 400</w:t>
            </w:r>
          </w:p>
        </w:tc>
      </w:tr>
      <w:tr w:rsidR="000958F5" w:rsidRPr="00F861D8" w14:paraId="0ADA09F9" w14:textId="77777777" w:rsidTr="00F861D8">
        <w:trPr>
          <w:trHeight w:val="273"/>
        </w:trPr>
        <w:tc>
          <w:tcPr>
            <w:tcW w:w="4248" w:type="dxa"/>
            <w:tcBorders>
              <w:top w:val="nil"/>
              <w:left w:val="nil"/>
              <w:bottom w:val="nil"/>
              <w:right w:val="nil"/>
            </w:tcBorders>
            <w:shd w:val="clear" w:color="auto" w:fill="auto"/>
            <w:noWrap/>
            <w:vAlign w:val="center"/>
            <w:hideMark/>
          </w:tcPr>
          <w:p w14:paraId="0FA89132" w14:textId="68F7686C"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5)</w:t>
            </w:r>
          </w:p>
        </w:tc>
        <w:tc>
          <w:tcPr>
            <w:tcW w:w="1170" w:type="dxa"/>
            <w:tcBorders>
              <w:top w:val="nil"/>
              <w:left w:val="nil"/>
              <w:bottom w:val="nil"/>
              <w:right w:val="nil"/>
            </w:tcBorders>
            <w:shd w:val="clear" w:color="auto" w:fill="auto"/>
            <w:vAlign w:val="bottom"/>
            <w:hideMark/>
          </w:tcPr>
          <w:p w14:paraId="50D6E070" w14:textId="117BF55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990" w:type="dxa"/>
            <w:tcBorders>
              <w:top w:val="nil"/>
              <w:left w:val="nil"/>
              <w:bottom w:val="nil"/>
              <w:right w:val="nil"/>
            </w:tcBorders>
            <w:shd w:val="clear" w:color="auto" w:fill="auto"/>
            <w:vAlign w:val="bottom"/>
            <w:hideMark/>
          </w:tcPr>
          <w:p w14:paraId="5E6D082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vAlign w:val="bottom"/>
            <w:hideMark/>
          </w:tcPr>
          <w:p w14:paraId="17DE5D05" w14:textId="5B08CEE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1170" w:type="dxa"/>
            <w:tcBorders>
              <w:top w:val="nil"/>
              <w:left w:val="nil"/>
              <w:bottom w:val="nil"/>
              <w:right w:val="nil"/>
            </w:tcBorders>
            <w:shd w:val="clear" w:color="auto" w:fill="auto"/>
            <w:vAlign w:val="bottom"/>
            <w:hideMark/>
          </w:tcPr>
          <w:p w14:paraId="48A339AB" w14:textId="42B0494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c>
          <w:tcPr>
            <w:tcW w:w="990" w:type="dxa"/>
            <w:tcBorders>
              <w:top w:val="nil"/>
              <w:left w:val="nil"/>
              <w:bottom w:val="nil"/>
              <w:right w:val="nil"/>
            </w:tcBorders>
            <w:shd w:val="clear" w:color="auto" w:fill="auto"/>
            <w:vAlign w:val="bottom"/>
            <w:hideMark/>
          </w:tcPr>
          <w:p w14:paraId="38E83F7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vAlign w:val="bottom"/>
            <w:hideMark/>
          </w:tcPr>
          <w:p w14:paraId="40D6C896" w14:textId="494CFA4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r>
      <w:tr w:rsidR="000958F5" w:rsidRPr="00F861D8" w14:paraId="04A28D17"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69BD4303" w14:textId="7392172B" w:rsidR="000958F5" w:rsidRPr="00F861D8" w:rsidRDefault="000958F5" w:rsidP="003B4951">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5)</w:t>
            </w:r>
          </w:p>
        </w:tc>
        <w:tc>
          <w:tcPr>
            <w:tcW w:w="1170" w:type="dxa"/>
            <w:tcBorders>
              <w:top w:val="nil"/>
              <w:left w:val="nil"/>
              <w:bottom w:val="single" w:sz="4" w:space="0" w:color="auto"/>
              <w:right w:val="nil"/>
            </w:tcBorders>
            <w:shd w:val="clear" w:color="auto" w:fill="auto"/>
            <w:vAlign w:val="bottom"/>
            <w:hideMark/>
          </w:tcPr>
          <w:p w14:paraId="1CC0B4B7" w14:textId="057733E4"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990" w:type="dxa"/>
            <w:tcBorders>
              <w:top w:val="nil"/>
              <w:left w:val="nil"/>
              <w:bottom w:val="single" w:sz="4" w:space="0" w:color="auto"/>
              <w:right w:val="nil"/>
            </w:tcBorders>
            <w:shd w:val="clear" w:color="auto" w:fill="auto"/>
            <w:vAlign w:val="bottom"/>
            <w:hideMark/>
          </w:tcPr>
          <w:p w14:paraId="27E1962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auto" w:fill="auto"/>
            <w:vAlign w:val="bottom"/>
            <w:hideMark/>
          </w:tcPr>
          <w:p w14:paraId="144AA041" w14:textId="4679C838"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118 800</w:t>
            </w:r>
          </w:p>
        </w:tc>
        <w:tc>
          <w:tcPr>
            <w:tcW w:w="1170" w:type="dxa"/>
            <w:tcBorders>
              <w:top w:val="nil"/>
              <w:left w:val="nil"/>
              <w:bottom w:val="single" w:sz="4" w:space="0" w:color="auto"/>
              <w:right w:val="nil"/>
            </w:tcBorders>
            <w:shd w:val="clear" w:color="auto" w:fill="auto"/>
            <w:vAlign w:val="bottom"/>
            <w:hideMark/>
          </w:tcPr>
          <w:p w14:paraId="0DF28CAC" w14:textId="0D00C4E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c>
          <w:tcPr>
            <w:tcW w:w="990" w:type="dxa"/>
            <w:tcBorders>
              <w:top w:val="nil"/>
              <w:left w:val="nil"/>
              <w:bottom w:val="single" w:sz="4" w:space="0" w:color="auto"/>
              <w:right w:val="nil"/>
            </w:tcBorders>
            <w:shd w:val="clear" w:color="auto" w:fill="auto"/>
            <w:vAlign w:val="bottom"/>
            <w:hideMark/>
          </w:tcPr>
          <w:p w14:paraId="2D0B58A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auto" w:fill="auto"/>
            <w:vAlign w:val="bottom"/>
            <w:hideMark/>
          </w:tcPr>
          <w:p w14:paraId="27550B63" w14:textId="5996298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121 800</w:t>
            </w:r>
          </w:p>
        </w:tc>
      </w:tr>
      <w:tr w:rsidR="000958F5" w:rsidRPr="00F861D8" w14:paraId="4F297658"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6B0B60B4" w14:textId="3438BF4A"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3.1.2</w:t>
            </w:r>
            <w:r w:rsidR="003B4951" w:rsidRPr="00F861D8">
              <w:rPr>
                <w:rFonts w:ascii="Times New Roman" w:hAnsi="Times New Roman"/>
                <w:b/>
                <w:bCs/>
                <w:sz w:val="18"/>
                <w:szCs w:val="18"/>
                <w:lang w:val="es-ES_tradnl"/>
              </w:rPr>
              <w:t xml:space="preserve"> </w:t>
            </w:r>
            <w:r w:rsidRPr="00F861D8">
              <w:rPr>
                <w:rFonts w:ascii="Times New Roman" w:hAnsi="Times New Roman"/>
                <w:b/>
                <w:bCs/>
                <w:sz w:val="18"/>
                <w:szCs w:val="18"/>
                <w:lang w:val="es-ES_tradnl"/>
              </w:rPr>
              <w:t>Personal administrativo</w:t>
            </w:r>
          </w:p>
        </w:tc>
        <w:tc>
          <w:tcPr>
            <w:tcW w:w="1170" w:type="dxa"/>
            <w:tcBorders>
              <w:top w:val="single" w:sz="4" w:space="0" w:color="auto"/>
              <w:left w:val="nil"/>
              <w:bottom w:val="single" w:sz="4" w:space="0" w:color="auto"/>
              <w:right w:val="nil"/>
            </w:tcBorders>
            <w:shd w:val="clear" w:color="auto" w:fill="auto"/>
            <w:noWrap/>
            <w:vAlign w:val="bottom"/>
            <w:hideMark/>
          </w:tcPr>
          <w:p w14:paraId="2E89BFD2" w14:textId="1571FB0F"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594 000</w:t>
            </w:r>
          </w:p>
        </w:tc>
        <w:tc>
          <w:tcPr>
            <w:tcW w:w="990" w:type="dxa"/>
            <w:tcBorders>
              <w:top w:val="single" w:sz="4" w:space="0" w:color="auto"/>
              <w:left w:val="nil"/>
              <w:bottom w:val="single" w:sz="4" w:space="0" w:color="auto"/>
              <w:right w:val="nil"/>
            </w:tcBorders>
            <w:shd w:val="clear" w:color="auto" w:fill="auto"/>
            <w:noWrap/>
            <w:vAlign w:val="bottom"/>
            <w:hideMark/>
          </w:tcPr>
          <w:p w14:paraId="75909A73" w14:textId="6A710618"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59 400</w:t>
            </w:r>
          </w:p>
        </w:tc>
        <w:tc>
          <w:tcPr>
            <w:tcW w:w="990" w:type="dxa"/>
            <w:tcBorders>
              <w:top w:val="single" w:sz="4" w:space="0" w:color="auto"/>
              <w:left w:val="nil"/>
              <w:bottom w:val="single" w:sz="4" w:space="0" w:color="auto"/>
              <w:right w:val="nil"/>
            </w:tcBorders>
            <w:shd w:val="clear" w:color="auto" w:fill="auto"/>
            <w:noWrap/>
            <w:vAlign w:val="bottom"/>
            <w:hideMark/>
          </w:tcPr>
          <w:p w14:paraId="478232B3" w14:textId="61D9C11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653 400</w:t>
            </w:r>
          </w:p>
        </w:tc>
        <w:tc>
          <w:tcPr>
            <w:tcW w:w="1170" w:type="dxa"/>
            <w:tcBorders>
              <w:top w:val="single" w:sz="4" w:space="0" w:color="auto"/>
              <w:left w:val="nil"/>
              <w:bottom w:val="single" w:sz="4" w:space="0" w:color="auto"/>
              <w:right w:val="nil"/>
            </w:tcBorders>
            <w:shd w:val="clear" w:color="auto" w:fill="auto"/>
            <w:noWrap/>
            <w:vAlign w:val="bottom"/>
            <w:hideMark/>
          </w:tcPr>
          <w:p w14:paraId="68DFDFDB" w14:textId="00E60640"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609 000</w:t>
            </w:r>
          </w:p>
        </w:tc>
        <w:tc>
          <w:tcPr>
            <w:tcW w:w="990" w:type="dxa"/>
            <w:tcBorders>
              <w:top w:val="single" w:sz="4" w:space="0" w:color="auto"/>
              <w:left w:val="nil"/>
              <w:bottom w:val="single" w:sz="4" w:space="0" w:color="auto"/>
              <w:right w:val="nil"/>
            </w:tcBorders>
            <w:shd w:val="clear" w:color="auto" w:fill="auto"/>
            <w:noWrap/>
            <w:vAlign w:val="bottom"/>
            <w:hideMark/>
          </w:tcPr>
          <w:p w14:paraId="6F9BC4CC" w14:textId="42184B50"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59 400</w:t>
            </w:r>
          </w:p>
        </w:tc>
        <w:tc>
          <w:tcPr>
            <w:tcW w:w="1026" w:type="dxa"/>
            <w:tcBorders>
              <w:top w:val="single" w:sz="4" w:space="0" w:color="auto"/>
              <w:left w:val="nil"/>
              <w:bottom w:val="single" w:sz="4" w:space="0" w:color="auto"/>
              <w:right w:val="nil"/>
            </w:tcBorders>
            <w:shd w:val="clear" w:color="auto" w:fill="auto"/>
            <w:noWrap/>
            <w:vAlign w:val="bottom"/>
            <w:hideMark/>
          </w:tcPr>
          <w:p w14:paraId="45D9CA0F" w14:textId="6C75202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668 400</w:t>
            </w:r>
          </w:p>
        </w:tc>
      </w:tr>
      <w:tr w:rsidR="000958F5" w:rsidRPr="00F861D8" w14:paraId="41EE7F4F"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04ADE018" w14:textId="007A9F9D"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3.1 Personal</w:t>
            </w:r>
          </w:p>
        </w:tc>
        <w:tc>
          <w:tcPr>
            <w:tcW w:w="1170" w:type="dxa"/>
            <w:tcBorders>
              <w:top w:val="single" w:sz="4" w:space="0" w:color="auto"/>
              <w:left w:val="nil"/>
              <w:bottom w:val="single" w:sz="4" w:space="0" w:color="auto"/>
              <w:right w:val="nil"/>
            </w:tcBorders>
            <w:shd w:val="clear" w:color="auto" w:fill="auto"/>
            <w:noWrap/>
            <w:vAlign w:val="bottom"/>
            <w:hideMark/>
          </w:tcPr>
          <w:p w14:paraId="1D7AAF32" w14:textId="7AA97965"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1 857 600</w:t>
            </w:r>
          </w:p>
        </w:tc>
        <w:tc>
          <w:tcPr>
            <w:tcW w:w="990" w:type="dxa"/>
            <w:tcBorders>
              <w:top w:val="single" w:sz="4" w:space="0" w:color="auto"/>
              <w:left w:val="nil"/>
              <w:bottom w:val="single" w:sz="4" w:space="0" w:color="auto"/>
              <w:right w:val="nil"/>
            </w:tcBorders>
            <w:shd w:val="clear" w:color="auto" w:fill="auto"/>
            <w:noWrap/>
            <w:vAlign w:val="bottom"/>
            <w:hideMark/>
          </w:tcPr>
          <w:p w14:paraId="069FC6AB" w14:textId="56FDB0BF"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59 400</w:t>
            </w:r>
          </w:p>
        </w:tc>
        <w:tc>
          <w:tcPr>
            <w:tcW w:w="990" w:type="dxa"/>
            <w:tcBorders>
              <w:top w:val="single" w:sz="4" w:space="0" w:color="auto"/>
              <w:left w:val="nil"/>
              <w:bottom w:val="single" w:sz="4" w:space="0" w:color="auto"/>
              <w:right w:val="nil"/>
            </w:tcBorders>
            <w:shd w:val="clear" w:color="auto" w:fill="auto"/>
            <w:noWrap/>
            <w:vAlign w:val="bottom"/>
            <w:hideMark/>
          </w:tcPr>
          <w:p w14:paraId="3A9535C2" w14:textId="65EABFD5"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1 917 000</w:t>
            </w:r>
          </w:p>
        </w:tc>
        <w:tc>
          <w:tcPr>
            <w:tcW w:w="1170" w:type="dxa"/>
            <w:tcBorders>
              <w:top w:val="single" w:sz="4" w:space="0" w:color="auto"/>
              <w:left w:val="nil"/>
              <w:bottom w:val="single" w:sz="4" w:space="0" w:color="auto"/>
              <w:right w:val="nil"/>
            </w:tcBorders>
            <w:shd w:val="clear" w:color="auto" w:fill="auto"/>
            <w:noWrap/>
            <w:vAlign w:val="bottom"/>
            <w:hideMark/>
          </w:tcPr>
          <w:p w14:paraId="093C30B1" w14:textId="2F7B35BB"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1 904 300</w:t>
            </w:r>
          </w:p>
        </w:tc>
        <w:tc>
          <w:tcPr>
            <w:tcW w:w="990" w:type="dxa"/>
            <w:tcBorders>
              <w:top w:val="single" w:sz="4" w:space="0" w:color="auto"/>
              <w:left w:val="nil"/>
              <w:bottom w:val="single" w:sz="4" w:space="0" w:color="auto"/>
              <w:right w:val="nil"/>
            </w:tcBorders>
            <w:shd w:val="clear" w:color="auto" w:fill="auto"/>
            <w:noWrap/>
            <w:vAlign w:val="bottom"/>
            <w:hideMark/>
          </w:tcPr>
          <w:p w14:paraId="6524A847" w14:textId="4E9CEFE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59 400</w:t>
            </w:r>
          </w:p>
        </w:tc>
        <w:tc>
          <w:tcPr>
            <w:tcW w:w="1026" w:type="dxa"/>
            <w:tcBorders>
              <w:top w:val="single" w:sz="4" w:space="0" w:color="auto"/>
              <w:left w:val="nil"/>
              <w:bottom w:val="single" w:sz="4" w:space="0" w:color="auto"/>
              <w:right w:val="nil"/>
            </w:tcBorders>
            <w:shd w:val="clear" w:color="auto" w:fill="auto"/>
            <w:noWrap/>
            <w:vAlign w:val="bottom"/>
            <w:hideMark/>
          </w:tcPr>
          <w:p w14:paraId="4A588B8D" w14:textId="28D3E9A7"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1 963 700</w:t>
            </w:r>
          </w:p>
        </w:tc>
      </w:tr>
      <w:tr w:rsidR="000958F5" w:rsidRPr="000930FA" w14:paraId="6F17ED74"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7596C06E" w14:textId="481B9710"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 Gastos de funcionamiento de la Secretaría (no relacionados con el personal)</w:t>
            </w:r>
          </w:p>
        </w:tc>
        <w:tc>
          <w:tcPr>
            <w:tcW w:w="1170" w:type="dxa"/>
            <w:tcBorders>
              <w:top w:val="single" w:sz="4" w:space="0" w:color="auto"/>
              <w:left w:val="nil"/>
              <w:bottom w:val="nil"/>
              <w:right w:val="nil"/>
            </w:tcBorders>
            <w:shd w:val="clear" w:color="auto" w:fill="auto"/>
            <w:noWrap/>
            <w:vAlign w:val="bottom"/>
            <w:hideMark/>
          </w:tcPr>
          <w:p w14:paraId="336127C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31400C2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0120297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49E36B2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3492CED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7F154C2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0930FA" w14:paraId="1FDD72D2" w14:textId="77777777" w:rsidTr="00F861D8">
        <w:trPr>
          <w:trHeight w:val="273"/>
        </w:trPr>
        <w:tc>
          <w:tcPr>
            <w:tcW w:w="4248" w:type="dxa"/>
            <w:tcBorders>
              <w:top w:val="nil"/>
              <w:left w:val="nil"/>
              <w:bottom w:val="nil"/>
              <w:right w:val="nil"/>
            </w:tcBorders>
            <w:shd w:val="clear" w:color="auto" w:fill="auto"/>
            <w:noWrap/>
            <w:vAlign w:val="center"/>
            <w:hideMark/>
          </w:tcPr>
          <w:p w14:paraId="03FD6146" w14:textId="2D40A26A"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3.2.1 Viajes en comisión de servicio</w:t>
            </w:r>
          </w:p>
        </w:tc>
        <w:tc>
          <w:tcPr>
            <w:tcW w:w="1170" w:type="dxa"/>
            <w:tcBorders>
              <w:top w:val="nil"/>
              <w:left w:val="nil"/>
              <w:bottom w:val="nil"/>
              <w:right w:val="nil"/>
            </w:tcBorders>
            <w:shd w:val="clear" w:color="auto" w:fill="auto"/>
            <w:noWrap/>
            <w:vAlign w:val="bottom"/>
            <w:hideMark/>
          </w:tcPr>
          <w:p w14:paraId="2A895DB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72DD4AE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nil"/>
              <w:left w:val="nil"/>
              <w:bottom w:val="nil"/>
              <w:right w:val="nil"/>
            </w:tcBorders>
            <w:shd w:val="clear" w:color="auto" w:fill="auto"/>
            <w:noWrap/>
            <w:vAlign w:val="bottom"/>
            <w:hideMark/>
          </w:tcPr>
          <w:p w14:paraId="2E8EC7A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nil"/>
              <w:left w:val="nil"/>
              <w:bottom w:val="nil"/>
              <w:right w:val="nil"/>
            </w:tcBorders>
            <w:shd w:val="clear" w:color="auto" w:fill="auto"/>
            <w:noWrap/>
            <w:vAlign w:val="bottom"/>
            <w:hideMark/>
          </w:tcPr>
          <w:p w14:paraId="368DF56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nil"/>
              <w:left w:val="nil"/>
              <w:bottom w:val="nil"/>
              <w:right w:val="nil"/>
            </w:tcBorders>
            <w:shd w:val="clear" w:color="auto" w:fill="auto"/>
            <w:noWrap/>
            <w:vAlign w:val="bottom"/>
            <w:hideMark/>
          </w:tcPr>
          <w:p w14:paraId="7F0C894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nil"/>
              <w:left w:val="nil"/>
              <w:bottom w:val="nil"/>
              <w:right w:val="nil"/>
            </w:tcBorders>
            <w:shd w:val="clear" w:color="auto" w:fill="auto"/>
            <w:noWrap/>
            <w:vAlign w:val="bottom"/>
            <w:hideMark/>
          </w:tcPr>
          <w:p w14:paraId="1EFB0AE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4866B1DF"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0D8A994A" w14:textId="52AC89F5"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Viajes oficiales</w:t>
            </w:r>
          </w:p>
        </w:tc>
        <w:tc>
          <w:tcPr>
            <w:tcW w:w="1170" w:type="dxa"/>
            <w:tcBorders>
              <w:top w:val="nil"/>
              <w:left w:val="nil"/>
              <w:bottom w:val="single" w:sz="4" w:space="0" w:color="auto"/>
              <w:right w:val="nil"/>
            </w:tcBorders>
            <w:shd w:val="clear" w:color="auto" w:fill="auto"/>
            <w:noWrap/>
            <w:vAlign w:val="bottom"/>
            <w:hideMark/>
          </w:tcPr>
          <w:p w14:paraId="19276BCD" w14:textId="58509AF8"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120 000</w:t>
            </w:r>
          </w:p>
        </w:tc>
        <w:tc>
          <w:tcPr>
            <w:tcW w:w="990" w:type="dxa"/>
            <w:tcBorders>
              <w:top w:val="nil"/>
              <w:left w:val="nil"/>
              <w:bottom w:val="single" w:sz="4" w:space="0" w:color="auto"/>
              <w:right w:val="nil"/>
            </w:tcBorders>
            <w:shd w:val="clear" w:color="auto" w:fill="auto"/>
            <w:noWrap/>
            <w:vAlign w:val="bottom"/>
            <w:hideMark/>
          </w:tcPr>
          <w:p w14:paraId="185F48A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auto" w:fill="auto"/>
            <w:noWrap/>
            <w:vAlign w:val="bottom"/>
            <w:hideMark/>
          </w:tcPr>
          <w:p w14:paraId="1A7201F6" w14:textId="28A8D96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120 000</w:t>
            </w:r>
          </w:p>
        </w:tc>
        <w:tc>
          <w:tcPr>
            <w:tcW w:w="1170" w:type="dxa"/>
            <w:tcBorders>
              <w:top w:val="nil"/>
              <w:left w:val="nil"/>
              <w:bottom w:val="single" w:sz="4" w:space="0" w:color="auto"/>
              <w:right w:val="nil"/>
            </w:tcBorders>
            <w:shd w:val="clear" w:color="auto" w:fill="auto"/>
            <w:noWrap/>
            <w:vAlign w:val="bottom"/>
            <w:hideMark/>
          </w:tcPr>
          <w:p w14:paraId="22C1FA0F" w14:textId="2C3B3116"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130 000</w:t>
            </w:r>
          </w:p>
        </w:tc>
        <w:tc>
          <w:tcPr>
            <w:tcW w:w="990" w:type="dxa"/>
            <w:tcBorders>
              <w:top w:val="nil"/>
              <w:left w:val="nil"/>
              <w:bottom w:val="single" w:sz="4" w:space="0" w:color="auto"/>
              <w:right w:val="nil"/>
            </w:tcBorders>
            <w:shd w:val="clear" w:color="auto" w:fill="auto"/>
            <w:noWrap/>
            <w:vAlign w:val="bottom"/>
            <w:hideMark/>
          </w:tcPr>
          <w:p w14:paraId="06A2D41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auto" w:fill="auto"/>
            <w:noWrap/>
            <w:vAlign w:val="bottom"/>
            <w:hideMark/>
          </w:tcPr>
          <w:p w14:paraId="2FAE2FA6" w14:textId="4F2689F8"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130 000</w:t>
            </w:r>
          </w:p>
        </w:tc>
      </w:tr>
      <w:tr w:rsidR="000958F5" w:rsidRPr="00F861D8" w14:paraId="5C8F4248"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26C28531" w14:textId="4494588D" w:rsidR="000958F5" w:rsidRPr="00F861D8" w:rsidRDefault="000958F5" w:rsidP="003B4951">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3.2.1 Viajes en comisión de servicio</w:t>
            </w:r>
          </w:p>
        </w:tc>
        <w:tc>
          <w:tcPr>
            <w:tcW w:w="1170" w:type="dxa"/>
            <w:tcBorders>
              <w:top w:val="single" w:sz="4" w:space="0" w:color="auto"/>
              <w:left w:val="nil"/>
              <w:bottom w:val="single" w:sz="4" w:space="0" w:color="auto"/>
              <w:right w:val="nil"/>
            </w:tcBorders>
            <w:shd w:val="clear" w:color="auto" w:fill="auto"/>
            <w:noWrap/>
            <w:vAlign w:val="bottom"/>
            <w:hideMark/>
          </w:tcPr>
          <w:p w14:paraId="0F7C5FBA" w14:textId="0E9FDDED"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120 000</w:t>
            </w:r>
          </w:p>
        </w:tc>
        <w:tc>
          <w:tcPr>
            <w:tcW w:w="990" w:type="dxa"/>
            <w:tcBorders>
              <w:top w:val="single" w:sz="4" w:space="0" w:color="auto"/>
              <w:left w:val="nil"/>
              <w:bottom w:val="single" w:sz="4" w:space="0" w:color="auto"/>
              <w:right w:val="nil"/>
            </w:tcBorders>
            <w:shd w:val="clear" w:color="auto" w:fill="auto"/>
            <w:noWrap/>
            <w:vAlign w:val="bottom"/>
            <w:hideMark/>
          </w:tcPr>
          <w:p w14:paraId="31711B8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990" w:type="dxa"/>
            <w:tcBorders>
              <w:top w:val="single" w:sz="4" w:space="0" w:color="auto"/>
              <w:left w:val="nil"/>
              <w:bottom w:val="single" w:sz="4" w:space="0" w:color="auto"/>
              <w:right w:val="nil"/>
            </w:tcBorders>
            <w:shd w:val="clear" w:color="auto" w:fill="auto"/>
            <w:noWrap/>
            <w:vAlign w:val="bottom"/>
            <w:hideMark/>
          </w:tcPr>
          <w:p w14:paraId="5B397297" w14:textId="07FCFEE6"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120 000</w:t>
            </w:r>
          </w:p>
        </w:tc>
        <w:tc>
          <w:tcPr>
            <w:tcW w:w="1170" w:type="dxa"/>
            <w:tcBorders>
              <w:top w:val="single" w:sz="4" w:space="0" w:color="auto"/>
              <w:left w:val="nil"/>
              <w:bottom w:val="single" w:sz="4" w:space="0" w:color="auto"/>
              <w:right w:val="nil"/>
            </w:tcBorders>
            <w:shd w:val="clear" w:color="auto" w:fill="auto"/>
            <w:noWrap/>
            <w:vAlign w:val="bottom"/>
            <w:hideMark/>
          </w:tcPr>
          <w:p w14:paraId="45EDEA50" w14:textId="09B67D5A"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130 000</w:t>
            </w:r>
          </w:p>
        </w:tc>
        <w:tc>
          <w:tcPr>
            <w:tcW w:w="990" w:type="dxa"/>
            <w:tcBorders>
              <w:top w:val="single" w:sz="4" w:space="0" w:color="auto"/>
              <w:left w:val="nil"/>
              <w:bottom w:val="single" w:sz="4" w:space="0" w:color="auto"/>
              <w:right w:val="nil"/>
            </w:tcBorders>
            <w:shd w:val="clear" w:color="auto" w:fill="auto"/>
            <w:noWrap/>
            <w:vAlign w:val="bottom"/>
            <w:hideMark/>
          </w:tcPr>
          <w:p w14:paraId="5342E8A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1026" w:type="dxa"/>
            <w:tcBorders>
              <w:top w:val="single" w:sz="4" w:space="0" w:color="auto"/>
              <w:left w:val="nil"/>
              <w:bottom w:val="single" w:sz="4" w:space="0" w:color="auto"/>
              <w:right w:val="nil"/>
            </w:tcBorders>
            <w:shd w:val="clear" w:color="auto" w:fill="auto"/>
            <w:noWrap/>
            <w:vAlign w:val="bottom"/>
            <w:hideMark/>
          </w:tcPr>
          <w:p w14:paraId="48E38C6E" w14:textId="72EC2E4D"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130 000</w:t>
            </w:r>
          </w:p>
        </w:tc>
      </w:tr>
      <w:tr w:rsidR="000958F5" w:rsidRPr="00F861D8" w14:paraId="39B4160D"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7EEEBAB0" w14:textId="5D3A0E9D"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3.2.2 Capacitación del personal</w:t>
            </w:r>
            <w:r w:rsidRPr="00F861D8">
              <w:rPr>
                <w:rFonts w:ascii="Times New Roman" w:hAnsi="Times New Roman"/>
                <w:sz w:val="18"/>
                <w:szCs w:val="18"/>
                <w:lang w:val="es-ES_tradnl"/>
              </w:rPr>
              <w:t xml:space="preserve"> </w:t>
            </w:r>
          </w:p>
        </w:tc>
        <w:tc>
          <w:tcPr>
            <w:tcW w:w="1170" w:type="dxa"/>
            <w:tcBorders>
              <w:top w:val="single" w:sz="4" w:space="0" w:color="auto"/>
              <w:left w:val="nil"/>
              <w:bottom w:val="nil"/>
              <w:right w:val="nil"/>
            </w:tcBorders>
            <w:shd w:val="clear" w:color="auto" w:fill="auto"/>
            <w:noWrap/>
            <w:vAlign w:val="bottom"/>
            <w:hideMark/>
          </w:tcPr>
          <w:p w14:paraId="277CFFC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016D494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58A1671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42FD851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12E7F2E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675EC4E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38FEF95F"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4CBEC58B" w14:textId="6386C7E2"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Capacitación del personal</w:t>
            </w:r>
          </w:p>
        </w:tc>
        <w:tc>
          <w:tcPr>
            <w:tcW w:w="1170" w:type="dxa"/>
            <w:tcBorders>
              <w:top w:val="nil"/>
              <w:left w:val="nil"/>
              <w:bottom w:val="single" w:sz="4" w:space="0" w:color="auto"/>
              <w:right w:val="nil"/>
            </w:tcBorders>
            <w:shd w:val="clear" w:color="auto" w:fill="auto"/>
            <w:noWrap/>
            <w:vAlign w:val="bottom"/>
            <w:hideMark/>
          </w:tcPr>
          <w:p w14:paraId="4DAD30A6" w14:textId="0BFC079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15 000</w:t>
            </w:r>
          </w:p>
        </w:tc>
        <w:tc>
          <w:tcPr>
            <w:tcW w:w="990" w:type="dxa"/>
            <w:tcBorders>
              <w:top w:val="nil"/>
              <w:left w:val="nil"/>
              <w:bottom w:val="single" w:sz="4" w:space="0" w:color="auto"/>
              <w:right w:val="nil"/>
            </w:tcBorders>
            <w:shd w:val="clear" w:color="auto" w:fill="auto"/>
            <w:noWrap/>
            <w:vAlign w:val="bottom"/>
            <w:hideMark/>
          </w:tcPr>
          <w:p w14:paraId="0830314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auto" w:fill="auto"/>
            <w:noWrap/>
            <w:vAlign w:val="bottom"/>
            <w:hideMark/>
          </w:tcPr>
          <w:p w14:paraId="3BDEB2D4" w14:textId="7A090706"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15 000</w:t>
            </w:r>
          </w:p>
        </w:tc>
        <w:tc>
          <w:tcPr>
            <w:tcW w:w="1170" w:type="dxa"/>
            <w:tcBorders>
              <w:top w:val="nil"/>
              <w:left w:val="nil"/>
              <w:bottom w:val="single" w:sz="4" w:space="0" w:color="auto"/>
              <w:right w:val="nil"/>
            </w:tcBorders>
            <w:shd w:val="clear" w:color="auto" w:fill="auto"/>
            <w:noWrap/>
            <w:vAlign w:val="bottom"/>
            <w:hideMark/>
          </w:tcPr>
          <w:p w14:paraId="697F4089" w14:textId="32349DDE"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15 000</w:t>
            </w:r>
          </w:p>
        </w:tc>
        <w:tc>
          <w:tcPr>
            <w:tcW w:w="990" w:type="dxa"/>
            <w:tcBorders>
              <w:top w:val="nil"/>
              <w:left w:val="nil"/>
              <w:bottom w:val="single" w:sz="4" w:space="0" w:color="auto"/>
              <w:right w:val="nil"/>
            </w:tcBorders>
            <w:shd w:val="clear" w:color="auto" w:fill="auto"/>
            <w:noWrap/>
            <w:vAlign w:val="bottom"/>
            <w:hideMark/>
          </w:tcPr>
          <w:p w14:paraId="51DBB99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auto" w:fill="auto"/>
            <w:noWrap/>
            <w:vAlign w:val="bottom"/>
            <w:hideMark/>
          </w:tcPr>
          <w:p w14:paraId="756B85F5" w14:textId="39E5D413"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15 000</w:t>
            </w:r>
          </w:p>
        </w:tc>
      </w:tr>
      <w:tr w:rsidR="000958F5" w:rsidRPr="00F861D8" w14:paraId="2DFE96B6"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28B1849C" w14:textId="0A15E055" w:rsidR="000958F5" w:rsidRPr="00F861D8" w:rsidRDefault="000958F5" w:rsidP="003B4951">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3.2.2 Capacitación del personal</w:t>
            </w:r>
          </w:p>
        </w:tc>
        <w:tc>
          <w:tcPr>
            <w:tcW w:w="1170" w:type="dxa"/>
            <w:tcBorders>
              <w:top w:val="single" w:sz="4" w:space="0" w:color="auto"/>
              <w:left w:val="nil"/>
              <w:bottom w:val="single" w:sz="4" w:space="0" w:color="auto"/>
              <w:right w:val="nil"/>
            </w:tcBorders>
            <w:shd w:val="clear" w:color="auto" w:fill="auto"/>
            <w:noWrap/>
            <w:vAlign w:val="bottom"/>
            <w:hideMark/>
          </w:tcPr>
          <w:p w14:paraId="3D391902" w14:textId="7015A2E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15 000</w:t>
            </w:r>
          </w:p>
        </w:tc>
        <w:tc>
          <w:tcPr>
            <w:tcW w:w="990" w:type="dxa"/>
            <w:tcBorders>
              <w:top w:val="single" w:sz="4" w:space="0" w:color="auto"/>
              <w:left w:val="nil"/>
              <w:bottom w:val="single" w:sz="4" w:space="0" w:color="auto"/>
              <w:right w:val="nil"/>
            </w:tcBorders>
            <w:shd w:val="clear" w:color="auto" w:fill="auto"/>
            <w:noWrap/>
            <w:vAlign w:val="bottom"/>
            <w:hideMark/>
          </w:tcPr>
          <w:p w14:paraId="52812E6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990" w:type="dxa"/>
            <w:tcBorders>
              <w:top w:val="single" w:sz="4" w:space="0" w:color="auto"/>
              <w:left w:val="nil"/>
              <w:bottom w:val="single" w:sz="4" w:space="0" w:color="auto"/>
              <w:right w:val="nil"/>
            </w:tcBorders>
            <w:shd w:val="clear" w:color="auto" w:fill="auto"/>
            <w:noWrap/>
            <w:vAlign w:val="bottom"/>
            <w:hideMark/>
          </w:tcPr>
          <w:p w14:paraId="40DD121C" w14:textId="6DE7E19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15 000</w:t>
            </w:r>
          </w:p>
        </w:tc>
        <w:tc>
          <w:tcPr>
            <w:tcW w:w="1170" w:type="dxa"/>
            <w:tcBorders>
              <w:top w:val="single" w:sz="4" w:space="0" w:color="auto"/>
              <w:left w:val="nil"/>
              <w:bottom w:val="single" w:sz="4" w:space="0" w:color="auto"/>
              <w:right w:val="nil"/>
            </w:tcBorders>
            <w:shd w:val="clear" w:color="auto" w:fill="auto"/>
            <w:noWrap/>
            <w:vAlign w:val="bottom"/>
            <w:hideMark/>
          </w:tcPr>
          <w:p w14:paraId="7C0C91F6" w14:textId="237F41A4"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15 000</w:t>
            </w:r>
          </w:p>
        </w:tc>
        <w:tc>
          <w:tcPr>
            <w:tcW w:w="990" w:type="dxa"/>
            <w:tcBorders>
              <w:top w:val="single" w:sz="4" w:space="0" w:color="auto"/>
              <w:left w:val="nil"/>
              <w:bottom w:val="single" w:sz="4" w:space="0" w:color="auto"/>
              <w:right w:val="nil"/>
            </w:tcBorders>
            <w:shd w:val="clear" w:color="auto" w:fill="auto"/>
            <w:noWrap/>
            <w:vAlign w:val="bottom"/>
            <w:hideMark/>
          </w:tcPr>
          <w:p w14:paraId="094889C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1026" w:type="dxa"/>
            <w:tcBorders>
              <w:top w:val="single" w:sz="4" w:space="0" w:color="auto"/>
              <w:left w:val="nil"/>
              <w:bottom w:val="single" w:sz="4" w:space="0" w:color="auto"/>
              <w:right w:val="nil"/>
            </w:tcBorders>
            <w:shd w:val="clear" w:color="auto" w:fill="auto"/>
            <w:noWrap/>
            <w:vAlign w:val="bottom"/>
            <w:hideMark/>
          </w:tcPr>
          <w:p w14:paraId="3ED93622" w14:textId="50F3BFCB"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15 000</w:t>
            </w:r>
          </w:p>
        </w:tc>
      </w:tr>
      <w:tr w:rsidR="000958F5" w:rsidRPr="000930FA" w14:paraId="7C67E3A6"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1AE88E39" w14:textId="5AA29BB5"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3.2.3 Equipo y material de oficina</w:t>
            </w:r>
          </w:p>
        </w:tc>
        <w:tc>
          <w:tcPr>
            <w:tcW w:w="1170" w:type="dxa"/>
            <w:tcBorders>
              <w:top w:val="single" w:sz="4" w:space="0" w:color="auto"/>
              <w:left w:val="nil"/>
              <w:bottom w:val="nil"/>
              <w:right w:val="nil"/>
            </w:tcBorders>
            <w:shd w:val="clear" w:color="auto" w:fill="auto"/>
            <w:noWrap/>
            <w:vAlign w:val="bottom"/>
            <w:hideMark/>
          </w:tcPr>
          <w:p w14:paraId="66A4ECD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601E9632" w14:textId="77777777" w:rsidR="000958F5" w:rsidRPr="00F861D8" w:rsidRDefault="000958F5" w:rsidP="000D3AC4">
            <w:pPr>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1074EEC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70FA2B3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48593A7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2224E4B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730A8D1E" w14:textId="77777777" w:rsidTr="00F861D8">
        <w:trPr>
          <w:trHeight w:val="273"/>
        </w:trPr>
        <w:tc>
          <w:tcPr>
            <w:tcW w:w="4248" w:type="dxa"/>
            <w:tcBorders>
              <w:top w:val="nil"/>
              <w:left w:val="nil"/>
              <w:bottom w:val="nil"/>
              <w:right w:val="nil"/>
            </w:tcBorders>
            <w:shd w:val="clear" w:color="auto" w:fill="auto"/>
            <w:noWrap/>
            <w:vAlign w:val="center"/>
            <w:hideMark/>
          </w:tcPr>
          <w:p w14:paraId="389551F7" w14:textId="21F8DC83" w:rsidR="000958F5" w:rsidRPr="00F861D8" w:rsidRDefault="000958F5" w:rsidP="00CB4B9F">
            <w:pPr>
              <w:spacing w:before="40" w:after="40" w:line="240" w:lineRule="auto"/>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Equipo fungible (</w:t>
            </w:r>
            <w:r w:rsidR="003B4951" w:rsidRPr="00F861D8">
              <w:rPr>
                <w:rFonts w:ascii="Times New Roman" w:hAnsi="Times New Roman"/>
                <w:sz w:val="18"/>
                <w:szCs w:val="18"/>
                <w:lang w:val="es-ES_tradnl"/>
              </w:rPr>
              <w:t>artículos valorados en menos de </w:t>
            </w:r>
            <w:r w:rsidRPr="00F861D8">
              <w:rPr>
                <w:rFonts w:ascii="Times New Roman" w:hAnsi="Times New Roman"/>
                <w:sz w:val="18"/>
                <w:szCs w:val="18"/>
                <w:lang w:val="es-ES_tradnl"/>
              </w:rPr>
              <w:t>1.500 dólares)</w:t>
            </w:r>
          </w:p>
        </w:tc>
        <w:tc>
          <w:tcPr>
            <w:tcW w:w="1170" w:type="dxa"/>
            <w:tcBorders>
              <w:top w:val="nil"/>
              <w:left w:val="nil"/>
              <w:bottom w:val="nil"/>
              <w:right w:val="nil"/>
            </w:tcBorders>
            <w:shd w:val="clear" w:color="auto" w:fill="auto"/>
            <w:noWrap/>
            <w:vAlign w:val="bottom"/>
            <w:hideMark/>
          </w:tcPr>
          <w:p w14:paraId="5376318B" w14:textId="76B6AE54"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4 500</w:t>
            </w:r>
          </w:p>
        </w:tc>
        <w:tc>
          <w:tcPr>
            <w:tcW w:w="990" w:type="dxa"/>
            <w:tcBorders>
              <w:top w:val="nil"/>
              <w:left w:val="nil"/>
              <w:bottom w:val="nil"/>
              <w:right w:val="nil"/>
            </w:tcBorders>
            <w:shd w:val="clear" w:color="auto" w:fill="auto"/>
            <w:noWrap/>
            <w:vAlign w:val="bottom"/>
            <w:hideMark/>
          </w:tcPr>
          <w:p w14:paraId="78577FE7" w14:textId="77777777"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4FD2BC06" w14:textId="2499CC3B"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4 500</w:t>
            </w:r>
          </w:p>
        </w:tc>
        <w:tc>
          <w:tcPr>
            <w:tcW w:w="1170" w:type="dxa"/>
            <w:tcBorders>
              <w:top w:val="nil"/>
              <w:left w:val="nil"/>
              <w:bottom w:val="nil"/>
              <w:right w:val="nil"/>
            </w:tcBorders>
            <w:shd w:val="clear" w:color="auto" w:fill="auto"/>
            <w:noWrap/>
            <w:vAlign w:val="bottom"/>
            <w:hideMark/>
          </w:tcPr>
          <w:p w14:paraId="62841CCD" w14:textId="25AD32D6"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4 500</w:t>
            </w:r>
          </w:p>
        </w:tc>
        <w:tc>
          <w:tcPr>
            <w:tcW w:w="990" w:type="dxa"/>
            <w:tcBorders>
              <w:top w:val="nil"/>
              <w:left w:val="nil"/>
              <w:bottom w:val="nil"/>
              <w:right w:val="nil"/>
            </w:tcBorders>
            <w:shd w:val="clear" w:color="auto" w:fill="auto"/>
            <w:noWrap/>
            <w:vAlign w:val="bottom"/>
            <w:hideMark/>
          </w:tcPr>
          <w:p w14:paraId="0151D086" w14:textId="77777777"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3AB9554F" w14:textId="65AFED23" w:rsidR="000958F5" w:rsidRPr="00F861D8" w:rsidRDefault="000958F5" w:rsidP="000D3AC4">
            <w:pPr>
              <w:spacing w:before="40" w:after="4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4 500</w:t>
            </w:r>
          </w:p>
        </w:tc>
      </w:tr>
      <w:tr w:rsidR="000958F5" w:rsidRPr="00F861D8" w14:paraId="08D2625D"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76D49FE5" w14:textId="2DD1C10A"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Material de oficina</w:t>
            </w:r>
          </w:p>
        </w:tc>
        <w:tc>
          <w:tcPr>
            <w:tcW w:w="1170" w:type="dxa"/>
            <w:tcBorders>
              <w:top w:val="nil"/>
              <w:left w:val="nil"/>
              <w:bottom w:val="single" w:sz="4" w:space="0" w:color="auto"/>
              <w:right w:val="nil"/>
            </w:tcBorders>
            <w:shd w:val="clear" w:color="auto" w:fill="auto"/>
            <w:noWrap/>
            <w:vAlign w:val="bottom"/>
            <w:hideMark/>
          </w:tcPr>
          <w:p w14:paraId="560718E3" w14:textId="6445D6CD"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12 000</w:t>
            </w:r>
          </w:p>
        </w:tc>
        <w:tc>
          <w:tcPr>
            <w:tcW w:w="990" w:type="dxa"/>
            <w:tcBorders>
              <w:top w:val="nil"/>
              <w:left w:val="nil"/>
              <w:bottom w:val="single" w:sz="4" w:space="0" w:color="auto"/>
              <w:right w:val="nil"/>
            </w:tcBorders>
            <w:shd w:val="clear" w:color="auto" w:fill="auto"/>
            <w:noWrap/>
            <w:vAlign w:val="bottom"/>
            <w:hideMark/>
          </w:tcPr>
          <w:p w14:paraId="6952B0A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auto" w:fill="auto"/>
            <w:noWrap/>
            <w:vAlign w:val="bottom"/>
            <w:hideMark/>
          </w:tcPr>
          <w:p w14:paraId="2450D27D" w14:textId="670F8BD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12 000</w:t>
            </w:r>
          </w:p>
        </w:tc>
        <w:tc>
          <w:tcPr>
            <w:tcW w:w="1170" w:type="dxa"/>
            <w:tcBorders>
              <w:top w:val="nil"/>
              <w:left w:val="nil"/>
              <w:bottom w:val="single" w:sz="4" w:space="0" w:color="auto"/>
              <w:right w:val="nil"/>
            </w:tcBorders>
            <w:shd w:val="clear" w:color="auto" w:fill="auto"/>
            <w:noWrap/>
            <w:vAlign w:val="bottom"/>
            <w:hideMark/>
          </w:tcPr>
          <w:p w14:paraId="4BA7BFA1" w14:textId="57E90AC4"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12 000</w:t>
            </w:r>
          </w:p>
        </w:tc>
        <w:tc>
          <w:tcPr>
            <w:tcW w:w="990" w:type="dxa"/>
            <w:tcBorders>
              <w:top w:val="nil"/>
              <w:left w:val="nil"/>
              <w:bottom w:val="single" w:sz="4" w:space="0" w:color="auto"/>
              <w:right w:val="nil"/>
            </w:tcBorders>
            <w:shd w:val="clear" w:color="auto" w:fill="auto"/>
            <w:noWrap/>
            <w:vAlign w:val="bottom"/>
            <w:hideMark/>
          </w:tcPr>
          <w:p w14:paraId="7D6F627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auto" w:fill="auto"/>
            <w:noWrap/>
            <w:vAlign w:val="bottom"/>
            <w:hideMark/>
          </w:tcPr>
          <w:p w14:paraId="35228844" w14:textId="47893768"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12 000</w:t>
            </w:r>
          </w:p>
        </w:tc>
      </w:tr>
      <w:tr w:rsidR="000958F5" w:rsidRPr="00F861D8" w14:paraId="23FB3183"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0A142C1B" w14:textId="044BDED2" w:rsidR="000958F5" w:rsidRPr="00F861D8" w:rsidRDefault="000958F5" w:rsidP="003B4951">
            <w:pPr>
              <w:spacing w:before="40" w:after="40" w:line="240" w:lineRule="auto"/>
              <w:rPr>
                <w:rFonts w:ascii="Times New Roman" w:hAnsi="Times New Roman"/>
                <w:b/>
                <w:color w:val="000000"/>
                <w:sz w:val="18"/>
                <w:szCs w:val="18"/>
                <w:lang w:val="es-ES_tradnl"/>
              </w:rPr>
            </w:pPr>
            <w:r w:rsidRPr="00F861D8">
              <w:rPr>
                <w:rFonts w:ascii="Times New Roman" w:hAnsi="Times New Roman"/>
                <w:sz w:val="18"/>
                <w:szCs w:val="18"/>
                <w:lang w:val="es-ES_tradnl"/>
              </w:rPr>
              <w:t>T</w:t>
            </w:r>
            <w:r w:rsidRPr="00F861D8">
              <w:rPr>
                <w:rFonts w:ascii="Times New Roman" w:hAnsi="Times New Roman"/>
                <w:b/>
                <w:bCs/>
                <w:sz w:val="18"/>
                <w:szCs w:val="18"/>
                <w:lang w:val="es-ES_tradnl"/>
              </w:rPr>
              <w:t>otal parcial 3.2.3 Equipo y material de oficina</w:t>
            </w:r>
          </w:p>
        </w:tc>
        <w:tc>
          <w:tcPr>
            <w:tcW w:w="1170" w:type="dxa"/>
            <w:tcBorders>
              <w:top w:val="single" w:sz="4" w:space="0" w:color="auto"/>
              <w:left w:val="nil"/>
              <w:bottom w:val="single" w:sz="4" w:space="0" w:color="auto"/>
              <w:right w:val="nil"/>
            </w:tcBorders>
            <w:shd w:val="clear" w:color="auto" w:fill="auto"/>
            <w:noWrap/>
            <w:vAlign w:val="bottom"/>
            <w:hideMark/>
          </w:tcPr>
          <w:p w14:paraId="42ECC2A1" w14:textId="659455F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16 500</w:t>
            </w:r>
          </w:p>
        </w:tc>
        <w:tc>
          <w:tcPr>
            <w:tcW w:w="990" w:type="dxa"/>
            <w:tcBorders>
              <w:top w:val="single" w:sz="4" w:space="0" w:color="auto"/>
              <w:left w:val="nil"/>
              <w:bottom w:val="single" w:sz="4" w:space="0" w:color="auto"/>
              <w:right w:val="nil"/>
            </w:tcBorders>
            <w:shd w:val="clear" w:color="auto" w:fill="auto"/>
            <w:noWrap/>
            <w:vAlign w:val="bottom"/>
            <w:hideMark/>
          </w:tcPr>
          <w:p w14:paraId="0FF3648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990" w:type="dxa"/>
            <w:tcBorders>
              <w:top w:val="single" w:sz="4" w:space="0" w:color="auto"/>
              <w:left w:val="nil"/>
              <w:bottom w:val="single" w:sz="4" w:space="0" w:color="auto"/>
              <w:right w:val="nil"/>
            </w:tcBorders>
            <w:shd w:val="clear" w:color="auto" w:fill="auto"/>
            <w:noWrap/>
            <w:vAlign w:val="bottom"/>
            <w:hideMark/>
          </w:tcPr>
          <w:p w14:paraId="0764077B" w14:textId="2F91474D"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16 500</w:t>
            </w:r>
          </w:p>
        </w:tc>
        <w:tc>
          <w:tcPr>
            <w:tcW w:w="1170" w:type="dxa"/>
            <w:tcBorders>
              <w:top w:val="single" w:sz="4" w:space="0" w:color="auto"/>
              <w:left w:val="nil"/>
              <w:bottom w:val="single" w:sz="4" w:space="0" w:color="auto"/>
              <w:right w:val="nil"/>
            </w:tcBorders>
            <w:shd w:val="clear" w:color="auto" w:fill="auto"/>
            <w:noWrap/>
            <w:vAlign w:val="bottom"/>
            <w:hideMark/>
          </w:tcPr>
          <w:p w14:paraId="237F9FE6" w14:textId="23A0657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16 500</w:t>
            </w:r>
          </w:p>
        </w:tc>
        <w:tc>
          <w:tcPr>
            <w:tcW w:w="990" w:type="dxa"/>
            <w:tcBorders>
              <w:top w:val="single" w:sz="4" w:space="0" w:color="auto"/>
              <w:left w:val="nil"/>
              <w:bottom w:val="single" w:sz="4" w:space="0" w:color="auto"/>
              <w:right w:val="nil"/>
            </w:tcBorders>
            <w:shd w:val="clear" w:color="auto" w:fill="auto"/>
            <w:noWrap/>
            <w:vAlign w:val="bottom"/>
            <w:hideMark/>
          </w:tcPr>
          <w:p w14:paraId="7226067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1026" w:type="dxa"/>
            <w:tcBorders>
              <w:top w:val="single" w:sz="4" w:space="0" w:color="auto"/>
              <w:left w:val="nil"/>
              <w:bottom w:val="single" w:sz="4" w:space="0" w:color="auto"/>
              <w:right w:val="nil"/>
            </w:tcBorders>
            <w:shd w:val="clear" w:color="auto" w:fill="auto"/>
            <w:noWrap/>
            <w:vAlign w:val="bottom"/>
            <w:hideMark/>
          </w:tcPr>
          <w:p w14:paraId="37D2906B" w14:textId="483858F1"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16 500</w:t>
            </w:r>
          </w:p>
        </w:tc>
      </w:tr>
      <w:tr w:rsidR="000958F5" w:rsidRPr="00F861D8" w14:paraId="6FAD1F19"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76A743DB" w14:textId="6FC73937"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3.2.4 Locales</w:t>
            </w:r>
            <w:r w:rsidRPr="00F861D8">
              <w:rPr>
                <w:rFonts w:ascii="Times New Roman" w:hAnsi="Times New Roman"/>
                <w:sz w:val="18"/>
                <w:szCs w:val="18"/>
                <w:lang w:val="es-ES_tradnl"/>
              </w:rPr>
              <w:t xml:space="preserve"> </w:t>
            </w:r>
          </w:p>
        </w:tc>
        <w:tc>
          <w:tcPr>
            <w:tcW w:w="1170" w:type="dxa"/>
            <w:tcBorders>
              <w:top w:val="single" w:sz="4" w:space="0" w:color="auto"/>
              <w:left w:val="nil"/>
              <w:bottom w:val="nil"/>
              <w:right w:val="nil"/>
            </w:tcBorders>
            <w:shd w:val="clear" w:color="auto" w:fill="auto"/>
            <w:noWrap/>
            <w:vAlign w:val="bottom"/>
            <w:hideMark/>
          </w:tcPr>
          <w:p w14:paraId="09E31D8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68F065F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6985594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3BBDCAE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7B1D29B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28D788F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10F9F3C8" w14:textId="77777777" w:rsidTr="00F861D8">
        <w:trPr>
          <w:trHeight w:val="370"/>
        </w:trPr>
        <w:tc>
          <w:tcPr>
            <w:tcW w:w="4248" w:type="dxa"/>
            <w:tcBorders>
              <w:top w:val="nil"/>
              <w:left w:val="nil"/>
              <w:bottom w:val="single" w:sz="4" w:space="0" w:color="auto"/>
              <w:right w:val="nil"/>
            </w:tcBorders>
            <w:shd w:val="clear" w:color="auto" w:fill="auto"/>
            <w:vAlign w:val="center"/>
            <w:hideMark/>
          </w:tcPr>
          <w:p w14:paraId="5F8EFFF6" w14:textId="4F449BBF"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Contribución a los gastos comunes (mantenimiento de oficinas, seguridad común, servicios de central telefónica, etc.)</w:t>
            </w:r>
          </w:p>
        </w:tc>
        <w:tc>
          <w:tcPr>
            <w:tcW w:w="1170" w:type="dxa"/>
            <w:tcBorders>
              <w:top w:val="nil"/>
              <w:left w:val="nil"/>
              <w:bottom w:val="single" w:sz="4" w:space="0" w:color="auto"/>
              <w:right w:val="nil"/>
            </w:tcBorders>
            <w:shd w:val="clear" w:color="auto" w:fill="auto"/>
            <w:noWrap/>
            <w:vAlign w:val="bottom"/>
            <w:hideMark/>
          </w:tcPr>
          <w:p w14:paraId="0BFE6034" w14:textId="2B3AD5CB"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45 000</w:t>
            </w:r>
          </w:p>
        </w:tc>
        <w:tc>
          <w:tcPr>
            <w:tcW w:w="990" w:type="dxa"/>
            <w:tcBorders>
              <w:top w:val="nil"/>
              <w:left w:val="nil"/>
              <w:bottom w:val="single" w:sz="4" w:space="0" w:color="auto"/>
              <w:right w:val="nil"/>
            </w:tcBorders>
            <w:shd w:val="clear" w:color="auto" w:fill="auto"/>
            <w:noWrap/>
            <w:vAlign w:val="bottom"/>
            <w:hideMark/>
          </w:tcPr>
          <w:p w14:paraId="38BD6A9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auto" w:fill="auto"/>
            <w:noWrap/>
            <w:vAlign w:val="bottom"/>
            <w:hideMark/>
          </w:tcPr>
          <w:p w14:paraId="55AE98BD" w14:textId="2F2A3595"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45 000</w:t>
            </w:r>
          </w:p>
        </w:tc>
        <w:tc>
          <w:tcPr>
            <w:tcW w:w="1170" w:type="dxa"/>
            <w:tcBorders>
              <w:top w:val="nil"/>
              <w:left w:val="nil"/>
              <w:bottom w:val="single" w:sz="4" w:space="0" w:color="auto"/>
              <w:right w:val="nil"/>
            </w:tcBorders>
            <w:shd w:val="clear" w:color="auto" w:fill="auto"/>
            <w:noWrap/>
            <w:vAlign w:val="bottom"/>
            <w:hideMark/>
          </w:tcPr>
          <w:p w14:paraId="262676DC" w14:textId="6A8D418B"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45 000</w:t>
            </w:r>
          </w:p>
        </w:tc>
        <w:tc>
          <w:tcPr>
            <w:tcW w:w="990" w:type="dxa"/>
            <w:tcBorders>
              <w:top w:val="nil"/>
              <w:left w:val="nil"/>
              <w:bottom w:val="single" w:sz="4" w:space="0" w:color="auto"/>
              <w:right w:val="nil"/>
            </w:tcBorders>
            <w:shd w:val="clear" w:color="auto" w:fill="auto"/>
            <w:noWrap/>
            <w:vAlign w:val="bottom"/>
            <w:hideMark/>
          </w:tcPr>
          <w:p w14:paraId="2CAA947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auto" w:fill="auto"/>
            <w:noWrap/>
            <w:vAlign w:val="bottom"/>
            <w:hideMark/>
          </w:tcPr>
          <w:p w14:paraId="270F4C97" w14:textId="6798F92B"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45 000</w:t>
            </w:r>
          </w:p>
        </w:tc>
      </w:tr>
      <w:tr w:rsidR="000958F5" w:rsidRPr="00F861D8" w14:paraId="44829B52"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6009F89A" w14:textId="66EEF32C"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3.2.4</w:t>
            </w:r>
            <w:r w:rsidR="003B4951" w:rsidRPr="00F861D8">
              <w:rPr>
                <w:rFonts w:ascii="Times New Roman" w:hAnsi="Times New Roman"/>
                <w:b/>
                <w:bCs/>
                <w:sz w:val="18"/>
                <w:szCs w:val="18"/>
                <w:lang w:val="es-ES_tradnl"/>
              </w:rPr>
              <w:t xml:space="preserve"> </w:t>
            </w:r>
            <w:r w:rsidRPr="00F861D8">
              <w:rPr>
                <w:rFonts w:ascii="Times New Roman" w:hAnsi="Times New Roman"/>
                <w:b/>
                <w:bCs/>
                <w:sz w:val="18"/>
                <w:szCs w:val="18"/>
                <w:lang w:val="es-ES_tradnl"/>
              </w:rPr>
              <w:t>Locales</w:t>
            </w:r>
          </w:p>
        </w:tc>
        <w:tc>
          <w:tcPr>
            <w:tcW w:w="1170" w:type="dxa"/>
            <w:tcBorders>
              <w:top w:val="single" w:sz="4" w:space="0" w:color="auto"/>
              <w:left w:val="nil"/>
              <w:bottom w:val="single" w:sz="4" w:space="0" w:color="auto"/>
              <w:right w:val="nil"/>
            </w:tcBorders>
            <w:shd w:val="clear" w:color="auto" w:fill="auto"/>
            <w:noWrap/>
            <w:vAlign w:val="bottom"/>
            <w:hideMark/>
          </w:tcPr>
          <w:p w14:paraId="79930794" w14:textId="59D1799A"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45 000</w:t>
            </w:r>
          </w:p>
        </w:tc>
        <w:tc>
          <w:tcPr>
            <w:tcW w:w="990" w:type="dxa"/>
            <w:tcBorders>
              <w:top w:val="single" w:sz="4" w:space="0" w:color="auto"/>
              <w:left w:val="nil"/>
              <w:bottom w:val="single" w:sz="4" w:space="0" w:color="auto"/>
              <w:right w:val="nil"/>
            </w:tcBorders>
            <w:shd w:val="clear" w:color="auto" w:fill="auto"/>
            <w:noWrap/>
            <w:vAlign w:val="bottom"/>
            <w:hideMark/>
          </w:tcPr>
          <w:p w14:paraId="1896BE9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990" w:type="dxa"/>
            <w:tcBorders>
              <w:top w:val="single" w:sz="4" w:space="0" w:color="auto"/>
              <w:left w:val="nil"/>
              <w:bottom w:val="single" w:sz="4" w:space="0" w:color="auto"/>
              <w:right w:val="nil"/>
            </w:tcBorders>
            <w:shd w:val="clear" w:color="auto" w:fill="auto"/>
            <w:noWrap/>
            <w:vAlign w:val="bottom"/>
            <w:hideMark/>
          </w:tcPr>
          <w:p w14:paraId="6A1A6A37" w14:textId="430A1E76"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45 000</w:t>
            </w:r>
          </w:p>
        </w:tc>
        <w:tc>
          <w:tcPr>
            <w:tcW w:w="1170" w:type="dxa"/>
            <w:tcBorders>
              <w:top w:val="single" w:sz="4" w:space="0" w:color="auto"/>
              <w:left w:val="nil"/>
              <w:bottom w:val="single" w:sz="4" w:space="0" w:color="auto"/>
              <w:right w:val="nil"/>
            </w:tcBorders>
            <w:shd w:val="clear" w:color="auto" w:fill="auto"/>
            <w:noWrap/>
            <w:vAlign w:val="bottom"/>
            <w:hideMark/>
          </w:tcPr>
          <w:p w14:paraId="1269A523" w14:textId="7BF6D6DE"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45 000</w:t>
            </w:r>
          </w:p>
        </w:tc>
        <w:tc>
          <w:tcPr>
            <w:tcW w:w="990" w:type="dxa"/>
            <w:tcBorders>
              <w:top w:val="single" w:sz="4" w:space="0" w:color="auto"/>
              <w:left w:val="nil"/>
              <w:bottom w:val="single" w:sz="4" w:space="0" w:color="auto"/>
              <w:right w:val="nil"/>
            </w:tcBorders>
            <w:shd w:val="clear" w:color="auto" w:fill="auto"/>
            <w:noWrap/>
            <w:vAlign w:val="bottom"/>
            <w:hideMark/>
          </w:tcPr>
          <w:p w14:paraId="79F0EB6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1026" w:type="dxa"/>
            <w:tcBorders>
              <w:top w:val="single" w:sz="4" w:space="0" w:color="auto"/>
              <w:left w:val="nil"/>
              <w:bottom w:val="single" w:sz="4" w:space="0" w:color="auto"/>
              <w:right w:val="nil"/>
            </w:tcBorders>
            <w:shd w:val="clear" w:color="auto" w:fill="auto"/>
            <w:noWrap/>
            <w:vAlign w:val="bottom"/>
            <w:hideMark/>
          </w:tcPr>
          <w:p w14:paraId="2A84D240" w14:textId="153EE72B"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45 000</w:t>
            </w:r>
          </w:p>
        </w:tc>
      </w:tr>
      <w:tr w:rsidR="000958F5" w:rsidRPr="000930FA" w14:paraId="4C403B9C"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618D69DC" w14:textId="4837C23B" w:rsidR="000958F5" w:rsidRPr="00F861D8" w:rsidRDefault="000958F5" w:rsidP="007751C4">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3.2.5 Impresoras, fotocopiadoras, servicios informáticos y componentes varios</w:t>
            </w:r>
          </w:p>
        </w:tc>
        <w:tc>
          <w:tcPr>
            <w:tcW w:w="1170" w:type="dxa"/>
            <w:tcBorders>
              <w:top w:val="single" w:sz="4" w:space="0" w:color="auto"/>
              <w:left w:val="nil"/>
              <w:bottom w:val="nil"/>
              <w:right w:val="nil"/>
            </w:tcBorders>
            <w:shd w:val="clear" w:color="auto" w:fill="auto"/>
            <w:noWrap/>
            <w:vAlign w:val="bottom"/>
            <w:hideMark/>
          </w:tcPr>
          <w:p w14:paraId="09230B4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2075051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4450990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630B3CF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412EBC0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38EF37E6" w14:textId="77777777" w:rsidR="000958F5" w:rsidRPr="00F861D8" w:rsidRDefault="000958F5" w:rsidP="000D3AC4">
            <w:pPr>
              <w:spacing w:before="40" w:after="40" w:line="240" w:lineRule="auto"/>
              <w:jc w:val="right"/>
              <w:rPr>
                <w:rFonts w:ascii="Times New Roman" w:hAnsi="Times New Roman"/>
                <w:sz w:val="18"/>
                <w:szCs w:val="18"/>
                <w:lang w:val="es-ES_tradnl"/>
              </w:rPr>
            </w:pPr>
          </w:p>
        </w:tc>
      </w:tr>
      <w:tr w:rsidR="000958F5" w:rsidRPr="00F861D8" w14:paraId="1BC3F53C" w14:textId="77777777" w:rsidTr="00F861D8">
        <w:trPr>
          <w:trHeight w:val="273"/>
        </w:trPr>
        <w:tc>
          <w:tcPr>
            <w:tcW w:w="4248" w:type="dxa"/>
            <w:tcBorders>
              <w:top w:val="nil"/>
              <w:left w:val="nil"/>
              <w:bottom w:val="nil"/>
              <w:right w:val="nil"/>
            </w:tcBorders>
            <w:shd w:val="clear" w:color="auto" w:fill="auto"/>
            <w:noWrap/>
            <w:vAlign w:val="center"/>
            <w:hideMark/>
          </w:tcPr>
          <w:p w14:paraId="573BAD55" w14:textId="621C83F8"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Funcionamiento y mantenimiento de impresoras y fotocopiadoras</w:t>
            </w:r>
          </w:p>
        </w:tc>
        <w:tc>
          <w:tcPr>
            <w:tcW w:w="1170" w:type="dxa"/>
            <w:tcBorders>
              <w:top w:val="nil"/>
              <w:left w:val="nil"/>
              <w:bottom w:val="nil"/>
              <w:right w:val="nil"/>
            </w:tcBorders>
            <w:shd w:val="clear" w:color="auto" w:fill="auto"/>
            <w:noWrap/>
            <w:vAlign w:val="bottom"/>
            <w:hideMark/>
          </w:tcPr>
          <w:p w14:paraId="277571AB" w14:textId="3D82767E"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c>
          <w:tcPr>
            <w:tcW w:w="990" w:type="dxa"/>
            <w:tcBorders>
              <w:top w:val="nil"/>
              <w:left w:val="nil"/>
              <w:bottom w:val="nil"/>
              <w:right w:val="nil"/>
            </w:tcBorders>
            <w:shd w:val="clear" w:color="auto" w:fill="auto"/>
            <w:noWrap/>
            <w:vAlign w:val="bottom"/>
            <w:hideMark/>
          </w:tcPr>
          <w:p w14:paraId="5F96742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29F2DD80" w14:textId="525BA94F"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c>
          <w:tcPr>
            <w:tcW w:w="1170" w:type="dxa"/>
            <w:tcBorders>
              <w:top w:val="nil"/>
              <w:left w:val="nil"/>
              <w:bottom w:val="nil"/>
              <w:right w:val="nil"/>
            </w:tcBorders>
            <w:shd w:val="clear" w:color="auto" w:fill="auto"/>
            <w:noWrap/>
            <w:vAlign w:val="bottom"/>
            <w:hideMark/>
          </w:tcPr>
          <w:p w14:paraId="65284F77" w14:textId="0BE48A9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c>
          <w:tcPr>
            <w:tcW w:w="990" w:type="dxa"/>
            <w:tcBorders>
              <w:top w:val="nil"/>
              <w:left w:val="nil"/>
              <w:bottom w:val="nil"/>
              <w:right w:val="nil"/>
            </w:tcBorders>
            <w:shd w:val="clear" w:color="auto" w:fill="auto"/>
            <w:noWrap/>
            <w:vAlign w:val="bottom"/>
            <w:hideMark/>
          </w:tcPr>
          <w:p w14:paraId="567D6B8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24924DEB" w14:textId="166C5A2D"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r>
      <w:tr w:rsidR="000958F5" w:rsidRPr="00F861D8" w14:paraId="3E1D7761" w14:textId="77777777" w:rsidTr="00F861D8">
        <w:trPr>
          <w:trHeight w:val="273"/>
        </w:trPr>
        <w:tc>
          <w:tcPr>
            <w:tcW w:w="4248" w:type="dxa"/>
            <w:tcBorders>
              <w:top w:val="nil"/>
              <w:left w:val="nil"/>
              <w:bottom w:val="nil"/>
              <w:right w:val="nil"/>
            </w:tcBorders>
            <w:shd w:val="clear" w:color="auto" w:fill="auto"/>
            <w:noWrap/>
            <w:hideMark/>
          </w:tcPr>
          <w:p w14:paraId="47A3AF80" w14:textId="225730DF"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Programas informáticos y otros gastos</w:t>
            </w:r>
          </w:p>
        </w:tc>
        <w:tc>
          <w:tcPr>
            <w:tcW w:w="1170" w:type="dxa"/>
            <w:tcBorders>
              <w:top w:val="nil"/>
              <w:left w:val="nil"/>
              <w:bottom w:val="nil"/>
              <w:right w:val="nil"/>
            </w:tcBorders>
            <w:shd w:val="clear" w:color="auto" w:fill="auto"/>
            <w:noWrap/>
            <w:vAlign w:val="bottom"/>
            <w:hideMark/>
          </w:tcPr>
          <w:p w14:paraId="6D909DE2" w14:textId="7A24ACF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4 000</w:t>
            </w:r>
          </w:p>
        </w:tc>
        <w:tc>
          <w:tcPr>
            <w:tcW w:w="990" w:type="dxa"/>
            <w:tcBorders>
              <w:top w:val="nil"/>
              <w:left w:val="nil"/>
              <w:bottom w:val="nil"/>
              <w:right w:val="nil"/>
            </w:tcBorders>
            <w:shd w:val="clear" w:color="auto" w:fill="auto"/>
            <w:noWrap/>
            <w:vAlign w:val="bottom"/>
            <w:hideMark/>
          </w:tcPr>
          <w:p w14:paraId="6005E5E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5D50CF77" w14:textId="34643EB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4 000</w:t>
            </w:r>
          </w:p>
        </w:tc>
        <w:tc>
          <w:tcPr>
            <w:tcW w:w="1170" w:type="dxa"/>
            <w:tcBorders>
              <w:top w:val="nil"/>
              <w:left w:val="nil"/>
              <w:bottom w:val="nil"/>
              <w:right w:val="nil"/>
            </w:tcBorders>
            <w:shd w:val="clear" w:color="auto" w:fill="auto"/>
            <w:noWrap/>
            <w:vAlign w:val="bottom"/>
            <w:hideMark/>
          </w:tcPr>
          <w:p w14:paraId="0033E333" w14:textId="593D3B99"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4 000</w:t>
            </w:r>
          </w:p>
        </w:tc>
        <w:tc>
          <w:tcPr>
            <w:tcW w:w="990" w:type="dxa"/>
            <w:tcBorders>
              <w:top w:val="nil"/>
              <w:left w:val="nil"/>
              <w:bottom w:val="nil"/>
              <w:right w:val="nil"/>
            </w:tcBorders>
            <w:shd w:val="clear" w:color="auto" w:fill="auto"/>
            <w:noWrap/>
            <w:vAlign w:val="bottom"/>
            <w:hideMark/>
          </w:tcPr>
          <w:p w14:paraId="619FBC4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48068B5E" w14:textId="13BB42B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4 000</w:t>
            </w:r>
          </w:p>
        </w:tc>
      </w:tr>
      <w:tr w:rsidR="000958F5" w:rsidRPr="00F861D8" w14:paraId="35CC92E5"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0B79A31A" w14:textId="0056A0AC"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Servicios de apoyo informático</w:t>
            </w:r>
          </w:p>
        </w:tc>
        <w:tc>
          <w:tcPr>
            <w:tcW w:w="1170" w:type="dxa"/>
            <w:tcBorders>
              <w:top w:val="nil"/>
              <w:left w:val="nil"/>
              <w:bottom w:val="single" w:sz="4" w:space="0" w:color="auto"/>
              <w:right w:val="nil"/>
            </w:tcBorders>
            <w:shd w:val="clear" w:color="auto" w:fill="auto"/>
            <w:noWrap/>
            <w:vAlign w:val="bottom"/>
            <w:hideMark/>
          </w:tcPr>
          <w:p w14:paraId="5472CE46" w14:textId="4653A365"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25 000</w:t>
            </w:r>
          </w:p>
        </w:tc>
        <w:tc>
          <w:tcPr>
            <w:tcW w:w="990" w:type="dxa"/>
            <w:tcBorders>
              <w:top w:val="nil"/>
              <w:left w:val="nil"/>
              <w:bottom w:val="single" w:sz="4" w:space="0" w:color="auto"/>
              <w:right w:val="nil"/>
            </w:tcBorders>
            <w:shd w:val="clear" w:color="auto" w:fill="auto"/>
            <w:noWrap/>
            <w:vAlign w:val="bottom"/>
            <w:hideMark/>
          </w:tcPr>
          <w:p w14:paraId="53602540" w14:textId="2EB52DA4"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36 250</w:t>
            </w:r>
          </w:p>
        </w:tc>
        <w:tc>
          <w:tcPr>
            <w:tcW w:w="990" w:type="dxa"/>
            <w:tcBorders>
              <w:top w:val="nil"/>
              <w:left w:val="nil"/>
              <w:bottom w:val="single" w:sz="4" w:space="0" w:color="auto"/>
              <w:right w:val="nil"/>
            </w:tcBorders>
            <w:shd w:val="clear" w:color="auto" w:fill="auto"/>
            <w:noWrap/>
            <w:vAlign w:val="bottom"/>
            <w:hideMark/>
          </w:tcPr>
          <w:p w14:paraId="2A81EF94" w14:textId="052F21A3"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61 250</w:t>
            </w:r>
          </w:p>
        </w:tc>
        <w:tc>
          <w:tcPr>
            <w:tcW w:w="1170" w:type="dxa"/>
            <w:tcBorders>
              <w:top w:val="nil"/>
              <w:left w:val="nil"/>
              <w:bottom w:val="single" w:sz="4" w:space="0" w:color="auto"/>
              <w:right w:val="nil"/>
            </w:tcBorders>
            <w:shd w:val="clear" w:color="auto" w:fill="auto"/>
            <w:noWrap/>
            <w:vAlign w:val="bottom"/>
            <w:hideMark/>
          </w:tcPr>
          <w:p w14:paraId="55D0C6BF" w14:textId="75C4EC5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25 000</w:t>
            </w:r>
          </w:p>
        </w:tc>
        <w:tc>
          <w:tcPr>
            <w:tcW w:w="990" w:type="dxa"/>
            <w:tcBorders>
              <w:top w:val="nil"/>
              <w:left w:val="nil"/>
              <w:bottom w:val="single" w:sz="4" w:space="0" w:color="auto"/>
              <w:right w:val="nil"/>
            </w:tcBorders>
            <w:shd w:val="clear" w:color="auto" w:fill="auto"/>
            <w:noWrap/>
            <w:vAlign w:val="bottom"/>
            <w:hideMark/>
          </w:tcPr>
          <w:p w14:paraId="45658040" w14:textId="4CD9864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36 250</w:t>
            </w:r>
          </w:p>
        </w:tc>
        <w:tc>
          <w:tcPr>
            <w:tcW w:w="1026" w:type="dxa"/>
            <w:tcBorders>
              <w:top w:val="nil"/>
              <w:left w:val="nil"/>
              <w:bottom w:val="single" w:sz="4" w:space="0" w:color="auto"/>
              <w:right w:val="nil"/>
            </w:tcBorders>
            <w:shd w:val="clear" w:color="auto" w:fill="auto"/>
            <w:noWrap/>
            <w:vAlign w:val="bottom"/>
            <w:hideMark/>
          </w:tcPr>
          <w:p w14:paraId="61F6028C" w14:textId="6894D7FD"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61 250</w:t>
            </w:r>
          </w:p>
        </w:tc>
      </w:tr>
      <w:tr w:rsidR="000958F5" w:rsidRPr="00F861D8" w14:paraId="7CF11FE0"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042C3376" w14:textId="5C6251D2"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3.2.5</w:t>
            </w:r>
            <w:r w:rsidR="003B4951" w:rsidRPr="00F861D8">
              <w:rPr>
                <w:rFonts w:ascii="Times New Roman" w:hAnsi="Times New Roman"/>
                <w:b/>
                <w:bCs/>
                <w:sz w:val="18"/>
                <w:szCs w:val="18"/>
                <w:lang w:val="es-ES_tradnl"/>
              </w:rPr>
              <w:t xml:space="preserve"> </w:t>
            </w:r>
            <w:r w:rsidRPr="00F861D8">
              <w:rPr>
                <w:rFonts w:ascii="Times New Roman" w:hAnsi="Times New Roman"/>
                <w:b/>
                <w:bCs/>
                <w:sz w:val="18"/>
                <w:szCs w:val="18"/>
                <w:lang w:val="es-ES_tradnl"/>
              </w:rPr>
              <w:t>Impresoras, fotocopiadoras y servicios informáticos</w:t>
            </w:r>
          </w:p>
        </w:tc>
        <w:tc>
          <w:tcPr>
            <w:tcW w:w="1170" w:type="dxa"/>
            <w:tcBorders>
              <w:top w:val="single" w:sz="4" w:space="0" w:color="auto"/>
              <w:left w:val="nil"/>
              <w:bottom w:val="single" w:sz="4" w:space="0" w:color="auto"/>
              <w:right w:val="nil"/>
            </w:tcBorders>
            <w:shd w:val="clear" w:color="auto" w:fill="auto"/>
            <w:noWrap/>
            <w:vAlign w:val="bottom"/>
            <w:hideMark/>
          </w:tcPr>
          <w:p w14:paraId="2EBEE84C" w14:textId="4EC539AE"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34 000</w:t>
            </w:r>
          </w:p>
        </w:tc>
        <w:tc>
          <w:tcPr>
            <w:tcW w:w="990" w:type="dxa"/>
            <w:tcBorders>
              <w:top w:val="single" w:sz="4" w:space="0" w:color="auto"/>
              <w:left w:val="nil"/>
              <w:bottom w:val="single" w:sz="4" w:space="0" w:color="auto"/>
              <w:right w:val="nil"/>
            </w:tcBorders>
            <w:shd w:val="clear" w:color="auto" w:fill="auto"/>
            <w:noWrap/>
            <w:vAlign w:val="bottom"/>
            <w:hideMark/>
          </w:tcPr>
          <w:p w14:paraId="6CE26873" w14:textId="396F687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36 250</w:t>
            </w:r>
          </w:p>
        </w:tc>
        <w:tc>
          <w:tcPr>
            <w:tcW w:w="990" w:type="dxa"/>
            <w:tcBorders>
              <w:top w:val="single" w:sz="4" w:space="0" w:color="auto"/>
              <w:left w:val="nil"/>
              <w:bottom w:val="single" w:sz="4" w:space="0" w:color="auto"/>
              <w:right w:val="nil"/>
            </w:tcBorders>
            <w:shd w:val="clear" w:color="auto" w:fill="auto"/>
            <w:noWrap/>
            <w:vAlign w:val="bottom"/>
            <w:hideMark/>
          </w:tcPr>
          <w:p w14:paraId="44CDF080" w14:textId="0C8B1E0B"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70 250</w:t>
            </w:r>
          </w:p>
        </w:tc>
        <w:tc>
          <w:tcPr>
            <w:tcW w:w="1170" w:type="dxa"/>
            <w:tcBorders>
              <w:top w:val="single" w:sz="4" w:space="0" w:color="auto"/>
              <w:left w:val="nil"/>
              <w:bottom w:val="single" w:sz="4" w:space="0" w:color="auto"/>
              <w:right w:val="nil"/>
            </w:tcBorders>
            <w:shd w:val="clear" w:color="auto" w:fill="auto"/>
            <w:noWrap/>
            <w:vAlign w:val="bottom"/>
            <w:hideMark/>
          </w:tcPr>
          <w:p w14:paraId="2B90278F" w14:textId="7FBB3B54"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34 000</w:t>
            </w:r>
          </w:p>
        </w:tc>
        <w:tc>
          <w:tcPr>
            <w:tcW w:w="990" w:type="dxa"/>
            <w:tcBorders>
              <w:top w:val="single" w:sz="4" w:space="0" w:color="auto"/>
              <w:left w:val="nil"/>
              <w:bottom w:val="single" w:sz="4" w:space="0" w:color="auto"/>
              <w:right w:val="nil"/>
            </w:tcBorders>
            <w:shd w:val="clear" w:color="auto" w:fill="auto"/>
            <w:noWrap/>
            <w:vAlign w:val="bottom"/>
            <w:hideMark/>
          </w:tcPr>
          <w:p w14:paraId="544A503F" w14:textId="47C9E6B7"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36 250</w:t>
            </w:r>
          </w:p>
        </w:tc>
        <w:tc>
          <w:tcPr>
            <w:tcW w:w="1026" w:type="dxa"/>
            <w:tcBorders>
              <w:top w:val="single" w:sz="4" w:space="0" w:color="auto"/>
              <w:left w:val="nil"/>
              <w:bottom w:val="single" w:sz="4" w:space="0" w:color="auto"/>
              <w:right w:val="nil"/>
            </w:tcBorders>
            <w:shd w:val="clear" w:color="auto" w:fill="auto"/>
            <w:noWrap/>
            <w:vAlign w:val="bottom"/>
            <w:hideMark/>
          </w:tcPr>
          <w:p w14:paraId="41F55CAD" w14:textId="7B076D3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70 250</w:t>
            </w:r>
          </w:p>
        </w:tc>
      </w:tr>
      <w:tr w:rsidR="000958F5" w:rsidRPr="000930FA" w14:paraId="4A209272"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4960DC12" w14:textId="46C04FBF"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3.2.6 Teléfono, franqueos y gastos diversos</w:t>
            </w:r>
          </w:p>
        </w:tc>
        <w:tc>
          <w:tcPr>
            <w:tcW w:w="1170" w:type="dxa"/>
            <w:tcBorders>
              <w:top w:val="single" w:sz="4" w:space="0" w:color="auto"/>
              <w:left w:val="nil"/>
              <w:bottom w:val="nil"/>
              <w:right w:val="nil"/>
            </w:tcBorders>
            <w:shd w:val="clear" w:color="auto" w:fill="auto"/>
            <w:noWrap/>
            <w:vAlign w:val="bottom"/>
            <w:hideMark/>
          </w:tcPr>
          <w:p w14:paraId="23E7769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01BCF60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4936C0A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5489D8A1" w14:textId="77777777" w:rsidR="000958F5" w:rsidRPr="00F861D8" w:rsidRDefault="000958F5" w:rsidP="000D3AC4">
            <w:pPr>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4748830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43D7D55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717A73A8" w14:textId="77777777" w:rsidTr="00F861D8">
        <w:trPr>
          <w:trHeight w:val="273"/>
        </w:trPr>
        <w:tc>
          <w:tcPr>
            <w:tcW w:w="4248" w:type="dxa"/>
            <w:tcBorders>
              <w:top w:val="nil"/>
              <w:left w:val="nil"/>
              <w:bottom w:val="nil"/>
              <w:right w:val="nil"/>
            </w:tcBorders>
            <w:shd w:val="clear" w:color="auto" w:fill="auto"/>
            <w:noWrap/>
            <w:vAlign w:val="center"/>
            <w:hideMark/>
          </w:tcPr>
          <w:p w14:paraId="5E9EF475" w14:textId="1BD782F1"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 xml:space="preserve">Teléfono </w:t>
            </w:r>
          </w:p>
        </w:tc>
        <w:tc>
          <w:tcPr>
            <w:tcW w:w="1170" w:type="dxa"/>
            <w:tcBorders>
              <w:top w:val="nil"/>
              <w:left w:val="nil"/>
              <w:bottom w:val="nil"/>
              <w:right w:val="nil"/>
            </w:tcBorders>
            <w:shd w:val="clear" w:color="auto" w:fill="auto"/>
            <w:noWrap/>
            <w:vAlign w:val="bottom"/>
            <w:hideMark/>
          </w:tcPr>
          <w:p w14:paraId="13150C91" w14:textId="2F60C454"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20 000</w:t>
            </w:r>
          </w:p>
        </w:tc>
        <w:tc>
          <w:tcPr>
            <w:tcW w:w="990" w:type="dxa"/>
            <w:tcBorders>
              <w:top w:val="nil"/>
              <w:left w:val="nil"/>
              <w:bottom w:val="nil"/>
              <w:right w:val="nil"/>
            </w:tcBorders>
            <w:shd w:val="clear" w:color="auto" w:fill="auto"/>
            <w:noWrap/>
            <w:vAlign w:val="bottom"/>
            <w:hideMark/>
          </w:tcPr>
          <w:p w14:paraId="298FC4E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nil"/>
              <w:right w:val="nil"/>
            </w:tcBorders>
            <w:shd w:val="clear" w:color="auto" w:fill="auto"/>
            <w:noWrap/>
            <w:vAlign w:val="bottom"/>
            <w:hideMark/>
          </w:tcPr>
          <w:p w14:paraId="0B81D4E5" w14:textId="190DAF96"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20 000</w:t>
            </w:r>
          </w:p>
        </w:tc>
        <w:tc>
          <w:tcPr>
            <w:tcW w:w="1170" w:type="dxa"/>
            <w:tcBorders>
              <w:top w:val="nil"/>
              <w:left w:val="nil"/>
              <w:bottom w:val="nil"/>
              <w:right w:val="nil"/>
            </w:tcBorders>
            <w:shd w:val="clear" w:color="auto" w:fill="auto"/>
            <w:noWrap/>
            <w:vAlign w:val="bottom"/>
            <w:hideMark/>
          </w:tcPr>
          <w:p w14:paraId="0ED11C27" w14:textId="0A83EEA2"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20 000</w:t>
            </w:r>
          </w:p>
        </w:tc>
        <w:tc>
          <w:tcPr>
            <w:tcW w:w="990" w:type="dxa"/>
            <w:tcBorders>
              <w:top w:val="nil"/>
              <w:left w:val="nil"/>
              <w:bottom w:val="nil"/>
              <w:right w:val="nil"/>
            </w:tcBorders>
            <w:shd w:val="clear" w:color="auto" w:fill="auto"/>
            <w:noWrap/>
            <w:vAlign w:val="bottom"/>
            <w:hideMark/>
          </w:tcPr>
          <w:p w14:paraId="0731B82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nil"/>
              <w:right w:val="nil"/>
            </w:tcBorders>
            <w:shd w:val="clear" w:color="auto" w:fill="auto"/>
            <w:noWrap/>
            <w:vAlign w:val="bottom"/>
            <w:hideMark/>
          </w:tcPr>
          <w:p w14:paraId="197325B6" w14:textId="31CD1736"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20 000</w:t>
            </w:r>
          </w:p>
        </w:tc>
      </w:tr>
      <w:tr w:rsidR="000958F5" w:rsidRPr="00F861D8" w14:paraId="0550895D"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01B3EB3F" w14:textId="7E80D5F7"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lastRenderedPageBreak/>
              <w:t xml:space="preserve">Franqueos y gastos diversos </w:t>
            </w:r>
          </w:p>
        </w:tc>
        <w:tc>
          <w:tcPr>
            <w:tcW w:w="1170" w:type="dxa"/>
            <w:tcBorders>
              <w:top w:val="nil"/>
              <w:left w:val="nil"/>
              <w:bottom w:val="single" w:sz="4" w:space="0" w:color="auto"/>
              <w:right w:val="nil"/>
            </w:tcBorders>
            <w:shd w:val="clear" w:color="auto" w:fill="auto"/>
            <w:noWrap/>
            <w:vAlign w:val="bottom"/>
            <w:hideMark/>
          </w:tcPr>
          <w:p w14:paraId="6E54830F" w14:textId="45442A6A"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2 000</w:t>
            </w:r>
          </w:p>
        </w:tc>
        <w:tc>
          <w:tcPr>
            <w:tcW w:w="990" w:type="dxa"/>
            <w:tcBorders>
              <w:top w:val="nil"/>
              <w:left w:val="nil"/>
              <w:bottom w:val="single" w:sz="4" w:space="0" w:color="auto"/>
              <w:right w:val="nil"/>
            </w:tcBorders>
            <w:shd w:val="clear" w:color="auto" w:fill="auto"/>
            <w:noWrap/>
            <w:vAlign w:val="bottom"/>
            <w:hideMark/>
          </w:tcPr>
          <w:p w14:paraId="3B34D8F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auto" w:fill="auto"/>
            <w:noWrap/>
            <w:vAlign w:val="bottom"/>
            <w:hideMark/>
          </w:tcPr>
          <w:p w14:paraId="7574C968" w14:textId="4463C938"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2 000</w:t>
            </w:r>
          </w:p>
        </w:tc>
        <w:tc>
          <w:tcPr>
            <w:tcW w:w="1170" w:type="dxa"/>
            <w:tcBorders>
              <w:top w:val="nil"/>
              <w:left w:val="nil"/>
              <w:bottom w:val="single" w:sz="4" w:space="0" w:color="auto"/>
              <w:right w:val="nil"/>
            </w:tcBorders>
            <w:shd w:val="clear" w:color="auto" w:fill="auto"/>
            <w:noWrap/>
            <w:vAlign w:val="bottom"/>
            <w:hideMark/>
          </w:tcPr>
          <w:p w14:paraId="1C5F8BC7" w14:textId="6DD152D7"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2 000</w:t>
            </w:r>
          </w:p>
        </w:tc>
        <w:tc>
          <w:tcPr>
            <w:tcW w:w="990" w:type="dxa"/>
            <w:tcBorders>
              <w:top w:val="nil"/>
              <w:left w:val="nil"/>
              <w:bottom w:val="single" w:sz="4" w:space="0" w:color="auto"/>
              <w:right w:val="nil"/>
            </w:tcBorders>
            <w:shd w:val="clear" w:color="auto" w:fill="auto"/>
            <w:noWrap/>
            <w:vAlign w:val="bottom"/>
            <w:hideMark/>
          </w:tcPr>
          <w:p w14:paraId="1882017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auto" w:fill="auto"/>
            <w:noWrap/>
            <w:vAlign w:val="bottom"/>
            <w:hideMark/>
          </w:tcPr>
          <w:p w14:paraId="4E7F50EE" w14:textId="1D5574F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2 000</w:t>
            </w:r>
          </w:p>
        </w:tc>
      </w:tr>
      <w:tr w:rsidR="000958F5" w:rsidRPr="00F861D8" w14:paraId="0B7E8D72"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7DB27286" w14:textId="5D8ACFB7"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3.2.6 Teléfono, franqueos y gastos diversos</w:t>
            </w:r>
          </w:p>
        </w:tc>
        <w:tc>
          <w:tcPr>
            <w:tcW w:w="1170" w:type="dxa"/>
            <w:tcBorders>
              <w:top w:val="single" w:sz="4" w:space="0" w:color="auto"/>
              <w:left w:val="nil"/>
              <w:bottom w:val="single" w:sz="4" w:space="0" w:color="auto"/>
              <w:right w:val="nil"/>
            </w:tcBorders>
            <w:shd w:val="clear" w:color="auto" w:fill="auto"/>
            <w:noWrap/>
            <w:vAlign w:val="bottom"/>
            <w:hideMark/>
          </w:tcPr>
          <w:p w14:paraId="41E0724B" w14:textId="50C8B224"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22 000</w:t>
            </w:r>
          </w:p>
        </w:tc>
        <w:tc>
          <w:tcPr>
            <w:tcW w:w="990" w:type="dxa"/>
            <w:tcBorders>
              <w:top w:val="single" w:sz="4" w:space="0" w:color="auto"/>
              <w:left w:val="nil"/>
              <w:bottom w:val="single" w:sz="4" w:space="0" w:color="auto"/>
              <w:right w:val="nil"/>
            </w:tcBorders>
            <w:shd w:val="clear" w:color="auto" w:fill="auto"/>
            <w:noWrap/>
            <w:vAlign w:val="bottom"/>
            <w:hideMark/>
          </w:tcPr>
          <w:p w14:paraId="5A8D8B9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990" w:type="dxa"/>
            <w:tcBorders>
              <w:top w:val="single" w:sz="4" w:space="0" w:color="auto"/>
              <w:left w:val="nil"/>
              <w:bottom w:val="single" w:sz="4" w:space="0" w:color="auto"/>
              <w:right w:val="nil"/>
            </w:tcBorders>
            <w:shd w:val="clear" w:color="auto" w:fill="auto"/>
            <w:noWrap/>
            <w:vAlign w:val="bottom"/>
            <w:hideMark/>
          </w:tcPr>
          <w:p w14:paraId="03306890" w14:textId="0F389792"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22 000</w:t>
            </w:r>
          </w:p>
        </w:tc>
        <w:tc>
          <w:tcPr>
            <w:tcW w:w="1170" w:type="dxa"/>
            <w:tcBorders>
              <w:top w:val="single" w:sz="4" w:space="0" w:color="auto"/>
              <w:left w:val="nil"/>
              <w:bottom w:val="single" w:sz="4" w:space="0" w:color="auto"/>
              <w:right w:val="nil"/>
            </w:tcBorders>
            <w:shd w:val="clear" w:color="auto" w:fill="auto"/>
            <w:noWrap/>
            <w:vAlign w:val="bottom"/>
            <w:hideMark/>
          </w:tcPr>
          <w:p w14:paraId="73280DD6" w14:textId="7B921822"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22 000</w:t>
            </w:r>
          </w:p>
        </w:tc>
        <w:tc>
          <w:tcPr>
            <w:tcW w:w="990" w:type="dxa"/>
            <w:tcBorders>
              <w:top w:val="single" w:sz="4" w:space="0" w:color="auto"/>
              <w:left w:val="nil"/>
              <w:bottom w:val="single" w:sz="4" w:space="0" w:color="auto"/>
              <w:right w:val="nil"/>
            </w:tcBorders>
            <w:shd w:val="clear" w:color="auto" w:fill="auto"/>
            <w:noWrap/>
            <w:vAlign w:val="bottom"/>
            <w:hideMark/>
          </w:tcPr>
          <w:p w14:paraId="62A7CD6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1026" w:type="dxa"/>
            <w:tcBorders>
              <w:top w:val="single" w:sz="4" w:space="0" w:color="auto"/>
              <w:left w:val="nil"/>
              <w:bottom w:val="single" w:sz="4" w:space="0" w:color="auto"/>
              <w:right w:val="nil"/>
            </w:tcBorders>
            <w:shd w:val="clear" w:color="auto" w:fill="auto"/>
            <w:noWrap/>
            <w:vAlign w:val="bottom"/>
            <w:hideMark/>
          </w:tcPr>
          <w:p w14:paraId="5A806A65" w14:textId="6719A721"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22 000</w:t>
            </w:r>
          </w:p>
        </w:tc>
      </w:tr>
      <w:tr w:rsidR="000958F5" w:rsidRPr="00F861D8" w14:paraId="48D9B9B9" w14:textId="77777777" w:rsidTr="00F861D8">
        <w:trPr>
          <w:trHeight w:val="273"/>
        </w:trPr>
        <w:tc>
          <w:tcPr>
            <w:tcW w:w="4248" w:type="dxa"/>
            <w:tcBorders>
              <w:top w:val="single" w:sz="4" w:space="0" w:color="auto"/>
              <w:left w:val="nil"/>
              <w:bottom w:val="nil"/>
              <w:right w:val="nil"/>
            </w:tcBorders>
            <w:shd w:val="clear" w:color="auto" w:fill="auto"/>
            <w:noWrap/>
            <w:vAlign w:val="center"/>
            <w:hideMark/>
          </w:tcPr>
          <w:p w14:paraId="1104FF58" w14:textId="5E26F114"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3.2.7 Atenciones sociales</w:t>
            </w:r>
            <w:r w:rsidRPr="00F861D8">
              <w:rPr>
                <w:rFonts w:ascii="Times New Roman" w:hAnsi="Times New Roman"/>
                <w:sz w:val="18"/>
                <w:szCs w:val="18"/>
                <w:lang w:val="es-ES_tradnl"/>
              </w:rPr>
              <w:t xml:space="preserve"> </w:t>
            </w:r>
          </w:p>
        </w:tc>
        <w:tc>
          <w:tcPr>
            <w:tcW w:w="1170" w:type="dxa"/>
            <w:tcBorders>
              <w:top w:val="single" w:sz="4" w:space="0" w:color="auto"/>
              <w:left w:val="nil"/>
              <w:bottom w:val="nil"/>
              <w:right w:val="nil"/>
            </w:tcBorders>
            <w:shd w:val="clear" w:color="auto" w:fill="auto"/>
            <w:noWrap/>
            <w:vAlign w:val="bottom"/>
            <w:hideMark/>
          </w:tcPr>
          <w:p w14:paraId="07C49DE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1CEA4C9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6389BE2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170" w:type="dxa"/>
            <w:tcBorders>
              <w:top w:val="single" w:sz="4" w:space="0" w:color="auto"/>
              <w:left w:val="nil"/>
              <w:bottom w:val="nil"/>
              <w:right w:val="nil"/>
            </w:tcBorders>
            <w:shd w:val="clear" w:color="auto" w:fill="auto"/>
            <w:noWrap/>
            <w:vAlign w:val="bottom"/>
            <w:hideMark/>
          </w:tcPr>
          <w:p w14:paraId="3650FB4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990" w:type="dxa"/>
            <w:tcBorders>
              <w:top w:val="single" w:sz="4" w:space="0" w:color="auto"/>
              <w:left w:val="nil"/>
              <w:bottom w:val="nil"/>
              <w:right w:val="nil"/>
            </w:tcBorders>
            <w:shd w:val="clear" w:color="auto" w:fill="auto"/>
            <w:noWrap/>
            <w:vAlign w:val="bottom"/>
            <w:hideMark/>
          </w:tcPr>
          <w:p w14:paraId="5BC5424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c>
          <w:tcPr>
            <w:tcW w:w="1026" w:type="dxa"/>
            <w:tcBorders>
              <w:top w:val="single" w:sz="4" w:space="0" w:color="auto"/>
              <w:left w:val="nil"/>
              <w:bottom w:val="nil"/>
              <w:right w:val="nil"/>
            </w:tcBorders>
            <w:shd w:val="clear" w:color="auto" w:fill="auto"/>
            <w:noWrap/>
            <w:vAlign w:val="bottom"/>
            <w:hideMark/>
          </w:tcPr>
          <w:p w14:paraId="398BF24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szCs w:val="18"/>
                <w:lang w:val="es-ES_tradnl"/>
              </w:rPr>
            </w:pPr>
          </w:p>
        </w:tc>
      </w:tr>
      <w:tr w:rsidR="000958F5" w:rsidRPr="00F861D8" w14:paraId="53D6581E" w14:textId="77777777" w:rsidTr="00F861D8">
        <w:trPr>
          <w:trHeight w:val="273"/>
        </w:trPr>
        <w:tc>
          <w:tcPr>
            <w:tcW w:w="4248" w:type="dxa"/>
            <w:tcBorders>
              <w:top w:val="nil"/>
              <w:left w:val="nil"/>
              <w:bottom w:val="single" w:sz="4" w:space="0" w:color="auto"/>
              <w:right w:val="nil"/>
            </w:tcBorders>
            <w:shd w:val="clear" w:color="auto" w:fill="auto"/>
            <w:noWrap/>
            <w:vAlign w:val="center"/>
            <w:hideMark/>
          </w:tcPr>
          <w:p w14:paraId="63B6CFB0" w14:textId="44FC11D1"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 xml:space="preserve">Atenciones sociales </w:t>
            </w:r>
          </w:p>
        </w:tc>
        <w:tc>
          <w:tcPr>
            <w:tcW w:w="1170" w:type="dxa"/>
            <w:tcBorders>
              <w:top w:val="nil"/>
              <w:left w:val="nil"/>
              <w:bottom w:val="single" w:sz="4" w:space="0" w:color="auto"/>
              <w:right w:val="nil"/>
            </w:tcBorders>
            <w:shd w:val="clear" w:color="auto" w:fill="auto"/>
            <w:noWrap/>
            <w:vAlign w:val="bottom"/>
            <w:hideMark/>
          </w:tcPr>
          <w:p w14:paraId="774A78D6" w14:textId="7B80F83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c>
          <w:tcPr>
            <w:tcW w:w="990" w:type="dxa"/>
            <w:tcBorders>
              <w:top w:val="nil"/>
              <w:left w:val="nil"/>
              <w:bottom w:val="single" w:sz="4" w:space="0" w:color="auto"/>
              <w:right w:val="nil"/>
            </w:tcBorders>
            <w:shd w:val="clear" w:color="auto" w:fill="auto"/>
            <w:noWrap/>
            <w:vAlign w:val="bottom"/>
            <w:hideMark/>
          </w:tcPr>
          <w:p w14:paraId="7F0AAB2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nil"/>
              <w:left w:val="nil"/>
              <w:bottom w:val="single" w:sz="4" w:space="0" w:color="auto"/>
              <w:right w:val="nil"/>
            </w:tcBorders>
            <w:shd w:val="clear" w:color="auto" w:fill="auto"/>
            <w:noWrap/>
            <w:vAlign w:val="bottom"/>
            <w:hideMark/>
          </w:tcPr>
          <w:p w14:paraId="57547897" w14:textId="28DC8196"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c>
          <w:tcPr>
            <w:tcW w:w="1170" w:type="dxa"/>
            <w:tcBorders>
              <w:top w:val="nil"/>
              <w:left w:val="nil"/>
              <w:bottom w:val="single" w:sz="4" w:space="0" w:color="auto"/>
              <w:right w:val="nil"/>
            </w:tcBorders>
            <w:shd w:val="clear" w:color="auto" w:fill="auto"/>
            <w:noWrap/>
            <w:vAlign w:val="bottom"/>
            <w:hideMark/>
          </w:tcPr>
          <w:p w14:paraId="5EA32414" w14:textId="5391C963"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c>
          <w:tcPr>
            <w:tcW w:w="990" w:type="dxa"/>
            <w:tcBorders>
              <w:top w:val="nil"/>
              <w:left w:val="nil"/>
              <w:bottom w:val="single" w:sz="4" w:space="0" w:color="auto"/>
              <w:right w:val="nil"/>
            </w:tcBorders>
            <w:shd w:val="clear" w:color="auto" w:fill="auto"/>
            <w:noWrap/>
            <w:vAlign w:val="bottom"/>
            <w:hideMark/>
          </w:tcPr>
          <w:p w14:paraId="33ABEA5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nil"/>
              <w:left w:val="nil"/>
              <w:bottom w:val="single" w:sz="4" w:space="0" w:color="auto"/>
              <w:right w:val="nil"/>
            </w:tcBorders>
            <w:shd w:val="clear" w:color="auto" w:fill="auto"/>
            <w:noWrap/>
            <w:vAlign w:val="bottom"/>
            <w:hideMark/>
          </w:tcPr>
          <w:p w14:paraId="65499B43" w14:textId="48D6149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r>
      <w:tr w:rsidR="000958F5" w:rsidRPr="00F861D8" w14:paraId="69454B1D"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60FF5DA0" w14:textId="1FD6FE50"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3.2.7</w:t>
            </w:r>
            <w:r w:rsidR="003B4951" w:rsidRPr="00F861D8">
              <w:rPr>
                <w:rFonts w:ascii="Times New Roman" w:hAnsi="Times New Roman"/>
                <w:b/>
                <w:bCs/>
                <w:sz w:val="18"/>
                <w:szCs w:val="18"/>
                <w:lang w:val="es-ES_tradnl"/>
              </w:rPr>
              <w:t xml:space="preserve"> </w:t>
            </w:r>
            <w:r w:rsidRPr="00F861D8">
              <w:rPr>
                <w:rFonts w:ascii="Times New Roman" w:hAnsi="Times New Roman"/>
                <w:b/>
                <w:bCs/>
                <w:sz w:val="18"/>
                <w:szCs w:val="18"/>
                <w:lang w:val="es-ES_tradnl"/>
              </w:rPr>
              <w:t>Atenciones sociales</w:t>
            </w:r>
          </w:p>
        </w:tc>
        <w:tc>
          <w:tcPr>
            <w:tcW w:w="1170" w:type="dxa"/>
            <w:tcBorders>
              <w:top w:val="single" w:sz="4" w:space="0" w:color="auto"/>
              <w:left w:val="nil"/>
              <w:bottom w:val="single" w:sz="4" w:space="0" w:color="auto"/>
              <w:right w:val="nil"/>
            </w:tcBorders>
            <w:shd w:val="clear" w:color="auto" w:fill="auto"/>
            <w:noWrap/>
            <w:vAlign w:val="bottom"/>
            <w:hideMark/>
          </w:tcPr>
          <w:p w14:paraId="3FB79E17" w14:textId="60DD6C4F"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5 000</w:t>
            </w:r>
          </w:p>
        </w:tc>
        <w:tc>
          <w:tcPr>
            <w:tcW w:w="990" w:type="dxa"/>
            <w:tcBorders>
              <w:top w:val="single" w:sz="4" w:space="0" w:color="auto"/>
              <w:left w:val="nil"/>
              <w:bottom w:val="single" w:sz="4" w:space="0" w:color="auto"/>
              <w:right w:val="nil"/>
            </w:tcBorders>
            <w:shd w:val="clear" w:color="auto" w:fill="auto"/>
            <w:noWrap/>
            <w:vAlign w:val="bottom"/>
            <w:hideMark/>
          </w:tcPr>
          <w:p w14:paraId="02389F77"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990" w:type="dxa"/>
            <w:tcBorders>
              <w:top w:val="single" w:sz="4" w:space="0" w:color="auto"/>
              <w:left w:val="nil"/>
              <w:bottom w:val="single" w:sz="4" w:space="0" w:color="auto"/>
              <w:right w:val="nil"/>
            </w:tcBorders>
            <w:shd w:val="clear" w:color="auto" w:fill="auto"/>
            <w:noWrap/>
            <w:vAlign w:val="bottom"/>
            <w:hideMark/>
          </w:tcPr>
          <w:p w14:paraId="514A5A2B" w14:textId="3B0836B0"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5 000</w:t>
            </w:r>
          </w:p>
        </w:tc>
        <w:tc>
          <w:tcPr>
            <w:tcW w:w="1170" w:type="dxa"/>
            <w:tcBorders>
              <w:top w:val="single" w:sz="4" w:space="0" w:color="auto"/>
              <w:left w:val="nil"/>
              <w:bottom w:val="single" w:sz="4" w:space="0" w:color="auto"/>
              <w:right w:val="nil"/>
            </w:tcBorders>
            <w:shd w:val="clear" w:color="auto" w:fill="auto"/>
            <w:noWrap/>
            <w:vAlign w:val="bottom"/>
            <w:hideMark/>
          </w:tcPr>
          <w:p w14:paraId="2C71F778" w14:textId="7F19947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5 000</w:t>
            </w:r>
          </w:p>
        </w:tc>
        <w:tc>
          <w:tcPr>
            <w:tcW w:w="990" w:type="dxa"/>
            <w:tcBorders>
              <w:top w:val="single" w:sz="4" w:space="0" w:color="auto"/>
              <w:left w:val="nil"/>
              <w:bottom w:val="single" w:sz="4" w:space="0" w:color="auto"/>
              <w:right w:val="nil"/>
            </w:tcBorders>
            <w:shd w:val="clear" w:color="auto" w:fill="auto"/>
            <w:noWrap/>
            <w:vAlign w:val="bottom"/>
            <w:hideMark/>
          </w:tcPr>
          <w:p w14:paraId="2B2F8AE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szCs w:val="18"/>
                <w:lang w:val="es-ES_tradnl"/>
              </w:rPr>
            </w:pPr>
          </w:p>
        </w:tc>
        <w:tc>
          <w:tcPr>
            <w:tcW w:w="1026" w:type="dxa"/>
            <w:tcBorders>
              <w:top w:val="single" w:sz="4" w:space="0" w:color="auto"/>
              <w:left w:val="nil"/>
              <w:bottom w:val="single" w:sz="4" w:space="0" w:color="auto"/>
              <w:right w:val="nil"/>
            </w:tcBorders>
            <w:shd w:val="clear" w:color="auto" w:fill="auto"/>
            <w:noWrap/>
            <w:vAlign w:val="bottom"/>
            <w:hideMark/>
          </w:tcPr>
          <w:p w14:paraId="59F00D91" w14:textId="40AD4AE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5 000</w:t>
            </w:r>
          </w:p>
        </w:tc>
      </w:tr>
      <w:tr w:rsidR="000958F5" w:rsidRPr="00F861D8" w14:paraId="5BDBFEB0"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225F96C4" w14:textId="5B447E82"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w:t>
            </w:r>
            <w:r w:rsidR="003B4951" w:rsidRPr="00F861D8">
              <w:rPr>
                <w:rFonts w:ascii="Times New Roman" w:hAnsi="Times New Roman"/>
                <w:b/>
                <w:bCs/>
                <w:sz w:val="18"/>
                <w:szCs w:val="18"/>
                <w:lang w:val="es-ES_tradnl"/>
              </w:rPr>
              <w:t xml:space="preserve"> </w:t>
            </w:r>
            <w:r w:rsidRPr="00F861D8">
              <w:rPr>
                <w:rFonts w:ascii="Times New Roman" w:hAnsi="Times New Roman"/>
                <w:b/>
                <w:bCs/>
                <w:sz w:val="18"/>
                <w:szCs w:val="18"/>
                <w:lang w:val="es-ES_tradnl"/>
              </w:rPr>
              <w:t>Gastos de funcionamiento (no relacionados con el personal)</w:t>
            </w:r>
          </w:p>
        </w:tc>
        <w:tc>
          <w:tcPr>
            <w:tcW w:w="1170" w:type="dxa"/>
            <w:tcBorders>
              <w:top w:val="single" w:sz="4" w:space="0" w:color="auto"/>
              <w:left w:val="nil"/>
              <w:bottom w:val="single" w:sz="4" w:space="0" w:color="auto"/>
              <w:right w:val="nil"/>
            </w:tcBorders>
            <w:shd w:val="clear" w:color="auto" w:fill="auto"/>
            <w:noWrap/>
            <w:vAlign w:val="bottom"/>
            <w:hideMark/>
          </w:tcPr>
          <w:p w14:paraId="4827A103" w14:textId="75EF1E31"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257 500</w:t>
            </w:r>
          </w:p>
        </w:tc>
        <w:tc>
          <w:tcPr>
            <w:tcW w:w="990" w:type="dxa"/>
            <w:tcBorders>
              <w:top w:val="single" w:sz="4" w:space="0" w:color="auto"/>
              <w:left w:val="nil"/>
              <w:bottom w:val="single" w:sz="4" w:space="0" w:color="auto"/>
              <w:right w:val="nil"/>
            </w:tcBorders>
            <w:shd w:val="clear" w:color="auto" w:fill="auto"/>
            <w:noWrap/>
            <w:vAlign w:val="bottom"/>
            <w:hideMark/>
          </w:tcPr>
          <w:p w14:paraId="3358D8B1" w14:textId="782697F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36 250</w:t>
            </w:r>
          </w:p>
        </w:tc>
        <w:tc>
          <w:tcPr>
            <w:tcW w:w="990" w:type="dxa"/>
            <w:tcBorders>
              <w:top w:val="single" w:sz="4" w:space="0" w:color="auto"/>
              <w:left w:val="nil"/>
              <w:bottom w:val="single" w:sz="4" w:space="0" w:color="auto"/>
              <w:right w:val="nil"/>
            </w:tcBorders>
            <w:shd w:val="clear" w:color="auto" w:fill="auto"/>
            <w:noWrap/>
            <w:vAlign w:val="bottom"/>
            <w:hideMark/>
          </w:tcPr>
          <w:p w14:paraId="727DC7A7" w14:textId="6F1ADAE6"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293 750</w:t>
            </w:r>
          </w:p>
        </w:tc>
        <w:tc>
          <w:tcPr>
            <w:tcW w:w="1170" w:type="dxa"/>
            <w:tcBorders>
              <w:top w:val="single" w:sz="4" w:space="0" w:color="auto"/>
              <w:left w:val="nil"/>
              <w:bottom w:val="single" w:sz="4" w:space="0" w:color="auto"/>
              <w:right w:val="nil"/>
            </w:tcBorders>
            <w:shd w:val="clear" w:color="auto" w:fill="auto"/>
            <w:noWrap/>
            <w:vAlign w:val="bottom"/>
            <w:hideMark/>
          </w:tcPr>
          <w:p w14:paraId="5E614B33" w14:textId="3C8C440D"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267 500</w:t>
            </w:r>
          </w:p>
        </w:tc>
        <w:tc>
          <w:tcPr>
            <w:tcW w:w="990" w:type="dxa"/>
            <w:tcBorders>
              <w:top w:val="single" w:sz="4" w:space="0" w:color="auto"/>
              <w:left w:val="nil"/>
              <w:bottom w:val="single" w:sz="4" w:space="0" w:color="auto"/>
              <w:right w:val="nil"/>
            </w:tcBorders>
            <w:shd w:val="clear" w:color="auto" w:fill="auto"/>
            <w:noWrap/>
            <w:vAlign w:val="bottom"/>
            <w:hideMark/>
          </w:tcPr>
          <w:p w14:paraId="558ED558" w14:textId="7567EE42"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36 250</w:t>
            </w:r>
          </w:p>
        </w:tc>
        <w:tc>
          <w:tcPr>
            <w:tcW w:w="1026" w:type="dxa"/>
            <w:tcBorders>
              <w:top w:val="single" w:sz="4" w:space="0" w:color="auto"/>
              <w:left w:val="nil"/>
              <w:bottom w:val="single" w:sz="4" w:space="0" w:color="auto"/>
              <w:right w:val="nil"/>
            </w:tcBorders>
            <w:shd w:val="clear" w:color="auto" w:fill="auto"/>
            <w:noWrap/>
            <w:vAlign w:val="bottom"/>
            <w:hideMark/>
          </w:tcPr>
          <w:p w14:paraId="639B676F" w14:textId="52C33182"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303 750</w:t>
            </w:r>
          </w:p>
        </w:tc>
      </w:tr>
      <w:tr w:rsidR="000958F5" w:rsidRPr="00F861D8" w14:paraId="173AC290"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21C69F53" w14:textId="1E233AC9" w:rsidR="000958F5" w:rsidRPr="00F861D8" w:rsidRDefault="000958F5" w:rsidP="00CB4B9F">
            <w:pPr>
              <w:spacing w:before="40" w:after="40" w:line="240" w:lineRule="auto"/>
              <w:rPr>
                <w:rFonts w:ascii="Times New Roman" w:eastAsia="Times New Roman" w:hAnsi="Times New Roman"/>
                <w:b/>
                <w:bCs/>
                <w:color w:val="000000"/>
                <w:sz w:val="18"/>
                <w:szCs w:val="18"/>
                <w:lang w:val="es-ES_tradnl"/>
              </w:rPr>
            </w:pPr>
            <w:r w:rsidRPr="00F861D8">
              <w:rPr>
                <w:rFonts w:ascii="Times New Roman" w:hAnsi="Times New Roman"/>
                <w:b/>
                <w:bCs/>
                <w:sz w:val="18"/>
                <w:szCs w:val="18"/>
                <w:lang w:val="es-ES_tradnl"/>
              </w:rPr>
              <w:t>Total parcial 3 Secretaría (gastos de personal y de funcionamiento)</w:t>
            </w:r>
          </w:p>
        </w:tc>
        <w:tc>
          <w:tcPr>
            <w:tcW w:w="1170" w:type="dxa"/>
            <w:tcBorders>
              <w:top w:val="single" w:sz="4" w:space="0" w:color="auto"/>
              <w:left w:val="nil"/>
              <w:bottom w:val="single" w:sz="4" w:space="0" w:color="auto"/>
              <w:right w:val="nil"/>
            </w:tcBorders>
            <w:shd w:val="clear" w:color="auto" w:fill="auto"/>
            <w:noWrap/>
            <w:vAlign w:val="bottom"/>
            <w:hideMark/>
          </w:tcPr>
          <w:p w14:paraId="5BDAF084" w14:textId="6B03E385" w:rsidR="000958F5" w:rsidRPr="00F861D8" w:rsidRDefault="000958F5" w:rsidP="000D3AC4">
            <w:pPr>
              <w:spacing w:before="40" w:after="4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2 115 100</w:t>
            </w:r>
          </w:p>
        </w:tc>
        <w:tc>
          <w:tcPr>
            <w:tcW w:w="990" w:type="dxa"/>
            <w:tcBorders>
              <w:top w:val="single" w:sz="4" w:space="0" w:color="auto"/>
              <w:left w:val="nil"/>
              <w:bottom w:val="single" w:sz="4" w:space="0" w:color="auto"/>
              <w:right w:val="nil"/>
            </w:tcBorders>
            <w:shd w:val="clear" w:color="auto" w:fill="auto"/>
            <w:noWrap/>
            <w:vAlign w:val="bottom"/>
            <w:hideMark/>
          </w:tcPr>
          <w:p w14:paraId="7949EF16" w14:textId="19FB7D7B" w:rsidR="000958F5" w:rsidRPr="00F861D8" w:rsidRDefault="000958F5" w:rsidP="000D3AC4">
            <w:pPr>
              <w:spacing w:before="40" w:after="4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95 650</w:t>
            </w:r>
          </w:p>
        </w:tc>
        <w:tc>
          <w:tcPr>
            <w:tcW w:w="990" w:type="dxa"/>
            <w:tcBorders>
              <w:top w:val="single" w:sz="4" w:space="0" w:color="auto"/>
              <w:left w:val="nil"/>
              <w:bottom w:val="single" w:sz="4" w:space="0" w:color="auto"/>
              <w:right w:val="nil"/>
            </w:tcBorders>
            <w:shd w:val="clear" w:color="auto" w:fill="auto"/>
            <w:noWrap/>
            <w:vAlign w:val="bottom"/>
            <w:hideMark/>
          </w:tcPr>
          <w:p w14:paraId="246617DB" w14:textId="78815D7B" w:rsidR="000958F5" w:rsidRPr="00F861D8" w:rsidRDefault="000958F5" w:rsidP="000D3AC4">
            <w:pPr>
              <w:spacing w:before="40" w:after="4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2 210 750</w:t>
            </w:r>
          </w:p>
        </w:tc>
        <w:tc>
          <w:tcPr>
            <w:tcW w:w="1170" w:type="dxa"/>
            <w:tcBorders>
              <w:top w:val="single" w:sz="4" w:space="0" w:color="auto"/>
              <w:left w:val="nil"/>
              <w:bottom w:val="single" w:sz="4" w:space="0" w:color="auto"/>
              <w:right w:val="nil"/>
            </w:tcBorders>
            <w:shd w:val="clear" w:color="auto" w:fill="auto"/>
            <w:noWrap/>
            <w:vAlign w:val="bottom"/>
            <w:hideMark/>
          </w:tcPr>
          <w:p w14:paraId="7BADDF95" w14:textId="3E4A16C7" w:rsidR="000958F5" w:rsidRPr="00F861D8" w:rsidRDefault="000958F5" w:rsidP="000D3AC4">
            <w:pPr>
              <w:spacing w:before="40" w:after="4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2 171 800</w:t>
            </w:r>
          </w:p>
        </w:tc>
        <w:tc>
          <w:tcPr>
            <w:tcW w:w="990" w:type="dxa"/>
            <w:tcBorders>
              <w:top w:val="single" w:sz="4" w:space="0" w:color="auto"/>
              <w:left w:val="nil"/>
              <w:bottom w:val="single" w:sz="4" w:space="0" w:color="auto"/>
              <w:right w:val="nil"/>
            </w:tcBorders>
            <w:shd w:val="clear" w:color="auto" w:fill="auto"/>
            <w:noWrap/>
            <w:vAlign w:val="bottom"/>
            <w:hideMark/>
          </w:tcPr>
          <w:p w14:paraId="58674BB7" w14:textId="50FCE91F" w:rsidR="000958F5" w:rsidRPr="00F861D8" w:rsidRDefault="000958F5" w:rsidP="000D3AC4">
            <w:pPr>
              <w:spacing w:before="40" w:after="4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95 650</w:t>
            </w:r>
          </w:p>
        </w:tc>
        <w:tc>
          <w:tcPr>
            <w:tcW w:w="1026" w:type="dxa"/>
            <w:tcBorders>
              <w:top w:val="single" w:sz="4" w:space="0" w:color="auto"/>
              <w:left w:val="nil"/>
              <w:bottom w:val="single" w:sz="4" w:space="0" w:color="auto"/>
              <w:right w:val="nil"/>
            </w:tcBorders>
            <w:shd w:val="clear" w:color="auto" w:fill="auto"/>
            <w:noWrap/>
            <w:vAlign w:val="bottom"/>
            <w:hideMark/>
          </w:tcPr>
          <w:p w14:paraId="0DD09D9A" w14:textId="0E9DA089" w:rsidR="000958F5" w:rsidRPr="00F861D8" w:rsidRDefault="000958F5" w:rsidP="000D3AC4">
            <w:pPr>
              <w:spacing w:before="40" w:after="4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2 267 450</w:t>
            </w:r>
          </w:p>
        </w:tc>
      </w:tr>
      <w:tr w:rsidR="000958F5" w:rsidRPr="00F861D8" w14:paraId="184CE7C0"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4446C8D5" w14:textId="1EF2845F"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1+2+3</w:t>
            </w:r>
          </w:p>
        </w:tc>
        <w:tc>
          <w:tcPr>
            <w:tcW w:w="1170" w:type="dxa"/>
            <w:tcBorders>
              <w:top w:val="single" w:sz="4" w:space="0" w:color="auto"/>
              <w:left w:val="nil"/>
              <w:bottom w:val="single" w:sz="4" w:space="0" w:color="auto"/>
              <w:right w:val="nil"/>
            </w:tcBorders>
            <w:shd w:val="clear" w:color="auto" w:fill="auto"/>
            <w:noWrap/>
            <w:vAlign w:val="bottom"/>
            <w:hideMark/>
          </w:tcPr>
          <w:p w14:paraId="6A9367E5" w14:textId="1E975ACA"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8 144 750</w:t>
            </w:r>
          </w:p>
        </w:tc>
        <w:tc>
          <w:tcPr>
            <w:tcW w:w="990" w:type="dxa"/>
            <w:tcBorders>
              <w:top w:val="single" w:sz="4" w:space="0" w:color="auto"/>
              <w:left w:val="nil"/>
              <w:bottom w:val="single" w:sz="4" w:space="0" w:color="auto"/>
              <w:right w:val="nil"/>
            </w:tcBorders>
            <w:shd w:val="clear" w:color="auto" w:fill="auto"/>
            <w:noWrap/>
            <w:vAlign w:val="bottom"/>
            <w:hideMark/>
          </w:tcPr>
          <w:p w14:paraId="3405B833" w14:textId="43D300BB"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608 685</w:t>
            </w:r>
          </w:p>
        </w:tc>
        <w:tc>
          <w:tcPr>
            <w:tcW w:w="990" w:type="dxa"/>
            <w:tcBorders>
              <w:top w:val="single" w:sz="4" w:space="0" w:color="auto"/>
              <w:left w:val="nil"/>
              <w:bottom w:val="single" w:sz="4" w:space="0" w:color="auto"/>
              <w:right w:val="nil"/>
            </w:tcBorders>
            <w:shd w:val="clear" w:color="auto" w:fill="auto"/>
            <w:noWrap/>
            <w:vAlign w:val="bottom"/>
            <w:hideMark/>
          </w:tcPr>
          <w:p w14:paraId="5A78479B" w14:textId="0DE3A6D2"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8 753 435</w:t>
            </w:r>
          </w:p>
        </w:tc>
        <w:tc>
          <w:tcPr>
            <w:tcW w:w="1170" w:type="dxa"/>
            <w:tcBorders>
              <w:top w:val="single" w:sz="4" w:space="0" w:color="auto"/>
              <w:left w:val="nil"/>
              <w:bottom w:val="single" w:sz="4" w:space="0" w:color="auto"/>
              <w:right w:val="nil"/>
            </w:tcBorders>
            <w:shd w:val="clear" w:color="auto" w:fill="auto"/>
            <w:noWrap/>
            <w:vAlign w:val="bottom"/>
            <w:hideMark/>
          </w:tcPr>
          <w:p w14:paraId="535FDF4C" w14:textId="32F17A0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7 605 200</w:t>
            </w:r>
          </w:p>
        </w:tc>
        <w:tc>
          <w:tcPr>
            <w:tcW w:w="990" w:type="dxa"/>
            <w:tcBorders>
              <w:top w:val="single" w:sz="4" w:space="0" w:color="auto"/>
              <w:left w:val="nil"/>
              <w:bottom w:val="single" w:sz="4" w:space="0" w:color="auto"/>
              <w:right w:val="nil"/>
            </w:tcBorders>
            <w:shd w:val="clear" w:color="auto" w:fill="auto"/>
            <w:noWrap/>
            <w:vAlign w:val="bottom"/>
            <w:hideMark/>
          </w:tcPr>
          <w:p w14:paraId="20064638" w14:textId="5309C7C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-155 565</w:t>
            </w:r>
          </w:p>
        </w:tc>
        <w:tc>
          <w:tcPr>
            <w:tcW w:w="1026" w:type="dxa"/>
            <w:tcBorders>
              <w:top w:val="single" w:sz="4" w:space="0" w:color="auto"/>
              <w:left w:val="nil"/>
              <w:bottom w:val="single" w:sz="4" w:space="0" w:color="auto"/>
              <w:right w:val="nil"/>
            </w:tcBorders>
            <w:shd w:val="clear" w:color="auto" w:fill="auto"/>
            <w:noWrap/>
            <w:vAlign w:val="bottom"/>
            <w:hideMark/>
          </w:tcPr>
          <w:p w14:paraId="2BC0A37E" w14:textId="5163C6CA"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7 449 635</w:t>
            </w:r>
          </w:p>
        </w:tc>
      </w:tr>
      <w:tr w:rsidR="000958F5" w:rsidRPr="00F861D8" w14:paraId="321AA87B"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59637575" w14:textId="44AA82C5"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Gastos de apoyo a los programas (8%)</w:t>
            </w:r>
          </w:p>
        </w:tc>
        <w:tc>
          <w:tcPr>
            <w:tcW w:w="1170" w:type="dxa"/>
            <w:tcBorders>
              <w:top w:val="single" w:sz="4" w:space="0" w:color="auto"/>
              <w:left w:val="nil"/>
              <w:bottom w:val="single" w:sz="4" w:space="0" w:color="auto"/>
              <w:right w:val="nil"/>
            </w:tcBorders>
            <w:shd w:val="clear" w:color="auto" w:fill="auto"/>
            <w:noWrap/>
            <w:vAlign w:val="bottom"/>
            <w:hideMark/>
          </w:tcPr>
          <w:p w14:paraId="579DF8FF" w14:textId="0FBF6213"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651 580</w:t>
            </w:r>
          </w:p>
        </w:tc>
        <w:tc>
          <w:tcPr>
            <w:tcW w:w="990" w:type="dxa"/>
            <w:tcBorders>
              <w:top w:val="single" w:sz="4" w:space="0" w:color="auto"/>
              <w:left w:val="nil"/>
              <w:bottom w:val="single" w:sz="4" w:space="0" w:color="auto"/>
              <w:right w:val="nil"/>
            </w:tcBorders>
            <w:shd w:val="clear" w:color="auto" w:fill="auto"/>
            <w:noWrap/>
            <w:vAlign w:val="bottom"/>
            <w:hideMark/>
          </w:tcPr>
          <w:p w14:paraId="62663343" w14:textId="05946400"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48 695</w:t>
            </w:r>
          </w:p>
        </w:tc>
        <w:tc>
          <w:tcPr>
            <w:tcW w:w="990" w:type="dxa"/>
            <w:tcBorders>
              <w:top w:val="single" w:sz="4" w:space="0" w:color="auto"/>
              <w:left w:val="nil"/>
              <w:bottom w:val="single" w:sz="4" w:space="0" w:color="auto"/>
              <w:right w:val="nil"/>
            </w:tcBorders>
            <w:shd w:val="clear" w:color="auto" w:fill="auto"/>
            <w:noWrap/>
            <w:vAlign w:val="bottom"/>
            <w:hideMark/>
          </w:tcPr>
          <w:p w14:paraId="05C98F60" w14:textId="5C1AAB33"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700 275</w:t>
            </w:r>
          </w:p>
        </w:tc>
        <w:tc>
          <w:tcPr>
            <w:tcW w:w="1170" w:type="dxa"/>
            <w:tcBorders>
              <w:top w:val="single" w:sz="4" w:space="0" w:color="auto"/>
              <w:left w:val="nil"/>
              <w:bottom w:val="single" w:sz="4" w:space="0" w:color="auto"/>
              <w:right w:val="nil"/>
            </w:tcBorders>
            <w:shd w:val="clear" w:color="auto" w:fill="auto"/>
            <w:noWrap/>
            <w:vAlign w:val="bottom"/>
            <w:hideMark/>
          </w:tcPr>
          <w:p w14:paraId="208DF6EC" w14:textId="1344A741"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608 416</w:t>
            </w:r>
          </w:p>
        </w:tc>
        <w:tc>
          <w:tcPr>
            <w:tcW w:w="990" w:type="dxa"/>
            <w:tcBorders>
              <w:top w:val="single" w:sz="4" w:space="0" w:color="auto"/>
              <w:left w:val="nil"/>
              <w:bottom w:val="single" w:sz="4" w:space="0" w:color="auto"/>
              <w:right w:val="nil"/>
            </w:tcBorders>
            <w:shd w:val="clear" w:color="auto" w:fill="auto"/>
            <w:noWrap/>
            <w:vAlign w:val="bottom"/>
            <w:hideMark/>
          </w:tcPr>
          <w:p w14:paraId="0146732F" w14:textId="3068ED71" w:rsidR="000958F5" w:rsidRPr="00F861D8" w:rsidRDefault="006D1ED0"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-12 445</w:t>
            </w:r>
          </w:p>
        </w:tc>
        <w:tc>
          <w:tcPr>
            <w:tcW w:w="1026" w:type="dxa"/>
            <w:tcBorders>
              <w:top w:val="single" w:sz="4" w:space="0" w:color="auto"/>
              <w:left w:val="nil"/>
              <w:bottom w:val="single" w:sz="4" w:space="0" w:color="auto"/>
              <w:right w:val="nil"/>
            </w:tcBorders>
            <w:shd w:val="clear" w:color="auto" w:fill="auto"/>
            <w:noWrap/>
            <w:vAlign w:val="bottom"/>
            <w:hideMark/>
          </w:tcPr>
          <w:p w14:paraId="06BD9570" w14:textId="2C20041B" w:rsidR="000958F5" w:rsidRPr="00F861D8" w:rsidRDefault="000958F5"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595 971</w:t>
            </w:r>
          </w:p>
        </w:tc>
      </w:tr>
      <w:tr w:rsidR="000958F5" w:rsidRPr="00F861D8" w14:paraId="1B7BA58E" w14:textId="77777777" w:rsidTr="00F861D8">
        <w:trPr>
          <w:trHeight w:val="273"/>
        </w:trPr>
        <w:tc>
          <w:tcPr>
            <w:tcW w:w="4248" w:type="dxa"/>
            <w:tcBorders>
              <w:top w:val="single" w:sz="4" w:space="0" w:color="auto"/>
              <w:left w:val="nil"/>
              <w:bottom w:val="single" w:sz="4" w:space="0" w:color="auto"/>
              <w:right w:val="nil"/>
            </w:tcBorders>
            <w:shd w:val="clear" w:color="auto" w:fill="auto"/>
            <w:noWrap/>
            <w:vAlign w:val="center"/>
            <w:hideMark/>
          </w:tcPr>
          <w:p w14:paraId="43BE3DE7" w14:textId="6936178A"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Costo total para el fondo fiduciario</w:t>
            </w:r>
          </w:p>
        </w:tc>
        <w:tc>
          <w:tcPr>
            <w:tcW w:w="1170" w:type="dxa"/>
            <w:tcBorders>
              <w:top w:val="single" w:sz="4" w:space="0" w:color="auto"/>
              <w:left w:val="nil"/>
              <w:bottom w:val="single" w:sz="4" w:space="0" w:color="auto"/>
              <w:right w:val="nil"/>
            </w:tcBorders>
            <w:shd w:val="clear" w:color="auto" w:fill="auto"/>
            <w:noWrap/>
            <w:vAlign w:val="bottom"/>
            <w:hideMark/>
          </w:tcPr>
          <w:p w14:paraId="7459A67C" w14:textId="638F01F2"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8 796 330</w:t>
            </w:r>
          </w:p>
        </w:tc>
        <w:tc>
          <w:tcPr>
            <w:tcW w:w="990" w:type="dxa"/>
            <w:tcBorders>
              <w:top w:val="single" w:sz="4" w:space="0" w:color="auto"/>
              <w:left w:val="nil"/>
              <w:bottom w:val="single" w:sz="4" w:space="0" w:color="auto"/>
              <w:right w:val="nil"/>
            </w:tcBorders>
            <w:shd w:val="clear" w:color="auto" w:fill="auto"/>
            <w:noWrap/>
            <w:vAlign w:val="bottom"/>
            <w:hideMark/>
          </w:tcPr>
          <w:p w14:paraId="2E54EA38" w14:textId="480E64D9"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657 380</w:t>
            </w:r>
          </w:p>
        </w:tc>
        <w:tc>
          <w:tcPr>
            <w:tcW w:w="990" w:type="dxa"/>
            <w:tcBorders>
              <w:top w:val="single" w:sz="4" w:space="0" w:color="auto"/>
              <w:left w:val="nil"/>
              <w:bottom w:val="single" w:sz="4" w:space="0" w:color="auto"/>
              <w:right w:val="nil"/>
            </w:tcBorders>
            <w:shd w:val="clear" w:color="auto" w:fill="auto"/>
            <w:noWrap/>
            <w:vAlign w:val="bottom"/>
            <w:hideMark/>
          </w:tcPr>
          <w:p w14:paraId="0AAA33E6" w14:textId="5E1185A0"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9 453 710</w:t>
            </w:r>
          </w:p>
        </w:tc>
        <w:tc>
          <w:tcPr>
            <w:tcW w:w="1170" w:type="dxa"/>
            <w:tcBorders>
              <w:top w:val="single" w:sz="4" w:space="0" w:color="auto"/>
              <w:left w:val="nil"/>
              <w:bottom w:val="single" w:sz="4" w:space="0" w:color="auto"/>
              <w:right w:val="nil"/>
            </w:tcBorders>
            <w:shd w:val="clear" w:color="auto" w:fill="auto"/>
            <w:noWrap/>
            <w:vAlign w:val="bottom"/>
            <w:hideMark/>
          </w:tcPr>
          <w:p w14:paraId="3E95B1F5" w14:textId="2C07287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8 213 616</w:t>
            </w:r>
          </w:p>
        </w:tc>
        <w:tc>
          <w:tcPr>
            <w:tcW w:w="990" w:type="dxa"/>
            <w:tcBorders>
              <w:top w:val="single" w:sz="4" w:space="0" w:color="auto"/>
              <w:left w:val="nil"/>
              <w:bottom w:val="single" w:sz="4" w:space="0" w:color="auto"/>
              <w:right w:val="nil"/>
            </w:tcBorders>
            <w:shd w:val="clear" w:color="auto" w:fill="auto"/>
            <w:noWrap/>
            <w:vAlign w:val="bottom"/>
            <w:hideMark/>
          </w:tcPr>
          <w:p w14:paraId="0FD8CEB6" w14:textId="4D2C0CA7"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-168 010</w:t>
            </w:r>
          </w:p>
        </w:tc>
        <w:tc>
          <w:tcPr>
            <w:tcW w:w="1026" w:type="dxa"/>
            <w:tcBorders>
              <w:top w:val="single" w:sz="4" w:space="0" w:color="auto"/>
              <w:left w:val="nil"/>
              <w:bottom w:val="single" w:sz="4" w:space="0" w:color="auto"/>
              <w:right w:val="nil"/>
            </w:tcBorders>
            <w:shd w:val="clear" w:color="auto" w:fill="auto"/>
            <w:noWrap/>
            <w:vAlign w:val="bottom"/>
            <w:hideMark/>
          </w:tcPr>
          <w:p w14:paraId="0B7ED345" w14:textId="5ED1030A"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8 045 606</w:t>
            </w:r>
          </w:p>
        </w:tc>
      </w:tr>
      <w:tr w:rsidR="000958F5" w:rsidRPr="00F861D8" w14:paraId="37ED2F77" w14:textId="77777777" w:rsidTr="00F861D8">
        <w:trPr>
          <w:trHeight w:val="273"/>
        </w:trPr>
        <w:tc>
          <w:tcPr>
            <w:tcW w:w="4248" w:type="dxa"/>
            <w:tcBorders>
              <w:top w:val="single" w:sz="4" w:space="0" w:color="auto"/>
              <w:left w:val="nil"/>
              <w:bottom w:val="single" w:sz="4" w:space="0" w:color="auto"/>
              <w:right w:val="nil"/>
            </w:tcBorders>
            <w:shd w:val="clear" w:color="000000" w:fill="FFFFFF"/>
            <w:noWrap/>
            <w:vAlign w:val="center"/>
            <w:hideMark/>
          </w:tcPr>
          <w:p w14:paraId="718B07DB" w14:textId="45E50D33" w:rsidR="000958F5" w:rsidRPr="00F861D8" w:rsidRDefault="000958F5" w:rsidP="00CB4B9F">
            <w:pPr>
              <w:spacing w:before="40" w:after="4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 xml:space="preserve">Contribución a la reserva de </w:t>
            </w:r>
            <w:r w:rsidR="00DD0943" w:rsidRPr="00F861D8">
              <w:rPr>
                <w:rFonts w:ascii="Times New Roman" w:hAnsi="Times New Roman"/>
                <w:sz w:val="18"/>
                <w:szCs w:val="18"/>
                <w:lang w:val="es-ES_tradnl"/>
              </w:rPr>
              <w:t>c</w:t>
            </w:r>
            <w:r w:rsidRPr="00F861D8">
              <w:rPr>
                <w:rFonts w:ascii="Times New Roman" w:hAnsi="Times New Roman"/>
                <w:sz w:val="18"/>
                <w:szCs w:val="18"/>
                <w:lang w:val="es-ES_tradnl"/>
              </w:rPr>
              <w:t>apital circulante (10%)</w:t>
            </w:r>
          </w:p>
        </w:tc>
        <w:tc>
          <w:tcPr>
            <w:tcW w:w="1170" w:type="dxa"/>
            <w:tcBorders>
              <w:top w:val="single" w:sz="4" w:space="0" w:color="auto"/>
              <w:left w:val="nil"/>
              <w:bottom w:val="single" w:sz="4" w:space="0" w:color="auto"/>
              <w:right w:val="nil"/>
            </w:tcBorders>
            <w:shd w:val="clear" w:color="000000" w:fill="FFFFFF"/>
            <w:noWrap/>
            <w:vAlign w:val="bottom"/>
            <w:hideMark/>
          </w:tcPr>
          <w:p w14:paraId="7DB9638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single" w:sz="4" w:space="0" w:color="auto"/>
              <w:right w:val="nil"/>
            </w:tcBorders>
            <w:shd w:val="clear" w:color="000000" w:fill="FFFFFF"/>
            <w:noWrap/>
            <w:vAlign w:val="bottom"/>
            <w:hideMark/>
          </w:tcPr>
          <w:p w14:paraId="4C2B2AF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990" w:type="dxa"/>
            <w:tcBorders>
              <w:top w:val="single" w:sz="4" w:space="0" w:color="auto"/>
              <w:left w:val="nil"/>
              <w:bottom w:val="single" w:sz="4" w:space="0" w:color="auto"/>
              <w:right w:val="nil"/>
            </w:tcBorders>
            <w:shd w:val="clear" w:color="000000" w:fill="FFFFFF"/>
            <w:noWrap/>
            <w:vAlign w:val="bottom"/>
            <w:hideMark/>
          </w:tcPr>
          <w:p w14:paraId="2F1B731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170" w:type="dxa"/>
            <w:tcBorders>
              <w:top w:val="single" w:sz="4" w:space="0" w:color="auto"/>
              <w:left w:val="nil"/>
              <w:bottom w:val="single" w:sz="4" w:space="0" w:color="auto"/>
              <w:right w:val="nil"/>
            </w:tcBorders>
            <w:shd w:val="clear" w:color="000000" w:fill="FFFFFF"/>
            <w:noWrap/>
            <w:vAlign w:val="bottom"/>
            <w:hideMark/>
          </w:tcPr>
          <w:p w14:paraId="4B1ADF6B" w14:textId="5CB64689" w:rsidR="000958F5" w:rsidRPr="00F861D8" w:rsidRDefault="006D1ED0"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-925 096</w:t>
            </w:r>
          </w:p>
        </w:tc>
        <w:tc>
          <w:tcPr>
            <w:tcW w:w="990" w:type="dxa"/>
            <w:tcBorders>
              <w:top w:val="single" w:sz="4" w:space="0" w:color="auto"/>
              <w:left w:val="nil"/>
              <w:bottom w:val="single" w:sz="4" w:space="0" w:color="auto"/>
              <w:right w:val="nil"/>
            </w:tcBorders>
            <w:shd w:val="clear" w:color="000000" w:fill="FFFFFF"/>
            <w:noWrap/>
            <w:vAlign w:val="bottom"/>
            <w:hideMark/>
          </w:tcPr>
          <w:p w14:paraId="60F9F03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szCs w:val="18"/>
                <w:lang w:val="es-ES_tradnl"/>
              </w:rPr>
            </w:pPr>
          </w:p>
        </w:tc>
        <w:tc>
          <w:tcPr>
            <w:tcW w:w="1026" w:type="dxa"/>
            <w:tcBorders>
              <w:top w:val="single" w:sz="4" w:space="0" w:color="auto"/>
              <w:left w:val="nil"/>
              <w:bottom w:val="single" w:sz="4" w:space="0" w:color="auto"/>
              <w:right w:val="nil"/>
            </w:tcBorders>
            <w:shd w:val="clear" w:color="000000" w:fill="FFFFFF"/>
            <w:noWrap/>
            <w:vAlign w:val="bottom"/>
            <w:hideMark/>
          </w:tcPr>
          <w:p w14:paraId="6F80B6AE" w14:textId="04948CDC" w:rsidR="000958F5" w:rsidRPr="00F861D8" w:rsidRDefault="006D1ED0" w:rsidP="000D3AC4">
            <w:pPr>
              <w:spacing w:before="40" w:after="4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-925 096</w:t>
            </w:r>
          </w:p>
        </w:tc>
      </w:tr>
      <w:tr w:rsidR="000958F5" w:rsidRPr="00F861D8" w14:paraId="1162A9BC" w14:textId="77777777" w:rsidTr="00F861D8">
        <w:trPr>
          <w:trHeight w:val="273"/>
        </w:trPr>
        <w:tc>
          <w:tcPr>
            <w:tcW w:w="4248" w:type="dxa"/>
            <w:tcBorders>
              <w:top w:val="single" w:sz="4" w:space="0" w:color="auto"/>
              <w:left w:val="nil"/>
              <w:bottom w:val="single" w:sz="12" w:space="0" w:color="auto"/>
              <w:right w:val="nil"/>
            </w:tcBorders>
            <w:shd w:val="clear" w:color="000000" w:fill="FFFFFF"/>
            <w:noWrap/>
            <w:vAlign w:val="center"/>
            <w:hideMark/>
          </w:tcPr>
          <w:p w14:paraId="2142C49F" w14:textId="0CD417E0" w:rsidR="000958F5" w:rsidRPr="00F861D8" w:rsidRDefault="000958F5" w:rsidP="00CB4B9F">
            <w:pPr>
              <w:spacing w:before="40" w:after="4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de efectivo que se necesita</w:t>
            </w:r>
          </w:p>
        </w:tc>
        <w:tc>
          <w:tcPr>
            <w:tcW w:w="1170" w:type="dxa"/>
            <w:tcBorders>
              <w:top w:val="single" w:sz="4" w:space="0" w:color="auto"/>
              <w:left w:val="nil"/>
              <w:bottom w:val="single" w:sz="12" w:space="0" w:color="auto"/>
              <w:right w:val="nil"/>
            </w:tcBorders>
            <w:shd w:val="clear" w:color="000000" w:fill="FFFFFF"/>
            <w:noWrap/>
            <w:vAlign w:val="bottom"/>
            <w:hideMark/>
          </w:tcPr>
          <w:p w14:paraId="197DB9D1" w14:textId="7D7DB713"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8 796 330</w:t>
            </w:r>
          </w:p>
        </w:tc>
        <w:tc>
          <w:tcPr>
            <w:tcW w:w="990" w:type="dxa"/>
            <w:tcBorders>
              <w:top w:val="single" w:sz="4" w:space="0" w:color="auto"/>
              <w:left w:val="nil"/>
              <w:bottom w:val="single" w:sz="12" w:space="0" w:color="auto"/>
              <w:right w:val="nil"/>
            </w:tcBorders>
            <w:shd w:val="clear" w:color="000000" w:fill="FFFFFF"/>
            <w:noWrap/>
            <w:vAlign w:val="bottom"/>
            <w:hideMark/>
          </w:tcPr>
          <w:p w14:paraId="074E474B" w14:textId="2CF7A90A"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657 380</w:t>
            </w:r>
          </w:p>
        </w:tc>
        <w:tc>
          <w:tcPr>
            <w:tcW w:w="990" w:type="dxa"/>
            <w:tcBorders>
              <w:top w:val="single" w:sz="4" w:space="0" w:color="auto"/>
              <w:left w:val="nil"/>
              <w:bottom w:val="single" w:sz="12" w:space="0" w:color="auto"/>
              <w:right w:val="nil"/>
            </w:tcBorders>
            <w:shd w:val="clear" w:color="000000" w:fill="FFFFFF"/>
            <w:noWrap/>
            <w:vAlign w:val="bottom"/>
            <w:hideMark/>
          </w:tcPr>
          <w:p w14:paraId="6111BCD8" w14:textId="66480B51"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9 453 710</w:t>
            </w:r>
          </w:p>
        </w:tc>
        <w:tc>
          <w:tcPr>
            <w:tcW w:w="1170" w:type="dxa"/>
            <w:tcBorders>
              <w:top w:val="single" w:sz="4" w:space="0" w:color="auto"/>
              <w:left w:val="nil"/>
              <w:bottom w:val="single" w:sz="12" w:space="0" w:color="auto"/>
              <w:right w:val="nil"/>
            </w:tcBorders>
            <w:shd w:val="clear" w:color="000000" w:fill="FFFFFF"/>
            <w:noWrap/>
            <w:vAlign w:val="bottom"/>
            <w:hideMark/>
          </w:tcPr>
          <w:p w14:paraId="008697F1" w14:textId="67BA4395"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7 288 520</w:t>
            </w:r>
          </w:p>
        </w:tc>
        <w:tc>
          <w:tcPr>
            <w:tcW w:w="990" w:type="dxa"/>
            <w:tcBorders>
              <w:top w:val="single" w:sz="4" w:space="0" w:color="auto"/>
              <w:left w:val="nil"/>
              <w:bottom w:val="single" w:sz="12" w:space="0" w:color="auto"/>
              <w:right w:val="nil"/>
            </w:tcBorders>
            <w:shd w:val="clear" w:color="000000" w:fill="FFFFFF"/>
            <w:noWrap/>
            <w:vAlign w:val="bottom"/>
            <w:hideMark/>
          </w:tcPr>
          <w:p w14:paraId="467FBA7D" w14:textId="2242E56C" w:rsidR="000958F5" w:rsidRPr="00F861D8" w:rsidRDefault="006D1ED0"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-168 010</w:t>
            </w:r>
          </w:p>
        </w:tc>
        <w:tc>
          <w:tcPr>
            <w:tcW w:w="1026" w:type="dxa"/>
            <w:tcBorders>
              <w:top w:val="single" w:sz="4" w:space="0" w:color="auto"/>
              <w:left w:val="nil"/>
              <w:bottom w:val="single" w:sz="12" w:space="0" w:color="auto"/>
              <w:right w:val="nil"/>
            </w:tcBorders>
            <w:shd w:val="clear" w:color="000000" w:fill="FFFFFF"/>
            <w:noWrap/>
            <w:vAlign w:val="bottom"/>
            <w:hideMark/>
          </w:tcPr>
          <w:p w14:paraId="2D222142" w14:textId="6FD5171C" w:rsidR="000958F5" w:rsidRPr="00F861D8" w:rsidRDefault="000958F5" w:rsidP="000D3AC4">
            <w:pPr>
              <w:spacing w:before="40" w:after="4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7 120 510</w:t>
            </w:r>
          </w:p>
        </w:tc>
      </w:tr>
    </w:tbl>
    <w:p w14:paraId="4B098295" w14:textId="12C62E07" w:rsidR="00972814" w:rsidRPr="00703A97" w:rsidRDefault="00972814" w:rsidP="00AC1CD9">
      <w:pPr>
        <w:pStyle w:val="Normal-pool"/>
        <w:spacing w:before="40"/>
        <w:rPr>
          <w:sz w:val="18"/>
          <w:szCs w:val="18"/>
          <w:lang w:val="es-ES_tradnl"/>
        </w:rPr>
      </w:pPr>
      <w:r w:rsidRPr="00703A97">
        <w:rPr>
          <w:sz w:val="18"/>
          <w:szCs w:val="18"/>
          <w:lang w:val="es-ES_tradnl"/>
        </w:rPr>
        <w:t>a Un P</w:t>
      </w:r>
      <w:r w:rsidR="00356A65">
        <w:rPr>
          <w:sz w:val="18"/>
          <w:szCs w:val="18"/>
          <w:lang w:val="es-ES_tradnl"/>
        </w:rPr>
        <w:noBreakHyphen/>
      </w:r>
      <w:r w:rsidRPr="00703A97">
        <w:rPr>
          <w:sz w:val="18"/>
          <w:szCs w:val="18"/>
          <w:lang w:val="es-ES_tradnl"/>
        </w:rPr>
        <w:t>4 adscripto del PNUMA.</w:t>
      </w:r>
    </w:p>
    <w:p w14:paraId="2559BB74" w14:textId="488DD434" w:rsidR="00595473" w:rsidRPr="00703A97" w:rsidRDefault="00595473" w:rsidP="00905D1D">
      <w:pPr>
        <w:pStyle w:val="CH2"/>
        <w:spacing w:before="240"/>
        <w:rPr>
          <w:lang w:val="es-ES_tradnl"/>
        </w:rPr>
      </w:pPr>
      <w:r w:rsidRPr="00703A97">
        <w:rPr>
          <w:lang w:val="es-ES_tradnl"/>
        </w:rPr>
        <w:tab/>
      </w:r>
      <w:r w:rsidRPr="00703A97">
        <w:rPr>
          <w:bCs/>
          <w:lang w:val="es-ES_tradnl"/>
        </w:rPr>
        <w:t>A.</w:t>
      </w:r>
      <w:r w:rsidRPr="00703A97">
        <w:rPr>
          <w:lang w:val="es-ES_tradnl"/>
        </w:rPr>
        <w:tab/>
      </w:r>
      <w:r w:rsidRPr="00703A97">
        <w:rPr>
          <w:bCs/>
          <w:lang w:val="es-ES_tradnl"/>
        </w:rPr>
        <w:t>Ajustes propuestos en el presupuesto aprobado de 2017</w:t>
      </w:r>
    </w:p>
    <w:p w14:paraId="7E791A31" w14:textId="5941F23A" w:rsidR="000958F5" w:rsidRPr="00703A97" w:rsidRDefault="000958F5" w:rsidP="004D359B">
      <w:pPr>
        <w:pStyle w:val="Normalnumber"/>
        <w:keepNext/>
        <w:keepLines/>
        <w:numPr>
          <w:ilvl w:val="0"/>
          <w:numId w:val="5"/>
        </w:numPr>
        <w:ind w:left="1247" w:firstLine="0"/>
        <w:rPr>
          <w:lang w:val="es-ES_tradnl"/>
        </w:rPr>
      </w:pPr>
      <w:r w:rsidRPr="00703A97">
        <w:rPr>
          <w:lang w:val="es-ES_tradnl"/>
        </w:rPr>
        <w:t xml:space="preserve">En la presente sección se detallan los principales ajustes propuestos para el presupuesto aprobado de 2017. </w:t>
      </w:r>
    </w:p>
    <w:p w14:paraId="06EECDD4" w14:textId="10C54CBC" w:rsidR="000958F5" w:rsidRPr="00703A97" w:rsidRDefault="00595473" w:rsidP="00595473">
      <w:pPr>
        <w:pStyle w:val="CH3"/>
        <w:rPr>
          <w:lang w:val="es-ES_tradnl"/>
        </w:rPr>
      </w:pPr>
      <w:r w:rsidRPr="00703A97">
        <w:rPr>
          <w:lang w:val="es-ES_tradnl"/>
        </w:rPr>
        <w:tab/>
      </w:r>
      <w:r w:rsidRPr="00703A97">
        <w:rPr>
          <w:bCs/>
          <w:lang w:val="es-ES_tradnl"/>
        </w:rPr>
        <w:t>1.</w:t>
      </w:r>
      <w:r w:rsidRPr="00703A97">
        <w:rPr>
          <w:lang w:val="es-ES_tradnl"/>
        </w:rPr>
        <w:tab/>
      </w:r>
      <w:r w:rsidRPr="00703A97">
        <w:rPr>
          <w:bCs/>
          <w:lang w:val="es-ES_tradnl"/>
        </w:rPr>
        <w:t>Reuniones de los órganos de la Plataforma</w:t>
      </w:r>
    </w:p>
    <w:p w14:paraId="125AF398" w14:textId="671DA52D" w:rsidR="000958F5" w:rsidRPr="00703A97" w:rsidRDefault="000958F5" w:rsidP="004D359B">
      <w:pPr>
        <w:pStyle w:val="Normalnumber"/>
        <w:numPr>
          <w:ilvl w:val="0"/>
          <w:numId w:val="5"/>
        </w:numPr>
        <w:ind w:left="1247" w:firstLine="0"/>
        <w:rPr>
          <w:lang w:val="es-ES_tradnl"/>
        </w:rPr>
      </w:pPr>
      <w:r w:rsidRPr="00703A97">
        <w:rPr>
          <w:lang w:val="es-ES_tradnl"/>
        </w:rPr>
        <w:t xml:space="preserve">Se propone la adición al presupuesto de un nuevo renglón para </w:t>
      </w:r>
      <w:r w:rsidR="009B5F85">
        <w:rPr>
          <w:lang w:val="es-ES_tradnl"/>
        </w:rPr>
        <w:t xml:space="preserve">los </w:t>
      </w:r>
      <w:r w:rsidRPr="00703A97">
        <w:rPr>
          <w:lang w:val="es-ES_tradnl"/>
        </w:rPr>
        <w:t xml:space="preserve">gastos del lugar de celebración de la conferencia en la partida 1.1 (períodos de sesiones del Plenario). Cuando un período de sesiones del Plenario se celebre en Bonn, el Gobierno de Alemania presta apoyo en especie para sufragar el 90% del costo de celebración en el Centro Mundial de Conferencias a condición de que el </w:t>
      </w:r>
      <w:r w:rsidR="001E2D97">
        <w:rPr>
          <w:lang w:val="es-ES_tradnl"/>
        </w:rPr>
        <w:t>Fondo Fiduciario</w:t>
      </w:r>
      <w:r w:rsidRPr="00703A97">
        <w:rPr>
          <w:lang w:val="es-ES_tradnl"/>
        </w:rPr>
        <w:t xml:space="preserve"> de la Plataforma sufrague el 10% restante. Para el quinto período de sesiones del Plenario, el costo del lugar de celebración de la conferencia costo se estima en 650.000 dólares. Este nuevo renglón </w:t>
      </w:r>
      <w:r w:rsidR="00703A97" w:rsidRPr="00703A97">
        <w:rPr>
          <w:lang w:val="es-ES_tradnl"/>
        </w:rPr>
        <w:t>corresponde</w:t>
      </w:r>
      <w:r w:rsidRPr="00703A97">
        <w:rPr>
          <w:lang w:val="es-ES_tradnl"/>
        </w:rPr>
        <w:t xml:space="preserve"> al 10% de ese costo, o sea 65.000 dólares, en 2017. Todavía no se ha incluido la cifra correspondiente en el presupuesto para 2018</w:t>
      </w:r>
      <w:r w:rsidR="003B4951">
        <w:rPr>
          <w:lang w:val="es-ES_tradnl"/>
        </w:rPr>
        <w:t xml:space="preserve"> </w:t>
      </w:r>
      <w:r w:rsidRPr="00703A97">
        <w:rPr>
          <w:lang w:val="es-ES_tradnl"/>
        </w:rPr>
        <w:t xml:space="preserve">debido a que la Plataforma ha hecho un llamamiento a los gobiernos para que expresen su interés en acoger el sexto período de sesiones. </w:t>
      </w:r>
    </w:p>
    <w:p w14:paraId="463FBCD3" w14:textId="1516152E" w:rsidR="000958F5" w:rsidRPr="00703A97" w:rsidRDefault="00FB78A7" w:rsidP="004D359B">
      <w:pPr>
        <w:pStyle w:val="Normalnumber"/>
        <w:numPr>
          <w:ilvl w:val="0"/>
          <w:numId w:val="5"/>
        </w:numPr>
        <w:ind w:left="1247" w:firstLine="0"/>
        <w:rPr>
          <w:lang w:val="es-ES_tradnl"/>
        </w:rPr>
      </w:pPr>
      <w:r w:rsidRPr="00703A97">
        <w:rPr>
          <w:lang w:val="es-ES_tradnl"/>
        </w:rPr>
        <w:t>Como se señaló anteriormente, desde el primer año de la Plataforma, en el presupuesto se han incluido por error tres reuniones anuales del Grupo Multidisciplinario de Expertos en lugar de dos. Se propone que se corrija ese error, lo que permitiría reducir en 70.000 dólares la cantidad asignada a</w:t>
      </w:r>
      <w:r w:rsidR="000F1CF2">
        <w:rPr>
          <w:lang w:val="es-ES_tradnl"/>
        </w:rPr>
        <w:t xml:space="preserve"> </w:t>
      </w:r>
      <w:r w:rsidRPr="00703A97">
        <w:rPr>
          <w:lang w:val="es-ES_tradnl"/>
        </w:rPr>
        <w:t>l</w:t>
      </w:r>
      <w:r w:rsidR="000F1CF2">
        <w:rPr>
          <w:lang w:val="es-ES_tradnl"/>
        </w:rPr>
        <w:t>a</w:t>
      </w:r>
      <w:r w:rsidRPr="00703A97">
        <w:rPr>
          <w:lang w:val="es-ES_tradnl"/>
        </w:rPr>
        <w:t xml:space="preserve"> </w:t>
      </w:r>
      <w:r w:rsidR="000F1CF2">
        <w:rPr>
          <w:lang w:val="es-ES_tradnl"/>
        </w:rPr>
        <w:t>partida</w:t>
      </w:r>
      <w:r w:rsidRPr="00703A97">
        <w:rPr>
          <w:lang w:val="es-ES_tradnl"/>
        </w:rPr>
        <w:t xml:space="preserve"> 1.2.</w:t>
      </w:r>
    </w:p>
    <w:p w14:paraId="163BC3BF" w14:textId="0179C7C0" w:rsidR="000958F5" w:rsidRPr="00703A97" w:rsidRDefault="00595473" w:rsidP="00595473">
      <w:pPr>
        <w:pStyle w:val="CH3"/>
        <w:rPr>
          <w:lang w:val="es-ES_tradnl"/>
        </w:rPr>
      </w:pPr>
      <w:r w:rsidRPr="00703A97">
        <w:rPr>
          <w:lang w:val="es-ES_tradnl"/>
        </w:rPr>
        <w:tab/>
      </w:r>
      <w:r w:rsidRPr="00703A97">
        <w:rPr>
          <w:bCs/>
          <w:lang w:val="es-ES_tradnl"/>
        </w:rPr>
        <w:t>2.</w:t>
      </w:r>
      <w:r w:rsidRPr="00703A97">
        <w:rPr>
          <w:lang w:val="es-ES_tradnl"/>
        </w:rPr>
        <w:tab/>
      </w:r>
      <w:r w:rsidRPr="00703A97">
        <w:rPr>
          <w:bCs/>
          <w:lang w:val="es-ES_tradnl"/>
        </w:rPr>
        <w:t>Ejecución del programa de trabajo</w:t>
      </w:r>
      <w:r w:rsidRPr="00703A97">
        <w:rPr>
          <w:lang w:val="es-ES_tradnl"/>
        </w:rPr>
        <w:t xml:space="preserve"> </w:t>
      </w:r>
    </w:p>
    <w:p w14:paraId="0DD128BE" w14:textId="0432F850" w:rsidR="000958F5" w:rsidRPr="00703A97" w:rsidRDefault="000958F5" w:rsidP="004D359B">
      <w:pPr>
        <w:pStyle w:val="Normalnumber"/>
        <w:numPr>
          <w:ilvl w:val="0"/>
          <w:numId w:val="5"/>
        </w:numPr>
        <w:ind w:left="1247" w:firstLine="0"/>
        <w:rPr>
          <w:lang w:val="es-ES_tradnl"/>
        </w:rPr>
      </w:pPr>
      <w:r w:rsidRPr="00AC44DC">
        <w:rPr>
          <w:bCs/>
          <w:lang w:val="es-ES_tradnl"/>
        </w:rPr>
        <w:t>Objetivo 2:</w:t>
      </w:r>
      <w:r w:rsidRPr="00703A97">
        <w:rPr>
          <w:lang w:val="es-ES_tradnl"/>
        </w:rPr>
        <w:t xml:space="preserve"> se propone un aumento de 312.000 dólares como se indica a continuación:</w:t>
      </w:r>
    </w:p>
    <w:p w14:paraId="2C14B6E6" w14:textId="123E146E" w:rsidR="000958F5" w:rsidRPr="00703A97" w:rsidRDefault="000958F5" w:rsidP="004D359B">
      <w:pPr>
        <w:pStyle w:val="ListParagraph"/>
        <w:numPr>
          <w:ilvl w:val="0"/>
          <w:numId w:val="8"/>
        </w:numPr>
        <w:tabs>
          <w:tab w:val="left" w:pos="624"/>
        </w:tabs>
        <w:spacing w:after="120" w:line="240" w:lineRule="auto"/>
        <w:ind w:left="1247" w:firstLine="624"/>
        <w:contextualSpacing w:val="0"/>
        <w:rPr>
          <w:rFonts w:ascii="Times New Roman" w:hAnsi="Times New Roman"/>
          <w:sz w:val="20"/>
          <w:szCs w:val="20"/>
          <w:lang w:val="es-ES_tradnl"/>
        </w:rPr>
      </w:pPr>
      <w:r w:rsidRPr="00703A97">
        <w:rPr>
          <w:rFonts w:ascii="Times New Roman" w:hAnsi="Times New Roman"/>
          <w:sz w:val="20"/>
          <w:szCs w:val="20"/>
          <w:lang w:val="es-ES_tradnl"/>
        </w:rPr>
        <w:t>La Mesa recomienda encarecidamente que se celebre en 2017 una segunda reunión general de autores, en la que participen los autores principales con miras a la evaluación mundial. El presupuesto actual solo prevé la participación de los autores principales en las reuniones primera y tercera. Esto significa que transcurrirá demasiado tiempo sin que se pueda interactuar y debatir cuestiones importantes cuando todavía queda tiempo suficiente para introducir cambios importantes. Este cambio propuesto entrañaría un costo adicional de 262.000 dólares;</w:t>
      </w:r>
    </w:p>
    <w:p w14:paraId="31B96009" w14:textId="63D06DC2" w:rsidR="000958F5" w:rsidRPr="00703A97" w:rsidRDefault="00CB2C4D" w:rsidP="004D359B">
      <w:pPr>
        <w:pStyle w:val="ListParagraph"/>
        <w:numPr>
          <w:ilvl w:val="0"/>
          <w:numId w:val="8"/>
        </w:numPr>
        <w:tabs>
          <w:tab w:val="left" w:pos="624"/>
        </w:tabs>
        <w:spacing w:after="120" w:line="240" w:lineRule="auto"/>
        <w:ind w:left="1247" w:firstLine="624"/>
        <w:contextualSpacing w:val="0"/>
        <w:rPr>
          <w:rFonts w:ascii="Times New Roman" w:hAnsi="Times New Roman"/>
          <w:sz w:val="20"/>
          <w:szCs w:val="20"/>
          <w:lang w:val="es-ES_tradnl"/>
        </w:rPr>
      </w:pPr>
      <w:r w:rsidRPr="00703A97">
        <w:rPr>
          <w:rFonts w:ascii="Times New Roman" w:hAnsi="Times New Roman"/>
          <w:sz w:val="20"/>
          <w:szCs w:val="20"/>
          <w:lang w:val="es-ES_tradnl"/>
        </w:rPr>
        <w:t xml:space="preserve">Se propone celebrar una reunión en 2017 y otra en 2018, a un costo de 50.000 dólares por reunión, en las que se analizarían las versiones primera y segunda de la evaluación mundial con </w:t>
      </w:r>
      <w:r w:rsidRPr="00703A97">
        <w:rPr>
          <w:rFonts w:ascii="Times New Roman" w:hAnsi="Times New Roman"/>
          <w:sz w:val="20"/>
          <w:szCs w:val="20"/>
          <w:lang w:val="es-ES_tradnl"/>
        </w:rPr>
        <w:lastRenderedPageBreak/>
        <w:t>representantes de los pueblos indígenas y las redes de comunidades locales a los efectos de incorporar plenamente el componente de conocimientos indígenas y locales de la evaluación mundial.</w:t>
      </w:r>
    </w:p>
    <w:p w14:paraId="2FA601E0" w14:textId="2CBF4AEE" w:rsidR="000958F5" w:rsidRPr="00703A97" w:rsidRDefault="000958F5" w:rsidP="004D359B">
      <w:pPr>
        <w:pStyle w:val="Normalnumber"/>
        <w:numPr>
          <w:ilvl w:val="0"/>
          <w:numId w:val="5"/>
        </w:numPr>
        <w:ind w:left="1247" w:firstLine="0"/>
        <w:rPr>
          <w:lang w:val="es-ES_tradnl"/>
        </w:rPr>
      </w:pPr>
      <w:r w:rsidRPr="000F1CF2">
        <w:rPr>
          <w:bCs/>
          <w:lang w:val="es-ES_tradnl"/>
        </w:rPr>
        <w:t>Objetivo 3:</w:t>
      </w:r>
      <w:r w:rsidRPr="00703A97">
        <w:rPr>
          <w:lang w:val="es-ES_tradnl"/>
        </w:rPr>
        <w:t xml:space="preserve"> se propone un aumento de 56.000 dólares para que los expertos sobre la degradación de la tierra que participan en las cuatro evaluaciones regionales asistan a la tercera reunión de autores de la evaluación sobre la degradación y la restauración de las tierras a fin de incorporar una perspectiva regional en esa evaluación.</w:t>
      </w:r>
    </w:p>
    <w:p w14:paraId="0EA2C898" w14:textId="41AA64E0" w:rsidR="000958F5" w:rsidRPr="00703A97" w:rsidRDefault="000958F5" w:rsidP="004D359B">
      <w:pPr>
        <w:pStyle w:val="Normalnumber"/>
        <w:numPr>
          <w:ilvl w:val="0"/>
          <w:numId w:val="5"/>
        </w:numPr>
        <w:ind w:left="1247" w:firstLine="0"/>
        <w:rPr>
          <w:lang w:val="es-ES_tradnl"/>
        </w:rPr>
      </w:pPr>
      <w:r w:rsidRPr="000F1CF2">
        <w:rPr>
          <w:bCs/>
          <w:lang w:val="es-ES_tradnl"/>
        </w:rPr>
        <w:t>Objetivo 4:</w:t>
      </w:r>
      <w:r w:rsidRPr="000F1CF2">
        <w:rPr>
          <w:lang w:val="es-ES_tradnl"/>
        </w:rPr>
        <w:t xml:space="preserve"> se</w:t>
      </w:r>
      <w:r w:rsidRPr="00703A97">
        <w:rPr>
          <w:lang w:val="es-ES_tradnl"/>
        </w:rPr>
        <w:t xml:space="preserve"> propone un aumento de 150.035 dólares, como se indica a continuación:</w:t>
      </w:r>
    </w:p>
    <w:p w14:paraId="15F61702" w14:textId="6D3A6F40" w:rsidR="000958F5" w:rsidRPr="00703A97" w:rsidRDefault="000958F5" w:rsidP="004D359B">
      <w:pPr>
        <w:pStyle w:val="ListParagraph"/>
        <w:numPr>
          <w:ilvl w:val="0"/>
          <w:numId w:val="9"/>
        </w:numPr>
        <w:tabs>
          <w:tab w:val="clear" w:pos="2495"/>
          <w:tab w:val="left" w:pos="624"/>
        </w:tabs>
        <w:spacing w:after="120" w:line="240" w:lineRule="auto"/>
        <w:contextualSpacing w:val="0"/>
        <w:rPr>
          <w:rFonts w:ascii="Times New Roman" w:hAnsi="Times New Roman"/>
          <w:sz w:val="20"/>
          <w:szCs w:val="20"/>
          <w:lang w:val="es-ES_tradnl"/>
        </w:rPr>
      </w:pPr>
      <w:r w:rsidRPr="00703A97">
        <w:rPr>
          <w:rFonts w:ascii="Times New Roman" w:hAnsi="Times New Roman"/>
          <w:sz w:val="20"/>
          <w:szCs w:val="20"/>
          <w:lang w:val="es-ES_tradnl"/>
        </w:rPr>
        <w:t xml:space="preserve">El costo del examen de la Plataforma en 2017, que es la mitad de 200.700 dólares del total propuesto en la nota de la Secretaría sobre el procedimiento para examinar la eficacia de las funciones administrativa y científica de la Plataforma (IPBES/5/11); </w:t>
      </w:r>
    </w:p>
    <w:p w14:paraId="1CDD6C83" w14:textId="13B29EE1" w:rsidR="000958F5" w:rsidRPr="00703A97" w:rsidRDefault="00E83B21" w:rsidP="004D359B">
      <w:pPr>
        <w:pStyle w:val="ListParagraph"/>
        <w:numPr>
          <w:ilvl w:val="0"/>
          <w:numId w:val="9"/>
        </w:numPr>
        <w:tabs>
          <w:tab w:val="clear" w:pos="2495"/>
          <w:tab w:val="left" w:pos="624"/>
        </w:tabs>
        <w:spacing w:after="120" w:line="240" w:lineRule="auto"/>
        <w:contextualSpacing w:val="0"/>
        <w:rPr>
          <w:rFonts w:ascii="Times New Roman" w:hAnsi="Times New Roman"/>
          <w:sz w:val="20"/>
          <w:szCs w:val="20"/>
          <w:lang w:val="es-ES_tradnl"/>
        </w:rPr>
      </w:pPr>
      <w:r w:rsidRPr="00703A97">
        <w:rPr>
          <w:rFonts w:ascii="Times New Roman" w:hAnsi="Times New Roman"/>
          <w:sz w:val="20"/>
          <w:szCs w:val="20"/>
          <w:lang w:val="es-ES_tradnl"/>
        </w:rPr>
        <w:t xml:space="preserve">El costo de una reunión del grupo de expertos sobre instrumentos de apoyo normativo (50.000 dólares en 2017), que no se reunió en 2016 pero deberá hacerlo en 2017 y 2018 en el contexto de la </w:t>
      </w:r>
      <w:r w:rsidR="0050309E">
        <w:rPr>
          <w:rFonts w:ascii="Times New Roman" w:hAnsi="Times New Roman"/>
          <w:sz w:val="20"/>
          <w:szCs w:val="20"/>
          <w:lang w:val="es-ES_tradnl"/>
        </w:rPr>
        <w:t>reciente</w:t>
      </w:r>
      <w:r w:rsidRPr="00703A97">
        <w:rPr>
          <w:rFonts w:ascii="Times New Roman" w:hAnsi="Times New Roman"/>
          <w:sz w:val="20"/>
          <w:szCs w:val="20"/>
          <w:lang w:val="es-ES_tradnl"/>
        </w:rPr>
        <w:t xml:space="preserve"> colaboración con Oppla para impartir orientación a fin de determinar el contenido del catálogo de instrumentos de apoyo normativo.</w:t>
      </w:r>
    </w:p>
    <w:p w14:paraId="7598ADAF" w14:textId="07288E68" w:rsidR="000958F5" w:rsidRPr="00703A97" w:rsidRDefault="000958F5" w:rsidP="004D359B">
      <w:pPr>
        <w:pStyle w:val="Normalnumber"/>
        <w:numPr>
          <w:ilvl w:val="0"/>
          <w:numId w:val="5"/>
        </w:numPr>
        <w:ind w:left="1247" w:firstLine="0"/>
        <w:rPr>
          <w:lang w:val="es-ES_tradnl"/>
        </w:rPr>
      </w:pPr>
      <w:r w:rsidRPr="00703A97">
        <w:rPr>
          <w:lang w:val="es-ES_tradnl"/>
        </w:rPr>
        <w:t>Además, el presupuesto deberá reflejar la decisión del Plenario relativa a las dos evaluaciones temáticas (especies invasoras y utilización sostenible) y la evaluación metodológica sobre valores, para las</w:t>
      </w:r>
      <w:r w:rsidR="00F861D8">
        <w:rPr>
          <w:lang w:val="es-ES_tradnl"/>
        </w:rPr>
        <w:t> </w:t>
      </w:r>
      <w:r w:rsidRPr="00703A97">
        <w:rPr>
          <w:lang w:val="es-ES_tradnl"/>
        </w:rPr>
        <w:t xml:space="preserve">que no se han previsto fondos en el presupuesto. En la nota de la Secretaría sobre las consideraciones relativas a la realización de dos evaluaciones temáticas y una evaluación metodológica (documento IPBES/5/6) se prevé un presupuesto de 997.000 dólares durante tres años para cada una de esas evaluaciones. </w:t>
      </w:r>
    </w:p>
    <w:p w14:paraId="7D4C1971" w14:textId="59AF08E4" w:rsidR="000958F5" w:rsidRPr="00703A97" w:rsidRDefault="000958F5" w:rsidP="004D359B">
      <w:pPr>
        <w:pStyle w:val="Normalnumber"/>
        <w:numPr>
          <w:ilvl w:val="0"/>
          <w:numId w:val="5"/>
        </w:numPr>
        <w:ind w:left="1247" w:firstLine="0"/>
        <w:rPr>
          <w:lang w:val="es-ES_tradnl"/>
        </w:rPr>
      </w:pPr>
      <w:r w:rsidRPr="00703A97">
        <w:rPr>
          <w:lang w:val="es-ES_tradnl"/>
        </w:rPr>
        <w:t>Si el Plenario decide iniciar una o más evaluaciones nuevas en 2017, habría que crear un nuevo puesto en la Secretaría de la Plataforma para asumir la difícil tarea de coordinar siete o más evaluaciones al mismo tiempo. Se trataría de un funcionario de categoría P</w:t>
      </w:r>
      <w:r w:rsidR="00356A65">
        <w:rPr>
          <w:lang w:val="es-ES_tradnl"/>
        </w:rPr>
        <w:noBreakHyphen/>
      </w:r>
      <w:r w:rsidRPr="00703A97">
        <w:rPr>
          <w:lang w:val="es-ES_tradnl"/>
        </w:rPr>
        <w:t>3 (195.600 dólares).</w:t>
      </w:r>
    </w:p>
    <w:p w14:paraId="6B790274" w14:textId="7CB7DB72" w:rsidR="000958F5" w:rsidRPr="00703A97" w:rsidRDefault="007F2585" w:rsidP="007F2585">
      <w:pPr>
        <w:pStyle w:val="CH3"/>
        <w:rPr>
          <w:lang w:val="es-ES_tradnl"/>
        </w:rPr>
      </w:pPr>
      <w:r w:rsidRPr="00703A97">
        <w:rPr>
          <w:lang w:val="es-ES_tradnl"/>
        </w:rPr>
        <w:tab/>
      </w:r>
      <w:r w:rsidRPr="00703A97">
        <w:rPr>
          <w:bCs/>
          <w:lang w:val="es-ES_tradnl"/>
        </w:rPr>
        <w:t>3.</w:t>
      </w:r>
      <w:r w:rsidRPr="00703A97">
        <w:rPr>
          <w:lang w:val="es-ES_tradnl"/>
        </w:rPr>
        <w:tab/>
      </w:r>
      <w:r w:rsidRPr="00703A97">
        <w:rPr>
          <w:bCs/>
          <w:lang w:val="es-ES_tradnl"/>
        </w:rPr>
        <w:t>Gastos de personal y de funcionamiento de la Secretaría</w:t>
      </w:r>
      <w:r w:rsidRPr="00703A97">
        <w:rPr>
          <w:lang w:val="es-ES_tradnl"/>
        </w:rPr>
        <w:t xml:space="preserve"> </w:t>
      </w:r>
    </w:p>
    <w:p w14:paraId="1C600677" w14:textId="779A37DC" w:rsidR="000958F5" w:rsidRPr="00703A97" w:rsidRDefault="000958F5" w:rsidP="004D359B">
      <w:pPr>
        <w:pStyle w:val="Normalnumber"/>
        <w:numPr>
          <w:ilvl w:val="0"/>
          <w:numId w:val="5"/>
        </w:numPr>
        <w:ind w:left="1247" w:firstLine="0"/>
        <w:rPr>
          <w:lang w:val="es-ES_tradnl"/>
        </w:rPr>
      </w:pPr>
      <w:r w:rsidRPr="00703A97">
        <w:rPr>
          <w:lang w:val="es-ES_tradnl"/>
        </w:rPr>
        <w:t>La Mesa recomienda encarecidamente la adición de un nuevo cargo administrativo a</w:t>
      </w:r>
      <w:r w:rsidR="00AC44DC">
        <w:rPr>
          <w:lang w:val="es-ES_tradnl"/>
        </w:rPr>
        <w:t xml:space="preserve"> jornada parcial de categoría G</w:t>
      </w:r>
      <w:r w:rsidR="00356A65">
        <w:rPr>
          <w:lang w:val="es-ES_tradnl"/>
        </w:rPr>
        <w:noBreakHyphen/>
      </w:r>
      <w:r w:rsidRPr="00703A97">
        <w:rPr>
          <w:lang w:val="es-ES_tradnl"/>
        </w:rPr>
        <w:t xml:space="preserve">6 a un costo de 59.400 dólares anuales para fortalecer la función de gestión de los conocimientos y la información de la Secretaría, en particular en relación con el establecimiento y la gestión de la base de datos general de la Plataforma y las interfaces de gestión de </w:t>
      </w:r>
      <w:r w:rsidR="00703A97" w:rsidRPr="00703A97">
        <w:rPr>
          <w:lang w:val="es-ES_tradnl"/>
        </w:rPr>
        <w:t>conocimientos</w:t>
      </w:r>
      <w:r w:rsidRPr="00703A97">
        <w:rPr>
          <w:lang w:val="es-ES_tradnl"/>
        </w:rPr>
        <w:t xml:space="preserve"> y datos basadas en la web. Este </w:t>
      </w:r>
      <w:r w:rsidR="00703A97" w:rsidRPr="00703A97">
        <w:rPr>
          <w:lang w:val="es-ES_tradnl"/>
        </w:rPr>
        <w:t>aux</w:t>
      </w:r>
      <w:r w:rsidR="00703A97">
        <w:rPr>
          <w:lang w:val="es-ES_tradnl"/>
        </w:rPr>
        <w:t>il</w:t>
      </w:r>
      <w:r w:rsidR="00703A97" w:rsidRPr="00703A97">
        <w:rPr>
          <w:lang w:val="es-ES_tradnl"/>
        </w:rPr>
        <w:t>iar</w:t>
      </w:r>
      <w:r w:rsidRPr="00703A97">
        <w:rPr>
          <w:lang w:val="es-ES_tradnl"/>
        </w:rPr>
        <w:t xml:space="preserve"> prestaría apoyo al oficial adjunto de gestión de conocimientos (P</w:t>
      </w:r>
      <w:r w:rsidR="00356A65">
        <w:rPr>
          <w:lang w:val="es-ES_tradnl"/>
        </w:rPr>
        <w:noBreakHyphen/>
      </w:r>
      <w:r w:rsidRPr="00703A97">
        <w:rPr>
          <w:lang w:val="es-ES_tradnl"/>
        </w:rPr>
        <w:t>2), que se ocupa de un gran volumen de trabajo y no tiene quien le ayude.</w:t>
      </w:r>
    </w:p>
    <w:p w14:paraId="2AE4D37B" w14:textId="4EB740DD" w:rsidR="000958F5" w:rsidRPr="00703A97" w:rsidRDefault="000958F5" w:rsidP="004D359B">
      <w:pPr>
        <w:pStyle w:val="Normalnumber"/>
        <w:numPr>
          <w:ilvl w:val="0"/>
          <w:numId w:val="5"/>
        </w:numPr>
        <w:ind w:left="1247" w:firstLine="0"/>
        <w:rPr>
          <w:lang w:val="es-ES_tradnl"/>
        </w:rPr>
      </w:pPr>
      <w:r w:rsidRPr="00703A97">
        <w:rPr>
          <w:lang w:val="es-ES_tradnl"/>
        </w:rPr>
        <w:t xml:space="preserve">Previsiblemente en 2017 vuelva a aumentar el costo de los servicios </w:t>
      </w:r>
      <w:r w:rsidR="00703A97" w:rsidRPr="00703A97">
        <w:rPr>
          <w:lang w:val="es-ES_tradnl"/>
        </w:rPr>
        <w:t>informáticos</w:t>
      </w:r>
      <w:r w:rsidR="003B4951">
        <w:rPr>
          <w:lang w:val="es-ES_tradnl"/>
        </w:rPr>
        <w:t>, como ocurrió en </w:t>
      </w:r>
      <w:r w:rsidRPr="00703A97">
        <w:rPr>
          <w:lang w:val="es-ES_tradnl"/>
        </w:rPr>
        <w:t>2016, debido a un aumento del número de usuarios. Por consiguient</w:t>
      </w:r>
      <w:r w:rsidR="003B4951">
        <w:rPr>
          <w:lang w:val="es-ES_tradnl"/>
        </w:rPr>
        <w:t>e, es preciso añadir la suma de </w:t>
      </w:r>
      <w:r w:rsidRPr="00703A97">
        <w:rPr>
          <w:lang w:val="es-ES_tradnl"/>
        </w:rPr>
        <w:t xml:space="preserve">36.250 dólares en el presupuesto para prever el incremento de usuarios en 2017. </w:t>
      </w:r>
    </w:p>
    <w:p w14:paraId="21F57801" w14:textId="1C3DC78E" w:rsidR="000958F5" w:rsidRPr="00703A97" w:rsidRDefault="007F2585" w:rsidP="007F2585">
      <w:pPr>
        <w:pStyle w:val="CH2"/>
        <w:rPr>
          <w:lang w:val="es-ES_tradnl"/>
        </w:rPr>
      </w:pPr>
      <w:r w:rsidRPr="00703A97">
        <w:rPr>
          <w:lang w:val="es-ES_tradnl"/>
        </w:rPr>
        <w:tab/>
      </w:r>
      <w:r w:rsidRPr="00703A97">
        <w:rPr>
          <w:bCs/>
          <w:lang w:val="es-ES_tradnl"/>
        </w:rPr>
        <w:t>B.</w:t>
      </w:r>
      <w:r w:rsidRPr="00703A97">
        <w:rPr>
          <w:lang w:val="es-ES_tradnl"/>
        </w:rPr>
        <w:tab/>
      </w:r>
      <w:r w:rsidRPr="00703A97">
        <w:rPr>
          <w:bCs/>
          <w:lang w:val="es-ES_tradnl"/>
        </w:rPr>
        <w:t>Ajustes propuestos en el presupuesto indicativo para 2018</w:t>
      </w:r>
      <w:r w:rsidRPr="00703A97">
        <w:rPr>
          <w:lang w:val="es-ES_tradnl"/>
        </w:rPr>
        <w:t xml:space="preserve"> </w:t>
      </w:r>
    </w:p>
    <w:p w14:paraId="610982FF" w14:textId="51EF76B0" w:rsidR="000958F5" w:rsidRPr="00703A97" w:rsidRDefault="000958F5" w:rsidP="004D359B">
      <w:pPr>
        <w:pStyle w:val="Normalnumber"/>
        <w:numPr>
          <w:ilvl w:val="0"/>
          <w:numId w:val="5"/>
        </w:numPr>
        <w:ind w:left="1247" w:firstLine="0"/>
        <w:rPr>
          <w:lang w:val="es-ES_tradnl"/>
        </w:rPr>
      </w:pPr>
      <w:r w:rsidRPr="00703A97">
        <w:rPr>
          <w:lang w:val="es-ES_tradnl"/>
        </w:rPr>
        <w:t xml:space="preserve">En la presente sección se describen los principales ajustes propuestos para el proyecto de presupuesto de 2018 </w:t>
      </w:r>
      <w:r w:rsidR="00703A97" w:rsidRPr="00703A97">
        <w:rPr>
          <w:lang w:val="es-ES_tradnl"/>
        </w:rPr>
        <w:t>sometidos</w:t>
      </w:r>
      <w:r w:rsidRPr="00703A97">
        <w:rPr>
          <w:lang w:val="es-ES_tradnl"/>
        </w:rPr>
        <w:t xml:space="preserve"> a consideración del Plenario, de los que este tomó nota en su cuarto período de sesiones. </w:t>
      </w:r>
    </w:p>
    <w:p w14:paraId="44F35929" w14:textId="37A00EEC" w:rsidR="000958F5" w:rsidRPr="00703A97" w:rsidRDefault="007F2585" w:rsidP="007F2585">
      <w:pPr>
        <w:pStyle w:val="CH3"/>
        <w:rPr>
          <w:lang w:val="es-ES_tradnl"/>
        </w:rPr>
      </w:pPr>
      <w:r w:rsidRPr="00703A97">
        <w:rPr>
          <w:lang w:val="es-ES_tradnl"/>
        </w:rPr>
        <w:tab/>
      </w:r>
      <w:r w:rsidRPr="00703A97">
        <w:rPr>
          <w:bCs/>
          <w:lang w:val="es-ES_tradnl"/>
        </w:rPr>
        <w:t>1.</w:t>
      </w:r>
      <w:r w:rsidRPr="00703A97">
        <w:rPr>
          <w:lang w:val="es-ES_tradnl"/>
        </w:rPr>
        <w:tab/>
      </w:r>
      <w:r w:rsidRPr="00703A97">
        <w:rPr>
          <w:bCs/>
          <w:lang w:val="es-ES_tradnl"/>
        </w:rPr>
        <w:t>Reuniones de los órganos de la Plataforma</w:t>
      </w:r>
    </w:p>
    <w:p w14:paraId="46B062A5" w14:textId="44AA7130" w:rsidR="000958F5" w:rsidRPr="00703A97" w:rsidRDefault="00D55BF2" w:rsidP="004D359B">
      <w:pPr>
        <w:pStyle w:val="Normalnumber"/>
        <w:numPr>
          <w:ilvl w:val="0"/>
          <w:numId w:val="5"/>
        </w:numPr>
        <w:ind w:left="1247" w:firstLine="0"/>
        <w:rPr>
          <w:lang w:val="es-ES_tradnl"/>
        </w:rPr>
      </w:pPr>
      <w:r w:rsidRPr="00703A97">
        <w:rPr>
          <w:lang w:val="es-ES_tradnl"/>
        </w:rPr>
        <w:t>En su sexto período de sesiones, el Plenario examinará cinco evaluaciones, entre ellas cuatro evaluaciones regionales que se examinarán en sesiones paralelas. Por lo tanto, habrá que asignar recursos adicionales para sufragar los servicios de interpretación de esas sesiones paralelas. Los detalles de esos arreglos figuran en la nota de la Secretaría sobre la organización de los períodos de sesiones sexto y séptimo del Plenario y el inicio de la elaboración de un segundo programa de trabajo de la Plataforma (documento IPBES/5/12). Se estima que este costo adicional, que se refleja en el renglón 1.1, será de</w:t>
      </w:r>
      <w:r w:rsidR="003B4951">
        <w:rPr>
          <w:lang w:val="es-ES_tradnl"/>
        </w:rPr>
        <w:t> </w:t>
      </w:r>
      <w:r w:rsidRPr="00703A97">
        <w:rPr>
          <w:lang w:val="es-ES_tradnl"/>
        </w:rPr>
        <w:t>300.000 dólares.</w:t>
      </w:r>
    </w:p>
    <w:p w14:paraId="77C52B3B" w14:textId="3722D47F" w:rsidR="000958F5" w:rsidRPr="00703A97" w:rsidRDefault="000958F5" w:rsidP="004D359B">
      <w:pPr>
        <w:pStyle w:val="Normalnumber"/>
        <w:numPr>
          <w:ilvl w:val="0"/>
          <w:numId w:val="5"/>
        </w:numPr>
        <w:ind w:left="1247" w:firstLine="0"/>
        <w:rPr>
          <w:lang w:val="es-ES_tradnl"/>
        </w:rPr>
      </w:pPr>
      <w:r w:rsidRPr="00703A97">
        <w:rPr>
          <w:lang w:val="es-ES_tradnl"/>
        </w:rPr>
        <w:t>Como se mencionó anteriormente, el presupuesto de la Plataforma, desde su primer año, ha incluido por error tres reuniones anuales del Grupo Multidisciplinario de Expertos en lugar de dos. Se propone corregir este error y, en consecuencia, reducir el monto asignado al renglón 1.2 en 70.000 dólares.</w:t>
      </w:r>
    </w:p>
    <w:p w14:paraId="621867B9" w14:textId="1ACE9316" w:rsidR="000958F5" w:rsidRPr="00703A97" w:rsidRDefault="007F2585" w:rsidP="007F2585">
      <w:pPr>
        <w:pStyle w:val="CH3"/>
        <w:rPr>
          <w:lang w:val="es-ES_tradnl"/>
        </w:rPr>
      </w:pPr>
      <w:r w:rsidRPr="00703A97">
        <w:rPr>
          <w:lang w:val="es-ES_tradnl"/>
        </w:rPr>
        <w:tab/>
      </w:r>
      <w:r w:rsidRPr="00703A97">
        <w:rPr>
          <w:bCs/>
          <w:lang w:val="es-ES_tradnl"/>
        </w:rPr>
        <w:t>2.</w:t>
      </w:r>
      <w:r w:rsidRPr="00703A97">
        <w:rPr>
          <w:lang w:val="es-ES_tradnl"/>
        </w:rPr>
        <w:tab/>
      </w:r>
      <w:r w:rsidRPr="00703A97">
        <w:rPr>
          <w:bCs/>
          <w:lang w:val="es-ES_tradnl"/>
        </w:rPr>
        <w:t>Ejecución del programa de trabajo</w:t>
      </w:r>
      <w:r w:rsidRPr="00703A97">
        <w:rPr>
          <w:lang w:val="es-ES_tradnl"/>
        </w:rPr>
        <w:t xml:space="preserve"> </w:t>
      </w:r>
    </w:p>
    <w:p w14:paraId="5D50169F" w14:textId="4E3ED8DD" w:rsidR="000958F5" w:rsidRPr="00703A97" w:rsidRDefault="000958F5" w:rsidP="004D359B">
      <w:pPr>
        <w:pStyle w:val="Normalnumber"/>
        <w:numPr>
          <w:ilvl w:val="0"/>
          <w:numId w:val="5"/>
        </w:numPr>
        <w:ind w:left="1247" w:firstLine="0"/>
        <w:rPr>
          <w:lang w:val="es-ES_tradnl"/>
        </w:rPr>
      </w:pPr>
      <w:r w:rsidRPr="0050309E">
        <w:rPr>
          <w:bCs/>
          <w:lang w:val="es-ES_tradnl"/>
        </w:rPr>
        <w:t>Objetivo 2:</w:t>
      </w:r>
      <w:r w:rsidRPr="0050309E">
        <w:rPr>
          <w:lang w:val="es-ES_tradnl"/>
        </w:rPr>
        <w:t xml:space="preserve"> </w:t>
      </w:r>
      <w:r w:rsidRPr="00703A97">
        <w:rPr>
          <w:lang w:val="es-ES_tradnl"/>
        </w:rPr>
        <w:t>se propone un aumento de 218.750 dólares como se indica a continuación:</w:t>
      </w:r>
    </w:p>
    <w:p w14:paraId="6480B99C" w14:textId="39D97035" w:rsidR="000958F5" w:rsidRPr="00703A97" w:rsidRDefault="000958F5" w:rsidP="004D359B">
      <w:pPr>
        <w:pStyle w:val="ListParagraph"/>
        <w:numPr>
          <w:ilvl w:val="0"/>
          <w:numId w:val="10"/>
        </w:numPr>
        <w:tabs>
          <w:tab w:val="left" w:pos="624"/>
        </w:tabs>
        <w:spacing w:after="120" w:line="240" w:lineRule="auto"/>
        <w:ind w:left="1247" w:firstLine="624"/>
        <w:contextualSpacing w:val="0"/>
        <w:rPr>
          <w:rFonts w:ascii="Times New Roman" w:hAnsi="Times New Roman"/>
          <w:sz w:val="20"/>
          <w:szCs w:val="20"/>
          <w:lang w:val="es-ES_tradnl"/>
        </w:rPr>
      </w:pPr>
      <w:r w:rsidRPr="00703A97">
        <w:rPr>
          <w:rFonts w:ascii="Times New Roman" w:hAnsi="Times New Roman"/>
          <w:sz w:val="20"/>
          <w:szCs w:val="20"/>
          <w:lang w:val="es-ES_tradnl"/>
        </w:rPr>
        <w:lastRenderedPageBreak/>
        <w:t>El presupuesto actual para apoyo técnico a las cuatro evaluaciones regionales y la evaluación de la degradación de tierras incluye la financiación hasta el sexto período de sesiones del Plenario. Se propone la adición de fondos para sufragar el período de tres m</w:t>
      </w:r>
      <w:r w:rsidR="003B4951">
        <w:rPr>
          <w:rFonts w:ascii="Times New Roman" w:hAnsi="Times New Roman"/>
          <w:sz w:val="20"/>
          <w:szCs w:val="20"/>
          <w:lang w:val="es-ES_tradnl"/>
        </w:rPr>
        <w:t>eses posterior al sexto período </w:t>
      </w:r>
      <w:r w:rsidRPr="00703A97">
        <w:rPr>
          <w:rFonts w:ascii="Times New Roman" w:hAnsi="Times New Roman"/>
          <w:sz w:val="20"/>
          <w:szCs w:val="20"/>
          <w:lang w:val="es-ES_tradnl"/>
        </w:rPr>
        <w:t>de sesiones, que se utilizarán para ultimar los capítulos, compilar</w:t>
      </w:r>
      <w:r w:rsidR="003B4951">
        <w:rPr>
          <w:rFonts w:ascii="Times New Roman" w:hAnsi="Times New Roman"/>
          <w:sz w:val="20"/>
          <w:szCs w:val="20"/>
          <w:lang w:val="es-ES_tradnl"/>
        </w:rPr>
        <w:t xml:space="preserve"> y publicar las observaciones y </w:t>
      </w:r>
      <w:r w:rsidRPr="00703A97">
        <w:rPr>
          <w:rFonts w:ascii="Times New Roman" w:hAnsi="Times New Roman"/>
          <w:sz w:val="20"/>
          <w:szCs w:val="20"/>
          <w:lang w:val="es-ES_tradnl"/>
        </w:rPr>
        <w:t>llevar a cabo la labor de comunicación y divulgación. Este apoyo requeriría 37.500 dólares para cada evaluación regional y 18.750 dólares para la evaluación de la degradación de las tierras, para un total de</w:t>
      </w:r>
      <w:r w:rsidR="003B4951">
        <w:rPr>
          <w:rFonts w:ascii="Times New Roman" w:hAnsi="Times New Roman"/>
          <w:sz w:val="20"/>
          <w:szCs w:val="20"/>
          <w:lang w:val="es-ES_tradnl"/>
        </w:rPr>
        <w:t> </w:t>
      </w:r>
      <w:r w:rsidRPr="00703A97">
        <w:rPr>
          <w:rFonts w:ascii="Times New Roman" w:hAnsi="Times New Roman"/>
          <w:sz w:val="20"/>
          <w:szCs w:val="20"/>
          <w:lang w:val="es-ES_tradnl"/>
        </w:rPr>
        <w:t>168.750 dólares;</w:t>
      </w:r>
    </w:p>
    <w:p w14:paraId="395D8C6F" w14:textId="42AA98C1" w:rsidR="000958F5" w:rsidRPr="00703A97" w:rsidRDefault="000958F5" w:rsidP="004D359B">
      <w:pPr>
        <w:pStyle w:val="ListParagraph"/>
        <w:numPr>
          <w:ilvl w:val="0"/>
          <w:numId w:val="10"/>
        </w:numPr>
        <w:tabs>
          <w:tab w:val="left" w:pos="624"/>
        </w:tabs>
        <w:spacing w:after="120" w:line="240" w:lineRule="auto"/>
        <w:ind w:left="1247" w:firstLine="624"/>
        <w:contextualSpacing w:val="0"/>
        <w:rPr>
          <w:rFonts w:ascii="Times New Roman" w:hAnsi="Times New Roman"/>
          <w:sz w:val="20"/>
          <w:szCs w:val="20"/>
          <w:lang w:val="es-ES_tradnl"/>
        </w:rPr>
      </w:pPr>
      <w:r w:rsidRPr="00703A97">
        <w:rPr>
          <w:rFonts w:ascii="Times New Roman" w:hAnsi="Times New Roman"/>
          <w:sz w:val="20"/>
          <w:szCs w:val="20"/>
          <w:lang w:val="es-ES_tradnl"/>
        </w:rPr>
        <w:t>Como se mencionó antes en la sección V A, se propone una reunión en 2018 por un costo de 50.000 dólares, que se centrará en la segunda versión del proyecto, para incorporar el componente de conocimientos indígenas y locales de la evaluación mundial.</w:t>
      </w:r>
    </w:p>
    <w:p w14:paraId="54E15457" w14:textId="4B3367DE" w:rsidR="000958F5" w:rsidRPr="00703A97" w:rsidRDefault="000958F5" w:rsidP="004D359B">
      <w:pPr>
        <w:pStyle w:val="Normalnumber"/>
        <w:numPr>
          <w:ilvl w:val="0"/>
          <w:numId w:val="5"/>
        </w:numPr>
        <w:tabs>
          <w:tab w:val="num" w:pos="1134"/>
        </w:tabs>
        <w:ind w:left="1247" w:firstLine="0"/>
        <w:rPr>
          <w:lang w:val="es-ES_tradnl"/>
        </w:rPr>
      </w:pPr>
      <w:r w:rsidRPr="0050309E">
        <w:rPr>
          <w:bCs/>
          <w:lang w:val="es-ES_tradnl"/>
        </w:rPr>
        <w:t>Objetivo 3:</w:t>
      </w:r>
      <w:r w:rsidRPr="00703A97">
        <w:rPr>
          <w:lang w:val="es-ES_tradnl"/>
        </w:rPr>
        <w:t xml:space="preserve"> en su cuarto período de sesiones, el Plenario aprobó un presupuesto de 800.000 dólares para cada una de las evaluaciones de 2018 y 2019 relacionadas con las especies invasoras y los valores. Esta suma se suprimió porque en el presupuesto se tendrá que reflejar la decisión del Plenario respecto de las dos evaluaciones temáticas (especies invasoras y utilización sostenible) y la evaluación metodológica sobre valores, para las cuales no se prevé financiación en los presupuestos en estos momentos. En el documento IPBES/5/6, sobre consideraciones relativas a la realización de dos evaluaciones temáticas y una evaluación metodológica, se prevé un presupuesto de 997.000 dólares durante tres años para cada una de esas evaluaciones. </w:t>
      </w:r>
    </w:p>
    <w:p w14:paraId="636D7B86" w14:textId="2C0E82D3" w:rsidR="000958F5" w:rsidRPr="00703A97" w:rsidRDefault="000958F5" w:rsidP="004D359B">
      <w:pPr>
        <w:pStyle w:val="Normalnumber"/>
        <w:numPr>
          <w:ilvl w:val="0"/>
          <w:numId w:val="5"/>
        </w:numPr>
        <w:ind w:left="1247" w:firstLine="0"/>
        <w:rPr>
          <w:lang w:val="es-ES_tradnl"/>
        </w:rPr>
      </w:pPr>
      <w:r w:rsidRPr="0050309E">
        <w:rPr>
          <w:bCs/>
          <w:lang w:val="es-ES_tradnl"/>
        </w:rPr>
        <w:t>Objetivo 4:</w:t>
      </w:r>
      <w:r w:rsidRPr="0050309E">
        <w:rPr>
          <w:lang w:val="es-ES_tradnl"/>
        </w:rPr>
        <w:t xml:space="preserve"> se</w:t>
      </w:r>
      <w:r w:rsidRPr="00703A97">
        <w:rPr>
          <w:lang w:val="es-ES_tradnl"/>
        </w:rPr>
        <w:t xml:space="preserve"> propone un aumento de 100.035 dólares correspondiente a los gastos del segundo año del examen de la Plataforma, como se propone en el documento IPBES/5/11, en relación con el procedimiento para examinar la eficacia de las funciones administrativa y científica de la Plataforma, por lo que el total asciende a 200.070 dólares.</w:t>
      </w:r>
    </w:p>
    <w:p w14:paraId="7A28AF6C" w14:textId="6E953189" w:rsidR="000958F5" w:rsidRPr="00703A97" w:rsidRDefault="007F2585" w:rsidP="007F2585">
      <w:pPr>
        <w:pStyle w:val="CH3"/>
        <w:rPr>
          <w:lang w:val="es-ES_tradnl"/>
        </w:rPr>
      </w:pPr>
      <w:r w:rsidRPr="00703A97">
        <w:rPr>
          <w:lang w:val="es-ES_tradnl"/>
        </w:rPr>
        <w:tab/>
      </w:r>
      <w:r w:rsidRPr="00703A97">
        <w:rPr>
          <w:bCs/>
          <w:lang w:val="es-ES_tradnl"/>
        </w:rPr>
        <w:t>3.</w:t>
      </w:r>
      <w:r w:rsidRPr="00703A97">
        <w:rPr>
          <w:lang w:val="es-ES_tradnl"/>
        </w:rPr>
        <w:tab/>
      </w:r>
      <w:r w:rsidRPr="00703A97">
        <w:rPr>
          <w:bCs/>
          <w:lang w:val="es-ES_tradnl"/>
        </w:rPr>
        <w:t>Gastos de personal y de funcionamiento de la Secretaría</w:t>
      </w:r>
      <w:r w:rsidRPr="00703A97">
        <w:rPr>
          <w:lang w:val="es-ES_tradnl"/>
        </w:rPr>
        <w:t xml:space="preserve"> </w:t>
      </w:r>
    </w:p>
    <w:p w14:paraId="05DECA15" w14:textId="1764D9E6" w:rsidR="000958F5" w:rsidRPr="00703A97" w:rsidRDefault="000958F5" w:rsidP="004D359B">
      <w:pPr>
        <w:pStyle w:val="Normalnumber"/>
        <w:numPr>
          <w:ilvl w:val="0"/>
          <w:numId w:val="5"/>
        </w:numPr>
        <w:ind w:left="1247" w:firstLine="0"/>
        <w:rPr>
          <w:color w:val="000000"/>
          <w:lang w:val="es-ES_tradnl"/>
        </w:rPr>
      </w:pPr>
      <w:r w:rsidRPr="00703A97">
        <w:rPr>
          <w:lang w:val="es-ES_tradnl"/>
        </w:rPr>
        <w:t>Los gastos adicionales relacionados con el personal de la Secretaría y el funcionamiento son análogos a los presentados en la misma partida en 2017, a saber 59.400 dólares por año para un nuevo puesto G</w:t>
      </w:r>
      <w:r w:rsidR="00356A65">
        <w:rPr>
          <w:lang w:val="es-ES_tradnl"/>
        </w:rPr>
        <w:noBreakHyphen/>
      </w:r>
      <w:r w:rsidRPr="00703A97">
        <w:rPr>
          <w:lang w:val="es-ES_tradnl"/>
        </w:rPr>
        <w:t xml:space="preserve">6 a jornada parcial en la Secretaría de la Plataforma y una suma adicional de 36.250 dólares para sufragar el aumento del costo de los servicios informáticos. </w:t>
      </w:r>
    </w:p>
    <w:p w14:paraId="4EFB473E" w14:textId="2EA4FDE3" w:rsidR="000958F5" w:rsidRPr="00703A97" w:rsidRDefault="000958F5" w:rsidP="000958F5">
      <w:pPr>
        <w:pStyle w:val="CH1"/>
        <w:keepNext w:val="0"/>
        <w:keepLines w:val="0"/>
        <w:rPr>
          <w:lang w:val="es-ES_tradnl"/>
        </w:rPr>
      </w:pPr>
      <w:r w:rsidRPr="00703A97">
        <w:rPr>
          <w:lang w:val="es-ES_tradnl"/>
        </w:rPr>
        <w:tab/>
      </w:r>
      <w:r w:rsidRPr="00703A97">
        <w:rPr>
          <w:bCs/>
          <w:lang w:val="es-ES_tradnl"/>
        </w:rPr>
        <w:t>V.</w:t>
      </w:r>
      <w:r w:rsidRPr="00703A97">
        <w:rPr>
          <w:lang w:val="es-ES_tradnl"/>
        </w:rPr>
        <w:tab/>
      </w:r>
      <w:r w:rsidRPr="00703A97">
        <w:rPr>
          <w:bCs/>
          <w:lang w:val="es-ES_tradnl"/>
        </w:rPr>
        <w:t>Proyecto de presupuesto indicativ</w:t>
      </w:r>
      <w:r w:rsidR="000A5F8F">
        <w:rPr>
          <w:bCs/>
          <w:lang w:val="es-ES_tradnl"/>
        </w:rPr>
        <w:t>o revisado para enero a mayo de </w:t>
      </w:r>
      <w:r w:rsidRPr="00703A97">
        <w:rPr>
          <w:bCs/>
          <w:lang w:val="es-ES_tradnl"/>
        </w:rPr>
        <w:t>2019</w:t>
      </w:r>
    </w:p>
    <w:p w14:paraId="18E8F788" w14:textId="65383474" w:rsidR="000958F5" w:rsidRPr="00703A97" w:rsidRDefault="000958F5" w:rsidP="004D359B">
      <w:pPr>
        <w:pStyle w:val="Normalnumber"/>
        <w:numPr>
          <w:ilvl w:val="0"/>
          <w:numId w:val="5"/>
        </w:numPr>
        <w:ind w:left="1247" w:firstLine="0"/>
        <w:rPr>
          <w:lang w:val="es-ES_tradnl"/>
        </w:rPr>
      </w:pPr>
      <w:r w:rsidRPr="00703A97">
        <w:rPr>
          <w:lang w:val="es-ES_tradnl"/>
        </w:rPr>
        <w:t>En el cuadro 6 se presentan los cambios propuestos en el proyecto de presupuesto presentado al Plenario, del que este tomó nota en su cuarto período de sesiones (decisión IPBES</w:t>
      </w:r>
      <w:r w:rsidR="00356A65">
        <w:rPr>
          <w:lang w:val="es-ES_tradnl"/>
        </w:rPr>
        <w:noBreakHyphen/>
      </w:r>
      <w:r w:rsidRPr="00703A97">
        <w:rPr>
          <w:lang w:val="es-ES_tradnl"/>
        </w:rPr>
        <w:t>4/2, anexo, cuadro 6), que dieron lugar a un proyecto de presupuesto revisado para el período de enero a mayo de 2019. Las revisiones propuestas responden a que se ha tomado en consideración que el séptimo período de sesiones del Plenario se celebrará en mayo de 2019 de manera que se disponga de tiempo suficiente para elaborar la evaluación mundial y ajustar su puesta en marcha atendiendo a los requisitos de presentación de informes del Plan Estratégico para la Diversidad Biológica 2011</w:t>
      </w:r>
      <w:r w:rsidR="00356A65">
        <w:rPr>
          <w:lang w:val="es-ES_tradnl"/>
        </w:rPr>
        <w:noBreakHyphen/>
      </w:r>
      <w:r w:rsidRPr="00703A97">
        <w:rPr>
          <w:lang w:val="es-ES_tradnl"/>
        </w:rPr>
        <w:t xml:space="preserve">2020 y sus Metas de Aichi para la Diversidad Biológica. </w:t>
      </w:r>
    </w:p>
    <w:p w14:paraId="3C6CE65C" w14:textId="6409AA8D" w:rsidR="000958F5" w:rsidRPr="00703A97" w:rsidRDefault="000958F5" w:rsidP="004D359B">
      <w:pPr>
        <w:pStyle w:val="Normalnumber"/>
        <w:numPr>
          <w:ilvl w:val="0"/>
          <w:numId w:val="5"/>
        </w:numPr>
        <w:ind w:left="1247" w:firstLine="0"/>
        <w:rPr>
          <w:lang w:val="es-ES_tradnl"/>
        </w:rPr>
      </w:pPr>
      <w:r w:rsidRPr="00703A97">
        <w:rPr>
          <w:lang w:val="es-ES_tradnl"/>
        </w:rPr>
        <w:t>Se han incluido los sueldos para toda la Secretaría. Se consignan también los gastos de funcionamiento prorrateados para el período de enero a mayo, junto con el costo del séptimo período de sesiones del Plenario. El proyecto de presupuesto para 2019 tendrá que revisarse a fondo cuando se examine, a partir de 2019, el segundo programa de trabajo.</w:t>
      </w:r>
    </w:p>
    <w:p w14:paraId="1629880A" w14:textId="77777777" w:rsidR="000A5F8F" w:rsidRPr="000A5F8F" w:rsidRDefault="000958F5" w:rsidP="00CB4B9F">
      <w:pPr>
        <w:pStyle w:val="Normal-pool"/>
        <w:keepNext/>
        <w:keepLines/>
        <w:rPr>
          <w:bCs/>
          <w:lang w:val="es-ES_tradnl"/>
        </w:rPr>
      </w:pPr>
      <w:r w:rsidRPr="000A5F8F">
        <w:rPr>
          <w:bCs/>
          <w:lang w:val="es-ES_tradnl"/>
        </w:rPr>
        <w:lastRenderedPageBreak/>
        <w:t xml:space="preserve">Cuadro 6 </w:t>
      </w:r>
    </w:p>
    <w:p w14:paraId="5ADFB684" w14:textId="5254A406" w:rsidR="000958F5" w:rsidRPr="00703A97" w:rsidRDefault="000958F5" w:rsidP="00CB4B9F">
      <w:pPr>
        <w:pStyle w:val="Normal-pool"/>
        <w:keepNext/>
        <w:keepLines/>
        <w:rPr>
          <w:b/>
          <w:lang w:val="es-ES_tradnl"/>
        </w:rPr>
      </w:pPr>
      <w:r w:rsidRPr="00703A97">
        <w:rPr>
          <w:b/>
          <w:bCs/>
          <w:lang w:val="es-ES_tradnl"/>
        </w:rPr>
        <w:t>Proyecto de presupuesto revisado para enero a mayo de 2019</w:t>
      </w:r>
      <w:r w:rsidRPr="00703A97">
        <w:rPr>
          <w:lang w:val="es-ES_tradnl"/>
        </w:rPr>
        <w:t xml:space="preserve"> </w:t>
      </w:r>
    </w:p>
    <w:p w14:paraId="5369D7D8" w14:textId="4DE532EA" w:rsidR="000958F5" w:rsidRPr="000A5F8F" w:rsidRDefault="000958F5" w:rsidP="00ED5068">
      <w:pPr>
        <w:pStyle w:val="Titletable"/>
        <w:ind w:left="0"/>
        <w:rPr>
          <w:b w:val="0"/>
          <w:sz w:val="18"/>
          <w:szCs w:val="18"/>
          <w:lang w:val="es-ES_tradnl"/>
        </w:rPr>
      </w:pPr>
      <w:r w:rsidRPr="000A5F8F">
        <w:rPr>
          <w:b w:val="0"/>
          <w:sz w:val="18"/>
          <w:szCs w:val="18"/>
          <w:lang w:val="es-ES_tradnl"/>
        </w:rPr>
        <w:t>(en dólares de los E</w:t>
      </w:r>
      <w:r w:rsidR="003B4951" w:rsidRPr="000A5F8F">
        <w:rPr>
          <w:b w:val="0"/>
          <w:sz w:val="18"/>
          <w:szCs w:val="18"/>
          <w:lang w:val="es-ES_tradnl"/>
        </w:rPr>
        <w:t>stados Unidos</w:t>
      </w:r>
      <w:r w:rsidRPr="000A5F8F">
        <w:rPr>
          <w:b w:val="0"/>
          <w:sz w:val="18"/>
          <w:szCs w:val="18"/>
          <w:lang w:val="es-ES_tradnl"/>
        </w:rPr>
        <w:t>)</w:t>
      </w:r>
    </w:p>
    <w:tbl>
      <w:tblPr>
        <w:tblW w:w="5024" w:type="pct"/>
        <w:tblInd w:w="108" w:type="dxa"/>
        <w:tblLayout w:type="fixed"/>
        <w:tblLook w:val="04A0" w:firstRow="1" w:lastRow="0" w:firstColumn="1" w:lastColumn="0" w:noHBand="0" w:noVBand="1"/>
      </w:tblPr>
      <w:tblGrid>
        <w:gridCol w:w="5813"/>
        <w:gridCol w:w="1559"/>
        <w:gridCol w:w="992"/>
        <w:gridCol w:w="1730"/>
      </w:tblGrid>
      <w:tr w:rsidR="000958F5" w:rsidRPr="000930FA" w14:paraId="6E4F7CE7" w14:textId="77777777" w:rsidTr="00E817FD">
        <w:trPr>
          <w:trHeight w:val="628"/>
          <w:tblHeader/>
        </w:trPr>
        <w:tc>
          <w:tcPr>
            <w:tcW w:w="5813" w:type="dxa"/>
            <w:tcBorders>
              <w:top w:val="single" w:sz="4" w:space="0" w:color="auto"/>
              <w:left w:val="nil"/>
              <w:bottom w:val="single" w:sz="12" w:space="0" w:color="auto"/>
              <w:right w:val="nil"/>
            </w:tcBorders>
            <w:shd w:val="clear" w:color="auto" w:fill="auto"/>
            <w:vAlign w:val="bottom"/>
            <w:hideMark/>
          </w:tcPr>
          <w:p w14:paraId="1E8A56E8" w14:textId="32710173" w:rsidR="000958F5" w:rsidRPr="00F861D8" w:rsidRDefault="000958F5" w:rsidP="00832F01">
            <w:pPr>
              <w:keepNext/>
              <w:keepLines/>
              <w:spacing w:after="0" w:line="240" w:lineRule="auto"/>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Partidas presupuestarias</w:t>
            </w:r>
          </w:p>
        </w:tc>
        <w:tc>
          <w:tcPr>
            <w:tcW w:w="1559" w:type="dxa"/>
            <w:tcBorders>
              <w:top w:val="single" w:sz="4" w:space="0" w:color="auto"/>
              <w:left w:val="nil"/>
              <w:bottom w:val="single" w:sz="12" w:space="0" w:color="auto"/>
              <w:right w:val="nil"/>
            </w:tcBorders>
            <w:shd w:val="clear" w:color="auto" w:fill="auto"/>
            <w:vAlign w:val="bottom"/>
            <w:hideMark/>
          </w:tcPr>
          <w:p w14:paraId="3C34C92A" w14:textId="2940784E" w:rsidR="000958F5" w:rsidRPr="00F861D8" w:rsidRDefault="000958F5" w:rsidP="00832F01">
            <w:pPr>
              <w:keepNext/>
              <w:keepLines/>
              <w:spacing w:after="0" w:line="240" w:lineRule="auto"/>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Presupuesto para 2018 propuesto en el cuarto período de sesiones del Plenario</w:t>
            </w:r>
            <w:r w:rsidRPr="00F861D8">
              <w:rPr>
                <w:rFonts w:ascii="Times New Roman" w:hAnsi="Times New Roman"/>
                <w:sz w:val="18"/>
                <w:szCs w:val="18"/>
                <w:lang w:val="es-ES_tradnl"/>
              </w:rPr>
              <w:t xml:space="preserve"> </w:t>
            </w:r>
          </w:p>
        </w:tc>
        <w:tc>
          <w:tcPr>
            <w:tcW w:w="992" w:type="dxa"/>
            <w:tcBorders>
              <w:top w:val="single" w:sz="4" w:space="0" w:color="auto"/>
              <w:left w:val="nil"/>
              <w:bottom w:val="single" w:sz="12" w:space="0" w:color="auto"/>
              <w:right w:val="nil"/>
            </w:tcBorders>
            <w:shd w:val="clear" w:color="auto" w:fill="auto"/>
            <w:vAlign w:val="bottom"/>
            <w:hideMark/>
          </w:tcPr>
          <w:p w14:paraId="501623A7" w14:textId="241F4439" w:rsidR="000958F5" w:rsidRPr="00F861D8" w:rsidRDefault="00A014BF" w:rsidP="00832F01">
            <w:pPr>
              <w:keepNext/>
              <w:keepLines/>
              <w:spacing w:after="0" w:line="240" w:lineRule="auto"/>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Cambios propuestos</w:t>
            </w:r>
            <w:r w:rsidRPr="00F861D8">
              <w:rPr>
                <w:rFonts w:ascii="Times New Roman" w:hAnsi="Times New Roman"/>
                <w:sz w:val="18"/>
                <w:szCs w:val="18"/>
                <w:lang w:val="es-ES_tradnl"/>
              </w:rPr>
              <w:t xml:space="preserve"> </w:t>
            </w:r>
          </w:p>
        </w:tc>
        <w:tc>
          <w:tcPr>
            <w:tcW w:w="1730" w:type="dxa"/>
            <w:tcBorders>
              <w:top w:val="single" w:sz="4" w:space="0" w:color="auto"/>
              <w:left w:val="nil"/>
              <w:bottom w:val="single" w:sz="12" w:space="0" w:color="auto"/>
              <w:right w:val="nil"/>
            </w:tcBorders>
            <w:shd w:val="clear" w:color="auto" w:fill="auto"/>
            <w:vAlign w:val="bottom"/>
            <w:hideMark/>
          </w:tcPr>
          <w:p w14:paraId="7C629DDF" w14:textId="4BB36DB7" w:rsidR="000958F5" w:rsidRPr="00F861D8" w:rsidRDefault="00A014BF" w:rsidP="00832F01">
            <w:pPr>
              <w:keepNext/>
              <w:keepLines/>
              <w:spacing w:after="0" w:line="240" w:lineRule="auto"/>
              <w:jc w:val="right"/>
              <w:rPr>
                <w:rFonts w:ascii="Times New Roman" w:eastAsia="Times New Roman" w:hAnsi="Times New Roman"/>
                <w:i/>
                <w:iCs/>
                <w:color w:val="000000"/>
                <w:sz w:val="18"/>
                <w:szCs w:val="18"/>
                <w:lang w:val="es-ES_tradnl"/>
              </w:rPr>
            </w:pPr>
            <w:r w:rsidRPr="00F861D8">
              <w:rPr>
                <w:rFonts w:ascii="Times New Roman" w:hAnsi="Times New Roman"/>
                <w:i/>
                <w:iCs/>
                <w:sz w:val="18"/>
                <w:szCs w:val="18"/>
                <w:lang w:val="es-ES_tradnl"/>
              </w:rPr>
              <w:t>Proyecto de presupuesto revisado para enero a mayo de 2019</w:t>
            </w:r>
          </w:p>
        </w:tc>
      </w:tr>
      <w:tr w:rsidR="000958F5" w:rsidRPr="00F861D8" w14:paraId="112ED289" w14:textId="77777777" w:rsidTr="00E817FD">
        <w:trPr>
          <w:trHeight w:val="201"/>
        </w:trPr>
        <w:tc>
          <w:tcPr>
            <w:tcW w:w="5813" w:type="dxa"/>
            <w:tcBorders>
              <w:top w:val="nil"/>
              <w:left w:val="nil"/>
              <w:bottom w:val="nil"/>
              <w:right w:val="nil"/>
            </w:tcBorders>
            <w:shd w:val="clear" w:color="000000" w:fill="FFFFFF"/>
            <w:noWrap/>
            <w:vAlign w:val="center"/>
            <w:hideMark/>
          </w:tcPr>
          <w:p w14:paraId="7A77A4B9" w14:textId="562F67FE" w:rsidR="000958F5" w:rsidRPr="00F861D8" w:rsidRDefault="000958F5" w:rsidP="00CB4B9F">
            <w:pPr>
              <w:keepNext/>
              <w:keepLines/>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1.</w:t>
            </w:r>
            <w:r w:rsidRPr="00F861D8">
              <w:rPr>
                <w:rFonts w:ascii="Times New Roman" w:hAnsi="Times New Roman"/>
                <w:sz w:val="18"/>
                <w:szCs w:val="18"/>
                <w:lang w:val="es-ES_tradnl"/>
              </w:rPr>
              <w:t xml:space="preserve"> </w:t>
            </w:r>
            <w:r w:rsidRPr="00F861D8">
              <w:rPr>
                <w:rFonts w:ascii="Times New Roman" w:hAnsi="Times New Roman"/>
                <w:b/>
                <w:bCs/>
                <w:sz w:val="18"/>
                <w:szCs w:val="18"/>
                <w:lang w:val="es-ES_tradnl"/>
              </w:rPr>
              <w:t>Reuniones de los órganos de la Plataforma</w:t>
            </w:r>
          </w:p>
        </w:tc>
        <w:tc>
          <w:tcPr>
            <w:tcW w:w="1559" w:type="dxa"/>
            <w:tcBorders>
              <w:top w:val="nil"/>
              <w:left w:val="nil"/>
              <w:bottom w:val="nil"/>
              <w:right w:val="nil"/>
            </w:tcBorders>
            <w:shd w:val="clear" w:color="000000" w:fill="FFFFFF"/>
            <w:noWrap/>
            <w:vAlign w:val="bottom"/>
            <w:hideMark/>
          </w:tcPr>
          <w:p w14:paraId="5AF74252" w14:textId="10F04B8A" w:rsidR="000958F5" w:rsidRPr="00F861D8" w:rsidRDefault="00CB4B9F" w:rsidP="000D3AC4">
            <w:pPr>
              <w:keepNext/>
              <w:keepLines/>
              <w:spacing w:after="0" w:line="240" w:lineRule="auto"/>
              <w:jc w:val="right"/>
              <w:rPr>
                <w:rFonts w:ascii="Times New Roman" w:hAnsi="Times New Roman"/>
                <w:color w:val="000000"/>
                <w:sz w:val="18"/>
                <w:szCs w:val="18"/>
                <w:u w:val="single"/>
                <w:lang w:val="es-ES_tradnl"/>
              </w:rPr>
            </w:pPr>
            <w:r w:rsidRPr="00F861D8">
              <w:rPr>
                <w:rFonts w:ascii="Times New Roman" w:hAnsi="Times New Roman"/>
                <w:sz w:val="18"/>
                <w:szCs w:val="18"/>
                <w:lang w:val="es-ES_tradnl"/>
              </w:rPr>
              <w:t>−</w:t>
            </w:r>
          </w:p>
        </w:tc>
        <w:tc>
          <w:tcPr>
            <w:tcW w:w="992" w:type="dxa"/>
            <w:tcBorders>
              <w:top w:val="nil"/>
              <w:left w:val="nil"/>
              <w:bottom w:val="nil"/>
              <w:right w:val="nil"/>
            </w:tcBorders>
            <w:shd w:val="clear" w:color="000000" w:fill="FFFFFF"/>
            <w:noWrap/>
            <w:vAlign w:val="bottom"/>
            <w:hideMark/>
          </w:tcPr>
          <w:p w14:paraId="5AB81A08" w14:textId="79DC0573" w:rsidR="000958F5" w:rsidRPr="00F861D8" w:rsidRDefault="00CB4B9F" w:rsidP="000D3AC4">
            <w:pPr>
              <w:keepNext/>
              <w:keepLines/>
              <w:spacing w:after="0" w:line="240" w:lineRule="auto"/>
              <w:jc w:val="right"/>
              <w:rPr>
                <w:rFonts w:ascii="Times New Roman" w:hAnsi="Times New Roman"/>
                <w:color w:val="000000"/>
                <w:sz w:val="18"/>
                <w:szCs w:val="18"/>
                <w:u w:val="single"/>
                <w:lang w:val="es-ES_tradnl"/>
              </w:rPr>
            </w:pPr>
            <w:r w:rsidRPr="00F861D8">
              <w:rPr>
                <w:rFonts w:ascii="Times New Roman" w:hAnsi="Times New Roman"/>
                <w:sz w:val="18"/>
                <w:szCs w:val="18"/>
                <w:lang w:val="es-ES_tradnl"/>
              </w:rPr>
              <w:t>−</w:t>
            </w:r>
          </w:p>
        </w:tc>
        <w:tc>
          <w:tcPr>
            <w:tcW w:w="1730" w:type="dxa"/>
            <w:tcBorders>
              <w:top w:val="nil"/>
              <w:left w:val="nil"/>
              <w:bottom w:val="nil"/>
              <w:right w:val="nil"/>
            </w:tcBorders>
            <w:shd w:val="clear" w:color="000000" w:fill="FFFFFF"/>
            <w:noWrap/>
            <w:vAlign w:val="bottom"/>
            <w:hideMark/>
          </w:tcPr>
          <w:p w14:paraId="63CB815E" w14:textId="480805E2" w:rsidR="000958F5" w:rsidRPr="00F861D8" w:rsidRDefault="00CB4B9F" w:rsidP="000D3AC4">
            <w:pPr>
              <w:keepNext/>
              <w:keepLines/>
              <w:spacing w:after="0" w:line="240" w:lineRule="auto"/>
              <w:jc w:val="right"/>
              <w:rPr>
                <w:rFonts w:ascii="Times New Roman" w:hAnsi="Times New Roman"/>
                <w:color w:val="000000"/>
                <w:sz w:val="18"/>
                <w:szCs w:val="18"/>
                <w:u w:val="single"/>
                <w:lang w:val="es-ES_tradnl"/>
              </w:rPr>
            </w:pPr>
            <w:r w:rsidRPr="00F861D8">
              <w:rPr>
                <w:rFonts w:ascii="Times New Roman" w:hAnsi="Times New Roman"/>
                <w:sz w:val="18"/>
                <w:szCs w:val="18"/>
                <w:lang w:val="es-ES_tradnl"/>
              </w:rPr>
              <w:t>−</w:t>
            </w:r>
          </w:p>
        </w:tc>
      </w:tr>
      <w:tr w:rsidR="000958F5" w:rsidRPr="000930FA" w14:paraId="22BEDE4F" w14:textId="77777777" w:rsidTr="00E817FD">
        <w:trPr>
          <w:trHeight w:val="291"/>
        </w:trPr>
        <w:tc>
          <w:tcPr>
            <w:tcW w:w="5813" w:type="dxa"/>
            <w:tcBorders>
              <w:top w:val="nil"/>
              <w:left w:val="nil"/>
              <w:bottom w:val="nil"/>
              <w:right w:val="nil"/>
            </w:tcBorders>
            <w:shd w:val="clear" w:color="000000" w:fill="FFFFFF"/>
            <w:noWrap/>
            <w:vAlign w:val="center"/>
            <w:hideMark/>
          </w:tcPr>
          <w:p w14:paraId="4C4F8E03" w14:textId="4A696F59" w:rsidR="000958F5" w:rsidRPr="00F861D8" w:rsidRDefault="000958F5" w:rsidP="007751C4">
            <w:pPr>
              <w:keepNext/>
              <w:keepLines/>
              <w:spacing w:after="0" w:line="240" w:lineRule="auto"/>
              <w:rPr>
                <w:rFonts w:ascii="Times New Roman" w:eastAsia="Times New Roman" w:hAnsi="Times New Roman"/>
                <w:b/>
                <w:color w:val="000000"/>
                <w:sz w:val="18"/>
                <w:szCs w:val="18"/>
                <w:lang w:val="es-ES_tradnl"/>
              </w:rPr>
            </w:pPr>
            <w:r w:rsidRPr="00F861D8">
              <w:rPr>
                <w:rFonts w:ascii="Times New Roman" w:hAnsi="Times New Roman"/>
                <w:b/>
                <w:bCs/>
                <w:sz w:val="18"/>
                <w:szCs w:val="18"/>
                <w:lang w:val="es-ES_tradnl"/>
              </w:rPr>
              <w:t>1.1 Período de sesiones anual del Plenario</w:t>
            </w:r>
            <w:r w:rsidRPr="00F861D8">
              <w:rPr>
                <w:rFonts w:ascii="Times New Roman" w:hAnsi="Times New Roman"/>
                <w:sz w:val="18"/>
                <w:szCs w:val="18"/>
                <w:lang w:val="es-ES_tradnl"/>
              </w:rPr>
              <w:t xml:space="preserve"> </w:t>
            </w:r>
          </w:p>
        </w:tc>
        <w:tc>
          <w:tcPr>
            <w:tcW w:w="1559" w:type="dxa"/>
            <w:tcBorders>
              <w:top w:val="nil"/>
              <w:left w:val="nil"/>
              <w:bottom w:val="nil"/>
              <w:right w:val="nil"/>
            </w:tcBorders>
            <w:shd w:val="clear" w:color="000000" w:fill="FFFFFF"/>
            <w:noWrap/>
            <w:vAlign w:val="bottom"/>
            <w:hideMark/>
          </w:tcPr>
          <w:p w14:paraId="2307E46E" w14:textId="6D8EA613" w:rsidR="000958F5" w:rsidRPr="00F861D8" w:rsidRDefault="000958F5" w:rsidP="000D3AC4">
            <w:pPr>
              <w:keepNext/>
              <w:keepLines/>
              <w:spacing w:after="0" w:line="240" w:lineRule="auto"/>
              <w:jc w:val="right"/>
              <w:rPr>
                <w:rFonts w:ascii="Times New Roman" w:eastAsia="Times New Roman" w:hAnsi="Times New Roman"/>
                <w:color w:val="000000"/>
                <w:sz w:val="18"/>
                <w:szCs w:val="18"/>
                <w:lang w:val="es-ES_tradnl"/>
              </w:rPr>
            </w:pPr>
          </w:p>
        </w:tc>
        <w:tc>
          <w:tcPr>
            <w:tcW w:w="992" w:type="dxa"/>
            <w:tcBorders>
              <w:top w:val="nil"/>
              <w:left w:val="nil"/>
              <w:bottom w:val="nil"/>
              <w:right w:val="nil"/>
            </w:tcBorders>
            <w:shd w:val="clear" w:color="000000" w:fill="FFFFFF"/>
            <w:noWrap/>
            <w:vAlign w:val="bottom"/>
            <w:hideMark/>
          </w:tcPr>
          <w:p w14:paraId="00D3138D" w14:textId="76D699CC" w:rsidR="000958F5" w:rsidRPr="00F861D8" w:rsidRDefault="000958F5" w:rsidP="000D3AC4">
            <w:pPr>
              <w:keepNext/>
              <w:keepLines/>
              <w:spacing w:after="0" w:line="240" w:lineRule="auto"/>
              <w:jc w:val="right"/>
              <w:rPr>
                <w:rFonts w:ascii="Times New Roman" w:eastAsia="Times New Roman" w:hAnsi="Times New Roman"/>
                <w:color w:val="000000"/>
                <w:sz w:val="18"/>
                <w:szCs w:val="18"/>
                <w:lang w:val="es-ES_tradnl"/>
              </w:rPr>
            </w:pPr>
          </w:p>
        </w:tc>
        <w:tc>
          <w:tcPr>
            <w:tcW w:w="1730" w:type="dxa"/>
            <w:tcBorders>
              <w:top w:val="nil"/>
              <w:left w:val="nil"/>
              <w:bottom w:val="nil"/>
              <w:right w:val="nil"/>
            </w:tcBorders>
            <w:shd w:val="clear" w:color="000000" w:fill="FFFFFF"/>
            <w:noWrap/>
            <w:vAlign w:val="bottom"/>
            <w:hideMark/>
          </w:tcPr>
          <w:p w14:paraId="3CA1B58E" w14:textId="54121092" w:rsidR="000958F5" w:rsidRPr="00F861D8" w:rsidRDefault="000958F5" w:rsidP="000D3AC4">
            <w:pPr>
              <w:keepNext/>
              <w:keepLines/>
              <w:spacing w:after="0" w:line="240" w:lineRule="auto"/>
              <w:jc w:val="right"/>
              <w:rPr>
                <w:rFonts w:ascii="Times New Roman" w:eastAsia="Times New Roman" w:hAnsi="Times New Roman"/>
                <w:color w:val="000000"/>
                <w:sz w:val="18"/>
                <w:szCs w:val="18"/>
                <w:lang w:val="es-ES_tradnl"/>
              </w:rPr>
            </w:pPr>
          </w:p>
        </w:tc>
      </w:tr>
      <w:tr w:rsidR="000958F5" w:rsidRPr="00F861D8" w14:paraId="319FB742" w14:textId="77777777" w:rsidTr="00E817FD">
        <w:trPr>
          <w:trHeight w:val="291"/>
        </w:trPr>
        <w:tc>
          <w:tcPr>
            <w:tcW w:w="5813" w:type="dxa"/>
            <w:tcBorders>
              <w:top w:val="nil"/>
              <w:left w:val="nil"/>
              <w:bottom w:val="nil"/>
              <w:right w:val="nil"/>
            </w:tcBorders>
            <w:shd w:val="clear" w:color="000000" w:fill="FFFFFF"/>
            <w:noWrap/>
            <w:vAlign w:val="center"/>
            <w:hideMark/>
          </w:tcPr>
          <w:p w14:paraId="0F6333DA" w14:textId="257FC95F" w:rsidR="000958F5" w:rsidRPr="00F861D8" w:rsidRDefault="000958F5" w:rsidP="007751C4">
            <w:pPr>
              <w:keepNext/>
              <w:keepLines/>
              <w:spacing w:after="0" w:line="240" w:lineRule="auto"/>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 xml:space="preserve">Gastos de viaje de los participantes en el séptimo período de sesiones del Plenario (viajes y dietas) </w:t>
            </w:r>
          </w:p>
        </w:tc>
        <w:tc>
          <w:tcPr>
            <w:tcW w:w="1559" w:type="dxa"/>
            <w:tcBorders>
              <w:top w:val="nil"/>
              <w:left w:val="nil"/>
              <w:bottom w:val="nil"/>
              <w:right w:val="nil"/>
            </w:tcBorders>
            <w:shd w:val="clear" w:color="000000" w:fill="FFFFFF"/>
            <w:noWrap/>
            <w:vAlign w:val="bottom"/>
            <w:hideMark/>
          </w:tcPr>
          <w:p w14:paraId="6BC8D9AE" w14:textId="3C6788AE" w:rsidR="000958F5" w:rsidRPr="00F861D8" w:rsidRDefault="000958F5" w:rsidP="000D3AC4">
            <w:pPr>
              <w:keepNext/>
              <w:keepLines/>
              <w:spacing w:after="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500 000</w:t>
            </w:r>
          </w:p>
        </w:tc>
        <w:tc>
          <w:tcPr>
            <w:tcW w:w="992" w:type="dxa"/>
            <w:tcBorders>
              <w:top w:val="nil"/>
              <w:left w:val="nil"/>
              <w:bottom w:val="nil"/>
              <w:right w:val="nil"/>
            </w:tcBorders>
            <w:shd w:val="clear" w:color="000000" w:fill="FFFFFF"/>
            <w:noWrap/>
            <w:vAlign w:val="bottom"/>
            <w:hideMark/>
          </w:tcPr>
          <w:p w14:paraId="1353DDDA" w14:textId="21D71A20" w:rsidR="000958F5" w:rsidRPr="00F861D8" w:rsidRDefault="000958F5" w:rsidP="000D3AC4">
            <w:pPr>
              <w:keepNext/>
              <w:keepLines/>
              <w:spacing w:after="0" w:line="240" w:lineRule="auto"/>
              <w:jc w:val="right"/>
              <w:rPr>
                <w:rFonts w:ascii="Times New Roman" w:eastAsia="Times New Roman" w:hAnsi="Times New Roman"/>
                <w:color w:val="000000"/>
                <w:sz w:val="18"/>
                <w:szCs w:val="18"/>
                <w:lang w:val="es-ES_tradnl"/>
              </w:rPr>
            </w:pPr>
          </w:p>
        </w:tc>
        <w:tc>
          <w:tcPr>
            <w:tcW w:w="1730" w:type="dxa"/>
            <w:tcBorders>
              <w:top w:val="nil"/>
              <w:left w:val="nil"/>
              <w:bottom w:val="nil"/>
              <w:right w:val="nil"/>
            </w:tcBorders>
            <w:shd w:val="clear" w:color="000000" w:fill="FFFFFF"/>
            <w:noWrap/>
            <w:vAlign w:val="bottom"/>
            <w:hideMark/>
          </w:tcPr>
          <w:p w14:paraId="1372AE91" w14:textId="15AF22E0" w:rsidR="000958F5" w:rsidRPr="00F861D8" w:rsidRDefault="000958F5" w:rsidP="000D3AC4">
            <w:pPr>
              <w:keepNext/>
              <w:keepLines/>
              <w:spacing w:after="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500 000</w:t>
            </w:r>
          </w:p>
        </w:tc>
      </w:tr>
      <w:tr w:rsidR="000958F5" w:rsidRPr="00F861D8" w14:paraId="22123668" w14:textId="77777777" w:rsidTr="00E817FD">
        <w:trPr>
          <w:trHeight w:val="291"/>
        </w:trPr>
        <w:tc>
          <w:tcPr>
            <w:tcW w:w="5813" w:type="dxa"/>
            <w:tcBorders>
              <w:top w:val="nil"/>
              <w:left w:val="nil"/>
              <w:bottom w:val="nil"/>
              <w:right w:val="nil"/>
            </w:tcBorders>
            <w:shd w:val="clear" w:color="000000" w:fill="FFFFFF"/>
            <w:noWrap/>
            <w:vAlign w:val="center"/>
            <w:hideMark/>
          </w:tcPr>
          <w:p w14:paraId="57463CDC" w14:textId="597A2617" w:rsidR="000958F5" w:rsidRPr="00F861D8" w:rsidRDefault="000958F5">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 xml:space="preserve">Servicios de conferencias (traducción, edición e interpretación) </w:t>
            </w:r>
          </w:p>
        </w:tc>
        <w:tc>
          <w:tcPr>
            <w:tcW w:w="1559" w:type="dxa"/>
            <w:tcBorders>
              <w:top w:val="nil"/>
              <w:left w:val="nil"/>
              <w:bottom w:val="nil"/>
              <w:right w:val="nil"/>
            </w:tcBorders>
            <w:shd w:val="clear" w:color="000000" w:fill="FFFFFF"/>
            <w:noWrap/>
            <w:vAlign w:val="bottom"/>
            <w:hideMark/>
          </w:tcPr>
          <w:p w14:paraId="3C99B49D" w14:textId="69913008"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765 000</w:t>
            </w:r>
          </w:p>
        </w:tc>
        <w:tc>
          <w:tcPr>
            <w:tcW w:w="992" w:type="dxa"/>
            <w:tcBorders>
              <w:top w:val="nil"/>
              <w:left w:val="nil"/>
              <w:bottom w:val="nil"/>
              <w:right w:val="nil"/>
            </w:tcBorders>
            <w:shd w:val="clear" w:color="000000" w:fill="FFFFFF"/>
            <w:noWrap/>
            <w:vAlign w:val="bottom"/>
            <w:hideMark/>
          </w:tcPr>
          <w:p w14:paraId="6FB2CC11" w14:textId="54128DCD"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000000" w:fill="FFFFFF"/>
            <w:noWrap/>
            <w:vAlign w:val="bottom"/>
            <w:hideMark/>
          </w:tcPr>
          <w:p w14:paraId="394B8AA2" w14:textId="69C50E2F"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765 000</w:t>
            </w:r>
          </w:p>
        </w:tc>
      </w:tr>
      <w:tr w:rsidR="000958F5" w:rsidRPr="00F861D8" w14:paraId="3508D24A" w14:textId="77777777" w:rsidTr="00E817FD">
        <w:trPr>
          <w:trHeight w:val="291"/>
        </w:trPr>
        <w:tc>
          <w:tcPr>
            <w:tcW w:w="5813" w:type="dxa"/>
            <w:tcBorders>
              <w:top w:val="nil"/>
              <w:left w:val="nil"/>
              <w:bottom w:val="nil"/>
              <w:right w:val="nil"/>
            </w:tcBorders>
            <w:shd w:val="clear" w:color="000000" w:fill="FFFFFF"/>
            <w:noWrap/>
            <w:vAlign w:val="center"/>
            <w:hideMark/>
          </w:tcPr>
          <w:p w14:paraId="2FBDE72F" w14:textId="5E1AC080"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Servicios de presentación de informes del Plenario</w:t>
            </w:r>
          </w:p>
        </w:tc>
        <w:tc>
          <w:tcPr>
            <w:tcW w:w="1559" w:type="dxa"/>
            <w:tcBorders>
              <w:top w:val="nil"/>
              <w:left w:val="nil"/>
              <w:bottom w:val="nil"/>
              <w:right w:val="nil"/>
            </w:tcBorders>
            <w:shd w:val="clear" w:color="000000" w:fill="FFFFFF"/>
            <w:noWrap/>
            <w:vAlign w:val="bottom"/>
            <w:hideMark/>
          </w:tcPr>
          <w:p w14:paraId="235AC0C8" w14:textId="1E424E84"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c>
          <w:tcPr>
            <w:tcW w:w="992" w:type="dxa"/>
            <w:tcBorders>
              <w:top w:val="nil"/>
              <w:left w:val="nil"/>
              <w:bottom w:val="nil"/>
              <w:right w:val="nil"/>
            </w:tcBorders>
            <w:shd w:val="clear" w:color="000000" w:fill="FFFFFF"/>
            <w:noWrap/>
            <w:vAlign w:val="bottom"/>
            <w:hideMark/>
          </w:tcPr>
          <w:p w14:paraId="6BA26FCD" w14:textId="66D6C65D"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000000" w:fill="FFFFFF"/>
            <w:noWrap/>
            <w:vAlign w:val="bottom"/>
            <w:hideMark/>
          </w:tcPr>
          <w:p w14:paraId="51A7FFB0" w14:textId="30BCF008"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r>
      <w:tr w:rsidR="000958F5" w:rsidRPr="00F861D8" w14:paraId="7707E655" w14:textId="77777777" w:rsidTr="00E817FD">
        <w:trPr>
          <w:trHeight w:val="291"/>
        </w:trPr>
        <w:tc>
          <w:tcPr>
            <w:tcW w:w="5813" w:type="dxa"/>
            <w:tcBorders>
              <w:top w:val="nil"/>
              <w:left w:val="nil"/>
              <w:bottom w:val="single" w:sz="4" w:space="0" w:color="auto"/>
              <w:right w:val="nil"/>
            </w:tcBorders>
            <w:shd w:val="clear" w:color="000000" w:fill="FFFFFF"/>
            <w:noWrap/>
            <w:vAlign w:val="center"/>
            <w:hideMark/>
          </w:tcPr>
          <w:p w14:paraId="2E782212" w14:textId="1139B120"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Seguridad para el Plenario</w:t>
            </w:r>
          </w:p>
        </w:tc>
        <w:tc>
          <w:tcPr>
            <w:tcW w:w="1559" w:type="dxa"/>
            <w:tcBorders>
              <w:top w:val="nil"/>
              <w:left w:val="nil"/>
              <w:bottom w:val="single" w:sz="4" w:space="0" w:color="auto"/>
              <w:right w:val="nil"/>
            </w:tcBorders>
            <w:shd w:val="clear" w:color="000000" w:fill="FFFFFF"/>
            <w:noWrap/>
            <w:vAlign w:val="bottom"/>
            <w:hideMark/>
          </w:tcPr>
          <w:p w14:paraId="51BFE76D" w14:textId="3A21665F"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100 000</w:t>
            </w:r>
          </w:p>
        </w:tc>
        <w:tc>
          <w:tcPr>
            <w:tcW w:w="992" w:type="dxa"/>
            <w:tcBorders>
              <w:top w:val="nil"/>
              <w:left w:val="nil"/>
              <w:bottom w:val="single" w:sz="4" w:space="0" w:color="auto"/>
              <w:right w:val="nil"/>
            </w:tcBorders>
            <w:shd w:val="clear" w:color="000000" w:fill="FFFFFF"/>
            <w:noWrap/>
            <w:vAlign w:val="bottom"/>
            <w:hideMark/>
          </w:tcPr>
          <w:p w14:paraId="4A1E2719" w14:textId="5884D645"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1730" w:type="dxa"/>
            <w:tcBorders>
              <w:top w:val="nil"/>
              <w:left w:val="nil"/>
              <w:bottom w:val="single" w:sz="4" w:space="0" w:color="auto"/>
              <w:right w:val="nil"/>
            </w:tcBorders>
            <w:shd w:val="clear" w:color="000000" w:fill="FFFFFF"/>
            <w:noWrap/>
            <w:vAlign w:val="bottom"/>
            <w:hideMark/>
          </w:tcPr>
          <w:p w14:paraId="01CED682" w14:textId="5EB3EE43"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100 000</w:t>
            </w:r>
          </w:p>
        </w:tc>
      </w:tr>
      <w:tr w:rsidR="000958F5" w:rsidRPr="00F861D8" w14:paraId="626E3ED8"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051C3210" w14:textId="4EB55440"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1.1 Períodos de sesiones del Plenario</w:t>
            </w:r>
          </w:p>
        </w:tc>
        <w:tc>
          <w:tcPr>
            <w:tcW w:w="1559" w:type="dxa"/>
            <w:tcBorders>
              <w:top w:val="single" w:sz="4" w:space="0" w:color="auto"/>
              <w:left w:val="nil"/>
              <w:bottom w:val="single" w:sz="4" w:space="0" w:color="auto"/>
              <w:right w:val="nil"/>
            </w:tcBorders>
            <w:shd w:val="clear" w:color="auto" w:fill="auto"/>
            <w:noWrap/>
            <w:vAlign w:val="bottom"/>
            <w:hideMark/>
          </w:tcPr>
          <w:p w14:paraId="25B93880" w14:textId="613E93CB"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1 430 000</w:t>
            </w:r>
          </w:p>
        </w:tc>
        <w:tc>
          <w:tcPr>
            <w:tcW w:w="992" w:type="dxa"/>
            <w:tcBorders>
              <w:top w:val="single" w:sz="4" w:space="0" w:color="auto"/>
              <w:left w:val="nil"/>
              <w:bottom w:val="single" w:sz="4" w:space="0" w:color="auto"/>
              <w:right w:val="nil"/>
            </w:tcBorders>
            <w:shd w:val="clear" w:color="auto" w:fill="auto"/>
            <w:noWrap/>
            <w:vAlign w:val="bottom"/>
            <w:hideMark/>
          </w:tcPr>
          <w:p w14:paraId="4DB9522D" w14:textId="7B1CF1E6"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599273B8" w14:textId="179FC289"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1 430 000</w:t>
            </w:r>
          </w:p>
        </w:tc>
      </w:tr>
      <w:tr w:rsidR="000958F5" w:rsidRPr="000930FA" w14:paraId="1ECD4314"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3A6DDEFA" w14:textId="715296D3"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1.2 Reuniones de la Mesa y el Grupo Multidisciplinario de Expertos</w:t>
            </w:r>
          </w:p>
        </w:tc>
        <w:tc>
          <w:tcPr>
            <w:tcW w:w="1559" w:type="dxa"/>
            <w:tcBorders>
              <w:top w:val="single" w:sz="4" w:space="0" w:color="auto"/>
              <w:left w:val="nil"/>
              <w:bottom w:val="nil"/>
              <w:right w:val="nil"/>
            </w:tcBorders>
            <w:shd w:val="clear" w:color="auto" w:fill="auto"/>
            <w:noWrap/>
            <w:vAlign w:val="bottom"/>
            <w:hideMark/>
          </w:tcPr>
          <w:p w14:paraId="240FF5F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135CA43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6415438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0930FA" w14:paraId="70B06887" w14:textId="77777777" w:rsidTr="00E817FD">
        <w:trPr>
          <w:trHeight w:val="291"/>
        </w:trPr>
        <w:tc>
          <w:tcPr>
            <w:tcW w:w="5813" w:type="dxa"/>
            <w:tcBorders>
              <w:top w:val="nil"/>
              <w:left w:val="nil"/>
              <w:bottom w:val="nil"/>
              <w:right w:val="nil"/>
            </w:tcBorders>
            <w:shd w:val="clear" w:color="auto" w:fill="auto"/>
            <w:noWrap/>
            <w:vAlign w:val="center"/>
            <w:hideMark/>
          </w:tcPr>
          <w:p w14:paraId="43931B5A" w14:textId="55ACFE87" w:rsidR="000958F5" w:rsidRPr="00F861D8" w:rsidRDefault="000958F5" w:rsidP="006863A3">
            <w:pPr>
              <w:spacing w:after="0" w:line="240" w:lineRule="auto"/>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 xml:space="preserve">Gastos de viaje y reuniones de los participantes en reuniones de la Mesa </w:t>
            </w:r>
          </w:p>
        </w:tc>
        <w:tc>
          <w:tcPr>
            <w:tcW w:w="1559" w:type="dxa"/>
            <w:tcBorders>
              <w:top w:val="nil"/>
              <w:left w:val="nil"/>
              <w:bottom w:val="nil"/>
              <w:right w:val="nil"/>
            </w:tcBorders>
            <w:shd w:val="clear" w:color="auto" w:fill="auto"/>
            <w:noWrap/>
            <w:vAlign w:val="bottom"/>
            <w:hideMark/>
          </w:tcPr>
          <w:p w14:paraId="7D8D114D" w14:textId="77777777" w:rsidR="000958F5" w:rsidRPr="00F861D8" w:rsidRDefault="000958F5" w:rsidP="000D3AC4">
            <w:pPr>
              <w:spacing w:after="0" w:line="240" w:lineRule="auto"/>
              <w:jc w:val="right"/>
              <w:rPr>
                <w:rFonts w:ascii="Times New Roman" w:eastAsia="Times New Roman" w:hAnsi="Times New Roman"/>
                <w:color w:val="000000"/>
                <w:sz w:val="18"/>
                <w:szCs w:val="18"/>
                <w:lang w:val="es-ES_tradnl"/>
              </w:rPr>
            </w:pPr>
          </w:p>
        </w:tc>
        <w:tc>
          <w:tcPr>
            <w:tcW w:w="992" w:type="dxa"/>
            <w:tcBorders>
              <w:top w:val="nil"/>
              <w:left w:val="nil"/>
              <w:bottom w:val="nil"/>
              <w:right w:val="nil"/>
            </w:tcBorders>
            <w:shd w:val="clear" w:color="auto" w:fill="auto"/>
            <w:noWrap/>
            <w:vAlign w:val="bottom"/>
            <w:hideMark/>
          </w:tcPr>
          <w:p w14:paraId="27DDAD5C" w14:textId="77777777" w:rsidR="000958F5" w:rsidRPr="00F861D8" w:rsidRDefault="000958F5" w:rsidP="000D3AC4">
            <w:pPr>
              <w:spacing w:after="0" w:line="240" w:lineRule="auto"/>
              <w:jc w:val="right"/>
              <w:rPr>
                <w:rFonts w:ascii="Times New Roman" w:eastAsia="Times New Roman" w:hAnsi="Times New Roman"/>
                <w:sz w:val="18"/>
                <w:szCs w:val="18"/>
                <w:lang w:val="es-ES_tradnl"/>
              </w:rPr>
            </w:pPr>
          </w:p>
        </w:tc>
        <w:tc>
          <w:tcPr>
            <w:tcW w:w="1730" w:type="dxa"/>
            <w:tcBorders>
              <w:top w:val="nil"/>
              <w:left w:val="nil"/>
              <w:bottom w:val="nil"/>
              <w:right w:val="nil"/>
            </w:tcBorders>
            <w:shd w:val="clear" w:color="auto" w:fill="auto"/>
            <w:noWrap/>
            <w:vAlign w:val="bottom"/>
            <w:hideMark/>
          </w:tcPr>
          <w:p w14:paraId="7E507BF5" w14:textId="77777777" w:rsidR="000958F5" w:rsidRPr="00F861D8" w:rsidRDefault="000958F5" w:rsidP="000D3AC4">
            <w:pPr>
              <w:spacing w:after="0" w:line="240" w:lineRule="auto"/>
              <w:jc w:val="right"/>
              <w:rPr>
                <w:rFonts w:ascii="Times New Roman" w:eastAsia="Times New Roman" w:hAnsi="Times New Roman"/>
                <w:sz w:val="18"/>
                <w:szCs w:val="18"/>
                <w:lang w:val="es-ES_tradnl"/>
              </w:rPr>
            </w:pPr>
          </w:p>
        </w:tc>
      </w:tr>
      <w:tr w:rsidR="000958F5" w:rsidRPr="000930FA" w14:paraId="7DAF991C"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3AA6ED11" w14:textId="249F9472" w:rsidR="000958F5" w:rsidRPr="00F861D8" w:rsidRDefault="000958F5">
            <w:pPr>
              <w:spacing w:after="0" w:line="240" w:lineRule="auto"/>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 xml:space="preserve">Gastos de viaje y reuniones de participantes en la reunión del Grupo </w:t>
            </w:r>
          </w:p>
        </w:tc>
        <w:tc>
          <w:tcPr>
            <w:tcW w:w="1559" w:type="dxa"/>
            <w:tcBorders>
              <w:top w:val="nil"/>
              <w:left w:val="nil"/>
              <w:bottom w:val="single" w:sz="4" w:space="0" w:color="auto"/>
              <w:right w:val="nil"/>
            </w:tcBorders>
            <w:shd w:val="clear" w:color="auto" w:fill="auto"/>
            <w:noWrap/>
            <w:vAlign w:val="bottom"/>
            <w:hideMark/>
          </w:tcPr>
          <w:p w14:paraId="30E17FEA" w14:textId="5E2C0986" w:rsidR="000958F5" w:rsidRPr="00F861D8" w:rsidRDefault="000958F5" w:rsidP="000D3AC4">
            <w:pPr>
              <w:spacing w:after="0" w:line="240" w:lineRule="auto"/>
              <w:jc w:val="right"/>
              <w:rPr>
                <w:rFonts w:ascii="Times New Roman" w:eastAsia="Times New Roman" w:hAnsi="Times New Roman"/>
                <w:color w:val="000000"/>
                <w:sz w:val="18"/>
                <w:szCs w:val="18"/>
                <w:lang w:val="es-ES_tradnl"/>
              </w:rPr>
            </w:pPr>
          </w:p>
        </w:tc>
        <w:tc>
          <w:tcPr>
            <w:tcW w:w="992" w:type="dxa"/>
            <w:tcBorders>
              <w:top w:val="nil"/>
              <w:left w:val="nil"/>
              <w:bottom w:val="single" w:sz="4" w:space="0" w:color="auto"/>
              <w:right w:val="nil"/>
            </w:tcBorders>
            <w:shd w:val="clear" w:color="auto" w:fill="auto"/>
            <w:noWrap/>
            <w:vAlign w:val="bottom"/>
            <w:hideMark/>
          </w:tcPr>
          <w:p w14:paraId="55F50C92" w14:textId="0541345F" w:rsidR="000958F5" w:rsidRPr="00F861D8" w:rsidRDefault="000958F5" w:rsidP="000D3AC4">
            <w:pPr>
              <w:spacing w:after="0" w:line="240" w:lineRule="auto"/>
              <w:jc w:val="right"/>
              <w:rPr>
                <w:rFonts w:ascii="Times New Roman" w:eastAsia="Times New Roman" w:hAnsi="Times New Roman"/>
                <w:color w:val="000000"/>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34F031B4" w14:textId="6D8AF5A9" w:rsidR="000958F5" w:rsidRPr="00F861D8" w:rsidRDefault="000958F5" w:rsidP="000D3AC4">
            <w:pPr>
              <w:spacing w:after="0" w:line="240" w:lineRule="auto"/>
              <w:jc w:val="right"/>
              <w:rPr>
                <w:rFonts w:ascii="Times New Roman" w:eastAsia="Times New Roman" w:hAnsi="Times New Roman"/>
                <w:color w:val="000000"/>
                <w:sz w:val="18"/>
                <w:szCs w:val="18"/>
                <w:lang w:val="es-ES_tradnl"/>
              </w:rPr>
            </w:pPr>
          </w:p>
        </w:tc>
      </w:tr>
      <w:tr w:rsidR="000958F5" w:rsidRPr="000930FA" w14:paraId="3B17DB75"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5491B564" w14:textId="3EE38A2B"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1.2</w:t>
            </w:r>
            <w:r w:rsidR="003B4951" w:rsidRPr="00F861D8">
              <w:rPr>
                <w:rFonts w:ascii="Times New Roman" w:hAnsi="Times New Roman"/>
                <w:b/>
                <w:bCs/>
                <w:sz w:val="18"/>
                <w:szCs w:val="18"/>
                <w:lang w:val="es-ES_tradnl"/>
              </w:rPr>
              <w:t xml:space="preserve"> </w:t>
            </w:r>
            <w:r w:rsidRPr="00F861D8">
              <w:rPr>
                <w:rFonts w:ascii="Times New Roman" w:hAnsi="Times New Roman"/>
                <w:b/>
                <w:bCs/>
                <w:sz w:val="18"/>
                <w:szCs w:val="18"/>
                <w:lang w:val="es-ES_tradnl"/>
              </w:rPr>
              <w:t>Reuniones de la Mesa y el Grupo Multidisciplinario de Expertos</w:t>
            </w:r>
          </w:p>
        </w:tc>
        <w:tc>
          <w:tcPr>
            <w:tcW w:w="1559" w:type="dxa"/>
            <w:tcBorders>
              <w:top w:val="single" w:sz="4" w:space="0" w:color="auto"/>
              <w:left w:val="nil"/>
              <w:bottom w:val="single" w:sz="4" w:space="0" w:color="auto"/>
              <w:right w:val="nil"/>
            </w:tcBorders>
            <w:shd w:val="clear" w:color="auto" w:fill="auto"/>
            <w:noWrap/>
            <w:vAlign w:val="bottom"/>
            <w:hideMark/>
          </w:tcPr>
          <w:p w14:paraId="74E89EA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color w:val="000000"/>
                <w:sz w:val="18"/>
                <w:szCs w:val="18"/>
                <w:lang w:val="es-ES_tradnl"/>
              </w:rPr>
            </w:pPr>
          </w:p>
        </w:tc>
        <w:tc>
          <w:tcPr>
            <w:tcW w:w="992" w:type="dxa"/>
            <w:tcBorders>
              <w:top w:val="single" w:sz="4" w:space="0" w:color="auto"/>
              <w:left w:val="nil"/>
              <w:bottom w:val="single" w:sz="4" w:space="0" w:color="auto"/>
              <w:right w:val="nil"/>
            </w:tcBorders>
            <w:shd w:val="clear" w:color="auto" w:fill="auto"/>
            <w:noWrap/>
            <w:vAlign w:val="bottom"/>
            <w:hideMark/>
          </w:tcPr>
          <w:p w14:paraId="1B1B915D" w14:textId="3182C18E"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0BA459D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color w:val="000000"/>
                <w:sz w:val="18"/>
                <w:szCs w:val="18"/>
                <w:lang w:val="es-ES_tradnl"/>
              </w:rPr>
            </w:pPr>
          </w:p>
        </w:tc>
      </w:tr>
      <w:tr w:rsidR="000958F5" w:rsidRPr="000930FA" w14:paraId="7144628F"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1D4AFA7D" w14:textId="508F2582"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1.3 Viajes de la Presidencia en representación de la Plataforma</w:t>
            </w:r>
          </w:p>
        </w:tc>
        <w:tc>
          <w:tcPr>
            <w:tcW w:w="1559" w:type="dxa"/>
            <w:tcBorders>
              <w:top w:val="single" w:sz="4" w:space="0" w:color="auto"/>
              <w:left w:val="nil"/>
              <w:bottom w:val="single" w:sz="4" w:space="0" w:color="auto"/>
              <w:right w:val="nil"/>
            </w:tcBorders>
            <w:shd w:val="clear" w:color="auto" w:fill="auto"/>
            <w:noWrap/>
            <w:vAlign w:val="bottom"/>
            <w:hideMark/>
          </w:tcPr>
          <w:p w14:paraId="60783EDC" w14:textId="5A763E4F"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992" w:type="dxa"/>
            <w:tcBorders>
              <w:top w:val="single" w:sz="4" w:space="0" w:color="auto"/>
              <w:left w:val="nil"/>
              <w:bottom w:val="single" w:sz="4" w:space="0" w:color="auto"/>
              <w:right w:val="nil"/>
            </w:tcBorders>
            <w:shd w:val="clear" w:color="auto" w:fill="auto"/>
            <w:noWrap/>
            <w:vAlign w:val="bottom"/>
            <w:hideMark/>
          </w:tcPr>
          <w:p w14:paraId="001079A2" w14:textId="00484266"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1316EB0F" w14:textId="06FF44DE" w:rsidR="000958F5" w:rsidRPr="00F861D8" w:rsidRDefault="000958F5" w:rsidP="000D3AC4">
            <w:pPr>
              <w:spacing w:after="0" w:line="240" w:lineRule="auto"/>
              <w:jc w:val="right"/>
              <w:rPr>
                <w:rFonts w:ascii="Times New Roman" w:hAnsi="Times New Roman"/>
                <w:color w:val="000000"/>
                <w:sz w:val="18"/>
                <w:szCs w:val="18"/>
                <w:lang w:val="es-ES_tradnl"/>
              </w:rPr>
            </w:pPr>
          </w:p>
        </w:tc>
      </w:tr>
      <w:tr w:rsidR="000958F5" w:rsidRPr="00F861D8" w14:paraId="65046DDF"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6785F3B6" w14:textId="3721511A"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1 Reuniones de los órganos de la Plataforma</w:t>
            </w:r>
          </w:p>
        </w:tc>
        <w:tc>
          <w:tcPr>
            <w:tcW w:w="1559" w:type="dxa"/>
            <w:tcBorders>
              <w:top w:val="single" w:sz="4" w:space="0" w:color="auto"/>
              <w:left w:val="nil"/>
              <w:bottom w:val="single" w:sz="4" w:space="0" w:color="auto"/>
              <w:right w:val="nil"/>
            </w:tcBorders>
            <w:shd w:val="clear" w:color="auto" w:fill="auto"/>
            <w:noWrap/>
            <w:vAlign w:val="bottom"/>
            <w:hideMark/>
          </w:tcPr>
          <w:p w14:paraId="18E38D2C" w14:textId="424A9CEA"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1 430 000</w:t>
            </w:r>
          </w:p>
        </w:tc>
        <w:tc>
          <w:tcPr>
            <w:tcW w:w="992" w:type="dxa"/>
            <w:tcBorders>
              <w:top w:val="single" w:sz="4" w:space="0" w:color="auto"/>
              <w:left w:val="nil"/>
              <w:bottom w:val="single" w:sz="4" w:space="0" w:color="auto"/>
              <w:right w:val="nil"/>
            </w:tcBorders>
            <w:shd w:val="clear" w:color="auto" w:fill="auto"/>
            <w:noWrap/>
            <w:vAlign w:val="bottom"/>
            <w:hideMark/>
          </w:tcPr>
          <w:p w14:paraId="6CAB94B8" w14:textId="6F28066A"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0D75387B" w14:textId="2966BD29"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1 430 000</w:t>
            </w:r>
          </w:p>
        </w:tc>
      </w:tr>
      <w:tr w:rsidR="000958F5" w:rsidRPr="000930FA" w14:paraId="29D8B633" w14:textId="77777777" w:rsidTr="00E817FD">
        <w:trPr>
          <w:trHeight w:val="291"/>
        </w:trPr>
        <w:tc>
          <w:tcPr>
            <w:tcW w:w="5813" w:type="dxa"/>
            <w:tcBorders>
              <w:top w:val="single" w:sz="4" w:space="0" w:color="auto"/>
              <w:left w:val="nil"/>
              <w:bottom w:val="nil"/>
              <w:right w:val="nil"/>
            </w:tcBorders>
            <w:shd w:val="clear" w:color="000000" w:fill="FFFFFF"/>
            <w:noWrap/>
            <w:hideMark/>
          </w:tcPr>
          <w:p w14:paraId="75F7DDC6" w14:textId="428F7361"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2.</w:t>
            </w:r>
            <w:r w:rsidRPr="00F861D8">
              <w:rPr>
                <w:rFonts w:ascii="Times New Roman" w:hAnsi="Times New Roman"/>
                <w:sz w:val="18"/>
                <w:szCs w:val="18"/>
                <w:lang w:val="es-ES_tradnl"/>
              </w:rPr>
              <w:t xml:space="preserve"> </w:t>
            </w:r>
            <w:r w:rsidRPr="00F861D8">
              <w:rPr>
                <w:rFonts w:ascii="Times New Roman" w:hAnsi="Times New Roman"/>
                <w:b/>
                <w:bCs/>
                <w:sz w:val="18"/>
                <w:szCs w:val="18"/>
                <w:lang w:val="es-ES_tradnl"/>
              </w:rPr>
              <w:t>Ejecución del programa de trabajo</w:t>
            </w:r>
            <w:r w:rsidRPr="00F861D8">
              <w:rPr>
                <w:rFonts w:ascii="Times New Roman" w:hAnsi="Times New Roman"/>
                <w:sz w:val="18"/>
                <w:szCs w:val="18"/>
                <w:lang w:val="es-ES_tradnl"/>
              </w:rPr>
              <w:t xml:space="preserve"> </w:t>
            </w:r>
          </w:p>
        </w:tc>
        <w:tc>
          <w:tcPr>
            <w:tcW w:w="1559" w:type="dxa"/>
            <w:tcBorders>
              <w:top w:val="single" w:sz="4" w:space="0" w:color="auto"/>
              <w:left w:val="nil"/>
              <w:bottom w:val="nil"/>
              <w:right w:val="nil"/>
            </w:tcBorders>
            <w:shd w:val="clear" w:color="000000" w:fill="FFFFFF"/>
            <w:noWrap/>
            <w:vAlign w:val="bottom"/>
            <w:hideMark/>
          </w:tcPr>
          <w:p w14:paraId="4103E5FF" w14:textId="7A7CA71C" w:rsidR="000958F5" w:rsidRPr="00F861D8" w:rsidRDefault="000D3AC4"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color w:val="000000"/>
                <w:sz w:val="18"/>
                <w:szCs w:val="18"/>
                <w:lang w:val="es-ES_tradnl"/>
              </w:rPr>
              <w:t xml:space="preserve"> </w:t>
            </w:r>
          </w:p>
        </w:tc>
        <w:tc>
          <w:tcPr>
            <w:tcW w:w="992" w:type="dxa"/>
            <w:tcBorders>
              <w:top w:val="single" w:sz="4" w:space="0" w:color="auto"/>
              <w:left w:val="nil"/>
              <w:bottom w:val="nil"/>
              <w:right w:val="nil"/>
            </w:tcBorders>
            <w:shd w:val="clear" w:color="000000" w:fill="FFFFFF"/>
            <w:noWrap/>
            <w:vAlign w:val="bottom"/>
            <w:hideMark/>
          </w:tcPr>
          <w:p w14:paraId="4D9B4539" w14:textId="487ACE6F" w:rsidR="000958F5" w:rsidRPr="00F861D8" w:rsidRDefault="000D3AC4"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color w:val="000000"/>
                <w:sz w:val="18"/>
                <w:szCs w:val="18"/>
                <w:lang w:val="es-ES_tradnl"/>
              </w:rPr>
              <w:t xml:space="preserve"> </w:t>
            </w:r>
          </w:p>
        </w:tc>
        <w:tc>
          <w:tcPr>
            <w:tcW w:w="1730" w:type="dxa"/>
            <w:tcBorders>
              <w:top w:val="single" w:sz="4" w:space="0" w:color="auto"/>
              <w:left w:val="nil"/>
              <w:bottom w:val="nil"/>
              <w:right w:val="nil"/>
            </w:tcBorders>
            <w:shd w:val="clear" w:color="000000" w:fill="FFFFFF"/>
            <w:noWrap/>
            <w:vAlign w:val="bottom"/>
            <w:hideMark/>
          </w:tcPr>
          <w:p w14:paraId="58BB7086" w14:textId="1A793E02" w:rsidR="000958F5" w:rsidRPr="00F861D8" w:rsidRDefault="000D3AC4"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color w:val="000000"/>
                <w:sz w:val="18"/>
                <w:szCs w:val="18"/>
                <w:lang w:val="es-ES_tradnl"/>
              </w:rPr>
              <w:t xml:space="preserve"> </w:t>
            </w:r>
          </w:p>
        </w:tc>
      </w:tr>
      <w:tr w:rsidR="000958F5" w:rsidRPr="00F861D8" w14:paraId="7F376275" w14:textId="77777777" w:rsidTr="00E817FD">
        <w:trPr>
          <w:trHeight w:val="527"/>
        </w:trPr>
        <w:tc>
          <w:tcPr>
            <w:tcW w:w="5813" w:type="dxa"/>
            <w:tcBorders>
              <w:top w:val="nil"/>
              <w:left w:val="nil"/>
              <w:bottom w:val="nil"/>
              <w:right w:val="nil"/>
            </w:tcBorders>
            <w:shd w:val="clear" w:color="000000" w:fill="FFFFFF"/>
            <w:vAlign w:val="center"/>
            <w:hideMark/>
          </w:tcPr>
          <w:p w14:paraId="79D27D1E" w14:textId="3AD873C8"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b/>
                <w:bCs/>
                <w:sz w:val="18"/>
                <w:szCs w:val="18"/>
                <w:lang w:val="es-ES_tradnl"/>
              </w:rPr>
              <w:t>2.1 Objetivo 1:</w:t>
            </w:r>
            <w:r w:rsidRPr="00F861D8">
              <w:rPr>
                <w:rFonts w:ascii="Times New Roman" w:hAnsi="Times New Roman"/>
                <w:sz w:val="18"/>
                <w:szCs w:val="18"/>
                <w:lang w:val="es-ES_tradnl"/>
              </w:rPr>
              <w:t xml:space="preserve"> fortalecer los fundamentos de la interfaz científico</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normativa en materia de capacidad y conocimientos para el desempeño de las principales funciones de la Plataforma</w:t>
            </w:r>
          </w:p>
        </w:tc>
        <w:tc>
          <w:tcPr>
            <w:tcW w:w="1559" w:type="dxa"/>
            <w:tcBorders>
              <w:top w:val="nil"/>
              <w:left w:val="nil"/>
              <w:bottom w:val="nil"/>
              <w:right w:val="nil"/>
            </w:tcBorders>
            <w:shd w:val="clear" w:color="000000" w:fill="FFFFFF"/>
            <w:noWrap/>
            <w:vAlign w:val="bottom"/>
            <w:hideMark/>
          </w:tcPr>
          <w:p w14:paraId="1B16E9C0" w14:textId="69ABAB78"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91 667</w:t>
            </w:r>
          </w:p>
        </w:tc>
        <w:tc>
          <w:tcPr>
            <w:tcW w:w="992" w:type="dxa"/>
            <w:tcBorders>
              <w:top w:val="nil"/>
              <w:left w:val="nil"/>
              <w:bottom w:val="nil"/>
              <w:right w:val="nil"/>
            </w:tcBorders>
            <w:shd w:val="clear" w:color="000000" w:fill="FFFFFF"/>
            <w:noWrap/>
            <w:vAlign w:val="bottom"/>
            <w:hideMark/>
          </w:tcPr>
          <w:p w14:paraId="59123C59" w14:textId="5883181C" w:rsidR="000958F5" w:rsidRPr="00F861D8" w:rsidRDefault="000D3AC4"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color w:val="000000"/>
                <w:sz w:val="18"/>
                <w:szCs w:val="18"/>
                <w:lang w:val="es-ES_tradnl"/>
              </w:rPr>
              <w:t xml:space="preserve"> </w:t>
            </w:r>
          </w:p>
        </w:tc>
        <w:tc>
          <w:tcPr>
            <w:tcW w:w="1730" w:type="dxa"/>
            <w:tcBorders>
              <w:top w:val="nil"/>
              <w:left w:val="nil"/>
              <w:bottom w:val="nil"/>
              <w:right w:val="nil"/>
            </w:tcBorders>
            <w:shd w:val="clear" w:color="000000" w:fill="FFFFFF"/>
            <w:noWrap/>
            <w:vAlign w:val="bottom"/>
            <w:hideMark/>
          </w:tcPr>
          <w:p w14:paraId="2BA1F4C1" w14:textId="27397DF0"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91 667</w:t>
            </w:r>
          </w:p>
        </w:tc>
      </w:tr>
      <w:tr w:rsidR="000958F5" w:rsidRPr="00F861D8" w14:paraId="0BF6B9A9" w14:textId="77777777" w:rsidTr="00E817FD">
        <w:trPr>
          <w:trHeight w:val="527"/>
        </w:trPr>
        <w:tc>
          <w:tcPr>
            <w:tcW w:w="5813" w:type="dxa"/>
            <w:tcBorders>
              <w:top w:val="nil"/>
              <w:left w:val="nil"/>
              <w:bottom w:val="nil"/>
              <w:right w:val="nil"/>
            </w:tcBorders>
            <w:shd w:val="clear" w:color="000000" w:fill="FFFFFF"/>
            <w:vAlign w:val="center"/>
            <w:hideMark/>
          </w:tcPr>
          <w:p w14:paraId="0AC91440" w14:textId="1C56D00A"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b/>
                <w:bCs/>
                <w:sz w:val="18"/>
                <w:szCs w:val="18"/>
                <w:lang w:val="es-ES_tradnl"/>
              </w:rPr>
              <w:t>2.2 Objetivo 2:</w:t>
            </w:r>
            <w:r w:rsidRPr="00F861D8">
              <w:rPr>
                <w:rFonts w:ascii="Times New Roman" w:hAnsi="Times New Roman"/>
                <w:sz w:val="18"/>
                <w:szCs w:val="18"/>
                <w:lang w:val="es-ES_tradnl"/>
              </w:rPr>
              <w:t xml:space="preserve"> fortalecer la interfaz científico</w:t>
            </w:r>
            <w:r w:rsidRPr="00F861D8">
              <w:rPr>
                <w:rFonts w:ascii="MS Mincho" w:hAnsi="MS Mincho" w:cs="MS Mincho" w:hint="eastAsia"/>
                <w:sz w:val="18"/>
                <w:szCs w:val="18"/>
                <w:lang w:val="es-ES_tradnl"/>
              </w:rPr>
              <w:t>‑</w:t>
            </w:r>
            <w:r w:rsidRPr="00F861D8">
              <w:rPr>
                <w:rFonts w:ascii="Times New Roman" w:hAnsi="Times New Roman"/>
                <w:sz w:val="18"/>
                <w:szCs w:val="18"/>
                <w:lang w:val="es-ES_tradnl"/>
              </w:rPr>
              <w:t>normativa sobre diversidad biológica y servicios de los ecosistemas en los niveles subregional, regional y mundial y entre ellos</w:t>
            </w:r>
          </w:p>
        </w:tc>
        <w:tc>
          <w:tcPr>
            <w:tcW w:w="1559" w:type="dxa"/>
            <w:tcBorders>
              <w:top w:val="nil"/>
              <w:left w:val="nil"/>
              <w:bottom w:val="nil"/>
              <w:right w:val="nil"/>
            </w:tcBorders>
            <w:shd w:val="clear" w:color="000000" w:fill="FFFFFF"/>
            <w:noWrap/>
            <w:vAlign w:val="bottom"/>
            <w:hideMark/>
          </w:tcPr>
          <w:p w14:paraId="5F1A8489" w14:textId="145F2582"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127 500</w:t>
            </w:r>
          </w:p>
        </w:tc>
        <w:tc>
          <w:tcPr>
            <w:tcW w:w="992" w:type="dxa"/>
            <w:tcBorders>
              <w:top w:val="nil"/>
              <w:left w:val="nil"/>
              <w:bottom w:val="nil"/>
              <w:right w:val="nil"/>
            </w:tcBorders>
            <w:shd w:val="clear" w:color="000000" w:fill="FFFFFF"/>
            <w:noWrap/>
            <w:vAlign w:val="bottom"/>
            <w:hideMark/>
          </w:tcPr>
          <w:p w14:paraId="175B58D5" w14:textId="16359C9B" w:rsidR="000958F5" w:rsidRPr="00F861D8" w:rsidRDefault="000D3AC4"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color w:val="000000"/>
                <w:sz w:val="18"/>
                <w:szCs w:val="18"/>
                <w:lang w:val="es-ES_tradnl"/>
              </w:rPr>
              <w:t xml:space="preserve"> </w:t>
            </w:r>
          </w:p>
        </w:tc>
        <w:tc>
          <w:tcPr>
            <w:tcW w:w="1730" w:type="dxa"/>
            <w:tcBorders>
              <w:top w:val="nil"/>
              <w:left w:val="nil"/>
              <w:bottom w:val="nil"/>
              <w:right w:val="nil"/>
            </w:tcBorders>
            <w:shd w:val="clear" w:color="000000" w:fill="FFFFFF"/>
            <w:noWrap/>
            <w:vAlign w:val="bottom"/>
            <w:hideMark/>
          </w:tcPr>
          <w:p w14:paraId="266BADC9" w14:textId="3775457D"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127 500</w:t>
            </w:r>
          </w:p>
        </w:tc>
      </w:tr>
      <w:tr w:rsidR="000958F5" w:rsidRPr="00F861D8" w14:paraId="597B62E5" w14:textId="77777777" w:rsidTr="00E817FD">
        <w:trPr>
          <w:trHeight w:val="527"/>
        </w:trPr>
        <w:tc>
          <w:tcPr>
            <w:tcW w:w="5813" w:type="dxa"/>
            <w:tcBorders>
              <w:top w:val="nil"/>
              <w:left w:val="nil"/>
              <w:bottom w:val="nil"/>
              <w:right w:val="nil"/>
            </w:tcBorders>
            <w:shd w:val="clear" w:color="000000" w:fill="FFFFFF"/>
            <w:vAlign w:val="center"/>
            <w:hideMark/>
          </w:tcPr>
          <w:p w14:paraId="133D405E" w14:textId="0D80EE93"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b/>
                <w:bCs/>
                <w:sz w:val="18"/>
                <w:szCs w:val="18"/>
                <w:lang w:val="es-ES_tradnl"/>
              </w:rPr>
              <w:t>2.3 Objetivo 3:</w:t>
            </w:r>
            <w:r w:rsidRPr="00F861D8">
              <w:rPr>
                <w:rFonts w:ascii="Times New Roman" w:hAnsi="Times New Roman"/>
                <w:sz w:val="18"/>
                <w:szCs w:val="18"/>
                <w:lang w:val="es-ES_tradnl"/>
              </w:rPr>
              <w:t xml:space="preserve"> fortalecer la interfaz científico</w:t>
            </w:r>
            <w:r w:rsidRPr="00F861D8">
              <w:rPr>
                <w:rFonts w:ascii="MS Mincho" w:hAnsi="MS Mincho" w:cs="MS Mincho" w:hint="eastAsia"/>
                <w:sz w:val="18"/>
                <w:szCs w:val="18"/>
                <w:lang w:val="es-ES_tradnl"/>
              </w:rPr>
              <w:t>‑</w:t>
            </w:r>
            <w:r w:rsidRPr="00F861D8">
              <w:rPr>
                <w:rFonts w:ascii="Times New Roman" w:hAnsi="Times New Roman"/>
                <w:sz w:val="18"/>
                <w:szCs w:val="18"/>
                <w:lang w:val="es-ES_tradnl"/>
              </w:rPr>
              <w:t>normativa respecto de las cuestiones temáticas y metodológicas</w:t>
            </w:r>
          </w:p>
        </w:tc>
        <w:tc>
          <w:tcPr>
            <w:tcW w:w="1559" w:type="dxa"/>
            <w:tcBorders>
              <w:top w:val="nil"/>
              <w:left w:val="nil"/>
              <w:bottom w:val="nil"/>
              <w:right w:val="nil"/>
            </w:tcBorders>
            <w:shd w:val="clear" w:color="000000" w:fill="FFFFFF"/>
            <w:noWrap/>
            <w:vAlign w:val="bottom"/>
            <w:hideMark/>
          </w:tcPr>
          <w:p w14:paraId="2FDB23ED" w14:textId="7CEE1BA9"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800 000</w:t>
            </w:r>
          </w:p>
        </w:tc>
        <w:tc>
          <w:tcPr>
            <w:tcW w:w="992" w:type="dxa"/>
            <w:tcBorders>
              <w:top w:val="nil"/>
              <w:left w:val="nil"/>
              <w:bottom w:val="nil"/>
              <w:right w:val="nil"/>
            </w:tcBorders>
            <w:shd w:val="clear" w:color="000000" w:fill="FFFFFF"/>
            <w:noWrap/>
            <w:vAlign w:val="bottom"/>
            <w:hideMark/>
          </w:tcPr>
          <w:p w14:paraId="04FE0368" w14:textId="2FE206B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-800 000</w:t>
            </w:r>
          </w:p>
        </w:tc>
        <w:tc>
          <w:tcPr>
            <w:tcW w:w="1730" w:type="dxa"/>
            <w:tcBorders>
              <w:top w:val="nil"/>
              <w:left w:val="nil"/>
              <w:bottom w:val="nil"/>
              <w:right w:val="nil"/>
            </w:tcBorders>
            <w:shd w:val="clear" w:color="000000" w:fill="FFFFFF"/>
            <w:noWrap/>
            <w:vAlign w:val="bottom"/>
            <w:hideMark/>
          </w:tcPr>
          <w:p w14:paraId="1FD56B20" w14:textId="77777777"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0</w:t>
            </w:r>
          </w:p>
        </w:tc>
      </w:tr>
      <w:tr w:rsidR="000958F5" w:rsidRPr="00F861D8" w14:paraId="65332ED9" w14:textId="77777777" w:rsidTr="00E817FD">
        <w:trPr>
          <w:trHeight w:val="527"/>
        </w:trPr>
        <w:tc>
          <w:tcPr>
            <w:tcW w:w="5813" w:type="dxa"/>
            <w:tcBorders>
              <w:top w:val="nil"/>
              <w:left w:val="nil"/>
              <w:bottom w:val="single" w:sz="4" w:space="0" w:color="auto"/>
              <w:right w:val="nil"/>
            </w:tcBorders>
            <w:shd w:val="clear" w:color="auto" w:fill="auto"/>
            <w:vAlign w:val="center"/>
            <w:hideMark/>
          </w:tcPr>
          <w:p w14:paraId="6D8DD4D6" w14:textId="7D43CDDE"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b/>
                <w:bCs/>
                <w:sz w:val="18"/>
                <w:szCs w:val="18"/>
                <w:lang w:val="es-ES_tradnl"/>
              </w:rPr>
              <w:t>2.4 Objetivo 4:</w:t>
            </w:r>
            <w:r w:rsidRPr="00F861D8">
              <w:rPr>
                <w:rFonts w:ascii="Times New Roman" w:hAnsi="Times New Roman"/>
                <w:sz w:val="18"/>
                <w:szCs w:val="18"/>
                <w:lang w:val="es-ES_tradnl"/>
              </w:rPr>
              <w:t xml:space="preserve"> comunicar y evaluar las actividades, los productos previstos y los resultados de la Plataforma</w:t>
            </w:r>
          </w:p>
        </w:tc>
        <w:tc>
          <w:tcPr>
            <w:tcW w:w="1559" w:type="dxa"/>
            <w:tcBorders>
              <w:top w:val="nil"/>
              <w:left w:val="nil"/>
              <w:bottom w:val="single" w:sz="4" w:space="0" w:color="auto"/>
              <w:right w:val="nil"/>
            </w:tcBorders>
            <w:shd w:val="clear" w:color="auto" w:fill="auto"/>
            <w:noWrap/>
            <w:vAlign w:val="bottom"/>
            <w:hideMark/>
          </w:tcPr>
          <w:p w14:paraId="752B1A4A" w14:textId="33FCADB4"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118 750</w:t>
            </w:r>
          </w:p>
        </w:tc>
        <w:tc>
          <w:tcPr>
            <w:tcW w:w="992" w:type="dxa"/>
            <w:tcBorders>
              <w:top w:val="nil"/>
              <w:left w:val="nil"/>
              <w:bottom w:val="single" w:sz="4" w:space="0" w:color="auto"/>
              <w:right w:val="nil"/>
            </w:tcBorders>
            <w:shd w:val="clear" w:color="auto" w:fill="auto"/>
            <w:noWrap/>
            <w:vAlign w:val="bottom"/>
            <w:hideMark/>
          </w:tcPr>
          <w:p w14:paraId="119C6F2A" w14:textId="6C1AE0B9"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39614F7D" w14:textId="4FC5DE9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118 750</w:t>
            </w:r>
          </w:p>
        </w:tc>
      </w:tr>
      <w:tr w:rsidR="000958F5" w:rsidRPr="00F861D8" w14:paraId="0F8712C1"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77991CC3" w14:textId="1FE08FA8"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2</w:t>
            </w:r>
            <w:r w:rsidR="003B4951" w:rsidRPr="00F861D8">
              <w:rPr>
                <w:rFonts w:ascii="Times New Roman" w:hAnsi="Times New Roman"/>
                <w:b/>
                <w:bCs/>
                <w:sz w:val="18"/>
                <w:szCs w:val="18"/>
                <w:lang w:val="es-ES_tradnl"/>
              </w:rPr>
              <w:t xml:space="preserve"> </w:t>
            </w:r>
            <w:r w:rsidRPr="00F861D8">
              <w:rPr>
                <w:rFonts w:ascii="Times New Roman" w:hAnsi="Times New Roman"/>
                <w:b/>
                <w:bCs/>
                <w:sz w:val="18"/>
                <w:szCs w:val="18"/>
                <w:lang w:val="es-ES_tradnl"/>
              </w:rPr>
              <w:t>Ejecución del programa de trabajo</w:t>
            </w:r>
          </w:p>
        </w:tc>
        <w:tc>
          <w:tcPr>
            <w:tcW w:w="1559" w:type="dxa"/>
            <w:tcBorders>
              <w:top w:val="single" w:sz="4" w:space="0" w:color="auto"/>
              <w:left w:val="nil"/>
              <w:bottom w:val="single" w:sz="4" w:space="0" w:color="auto"/>
              <w:right w:val="nil"/>
            </w:tcBorders>
            <w:shd w:val="clear" w:color="auto" w:fill="auto"/>
            <w:noWrap/>
            <w:vAlign w:val="bottom"/>
            <w:hideMark/>
          </w:tcPr>
          <w:p w14:paraId="47F14E30" w14:textId="6BF81922"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1 137 917</w:t>
            </w:r>
          </w:p>
        </w:tc>
        <w:tc>
          <w:tcPr>
            <w:tcW w:w="992" w:type="dxa"/>
            <w:tcBorders>
              <w:top w:val="single" w:sz="4" w:space="0" w:color="auto"/>
              <w:left w:val="nil"/>
              <w:bottom w:val="single" w:sz="4" w:space="0" w:color="auto"/>
              <w:right w:val="nil"/>
            </w:tcBorders>
            <w:shd w:val="clear" w:color="auto" w:fill="auto"/>
            <w:noWrap/>
            <w:vAlign w:val="bottom"/>
            <w:hideMark/>
          </w:tcPr>
          <w:p w14:paraId="0F517044" w14:textId="343B3827"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-800 000</w:t>
            </w:r>
          </w:p>
        </w:tc>
        <w:tc>
          <w:tcPr>
            <w:tcW w:w="1730" w:type="dxa"/>
            <w:tcBorders>
              <w:top w:val="single" w:sz="4" w:space="0" w:color="auto"/>
              <w:left w:val="nil"/>
              <w:bottom w:val="single" w:sz="4" w:space="0" w:color="auto"/>
              <w:right w:val="nil"/>
            </w:tcBorders>
            <w:shd w:val="clear" w:color="auto" w:fill="auto"/>
            <w:noWrap/>
            <w:vAlign w:val="bottom"/>
            <w:hideMark/>
          </w:tcPr>
          <w:p w14:paraId="424C989A" w14:textId="370443F7"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337 917</w:t>
            </w:r>
          </w:p>
        </w:tc>
      </w:tr>
      <w:tr w:rsidR="000958F5" w:rsidRPr="00F861D8" w14:paraId="5F6140D8"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4BE7428A" w14:textId="3528D5E1"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w:t>
            </w:r>
            <w:r w:rsidRPr="00F861D8">
              <w:rPr>
                <w:rFonts w:ascii="Times New Roman" w:hAnsi="Times New Roman"/>
                <w:sz w:val="18"/>
                <w:szCs w:val="18"/>
                <w:lang w:val="es-ES_tradnl"/>
              </w:rPr>
              <w:t xml:space="preserve"> </w:t>
            </w:r>
            <w:r w:rsidRPr="00F861D8">
              <w:rPr>
                <w:rFonts w:ascii="Times New Roman" w:hAnsi="Times New Roman"/>
                <w:b/>
                <w:bCs/>
                <w:sz w:val="18"/>
                <w:szCs w:val="18"/>
                <w:lang w:val="es-ES_tradnl"/>
              </w:rPr>
              <w:t>Secretaría</w:t>
            </w:r>
          </w:p>
        </w:tc>
        <w:tc>
          <w:tcPr>
            <w:tcW w:w="1559" w:type="dxa"/>
            <w:vMerge w:val="restart"/>
            <w:tcBorders>
              <w:top w:val="single" w:sz="4" w:space="0" w:color="auto"/>
              <w:left w:val="nil"/>
              <w:bottom w:val="nil"/>
              <w:right w:val="nil"/>
            </w:tcBorders>
            <w:shd w:val="clear" w:color="auto" w:fill="auto"/>
            <w:vAlign w:val="bottom"/>
            <w:hideMark/>
          </w:tcPr>
          <w:p w14:paraId="01F08C77" w14:textId="28966686"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992" w:type="dxa"/>
            <w:vMerge w:val="restart"/>
            <w:tcBorders>
              <w:top w:val="single" w:sz="4" w:space="0" w:color="auto"/>
              <w:left w:val="nil"/>
              <w:bottom w:val="nil"/>
              <w:right w:val="nil"/>
            </w:tcBorders>
            <w:shd w:val="clear" w:color="auto" w:fill="auto"/>
            <w:vAlign w:val="bottom"/>
            <w:hideMark/>
          </w:tcPr>
          <w:p w14:paraId="04496D07" w14:textId="1A6B7C90"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1730" w:type="dxa"/>
            <w:vMerge w:val="restart"/>
            <w:tcBorders>
              <w:top w:val="single" w:sz="4" w:space="0" w:color="auto"/>
              <w:left w:val="nil"/>
              <w:bottom w:val="nil"/>
              <w:right w:val="nil"/>
            </w:tcBorders>
            <w:shd w:val="clear" w:color="auto" w:fill="auto"/>
            <w:vAlign w:val="bottom"/>
            <w:hideMark/>
          </w:tcPr>
          <w:p w14:paraId="0FE85714" w14:textId="2CE7DDBA" w:rsidR="000958F5" w:rsidRPr="00F861D8" w:rsidRDefault="000958F5" w:rsidP="000D3AC4">
            <w:pPr>
              <w:spacing w:after="0" w:line="240" w:lineRule="auto"/>
              <w:jc w:val="right"/>
              <w:rPr>
                <w:rFonts w:ascii="Times New Roman" w:hAnsi="Times New Roman"/>
                <w:color w:val="000000"/>
                <w:sz w:val="18"/>
                <w:szCs w:val="18"/>
                <w:lang w:val="es-ES_tradnl"/>
              </w:rPr>
            </w:pPr>
          </w:p>
        </w:tc>
      </w:tr>
      <w:tr w:rsidR="000958F5" w:rsidRPr="00F861D8" w14:paraId="0964FCA8" w14:textId="77777777" w:rsidTr="00E817FD">
        <w:trPr>
          <w:trHeight w:val="291"/>
        </w:trPr>
        <w:tc>
          <w:tcPr>
            <w:tcW w:w="5813" w:type="dxa"/>
            <w:tcBorders>
              <w:top w:val="nil"/>
              <w:left w:val="nil"/>
              <w:bottom w:val="nil"/>
              <w:right w:val="nil"/>
            </w:tcBorders>
            <w:shd w:val="clear" w:color="auto" w:fill="auto"/>
            <w:noWrap/>
            <w:vAlign w:val="center"/>
            <w:hideMark/>
          </w:tcPr>
          <w:p w14:paraId="31017DF7" w14:textId="7A28111D"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3.1. Personal de Secretaría</w:t>
            </w:r>
            <w:r w:rsidRPr="00F861D8">
              <w:rPr>
                <w:rFonts w:ascii="Times New Roman" w:hAnsi="Times New Roman"/>
                <w:sz w:val="18"/>
                <w:szCs w:val="18"/>
                <w:lang w:val="es-ES_tradnl"/>
              </w:rPr>
              <w:t xml:space="preserve"> </w:t>
            </w:r>
          </w:p>
        </w:tc>
        <w:tc>
          <w:tcPr>
            <w:tcW w:w="1559" w:type="dxa"/>
            <w:vMerge/>
            <w:tcBorders>
              <w:top w:val="nil"/>
              <w:left w:val="nil"/>
              <w:bottom w:val="nil"/>
              <w:right w:val="nil"/>
            </w:tcBorders>
            <w:vAlign w:val="bottom"/>
            <w:hideMark/>
          </w:tcPr>
          <w:p w14:paraId="214A46A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vMerge/>
            <w:tcBorders>
              <w:top w:val="nil"/>
              <w:left w:val="nil"/>
              <w:bottom w:val="nil"/>
              <w:right w:val="nil"/>
            </w:tcBorders>
            <w:vAlign w:val="bottom"/>
            <w:hideMark/>
          </w:tcPr>
          <w:p w14:paraId="3985009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1730" w:type="dxa"/>
            <w:vMerge/>
            <w:tcBorders>
              <w:top w:val="nil"/>
              <w:left w:val="nil"/>
              <w:bottom w:val="nil"/>
              <w:right w:val="nil"/>
            </w:tcBorders>
            <w:vAlign w:val="bottom"/>
            <w:hideMark/>
          </w:tcPr>
          <w:p w14:paraId="3E74296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r>
      <w:tr w:rsidR="000958F5" w:rsidRPr="000930FA" w14:paraId="5BDD5853" w14:textId="77777777" w:rsidTr="00E817FD">
        <w:trPr>
          <w:trHeight w:val="291"/>
        </w:trPr>
        <w:tc>
          <w:tcPr>
            <w:tcW w:w="5813" w:type="dxa"/>
            <w:tcBorders>
              <w:top w:val="nil"/>
              <w:left w:val="nil"/>
              <w:bottom w:val="nil"/>
              <w:right w:val="nil"/>
            </w:tcBorders>
            <w:shd w:val="clear" w:color="auto" w:fill="auto"/>
            <w:noWrap/>
            <w:vAlign w:val="center"/>
            <w:hideMark/>
          </w:tcPr>
          <w:p w14:paraId="023D8144" w14:textId="25084D40"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3.1.1 Cuadro Orgánico y categorías superiores</w:t>
            </w:r>
          </w:p>
        </w:tc>
        <w:tc>
          <w:tcPr>
            <w:tcW w:w="1559" w:type="dxa"/>
            <w:tcBorders>
              <w:top w:val="nil"/>
              <w:left w:val="nil"/>
              <w:bottom w:val="nil"/>
              <w:right w:val="nil"/>
            </w:tcBorders>
            <w:shd w:val="clear" w:color="auto" w:fill="auto"/>
            <w:noWrap/>
            <w:vAlign w:val="bottom"/>
            <w:hideMark/>
          </w:tcPr>
          <w:p w14:paraId="0C94C51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nil"/>
              <w:left w:val="nil"/>
              <w:bottom w:val="nil"/>
              <w:right w:val="nil"/>
            </w:tcBorders>
            <w:shd w:val="clear" w:color="auto" w:fill="auto"/>
            <w:noWrap/>
            <w:vAlign w:val="bottom"/>
            <w:hideMark/>
          </w:tcPr>
          <w:p w14:paraId="42594CA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nil"/>
              <w:left w:val="nil"/>
              <w:bottom w:val="nil"/>
              <w:right w:val="nil"/>
            </w:tcBorders>
            <w:shd w:val="clear" w:color="auto" w:fill="auto"/>
            <w:noWrap/>
            <w:vAlign w:val="bottom"/>
            <w:hideMark/>
          </w:tcPr>
          <w:p w14:paraId="76DEC94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5E70F563" w14:textId="77777777" w:rsidTr="00E817FD">
        <w:trPr>
          <w:trHeight w:val="291"/>
        </w:trPr>
        <w:tc>
          <w:tcPr>
            <w:tcW w:w="5813" w:type="dxa"/>
            <w:tcBorders>
              <w:top w:val="nil"/>
              <w:left w:val="nil"/>
              <w:bottom w:val="nil"/>
              <w:right w:val="nil"/>
            </w:tcBorders>
            <w:shd w:val="clear" w:color="auto" w:fill="auto"/>
            <w:noWrap/>
            <w:vAlign w:val="center"/>
            <w:hideMark/>
          </w:tcPr>
          <w:p w14:paraId="559261C3" w14:textId="1F6654D5"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Secretario (D</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1)</w:t>
            </w:r>
          </w:p>
        </w:tc>
        <w:tc>
          <w:tcPr>
            <w:tcW w:w="1559" w:type="dxa"/>
            <w:tcBorders>
              <w:top w:val="nil"/>
              <w:left w:val="nil"/>
              <w:bottom w:val="nil"/>
              <w:right w:val="nil"/>
            </w:tcBorders>
            <w:shd w:val="clear" w:color="auto" w:fill="auto"/>
            <w:noWrap/>
            <w:vAlign w:val="bottom"/>
            <w:hideMark/>
          </w:tcPr>
          <w:p w14:paraId="6BBD481C" w14:textId="0C332870"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127 250</w:t>
            </w:r>
          </w:p>
        </w:tc>
        <w:tc>
          <w:tcPr>
            <w:tcW w:w="992" w:type="dxa"/>
            <w:tcBorders>
              <w:top w:val="nil"/>
              <w:left w:val="nil"/>
              <w:bottom w:val="nil"/>
              <w:right w:val="nil"/>
            </w:tcBorders>
            <w:shd w:val="clear" w:color="auto" w:fill="auto"/>
            <w:noWrap/>
            <w:vAlign w:val="bottom"/>
            <w:hideMark/>
          </w:tcPr>
          <w:p w14:paraId="578444F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noWrap/>
            <w:vAlign w:val="bottom"/>
            <w:hideMark/>
          </w:tcPr>
          <w:p w14:paraId="0855CB9D" w14:textId="04EF52EB"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127 250</w:t>
            </w:r>
          </w:p>
        </w:tc>
      </w:tr>
      <w:tr w:rsidR="000958F5" w:rsidRPr="00F861D8" w14:paraId="0F43A74D" w14:textId="77777777" w:rsidTr="00E817FD">
        <w:trPr>
          <w:trHeight w:val="291"/>
        </w:trPr>
        <w:tc>
          <w:tcPr>
            <w:tcW w:w="5813" w:type="dxa"/>
            <w:tcBorders>
              <w:top w:val="nil"/>
              <w:left w:val="nil"/>
              <w:bottom w:val="nil"/>
              <w:right w:val="nil"/>
            </w:tcBorders>
            <w:shd w:val="clear" w:color="auto" w:fill="auto"/>
            <w:noWrap/>
            <w:vAlign w:val="center"/>
            <w:hideMark/>
          </w:tcPr>
          <w:p w14:paraId="2E82CF60" w14:textId="7C7A5777"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 xml:space="preserve">4) </w:t>
            </w:r>
          </w:p>
        </w:tc>
        <w:tc>
          <w:tcPr>
            <w:tcW w:w="1559" w:type="dxa"/>
            <w:tcBorders>
              <w:top w:val="nil"/>
              <w:left w:val="nil"/>
              <w:bottom w:val="nil"/>
              <w:right w:val="nil"/>
            </w:tcBorders>
            <w:shd w:val="clear" w:color="auto" w:fill="auto"/>
            <w:noWrap/>
            <w:vAlign w:val="bottom"/>
            <w:hideMark/>
          </w:tcPr>
          <w:p w14:paraId="6B5A6BBE" w14:textId="0E0E3439"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100 125</w:t>
            </w:r>
          </w:p>
        </w:tc>
        <w:tc>
          <w:tcPr>
            <w:tcW w:w="992" w:type="dxa"/>
            <w:tcBorders>
              <w:top w:val="nil"/>
              <w:left w:val="nil"/>
              <w:bottom w:val="nil"/>
              <w:right w:val="nil"/>
            </w:tcBorders>
            <w:shd w:val="clear" w:color="auto" w:fill="auto"/>
            <w:noWrap/>
            <w:vAlign w:val="bottom"/>
            <w:hideMark/>
          </w:tcPr>
          <w:p w14:paraId="06E4380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noWrap/>
            <w:vAlign w:val="bottom"/>
            <w:hideMark/>
          </w:tcPr>
          <w:p w14:paraId="7C45726D" w14:textId="6BA10A33"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100 125</w:t>
            </w:r>
          </w:p>
        </w:tc>
      </w:tr>
      <w:tr w:rsidR="000958F5" w:rsidRPr="00F861D8" w14:paraId="2FA59B63" w14:textId="77777777" w:rsidTr="00E817FD">
        <w:trPr>
          <w:trHeight w:val="291"/>
        </w:trPr>
        <w:tc>
          <w:tcPr>
            <w:tcW w:w="5813" w:type="dxa"/>
            <w:tcBorders>
              <w:top w:val="nil"/>
              <w:left w:val="nil"/>
              <w:bottom w:val="nil"/>
              <w:right w:val="nil"/>
            </w:tcBorders>
            <w:shd w:val="clear" w:color="auto" w:fill="auto"/>
            <w:noWrap/>
            <w:vAlign w:val="center"/>
            <w:hideMark/>
          </w:tcPr>
          <w:p w14:paraId="3175F76F" w14:textId="7E0A7D28" w:rsidR="000958F5" w:rsidRPr="00F861D8" w:rsidRDefault="000958F5" w:rsidP="006863A3">
            <w:pPr>
              <w:spacing w:after="0" w:line="240" w:lineRule="auto"/>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Oficial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4)a</w:t>
            </w:r>
          </w:p>
        </w:tc>
        <w:tc>
          <w:tcPr>
            <w:tcW w:w="1559" w:type="dxa"/>
            <w:tcBorders>
              <w:top w:val="nil"/>
              <w:left w:val="nil"/>
              <w:bottom w:val="nil"/>
              <w:right w:val="nil"/>
            </w:tcBorders>
            <w:shd w:val="clear" w:color="auto" w:fill="auto"/>
            <w:noWrap/>
            <w:vAlign w:val="bottom"/>
            <w:hideMark/>
          </w:tcPr>
          <w:p w14:paraId="15A23B96" w14:textId="21A6ACD7" w:rsidR="000958F5" w:rsidRPr="00F861D8" w:rsidRDefault="001A0272" w:rsidP="000D3AC4">
            <w:pPr>
              <w:spacing w:after="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w:t>
            </w:r>
          </w:p>
        </w:tc>
        <w:tc>
          <w:tcPr>
            <w:tcW w:w="992" w:type="dxa"/>
            <w:tcBorders>
              <w:top w:val="nil"/>
              <w:left w:val="nil"/>
              <w:bottom w:val="nil"/>
              <w:right w:val="nil"/>
            </w:tcBorders>
            <w:shd w:val="clear" w:color="auto" w:fill="auto"/>
            <w:noWrap/>
            <w:vAlign w:val="bottom"/>
            <w:hideMark/>
          </w:tcPr>
          <w:p w14:paraId="0BD4B04E" w14:textId="77777777" w:rsidR="000958F5" w:rsidRPr="00F861D8" w:rsidRDefault="000958F5" w:rsidP="000D3AC4">
            <w:pPr>
              <w:spacing w:after="0" w:line="240" w:lineRule="auto"/>
              <w:jc w:val="right"/>
              <w:rPr>
                <w:rFonts w:ascii="Times New Roman" w:eastAsia="Times New Roman" w:hAnsi="Times New Roman"/>
                <w:color w:val="000000"/>
                <w:sz w:val="18"/>
                <w:szCs w:val="18"/>
                <w:lang w:val="es-ES_tradnl"/>
              </w:rPr>
            </w:pPr>
          </w:p>
        </w:tc>
        <w:tc>
          <w:tcPr>
            <w:tcW w:w="1730" w:type="dxa"/>
            <w:tcBorders>
              <w:top w:val="nil"/>
              <w:left w:val="nil"/>
              <w:bottom w:val="nil"/>
              <w:right w:val="nil"/>
            </w:tcBorders>
            <w:shd w:val="clear" w:color="auto" w:fill="auto"/>
            <w:noWrap/>
            <w:vAlign w:val="bottom"/>
            <w:hideMark/>
          </w:tcPr>
          <w:p w14:paraId="797C4665" w14:textId="7449189D" w:rsidR="000958F5" w:rsidRPr="00F861D8" w:rsidRDefault="001A0272" w:rsidP="000D3AC4">
            <w:pPr>
              <w:spacing w:after="0" w:line="240" w:lineRule="auto"/>
              <w:jc w:val="right"/>
              <w:rPr>
                <w:rFonts w:ascii="Times New Roman" w:eastAsia="Times New Roman" w:hAnsi="Times New Roman"/>
                <w:color w:val="000000"/>
                <w:sz w:val="18"/>
                <w:szCs w:val="18"/>
                <w:lang w:val="es-ES_tradnl"/>
              </w:rPr>
            </w:pPr>
            <w:r w:rsidRPr="00F861D8">
              <w:rPr>
                <w:rFonts w:ascii="Times New Roman" w:hAnsi="Times New Roman"/>
                <w:sz w:val="18"/>
                <w:szCs w:val="18"/>
                <w:lang w:val="es-ES_tradnl"/>
              </w:rPr>
              <w:t>–</w:t>
            </w:r>
          </w:p>
        </w:tc>
      </w:tr>
      <w:tr w:rsidR="000958F5" w:rsidRPr="00F861D8" w14:paraId="2BCB8711" w14:textId="77777777" w:rsidTr="00E817FD">
        <w:trPr>
          <w:trHeight w:val="291"/>
        </w:trPr>
        <w:tc>
          <w:tcPr>
            <w:tcW w:w="5813" w:type="dxa"/>
            <w:tcBorders>
              <w:top w:val="nil"/>
              <w:left w:val="nil"/>
              <w:right w:val="nil"/>
            </w:tcBorders>
            <w:shd w:val="clear" w:color="auto" w:fill="auto"/>
            <w:noWrap/>
            <w:vAlign w:val="center"/>
            <w:hideMark/>
          </w:tcPr>
          <w:p w14:paraId="7F46E0D4" w14:textId="3A59A845"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3)</w:t>
            </w:r>
          </w:p>
        </w:tc>
        <w:tc>
          <w:tcPr>
            <w:tcW w:w="1559" w:type="dxa"/>
            <w:tcBorders>
              <w:top w:val="nil"/>
              <w:left w:val="nil"/>
              <w:right w:val="nil"/>
            </w:tcBorders>
            <w:shd w:val="clear" w:color="auto" w:fill="auto"/>
            <w:noWrap/>
            <w:vAlign w:val="bottom"/>
            <w:hideMark/>
          </w:tcPr>
          <w:p w14:paraId="5D2C2A3D" w14:textId="27875D5B"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83 542</w:t>
            </w:r>
          </w:p>
        </w:tc>
        <w:tc>
          <w:tcPr>
            <w:tcW w:w="992" w:type="dxa"/>
            <w:tcBorders>
              <w:top w:val="nil"/>
              <w:left w:val="nil"/>
              <w:right w:val="nil"/>
            </w:tcBorders>
            <w:shd w:val="clear" w:color="auto" w:fill="auto"/>
            <w:noWrap/>
            <w:vAlign w:val="bottom"/>
            <w:hideMark/>
          </w:tcPr>
          <w:p w14:paraId="025D3E8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right w:val="nil"/>
            </w:tcBorders>
            <w:shd w:val="clear" w:color="auto" w:fill="auto"/>
            <w:noWrap/>
            <w:vAlign w:val="bottom"/>
            <w:hideMark/>
          </w:tcPr>
          <w:p w14:paraId="4E339442" w14:textId="3B97F7B7"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83 542</w:t>
            </w:r>
          </w:p>
        </w:tc>
      </w:tr>
      <w:tr w:rsidR="000958F5" w:rsidRPr="00F861D8" w14:paraId="67FF3139" w14:textId="77777777" w:rsidTr="00E817FD">
        <w:trPr>
          <w:trHeight w:val="291"/>
        </w:trPr>
        <w:tc>
          <w:tcPr>
            <w:tcW w:w="5813" w:type="dxa"/>
            <w:tcBorders>
              <w:top w:val="nil"/>
              <w:left w:val="nil"/>
              <w:right w:val="nil"/>
            </w:tcBorders>
            <w:shd w:val="clear" w:color="auto" w:fill="auto"/>
            <w:noWrap/>
            <w:vAlign w:val="center"/>
            <w:hideMark/>
          </w:tcPr>
          <w:p w14:paraId="3A094E8C" w14:textId="3A714D40" w:rsidR="000958F5" w:rsidRPr="00F861D8" w:rsidRDefault="003B4951"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de Programas (P</w:t>
            </w:r>
            <w:r w:rsidR="00356A65" w:rsidRPr="00F861D8">
              <w:rPr>
                <w:rFonts w:ascii="Times New Roman" w:hAnsi="Times New Roman"/>
                <w:sz w:val="18"/>
                <w:szCs w:val="18"/>
                <w:lang w:val="es-ES_tradnl"/>
              </w:rPr>
              <w:noBreakHyphen/>
            </w:r>
            <w:r w:rsidR="000958F5" w:rsidRPr="00F861D8">
              <w:rPr>
                <w:rFonts w:ascii="Times New Roman" w:hAnsi="Times New Roman"/>
                <w:sz w:val="18"/>
                <w:szCs w:val="18"/>
                <w:lang w:val="es-ES_tradnl"/>
              </w:rPr>
              <w:t>3)</w:t>
            </w:r>
          </w:p>
        </w:tc>
        <w:tc>
          <w:tcPr>
            <w:tcW w:w="1559" w:type="dxa"/>
            <w:tcBorders>
              <w:top w:val="nil"/>
              <w:left w:val="nil"/>
              <w:right w:val="nil"/>
            </w:tcBorders>
            <w:shd w:val="clear" w:color="auto" w:fill="auto"/>
            <w:noWrap/>
            <w:vAlign w:val="bottom"/>
            <w:hideMark/>
          </w:tcPr>
          <w:p w14:paraId="1217339E" w14:textId="164AE0CF"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83 542</w:t>
            </w:r>
          </w:p>
        </w:tc>
        <w:tc>
          <w:tcPr>
            <w:tcW w:w="992" w:type="dxa"/>
            <w:tcBorders>
              <w:top w:val="nil"/>
              <w:left w:val="nil"/>
              <w:right w:val="nil"/>
            </w:tcBorders>
            <w:shd w:val="clear" w:color="auto" w:fill="auto"/>
            <w:noWrap/>
            <w:vAlign w:val="bottom"/>
            <w:hideMark/>
          </w:tcPr>
          <w:p w14:paraId="1F23F75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right w:val="nil"/>
            </w:tcBorders>
            <w:shd w:val="clear" w:color="auto" w:fill="auto"/>
            <w:noWrap/>
            <w:vAlign w:val="bottom"/>
            <w:hideMark/>
          </w:tcPr>
          <w:p w14:paraId="41D37368" w14:textId="60A1E996"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83 542</w:t>
            </w:r>
          </w:p>
        </w:tc>
      </w:tr>
      <w:tr w:rsidR="000958F5" w:rsidRPr="00F861D8" w14:paraId="330D78F1" w14:textId="77777777" w:rsidTr="00E817FD">
        <w:trPr>
          <w:trHeight w:val="291"/>
        </w:trPr>
        <w:tc>
          <w:tcPr>
            <w:tcW w:w="5813" w:type="dxa"/>
            <w:tcBorders>
              <w:top w:val="nil"/>
              <w:left w:val="nil"/>
              <w:right w:val="nil"/>
            </w:tcBorders>
            <w:shd w:val="clear" w:color="auto" w:fill="auto"/>
            <w:noWrap/>
            <w:vAlign w:val="center"/>
            <w:hideMark/>
          </w:tcPr>
          <w:p w14:paraId="44104CBF" w14:textId="42B4C710"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Adjunto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2)</w:t>
            </w:r>
          </w:p>
        </w:tc>
        <w:tc>
          <w:tcPr>
            <w:tcW w:w="1559" w:type="dxa"/>
            <w:tcBorders>
              <w:top w:val="nil"/>
              <w:left w:val="nil"/>
              <w:right w:val="nil"/>
            </w:tcBorders>
            <w:shd w:val="clear" w:color="auto" w:fill="auto"/>
            <w:noWrap/>
            <w:vAlign w:val="bottom"/>
            <w:hideMark/>
          </w:tcPr>
          <w:p w14:paraId="405D0A96" w14:textId="06351969"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72 625</w:t>
            </w:r>
          </w:p>
        </w:tc>
        <w:tc>
          <w:tcPr>
            <w:tcW w:w="992" w:type="dxa"/>
            <w:tcBorders>
              <w:top w:val="nil"/>
              <w:left w:val="nil"/>
              <w:right w:val="nil"/>
            </w:tcBorders>
            <w:shd w:val="clear" w:color="auto" w:fill="auto"/>
            <w:noWrap/>
            <w:vAlign w:val="bottom"/>
            <w:hideMark/>
          </w:tcPr>
          <w:p w14:paraId="4C6BF61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right w:val="nil"/>
            </w:tcBorders>
            <w:shd w:val="clear" w:color="auto" w:fill="auto"/>
            <w:noWrap/>
            <w:vAlign w:val="bottom"/>
            <w:hideMark/>
          </w:tcPr>
          <w:p w14:paraId="64CD4CF0" w14:textId="6516109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72 625</w:t>
            </w:r>
          </w:p>
        </w:tc>
      </w:tr>
      <w:tr w:rsidR="000958F5" w:rsidRPr="00F861D8" w14:paraId="02282444"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2BBABF97" w14:textId="0204C46E"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Oficial Adjunto de Programas (P</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2)</w:t>
            </w:r>
          </w:p>
        </w:tc>
        <w:tc>
          <w:tcPr>
            <w:tcW w:w="1559" w:type="dxa"/>
            <w:tcBorders>
              <w:top w:val="nil"/>
              <w:left w:val="nil"/>
              <w:bottom w:val="single" w:sz="4" w:space="0" w:color="auto"/>
              <w:right w:val="nil"/>
            </w:tcBorders>
            <w:shd w:val="clear" w:color="auto" w:fill="auto"/>
            <w:noWrap/>
            <w:vAlign w:val="bottom"/>
            <w:hideMark/>
          </w:tcPr>
          <w:p w14:paraId="3654D946" w14:textId="727AD56A"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72 625</w:t>
            </w:r>
          </w:p>
        </w:tc>
        <w:tc>
          <w:tcPr>
            <w:tcW w:w="992" w:type="dxa"/>
            <w:tcBorders>
              <w:top w:val="nil"/>
              <w:left w:val="nil"/>
              <w:bottom w:val="single" w:sz="4" w:space="0" w:color="auto"/>
              <w:right w:val="nil"/>
            </w:tcBorders>
            <w:shd w:val="clear" w:color="auto" w:fill="auto"/>
            <w:noWrap/>
            <w:vAlign w:val="bottom"/>
            <w:hideMark/>
          </w:tcPr>
          <w:p w14:paraId="70202EF7" w14:textId="6E2DDC4E" w:rsidR="000958F5" w:rsidRPr="00F861D8" w:rsidRDefault="000958F5" w:rsidP="000D3AC4">
            <w:pPr>
              <w:spacing w:after="0" w:line="240" w:lineRule="auto"/>
              <w:jc w:val="right"/>
              <w:rPr>
                <w:rFonts w:ascii="Times New Roman" w:hAnsi="Times New Roman"/>
                <w:color w:val="000000"/>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1DB6A016" w14:textId="392F8286"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72 625</w:t>
            </w:r>
          </w:p>
        </w:tc>
      </w:tr>
      <w:tr w:rsidR="000958F5" w:rsidRPr="00F861D8" w14:paraId="072EED8C"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590407FD" w14:textId="1C5E9BFD"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3.1.1 Cuadro Orgánico y categorías superiores</w:t>
            </w:r>
          </w:p>
        </w:tc>
        <w:tc>
          <w:tcPr>
            <w:tcW w:w="1559" w:type="dxa"/>
            <w:tcBorders>
              <w:top w:val="single" w:sz="4" w:space="0" w:color="auto"/>
              <w:left w:val="nil"/>
              <w:bottom w:val="single" w:sz="4" w:space="0" w:color="auto"/>
              <w:right w:val="nil"/>
            </w:tcBorders>
            <w:shd w:val="clear" w:color="auto" w:fill="auto"/>
            <w:noWrap/>
            <w:vAlign w:val="bottom"/>
            <w:hideMark/>
          </w:tcPr>
          <w:p w14:paraId="0AB3531A" w14:textId="4774563E"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539 709</w:t>
            </w:r>
          </w:p>
        </w:tc>
        <w:tc>
          <w:tcPr>
            <w:tcW w:w="992" w:type="dxa"/>
            <w:tcBorders>
              <w:top w:val="single" w:sz="4" w:space="0" w:color="auto"/>
              <w:left w:val="nil"/>
              <w:bottom w:val="single" w:sz="4" w:space="0" w:color="auto"/>
              <w:right w:val="nil"/>
            </w:tcBorders>
            <w:shd w:val="clear" w:color="auto" w:fill="auto"/>
            <w:noWrap/>
            <w:vAlign w:val="bottom"/>
            <w:hideMark/>
          </w:tcPr>
          <w:p w14:paraId="1C87BCED" w14:textId="7069804A"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1E679795" w14:textId="64F70893"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539 709</w:t>
            </w:r>
          </w:p>
        </w:tc>
      </w:tr>
      <w:tr w:rsidR="000958F5" w:rsidRPr="00F861D8" w14:paraId="1CD9BAD8"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2E5BD31A" w14:textId="00547972" w:rsidR="000958F5" w:rsidRPr="00F861D8" w:rsidRDefault="000958F5" w:rsidP="00ED5068">
            <w:pPr>
              <w:keepNext/>
              <w:keepLines/>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3.1.2 Personal administrativo</w:t>
            </w:r>
          </w:p>
        </w:tc>
        <w:tc>
          <w:tcPr>
            <w:tcW w:w="1559" w:type="dxa"/>
            <w:tcBorders>
              <w:top w:val="single" w:sz="4" w:space="0" w:color="auto"/>
              <w:left w:val="nil"/>
              <w:bottom w:val="nil"/>
              <w:right w:val="nil"/>
            </w:tcBorders>
            <w:shd w:val="clear" w:color="auto" w:fill="auto"/>
            <w:noWrap/>
            <w:vAlign w:val="bottom"/>
            <w:hideMark/>
          </w:tcPr>
          <w:p w14:paraId="13BE4B9D" w14:textId="77777777" w:rsidR="000958F5" w:rsidRPr="00F861D8" w:rsidRDefault="000958F5" w:rsidP="00ED506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06677E3C" w14:textId="77777777" w:rsidR="000958F5" w:rsidRPr="00F861D8" w:rsidRDefault="000958F5" w:rsidP="00ED506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4B62801D" w14:textId="77777777" w:rsidR="000958F5" w:rsidRPr="00F861D8" w:rsidRDefault="000958F5" w:rsidP="00ED506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04482050" w14:textId="77777777" w:rsidTr="00E817FD">
        <w:trPr>
          <w:trHeight w:val="291"/>
        </w:trPr>
        <w:tc>
          <w:tcPr>
            <w:tcW w:w="5813" w:type="dxa"/>
            <w:tcBorders>
              <w:top w:val="nil"/>
              <w:left w:val="nil"/>
              <w:bottom w:val="nil"/>
              <w:right w:val="nil"/>
            </w:tcBorders>
            <w:shd w:val="clear" w:color="auto" w:fill="auto"/>
            <w:noWrap/>
            <w:vAlign w:val="center"/>
            <w:hideMark/>
          </w:tcPr>
          <w:p w14:paraId="67E1AFEE" w14:textId="223FF90D"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6)</w:t>
            </w:r>
          </w:p>
        </w:tc>
        <w:tc>
          <w:tcPr>
            <w:tcW w:w="1559" w:type="dxa"/>
            <w:tcBorders>
              <w:top w:val="nil"/>
              <w:left w:val="nil"/>
              <w:bottom w:val="nil"/>
              <w:right w:val="nil"/>
            </w:tcBorders>
            <w:shd w:val="clear" w:color="auto" w:fill="auto"/>
            <w:vAlign w:val="bottom"/>
            <w:hideMark/>
          </w:tcPr>
          <w:p w14:paraId="582737E5" w14:textId="0A5EEA62"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c>
          <w:tcPr>
            <w:tcW w:w="992" w:type="dxa"/>
            <w:tcBorders>
              <w:top w:val="nil"/>
              <w:left w:val="nil"/>
              <w:bottom w:val="nil"/>
              <w:right w:val="nil"/>
            </w:tcBorders>
            <w:shd w:val="clear" w:color="auto" w:fill="auto"/>
            <w:vAlign w:val="bottom"/>
            <w:hideMark/>
          </w:tcPr>
          <w:p w14:paraId="73981E6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vAlign w:val="bottom"/>
            <w:hideMark/>
          </w:tcPr>
          <w:p w14:paraId="2DD29FC5" w14:textId="5421893C"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r>
      <w:tr w:rsidR="000958F5" w:rsidRPr="00F861D8" w14:paraId="2CE8DDE8" w14:textId="77777777" w:rsidTr="00E817FD">
        <w:trPr>
          <w:trHeight w:val="291"/>
        </w:trPr>
        <w:tc>
          <w:tcPr>
            <w:tcW w:w="5813" w:type="dxa"/>
            <w:tcBorders>
              <w:top w:val="nil"/>
              <w:left w:val="nil"/>
              <w:bottom w:val="nil"/>
              <w:right w:val="nil"/>
            </w:tcBorders>
            <w:shd w:val="clear" w:color="auto" w:fill="auto"/>
            <w:noWrap/>
            <w:vAlign w:val="center"/>
            <w:hideMark/>
          </w:tcPr>
          <w:p w14:paraId="5E0C4513" w14:textId="045BAF3C"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6)</w:t>
            </w:r>
          </w:p>
        </w:tc>
        <w:tc>
          <w:tcPr>
            <w:tcW w:w="1559" w:type="dxa"/>
            <w:tcBorders>
              <w:top w:val="nil"/>
              <w:left w:val="nil"/>
              <w:bottom w:val="nil"/>
              <w:right w:val="nil"/>
            </w:tcBorders>
            <w:shd w:val="clear" w:color="auto" w:fill="auto"/>
            <w:vAlign w:val="bottom"/>
            <w:hideMark/>
          </w:tcPr>
          <w:p w14:paraId="17C2C398" w14:textId="41185B9D"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c>
          <w:tcPr>
            <w:tcW w:w="992" w:type="dxa"/>
            <w:tcBorders>
              <w:top w:val="nil"/>
              <w:left w:val="nil"/>
              <w:bottom w:val="nil"/>
              <w:right w:val="nil"/>
            </w:tcBorders>
            <w:shd w:val="clear" w:color="auto" w:fill="auto"/>
            <w:vAlign w:val="bottom"/>
            <w:hideMark/>
          </w:tcPr>
          <w:p w14:paraId="25D661F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vAlign w:val="bottom"/>
            <w:hideMark/>
          </w:tcPr>
          <w:p w14:paraId="2C78AF46" w14:textId="57F6ECF0"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r>
      <w:tr w:rsidR="000958F5" w:rsidRPr="00F861D8" w14:paraId="13046353" w14:textId="77777777" w:rsidTr="00E817FD">
        <w:trPr>
          <w:trHeight w:val="291"/>
        </w:trPr>
        <w:tc>
          <w:tcPr>
            <w:tcW w:w="5813" w:type="dxa"/>
            <w:tcBorders>
              <w:top w:val="nil"/>
              <w:left w:val="nil"/>
              <w:bottom w:val="nil"/>
              <w:right w:val="nil"/>
            </w:tcBorders>
            <w:shd w:val="clear" w:color="auto" w:fill="auto"/>
            <w:noWrap/>
            <w:vAlign w:val="center"/>
            <w:hideMark/>
          </w:tcPr>
          <w:p w14:paraId="7C95E013" w14:textId="570AD790"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6)</w:t>
            </w:r>
          </w:p>
        </w:tc>
        <w:tc>
          <w:tcPr>
            <w:tcW w:w="1559" w:type="dxa"/>
            <w:tcBorders>
              <w:top w:val="nil"/>
              <w:left w:val="nil"/>
              <w:bottom w:val="nil"/>
              <w:right w:val="nil"/>
            </w:tcBorders>
            <w:shd w:val="clear" w:color="auto" w:fill="auto"/>
            <w:vAlign w:val="bottom"/>
            <w:hideMark/>
          </w:tcPr>
          <w:p w14:paraId="1CC22E18" w14:textId="7E1075C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c>
          <w:tcPr>
            <w:tcW w:w="992" w:type="dxa"/>
            <w:tcBorders>
              <w:top w:val="nil"/>
              <w:left w:val="nil"/>
              <w:bottom w:val="nil"/>
              <w:right w:val="nil"/>
            </w:tcBorders>
            <w:shd w:val="clear" w:color="auto" w:fill="auto"/>
            <w:vAlign w:val="bottom"/>
            <w:hideMark/>
          </w:tcPr>
          <w:p w14:paraId="606F057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vAlign w:val="bottom"/>
            <w:hideMark/>
          </w:tcPr>
          <w:p w14:paraId="1E328426" w14:textId="33741EAA"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r>
      <w:tr w:rsidR="000958F5" w:rsidRPr="00F861D8" w14:paraId="066A8221" w14:textId="77777777" w:rsidTr="00E817FD">
        <w:trPr>
          <w:trHeight w:val="291"/>
        </w:trPr>
        <w:tc>
          <w:tcPr>
            <w:tcW w:w="5813" w:type="dxa"/>
            <w:tcBorders>
              <w:top w:val="nil"/>
              <w:left w:val="nil"/>
              <w:bottom w:val="nil"/>
              <w:right w:val="nil"/>
            </w:tcBorders>
            <w:shd w:val="clear" w:color="auto" w:fill="auto"/>
            <w:noWrap/>
            <w:vAlign w:val="center"/>
          </w:tcPr>
          <w:p w14:paraId="2A631F80" w14:textId="5545E1E8"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6) a jornada parcial</w:t>
            </w:r>
          </w:p>
        </w:tc>
        <w:tc>
          <w:tcPr>
            <w:tcW w:w="1559" w:type="dxa"/>
            <w:tcBorders>
              <w:top w:val="nil"/>
              <w:left w:val="nil"/>
              <w:bottom w:val="nil"/>
              <w:right w:val="nil"/>
            </w:tcBorders>
            <w:shd w:val="clear" w:color="auto" w:fill="auto"/>
            <w:vAlign w:val="bottom"/>
          </w:tcPr>
          <w:p w14:paraId="37BC3BC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992" w:type="dxa"/>
            <w:tcBorders>
              <w:top w:val="nil"/>
              <w:left w:val="nil"/>
              <w:bottom w:val="nil"/>
              <w:right w:val="nil"/>
            </w:tcBorders>
            <w:shd w:val="clear" w:color="auto" w:fill="auto"/>
            <w:vAlign w:val="bottom"/>
          </w:tcPr>
          <w:p w14:paraId="4B4D352D" w14:textId="36DE5628"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24 750</w:t>
            </w:r>
          </w:p>
        </w:tc>
        <w:tc>
          <w:tcPr>
            <w:tcW w:w="1730" w:type="dxa"/>
            <w:tcBorders>
              <w:top w:val="nil"/>
              <w:left w:val="nil"/>
              <w:bottom w:val="nil"/>
              <w:right w:val="nil"/>
            </w:tcBorders>
            <w:shd w:val="clear" w:color="auto" w:fill="auto"/>
            <w:vAlign w:val="bottom"/>
          </w:tcPr>
          <w:p w14:paraId="6BFDE5EC" w14:textId="1FF0B93F"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24 750</w:t>
            </w:r>
          </w:p>
        </w:tc>
      </w:tr>
      <w:tr w:rsidR="000958F5" w:rsidRPr="00F861D8" w14:paraId="49CBD831" w14:textId="77777777" w:rsidTr="00E817FD">
        <w:trPr>
          <w:trHeight w:val="291"/>
        </w:trPr>
        <w:tc>
          <w:tcPr>
            <w:tcW w:w="5813" w:type="dxa"/>
            <w:tcBorders>
              <w:top w:val="nil"/>
              <w:left w:val="nil"/>
              <w:bottom w:val="nil"/>
              <w:right w:val="nil"/>
            </w:tcBorders>
            <w:shd w:val="clear" w:color="auto" w:fill="auto"/>
            <w:noWrap/>
            <w:vAlign w:val="center"/>
            <w:hideMark/>
          </w:tcPr>
          <w:p w14:paraId="3F0ED4F9" w14:textId="7836B5A3"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lastRenderedPageBreak/>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5)</w:t>
            </w:r>
          </w:p>
        </w:tc>
        <w:tc>
          <w:tcPr>
            <w:tcW w:w="1559" w:type="dxa"/>
            <w:tcBorders>
              <w:top w:val="nil"/>
              <w:left w:val="nil"/>
              <w:bottom w:val="nil"/>
              <w:right w:val="nil"/>
            </w:tcBorders>
            <w:shd w:val="clear" w:color="auto" w:fill="auto"/>
            <w:vAlign w:val="bottom"/>
            <w:hideMark/>
          </w:tcPr>
          <w:p w14:paraId="370D3C02" w14:textId="6C0083F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c>
          <w:tcPr>
            <w:tcW w:w="992" w:type="dxa"/>
            <w:tcBorders>
              <w:top w:val="nil"/>
              <w:left w:val="nil"/>
              <w:bottom w:val="nil"/>
              <w:right w:val="nil"/>
            </w:tcBorders>
            <w:shd w:val="clear" w:color="auto" w:fill="auto"/>
            <w:vAlign w:val="bottom"/>
            <w:hideMark/>
          </w:tcPr>
          <w:p w14:paraId="11C3F39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vAlign w:val="bottom"/>
            <w:hideMark/>
          </w:tcPr>
          <w:p w14:paraId="2565B48A" w14:textId="46412673"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r>
      <w:tr w:rsidR="000958F5" w:rsidRPr="00F861D8" w14:paraId="63394739" w14:textId="77777777" w:rsidTr="00E817FD">
        <w:trPr>
          <w:trHeight w:val="291"/>
        </w:trPr>
        <w:tc>
          <w:tcPr>
            <w:tcW w:w="5813" w:type="dxa"/>
            <w:tcBorders>
              <w:top w:val="nil"/>
              <w:left w:val="nil"/>
              <w:bottom w:val="single" w:sz="8" w:space="0" w:color="auto"/>
              <w:right w:val="nil"/>
            </w:tcBorders>
            <w:shd w:val="clear" w:color="auto" w:fill="auto"/>
            <w:noWrap/>
            <w:vAlign w:val="center"/>
            <w:hideMark/>
          </w:tcPr>
          <w:p w14:paraId="2C31A346" w14:textId="5453B4D4" w:rsidR="000958F5" w:rsidRPr="00F861D8" w:rsidRDefault="000958F5" w:rsidP="003B4951">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Auxiliar Administrativo (G</w:t>
            </w:r>
            <w:r w:rsidR="00356A65" w:rsidRPr="00F861D8">
              <w:rPr>
                <w:rFonts w:ascii="Times New Roman" w:hAnsi="Times New Roman"/>
                <w:sz w:val="18"/>
                <w:szCs w:val="18"/>
                <w:lang w:val="es-ES_tradnl"/>
              </w:rPr>
              <w:noBreakHyphen/>
            </w:r>
            <w:r w:rsidRPr="00F861D8">
              <w:rPr>
                <w:rFonts w:ascii="Times New Roman" w:hAnsi="Times New Roman"/>
                <w:sz w:val="18"/>
                <w:szCs w:val="18"/>
                <w:lang w:val="es-ES_tradnl"/>
              </w:rPr>
              <w:t>5)</w:t>
            </w:r>
          </w:p>
        </w:tc>
        <w:tc>
          <w:tcPr>
            <w:tcW w:w="1559" w:type="dxa"/>
            <w:tcBorders>
              <w:top w:val="nil"/>
              <w:left w:val="nil"/>
              <w:bottom w:val="single" w:sz="8" w:space="0" w:color="auto"/>
              <w:right w:val="nil"/>
            </w:tcBorders>
            <w:shd w:val="clear" w:color="auto" w:fill="auto"/>
            <w:vAlign w:val="bottom"/>
            <w:hideMark/>
          </w:tcPr>
          <w:p w14:paraId="0751753F" w14:textId="79D5DC91"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c>
          <w:tcPr>
            <w:tcW w:w="992" w:type="dxa"/>
            <w:tcBorders>
              <w:top w:val="nil"/>
              <w:left w:val="nil"/>
              <w:bottom w:val="single" w:sz="8" w:space="0" w:color="auto"/>
              <w:right w:val="nil"/>
            </w:tcBorders>
            <w:shd w:val="clear" w:color="auto" w:fill="auto"/>
            <w:vAlign w:val="bottom"/>
            <w:hideMark/>
          </w:tcPr>
          <w:p w14:paraId="5B0BA9EF" w14:textId="5058E4EA" w:rsidR="000958F5" w:rsidRPr="00F861D8" w:rsidRDefault="000D3AC4"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color w:val="000000"/>
                <w:sz w:val="18"/>
                <w:szCs w:val="18"/>
                <w:lang w:val="es-ES_tradnl"/>
              </w:rPr>
              <w:t xml:space="preserve"> </w:t>
            </w:r>
          </w:p>
        </w:tc>
        <w:tc>
          <w:tcPr>
            <w:tcW w:w="1730" w:type="dxa"/>
            <w:tcBorders>
              <w:top w:val="nil"/>
              <w:left w:val="nil"/>
              <w:bottom w:val="single" w:sz="8" w:space="0" w:color="auto"/>
              <w:right w:val="nil"/>
            </w:tcBorders>
            <w:shd w:val="clear" w:color="auto" w:fill="auto"/>
            <w:vAlign w:val="bottom"/>
            <w:hideMark/>
          </w:tcPr>
          <w:p w14:paraId="69830A91" w14:textId="6E0B12FD"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50 750</w:t>
            </w:r>
          </w:p>
        </w:tc>
      </w:tr>
      <w:tr w:rsidR="000958F5" w:rsidRPr="00F861D8" w14:paraId="6028A57E"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276E3ACA" w14:textId="45CDBACC"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3.1.2 Personal administrativo</w:t>
            </w:r>
          </w:p>
        </w:tc>
        <w:tc>
          <w:tcPr>
            <w:tcW w:w="1559" w:type="dxa"/>
            <w:tcBorders>
              <w:top w:val="nil"/>
              <w:left w:val="nil"/>
              <w:bottom w:val="single" w:sz="4" w:space="0" w:color="auto"/>
              <w:right w:val="nil"/>
            </w:tcBorders>
            <w:shd w:val="clear" w:color="auto" w:fill="auto"/>
            <w:noWrap/>
            <w:vAlign w:val="bottom"/>
            <w:hideMark/>
          </w:tcPr>
          <w:p w14:paraId="4AD20C22" w14:textId="64A92E51"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253 750</w:t>
            </w:r>
          </w:p>
        </w:tc>
        <w:tc>
          <w:tcPr>
            <w:tcW w:w="992" w:type="dxa"/>
            <w:tcBorders>
              <w:top w:val="nil"/>
              <w:left w:val="nil"/>
              <w:bottom w:val="single" w:sz="4" w:space="0" w:color="auto"/>
              <w:right w:val="nil"/>
            </w:tcBorders>
            <w:shd w:val="clear" w:color="auto" w:fill="auto"/>
            <w:noWrap/>
            <w:vAlign w:val="bottom"/>
            <w:hideMark/>
          </w:tcPr>
          <w:p w14:paraId="77284964" w14:textId="7A3388F1"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 xml:space="preserve">24 750 </w:t>
            </w:r>
          </w:p>
        </w:tc>
        <w:tc>
          <w:tcPr>
            <w:tcW w:w="1730" w:type="dxa"/>
            <w:tcBorders>
              <w:top w:val="nil"/>
              <w:left w:val="nil"/>
              <w:bottom w:val="single" w:sz="4" w:space="0" w:color="auto"/>
              <w:right w:val="nil"/>
            </w:tcBorders>
            <w:shd w:val="clear" w:color="auto" w:fill="auto"/>
            <w:noWrap/>
            <w:vAlign w:val="bottom"/>
            <w:hideMark/>
          </w:tcPr>
          <w:p w14:paraId="5F9487BF" w14:textId="38C0563B"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278 500</w:t>
            </w:r>
          </w:p>
        </w:tc>
      </w:tr>
      <w:tr w:rsidR="000958F5" w:rsidRPr="00F861D8" w14:paraId="4EC10129"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1261BD53" w14:textId="1B13FC3C"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3.1</w:t>
            </w:r>
            <w:r w:rsidR="003B4951" w:rsidRPr="00F861D8">
              <w:rPr>
                <w:rFonts w:ascii="Times New Roman" w:hAnsi="Times New Roman"/>
                <w:b/>
                <w:bCs/>
                <w:sz w:val="18"/>
                <w:szCs w:val="18"/>
                <w:lang w:val="es-ES_tradnl"/>
              </w:rPr>
              <w:t xml:space="preserve"> </w:t>
            </w:r>
            <w:r w:rsidRPr="00F861D8">
              <w:rPr>
                <w:rFonts w:ascii="Times New Roman" w:hAnsi="Times New Roman"/>
                <w:b/>
                <w:bCs/>
                <w:sz w:val="18"/>
                <w:szCs w:val="18"/>
                <w:lang w:val="es-ES_tradnl"/>
              </w:rPr>
              <w:t>Personal</w:t>
            </w:r>
          </w:p>
        </w:tc>
        <w:tc>
          <w:tcPr>
            <w:tcW w:w="1559" w:type="dxa"/>
            <w:tcBorders>
              <w:top w:val="single" w:sz="4" w:space="0" w:color="auto"/>
              <w:left w:val="nil"/>
              <w:bottom w:val="single" w:sz="4" w:space="0" w:color="auto"/>
              <w:right w:val="nil"/>
            </w:tcBorders>
            <w:shd w:val="clear" w:color="auto" w:fill="auto"/>
            <w:noWrap/>
            <w:vAlign w:val="bottom"/>
            <w:hideMark/>
          </w:tcPr>
          <w:p w14:paraId="4AA8D7DE" w14:textId="3621AFB1"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793 459</w:t>
            </w:r>
          </w:p>
        </w:tc>
        <w:tc>
          <w:tcPr>
            <w:tcW w:w="992" w:type="dxa"/>
            <w:tcBorders>
              <w:top w:val="single" w:sz="4" w:space="0" w:color="auto"/>
              <w:left w:val="nil"/>
              <w:bottom w:val="single" w:sz="4" w:space="0" w:color="auto"/>
              <w:right w:val="nil"/>
            </w:tcBorders>
            <w:shd w:val="clear" w:color="auto" w:fill="auto"/>
            <w:noWrap/>
            <w:vAlign w:val="bottom"/>
            <w:hideMark/>
          </w:tcPr>
          <w:p w14:paraId="4A6E3AC3" w14:textId="402B9EEA"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24 750</w:t>
            </w:r>
          </w:p>
        </w:tc>
        <w:tc>
          <w:tcPr>
            <w:tcW w:w="1730" w:type="dxa"/>
            <w:tcBorders>
              <w:top w:val="single" w:sz="4" w:space="0" w:color="auto"/>
              <w:left w:val="nil"/>
              <w:bottom w:val="single" w:sz="4" w:space="0" w:color="auto"/>
              <w:right w:val="nil"/>
            </w:tcBorders>
            <w:shd w:val="clear" w:color="auto" w:fill="auto"/>
            <w:noWrap/>
            <w:vAlign w:val="bottom"/>
            <w:hideMark/>
          </w:tcPr>
          <w:p w14:paraId="01D11FE3" w14:textId="0FF4497B"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818 209</w:t>
            </w:r>
          </w:p>
        </w:tc>
      </w:tr>
      <w:tr w:rsidR="000958F5" w:rsidRPr="000930FA" w14:paraId="2CC7219A"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5D56567D" w14:textId="467297E7"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 Secretaría: gastos de funcionamiento (no relacionados con el personal)</w:t>
            </w:r>
          </w:p>
        </w:tc>
        <w:tc>
          <w:tcPr>
            <w:tcW w:w="1559" w:type="dxa"/>
            <w:tcBorders>
              <w:top w:val="single" w:sz="4" w:space="0" w:color="auto"/>
              <w:left w:val="nil"/>
              <w:bottom w:val="nil"/>
              <w:right w:val="nil"/>
            </w:tcBorders>
            <w:shd w:val="clear" w:color="auto" w:fill="auto"/>
            <w:noWrap/>
            <w:vAlign w:val="bottom"/>
            <w:hideMark/>
          </w:tcPr>
          <w:p w14:paraId="5440ED0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59D1E36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640EF48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67AF3DE8" w14:textId="77777777" w:rsidTr="00E817FD">
        <w:trPr>
          <w:trHeight w:val="291"/>
        </w:trPr>
        <w:tc>
          <w:tcPr>
            <w:tcW w:w="5813" w:type="dxa"/>
            <w:tcBorders>
              <w:top w:val="nil"/>
              <w:left w:val="nil"/>
              <w:bottom w:val="nil"/>
              <w:right w:val="nil"/>
            </w:tcBorders>
            <w:shd w:val="clear" w:color="auto" w:fill="auto"/>
            <w:noWrap/>
            <w:vAlign w:val="center"/>
            <w:hideMark/>
          </w:tcPr>
          <w:p w14:paraId="6E60ECE1" w14:textId="17C54253"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Viajes de la Secretaría</w:t>
            </w:r>
          </w:p>
        </w:tc>
        <w:tc>
          <w:tcPr>
            <w:tcW w:w="1559" w:type="dxa"/>
            <w:tcBorders>
              <w:top w:val="nil"/>
              <w:left w:val="nil"/>
              <w:bottom w:val="nil"/>
              <w:right w:val="nil"/>
            </w:tcBorders>
            <w:shd w:val="clear" w:color="auto" w:fill="auto"/>
            <w:noWrap/>
            <w:vAlign w:val="bottom"/>
            <w:hideMark/>
          </w:tcPr>
          <w:p w14:paraId="176C6F1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nil"/>
              <w:left w:val="nil"/>
              <w:bottom w:val="nil"/>
              <w:right w:val="nil"/>
            </w:tcBorders>
            <w:shd w:val="clear" w:color="auto" w:fill="auto"/>
            <w:noWrap/>
            <w:vAlign w:val="bottom"/>
            <w:hideMark/>
          </w:tcPr>
          <w:p w14:paraId="35EDDEC8" w14:textId="77777777" w:rsidR="000958F5" w:rsidRPr="00F861D8" w:rsidRDefault="000958F5" w:rsidP="000D3AC4">
            <w:pPr>
              <w:spacing w:after="0" w:line="240" w:lineRule="auto"/>
              <w:jc w:val="right"/>
              <w:rPr>
                <w:rFonts w:ascii="Times New Roman" w:hAnsi="Times New Roman"/>
                <w:sz w:val="18"/>
                <w:szCs w:val="18"/>
                <w:lang w:val="es-ES_tradnl"/>
              </w:rPr>
            </w:pPr>
          </w:p>
        </w:tc>
        <w:tc>
          <w:tcPr>
            <w:tcW w:w="1730" w:type="dxa"/>
            <w:tcBorders>
              <w:top w:val="nil"/>
              <w:left w:val="nil"/>
              <w:bottom w:val="nil"/>
              <w:right w:val="nil"/>
            </w:tcBorders>
            <w:shd w:val="clear" w:color="auto" w:fill="auto"/>
            <w:noWrap/>
            <w:vAlign w:val="bottom"/>
            <w:hideMark/>
          </w:tcPr>
          <w:p w14:paraId="01885EF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0930FA" w14:paraId="0800F701" w14:textId="77777777" w:rsidTr="00E817FD">
        <w:trPr>
          <w:trHeight w:val="291"/>
        </w:trPr>
        <w:tc>
          <w:tcPr>
            <w:tcW w:w="5813" w:type="dxa"/>
            <w:tcBorders>
              <w:top w:val="nil"/>
              <w:left w:val="nil"/>
              <w:bottom w:val="nil"/>
              <w:right w:val="nil"/>
            </w:tcBorders>
            <w:shd w:val="clear" w:color="auto" w:fill="auto"/>
            <w:noWrap/>
            <w:vAlign w:val="center"/>
            <w:hideMark/>
          </w:tcPr>
          <w:p w14:paraId="48E6DEE0" w14:textId="44A15350"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3.2.1 Viajes en comisión de servicio</w:t>
            </w:r>
          </w:p>
        </w:tc>
        <w:tc>
          <w:tcPr>
            <w:tcW w:w="1559" w:type="dxa"/>
            <w:tcBorders>
              <w:top w:val="nil"/>
              <w:left w:val="nil"/>
              <w:bottom w:val="nil"/>
              <w:right w:val="nil"/>
            </w:tcBorders>
            <w:shd w:val="clear" w:color="auto" w:fill="auto"/>
            <w:noWrap/>
            <w:vAlign w:val="bottom"/>
            <w:hideMark/>
          </w:tcPr>
          <w:p w14:paraId="5C01046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nil"/>
              <w:left w:val="nil"/>
              <w:bottom w:val="nil"/>
              <w:right w:val="nil"/>
            </w:tcBorders>
            <w:shd w:val="clear" w:color="auto" w:fill="auto"/>
            <w:noWrap/>
            <w:vAlign w:val="bottom"/>
            <w:hideMark/>
          </w:tcPr>
          <w:p w14:paraId="2E12B2C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nil"/>
              <w:left w:val="nil"/>
              <w:bottom w:val="nil"/>
              <w:right w:val="nil"/>
            </w:tcBorders>
            <w:shd w:val="clear" w:color="auto" w:fill="auto"/>
            <w:noWrap/>
            <w:vAlign w:val="bottom"/>
            <w:hideMark/>
          </w:tcPr>
          <w:p w14:paraId="1E60F0C2"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104E8097"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2810A181" w14:textId="0E06EBCA"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Viajes oficiales</w:t>
            </w:r>
          </w:p>
        </w:tc>
        <w:tc>
          <w:tcPr>
            <w:tcW w:w="1559" w:type="dxa"/>
            <w:tcBorders>
              <w:top w:val="nil"/>
              <w:left w:val="nil"/>
              <w:bottom w:val="single" w:sz="4" w:space="0" w:color="auto"/>
              <w:right w:val="nil"/>
            </w:tcBorders>
            <w:shd w:val="clear" w:color="auto" w:fill="auto"/>
            <w:noWrap/>
            <w:vAlign w:val="bottom"/>
            <w:hideMark/>
          </w:tcPr>
          <w:p w14:paraId="211097EC" w14:textId="50928D0E"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c>
          <w:tcPr>
            <w:tcW w:w="992" w:type="dxa"/>
            <w:tcBorders>
              <w:top w:val="nil"/>
              <w:left w:val="nil"/>
              <w:bottom w:val="single" w:sz="4" w:space="0" w:color="auto"/>
              <w:right w:val="nil"/>
            </w:tcBorders>
            <w:shd w:val="clear" w:color="auto" w:fill="auto"/>
            <w:noWrap/>
            <w:vAlign w:val="bottom"/>
            <w:hideMark/>
          </w:tcPr>
          <w:p w14:paraId="14A10C3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015E0E12" w14:textId="5237D7CD"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65 000</w:t>
            </w:r>
          </w:p>
        </w:tc>
      </w:tr>
      <w:tr w:rsidR="000958F5" w:rsidRPr="00F861D8" w14:paraId="62740CEE"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2EA7CF3D" w14:textId="5F34BEC0"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3.2.1 Viajes en comisión de servicio</w:t>
            </w:r>
            <w:r w:rsidRPr="00F861D8">
              <w:rPr>
                <w:rFonts w:ascii="Times New Roman" w:hAnsi="Times New Roman"/>
                <w:sz w:val="18"/>
                <w:szCs w:val="18"/>
                <w:lang w:val="es-ES_tradnl"/>
              </w:rPr>
              <w:t xml:space="preserve"> </w:t>
            </w:r>
          </w:p>
        </w:tc>
        <w:tc>
          <w:tcPr>
            <w:tcW w:w="1559" w:type="dxa"/>
            <w:tcBorders>
              <w:top w:val="single" w:sz="4" w:space="0" w:color="auto"/>
              <w:left w:val="nil"/>
              <w:bottom w:val="single" w:sz="4" w:space="0" w:color="auto"/>
              <w:right w:val="nil"/>
            </w:tcBorders>
            <w:shd w:val="clear" w:color="auto" w:fill="auto"/>
            <w:noWrap/>
            <w:vAlign w:val="bottom"/>
            <w:hideMark/>
          </w:tcPr>
          <w:p w14:paraId="76C626D8" w14:textId="1A7718ED"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65 000</w:t>
            </w:r>
          </w:p>
        </w:tc>
        <w:tc>
          <w:tcPr>
            <w:tcW w:w="992" w:type="dxa"/>
            <w:tcBorders>
              <w:top w:val="single" w:sz="4" w:space="0" w:color="auto"/>
              <w:left w:val="nil"/>
              <w:bottom w:val="single" w:sz="4" w:space="0" w:color="auto"/>
              <w:right w:val="nil"/>
            </w:tcBorders>
            <w:shd w:val="clear" w:color="auto" w:fill="auto"/>
            <w:noWrap/>
            <w:vAlign w:val="bottom"/>
            <w:hideMark/>
          </w:tcPr>
          <w:p w14:paraId="2ACD2032" w14:textId="5148BAAA"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1A58F9CE" w14:textId="4113202D"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65 000</w:t>
            </w:r>
          </w:p>
        </w:tc>
      </w:tr>
      <w:tr w:rsidR="000958F5" w:rsidRPr="00F861D8" w14:paraId="367B140D"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1920F00A" w14:textId="609ABF8F"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3.2.2 Capacitación del personal</w:t>
            </w:r>
          </w:p>
        </w:tc>
        <w:tc>
          <w:tcPr>
            <w:tcW w:w="1559" w:type="dxa"/>
            <w:tcBorders>
              <w:top w:val="single" w:sz="4" w:space="0" w:color="auto"/>
              <w:left w:val="nil"/>
              <w:bottom w:val="nil"/>
              <w:right w:val="nil"/>
            </w:tcBorders>
            <w:shd w:val="clear" w:color="auto" w:fill="auto"/>
            <w:noWrap/>
            <w:vAlign w:val="bottom"/>
            <w:hideMark/>
          </w:tcPr>
          <w:p w14:paraId="1FA5607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26735F5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331E8FB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0930FA" w14:paraId="64B64E1C"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2ABD0AA5" w14:textId="58430F38"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 xml:space="preserve">Formación profesional en administración de proyectos </w:t>
            </w:r>
          </w:p>
        </w:tc>
        <w:tc>
          <w:tcPr>
            <w:tcW w:w="1559" w:type="dxa"/>
            <w:tcBorders>
              <w:top w:val="nil"/>
              <w:left w:val="nil"/>
              <w:bottom w:val="single" w:sz="4" w:space="0" w:color="auto"/>
              <w:right w:val="nil"/>
            </w:tcBorders>
            <w:shd w:val="clear" w:color="auto" w:fill="auto"/>
            <w:noWrap/>
            <w:vAlign w:val="bottom"/>
            <w:hideMark/>
          </w:tcPr>
          <w:p w14:paraId="314E203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nil"/>
              <w:left w:val="nil"/>
              <w:bottom w:val="single" w:sz="4" w:space="0" w:color="auto"/>
              <w:right w:val="nil"/>
            </w:tcBorders>
            <w:shd w:val="clear" w:color="auto" w:fill="auto"/>
            <w:noWrap/>
            <w:vAlign w:val="bottom"/>
            <w:hideMark/>
          </w:tcPr>
          <w:p w14:paraId="1D36309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42F24E65"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0930FA" w14:paraId="6FA0D16E"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40DF64B5" w14:textId="4D30E19A"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3.2.2 Capacitación del personal</w:t>
            </w:r>
          </w:p>
        </w:tc>
        <w:tc>
          <w:tcPr>
            <w:tcW w:w="1559" w:type="dxa"/>
            <w:tcBorders>
              <w:top w:val="single" w:sz="4" w:space="0" w:color="auto"/>
              <w:left w:val="nil"/>
              <w:bottom w:val="single" w:sz="4" w:space="0" w:color="auto"/>
              <w:right w:val="nil"/>
            </w:tcBorders>
            <w:shd w:val="clear" w:color="auto" w:fill="auto"/>
            <w:noWrap/>
            <w:vAlign w:val="bottom"/>
            <w:hideMark/>
          </w:tcPr>
          <w:p w14:paraId="55275A1B" w14:textId="068ED194"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992" w:type="dxa"/>
            <w:tcBorders>
              <w:top w:val="single" w:sz="4" w:space="0" w:color="auto"/>
              <w:left w:val="nil"/>
              <w:bottom w:val="single" w:sz="4" w:space="0" w:color="auto"/>
              <w:right w:val="nil"/>
            </w:tcBorders>
            <w:shd w:val="clear" w:color="auto" w:fill="auto"/>
            <w:noWrap/>
            <w:vAlign w:val="bottom"/>
            <w:hideMark/>
          </w:tcPr>
          <w:p w14:paraId="61B89C4B" w14:textId="300ACF37"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0250C4F6" w14:textId="29BC5084" w:rsidR="000958F5" w:rsidRPr="00F861D8" w:rsidRDefault="000958F5" w:rsidP="000D3AC4">
            <w:pPr>
              <w:spacing w:after="0" w:line="240" w:lineRule="auto"/>
              <w:jc w:val="right"/>
              <w:rPr>
                <w:rFonts w:ascii="Times New Roman" w:hAnsi="Times New Roman"/>
                <w:b/>
                <w:color w:val="000000"/>
                <w:sz w:val="18"/>
                <w:szCs w:val="18"/>
                <w:lang w:val="es-ES_tradnl"/>
              </w:rPr>
            </w:pPr>
          </w:p>
        </w:tc>
      </w:tr>
      <w:tr w:rsidR="000958F5" w:rsidRPr="000930FA" w14:paraId="637D37B5"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078F4E6C" w14:textId="2B4A215D"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3.2.3 Equipo y material de oficina</w:t>
            </w:r>
          </w:p>
        </w:tc>
        <w:tc>
          <w:tcPr>
            <w:tcW w:w="1559" w:type="dxa"/>
            <w:tcBorders>
              <w:top w:val="single" w:sz="4" w:space="0" w:color="auto"/>
              <w:left w:val="nil"/>
              <w:bottom w:val="nil"/>
              <w:right w:val="nil"/>
            </w:tcBorders>
            <w:shd w:val="clear" w:color="auto" w:fill="auto"/>
            <w:noWrap/>
            <w:vAlign w:val="bottom"/>
            <w:hideMark/>
          </w:tcPr>
          <w:p w14:paraId="1FC0272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29ABCE0E"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3F0CA75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12240095" w14:textId="77777777" w:rsidTr="00E817FD">
        <w:trPr>
          <w:trHeight w:val="291"/>
        </w:trPr>
        <w:tc>
          <w:tcPr>
            <w:tcW w:w="5813" w:type="dxa"/>
            <w:tcBorders>
              <w:top w:val="nil"/>
              <w:left w:val="nil"/>
              <w:bottom w:val="nil"/>
              <w:right w:val="nil"/>
            </w:tcBorders>
            <w:shd w:val="clear" w:color="auto" w:fill="auto"/>
            <w:noWrap/>
            <w:vAlign w:val="center"/>
            <w:hideMark/>
          </w:tcPr>
          <w:p w14:paraId="55CEF8F0" w14:textId="141546FE"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Equipo fungible (artículos valorados en menos de 1.500 dólares)</w:t>
            </w:r>
          </w:p>
        </w:tc>
        <w:tc>
          <w:tcPr>
            <w:tcW w:w="1559" w:type="dxa"/>
            <w:tcBorders>
              <w:top w:val="nil"/>
              <w:left w:val="nil"/>
              <w:bottom w:val="nil"/>
              <w:right w:val="nil"/>
            </w:tcBorders>
            <w:shd w:val="clear" w:color="auto" w:fill="auto"/>
            <w:noWrap/>
            <w:vAlign w:val="bottom"/>
            <w:hideMark/>
          </w:tcPr>
          <w:p w14:paraId="0030F565" w14:textId="3AABF061"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1 875</w:t>
            </w:r>
          </w:p>
        </w:tc>
        <w:tc>
          <w:tcPr>
            <w:tcW w:w="992" w:type="dxa"/>
            <w:tcBorders>
              <w:top w:val="nil"/>
              <w:left w:val="nil"/>
              <w:bottom w:val="nil"/>
              <w:right w:val="nil"/>
            </w:tcBorders>
            <w:shd w:val="clear" w:color="auto" w:fill="auto"/>
            <w:noWrap/>
            <w:vAlign w:val="bottom"/>
            <w:hideMark/>
          </w:tcPr>
          <w:p w14:paraId="7142CDE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noWrap/>
            <w:vAlign w:val="bottom"/>
            <w:hideMark/>
          </w:tcPr>
          <w:p w14:paraId="2AE0EE55" w14:textId="1215C3C8"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1 875</w:t>
            </w:r>
          </w:p>
        </w:tc>
      </w:tr>
      <w:tr w:rsidR="000958F5" w:rsidRPr="00F861D8" w14:paraId="2E72443F"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0A371578" w14:textId="127D6620"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Material de oficina</w:t>
            </w:r>
          </w:p>
        </w:tc>
        <w:tc>
          <w:tcPr>
            <w:tcW w:w="1559" w:type="dxa"/>
            <w:tcBorders>
              <w:top w:val="nil"/>
              <w:left w:val="nil"/>
              <w:bottom w:val="single" w:sz="4" w:space="0" w:color="auto"/>
              <w:right w:val="nil"/>
            </w:tcBorders>
            <w:shd w:val="clear" w:color="auto" w:fill="auto"/>
            <w:noWrap/>
            <w:vAlign w:val="bottom"/>
            <w:hideMark/>
          </w:tcPr>
          <w:p w14:paraId="7E3F5F0D" w14:textId="3FBD8571"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c>
          <w:tcPr>
            <w:tcW w:w="992" w:type="dxa"/>
            <w:tcBorders>
              <w:top w:val="nil"/>
              <w:left w:val="nil"/>
              <w:bottom w:val="single" w:sz="4" w:space="0" w:color="auto"/>
              <w:right w:val="nil"/>
            </w:tcBorders>
            <w:shd w:val="clear" w:color="auto" w:fill="auto"/>
            <w:noWrap/>
            <w:vAlign w:val="bottom"/>
            <w:hideMark/>
          </w:tcPr>
          <w:p w14:paraId="602E7A5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72186F49" w14:textId="1008B006"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5 000</w:t>
            </w:r>
          </w:p>
        </w:tc>
      </w:tr>
      <w:tr w:rsidR="000958F5" w:rsidRPr="00F861D8" w14:paraId="2C38DA4A"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70B1011F" w14:textId="693B466D"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3.2.3 Equipo y material de oficina</w:t>
            </w:r>
          </w:p>
        </w:tc>
        <w:tc>
          <w:tcPr>
            <w:tcW w:w="1559" w:type="dxa"/>
            <w:tcBorders>
              <w:top w:val="single" w:sz="4" w:space="0" w:color="auto"/>
              <w:left w:val="nil"/>
              <w:bottom w:val="single" w:sz="4" w:space="0" w:color="auto"/>
              <w:right w:val="nil"/>
            </w:tcBorders>
            <w:shd w:val="clear" w:color="auto" w:fill="auto"/>
            <w:noWrap/>
            <w:vAlign w:val="bottom"/>
            <w:hideMark/>
          </w:tcPr>
          <w:p w14:paraId="5184F31A" w14:textId="69DD75D6"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6 875</w:t>
            </w:r>
          </w:p>
        </w:tc>
        <w:tc>
          <w:tcPr>
            <w:tcW w:w="992" w:type="dxa"/>
            <w:tcBorders>
              <w:top w:val="single" w:sz="4" w:space="0" w:color="auto"/>
              <w:left w:val="nil"/>
              <w:bottom w:val="single" w:sz="4" w:space="0" w:color="auto"/>
              <w:right w:val="nil"/>
            </w:tcBorders>
            <w:shd w:val="clear" w:color="auto" w:fill="auto"/>
            <w:noWrap/>
            <w:vAlign w:val="bottom"/>
            <w:hideMark/>
          </w:tcPr>
          <w:p w14:paraId="746F1B90" w14:textId="0B6232EF"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65814B76" w14:textId="0F9B162A"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6 875</w:t>
            </w:r>
          </w:p>
        </w:tc>
      </w:tr>
      <w:tr w:rsidR="000958F5" w:rsidRPr="00F861D8" w14:paraId="55AC945E" w14:textId="77777777" w:rsidTr="00E817FD">
        <w:trPr>
          <w:trHeight w:val="291"/>
        </w:trPr>
        <w:tc>
          <w:tcPr>
            <w:tcW w:w="5813" w:type="dxa"/>
            <w:tcBorders>
              <w:top w:val="single" w:sz="4" w:space="0" w:color="auto"/>
              <w:left w:val="nil"/>
              <w:bottom w:val="nil"/>
              <w:right w:val="nil"/>
            </w:tcBorders>
            <w:shd w:val="clear" w:color="auto" w:fill="auto"/>
            <w:vAlign w:val="center"/>
            <w:hideMark/>
          </w:tcPr>
          <w:p w14:paraId="1C1B1C5B" w14:textId="79DD6C99"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3.2.4 Locales</w:t>
            </w:r>
            <w:r w:rsidRPr="00F861D8">
              <w:rPr>
                <w:rFonts w:ascii="Times New Roman" w:hAnsi="Times New Roman"/>
                <w:sz w:val="18"/>
                <w:szCs w:val="18"/>
                <w:lang w:val="es-ES_tradnl"/>
              </w:rPr>
              <w:t xml:space="preserve"> </w:t>
            </w:r>
          </w:p>
        </w:tc>
        <w:tc>
          <w:tcPr>
            <w:tcW w:w="1559" w:type="dxa"/>
            <w:tcBorders>
              <w:top w:val="single" w:sz="4" w:space="0" w:color="auto"/>
              <w:left w:val="nil"/>
              <w:bottom w:val="nil"/>
              <w:right w:val="nil"/>
            </w:tcBorders>
            <w:shd w:val="clear" w:color="auto" w:fill="auto"/>
            <w:noWrap/>
            <w:vAlign w:val="bottom"/>
            <w:hideMark/>
          </w:tcPr>
          <w:p w14:paraId="571B8FD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576B3C6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47F9CFFA"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55B43C99"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58C4BF3A" w14:textId="3E2A9006"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Contribución a los gastos comunes (mantenimiento de oficinas, seguridad común, servicios de central telefónica, etc.)</w:t>
            </w:r>
          </w:p>
        </w:tc>
        <w:tc>
          <w:tcPr>
            <w:tcW w:w="1559" w:type="dxa"/>
            <w:tcBorders>
              <w:top w:val="nil"/>
              <w:left w:val="nil"/>
              <w:bottom w:val="single" w:sz="4" w:space="0" w:color="auto"/>
              <w:right w:val="nil"/>
            </w:tcBorders>
            <w:shd w:val="clear" w:color="auto" w:fill="auto"/>
            <w:noWrap/>
            <w:vAlign w:val="bottom"/>
            <w:hideMark/>
          </w:tcPr>
          <w:p w14:paraId="0EE8EF30" w14:textId="22000741"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18 750</w:t>
            </w:r>
          </w:p>
        </w:tc>
        <w:tc>
          <w:tcPr>
            <w:tcW w:w="992" w:type="dxa"/>
            <w:tcBorders>
              <w:top w:val="nil"/>
              <w:left w:val="nil"/>
              <w:bottom w:val="single" w:sz="4" w:space="0" w:color="auto"/>
              <w:right w:val="nil"/>
            </w:tcBorders>
            <w:shd w:val="clear" w:color="auto" w:fill="auto"/>
            <w:noWrap/>
            <w:vAlign w:val="bottom"/>
            <w:hideMark/>
          </w:tcPr>
          <w:p w14:paraId="192CB31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62E065F4" w14:textId="39390F7E"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18 750</w:t>
            </w:r>
          </w:p>
        </w:tc>
      </w:tr>
      <w:tr w:rsidR="000958F5" w:rsidRPr="00F861D8" w14:paraId="50B7A86A"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7E859631" w14:textId="0A6461D5"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3.2.4 Locales</w:t>
            </w:r>
          </w:p>
        </w:tc>
        <w:tc>
          <w:tcPr>
            <w:tcW w:w="1559" w:type="dxa"/>
            <w:tcBorders>
              <w:top w:val="single" w:sz="4" w:space="0" w:color="auto"/>
              <w:left w:val="nil"/>
              <w:bottom w:val="single" w:sz="4" w:space="0" w:color="auto"/>
              <w:right w:val="nil"/>
            </w:tcBorders>
            <w:shd w:val="clear" w:color="auto" w:fill="auto"/>
            <w:noWrap/>
            <w:vAlign w:val="bottom"/>
            <w:hideMark/>
          </w:tcPr>
          <w:p w14:paraId="65DFC31F" w14:textId="3ED0E062"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18 750</w:t>
            </w:r>
          </w:p>
        </w:tc>
        <w:tc>
          <w:tcPr>
            <w:tcW w:w="992" w:type="dxa"/>
            <w:tcBorders>
              <w:top w:val="single" w:sz="4" w:space="0" w:color="auto"/>
              <w:left w:val="nil"/>
              <w:bottom w:val="single" w:sz="4" w:space="0" w:color="auto"/>
              <w:right w:val="nil"/>
            </w:tcBorders>
            <w:shd w:val="clear" w:color="auto" w:fill="auto"/>
            <w:noWrap/>
            <w:vAlign w:val="bottom"/>
            <w:hideMark/>
          </w:tcPr>
          <w:p w14:paraId="544D56B3" w14:textId="14B1FDCC"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3603F415" w14:textId="32C5DADC"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18 750</w:t>
            </w:r>
          </w:p>
        </w:tc>
      </w:tr>
      <w:tr w:rsidR="000958F5" w:rsidRPr="000930FA" w14:paraId="3157AAED"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30C4BBBB" w14:textId="288F567B"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3.2.5 Impresoras, fotocopiadoras, apoyo informático y componentes varios</w:t>
            </w:r>
            <w:r w:rsidRPr="00F861D8">
              <w:rPr>
                <w:rFonts w:ascii="Times New Roman" w:hAnsi="Times New Roman"/>
                <w:sz w:val="18"/>
                <w:szCs w:val="18"/>
                <w:lang w:val="es-ES_tradnl"/>
              </w:rPr>
              <w:t xml:space="preserve"> </w:t>
            </w:r>
          </w:p>
        </w:tc>
        <w:tc>
          <w:tcPr>
            <w:tcW w:w="1559" w:type="dxa"/>
            <w:tcBorders>
              <w:top w:val="single" w:sz="4" w:space="0" w:color="auto"/>
              <w:left w:val="nil"/>
              <w:bottom w:val="nil"/>
              <w:right w:val="nil"/>
            </w:tcBorders>
            <w:shd w:val="clear" w:color="auto" w:fill="auto"/>
            <w:noWrap/>
            <w:vAlign w:val="bottom"/>
            <w:hideMark/>
          </w:tcPr>
          <w:p w14:paraId="0662CAE1"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170DDA5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097D920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3AA01155" w14:textId="77777777" w:rsidTr="00E817FD">
        <w:trPr>
          <w:trHeight w:val="291"/>
        </w:trPr>
        <w:tc>
          <w:tcPr>
            <w:tcW w:w="5813" w:type="dxa"/>
            <w:tcBorders>
              <w:top w:val="nil"/>
              <w:left w:val="nil"/>
              <w:bottom w:val="nil"/>
              <w:right w:val="nil"/>
            </w:tcBorders>
            <w:shd w:val="clear" w:color="auto" w:fill="auto"/>
            <w:noWrap/>
            <w:hideMark/>
          </w:tcPr>
          <w:p w14:paraId="0B450929" w14:textId="185B0590"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Funcionamiento y mantenimiento de impresoras y fotocopiadoras</w:t>
            </w:r>
          </w:p>
        </w:tc>
        <w:tc>
          <w:tcPr>
            <w:tcW w:w="1559" w:type="dxa"/>
            <w:tcBorders>
              <w:top w:val="nil"/>
              <w:left w:val="nil"/>
              <w:bottom w:val="nil"/>
              <w:right w:val="nil"/>
            </w:tcBorders>
            <w:shd w:val="clear" w:color="auto" w:fill="auto"/>
            <w:noWrap/>
            <w:vAlign w:val="bottom"/>
            <w:hideMark/>
          </w:tcPr>
          <w:p w14:paraId="727D332C" w14:textId="1950FA91"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2 083</w:t>
            </w:r>
          </w:p>
        </w:tc>
        <w:tc>
          <w:tcPr>
            <w:tcW w:w="992" w:type="dxa"/>
            <w:tcBorders>
              <w:top w:val="nil"/>
              <w:left w:val="nil"/>
              <w:bottom w:val="nil"/>
              <w:right w:val="nil"/>
            </w:tcBorders>
            <w:shd w:val="clear" w:color="auto" w:fill="auto"/>
            <w:noWrap/>
            <w:vAlign w:val="bottom"/>
            <w:hideMark/>
          </w:tcPr>
          <w:p w14:paraId="4821118D"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noWrap/>
            <w:vAlign w:val="bottom"/>
            <w:hideMark/>
          </w:tcPr>
          <w:p w14:paraId="37AB1DB9" w14:textId="4539855F"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2 083</w:t>
            </w:r>
          </w:p>
        </w:tc>
      </w:tr>
      <w:tr w:rsidR="000958F5" w:rsidRPr="00F861D8" w14:paraId="63375C7E" w14:textId="77777777" w:rsidTr="00E817FD">
        <w:trPr>
          <w:trHeight w:val="291"/>
        </w:trPr>
        <w:tc>
          <w:tcPr>
            <w:tcW w:w="5813" w:type="dxa"/>
            <w:tcBorders>
              <w:top w:val="nil"/>
              <w:left w:val="nil"/>
              <w:bottom w:val="nil"/>
              <w:right w:val="nil"/>
            </w:tcBorders>
            <w:shd w:val="clear" w:color="auto" w:fill="auto"/>
            <w:noWrap/>
            <w:vAlign w:val="center"/>
            <w:hideMark/>
          </w:tcPr>
          <w:p w14:paraId="29C5BC87" w14:textId="658278D3"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 xml:space="preserve">Programas informáticos y otros gastos </w:t>
            </w:r>
          </w:p>
        </w:tc>
        <w:tc>
          <w:tcPr>
            <w:tcW w:w="1559" w:type="dxa"/>
            <w:tcBorders>
              <w:top w:val="nil"/>
              <w:left w:val="nil"/>
              <w:bottom w:val="nil"/>
              <w:right w:val="nil"/>
            </w:tcBorders>
            <w:shd w:val="clear" w:color="auto" w:fill="auto"/>
            <w:noWrap/>
            <w:vAlign w:val="bottom"/>
            <w:hideMark/>
          </w:tcPr>
          <w:p w14:paraId="21DE47EF" w14:textId="24DA040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1 667</w:t>
            </w:r>
          </w:p>
        </w:tc>
        <w:tc>
          <w:tcPr>
            <w:tcW w:w="992" w:type="dxa"/>
            <w:tcBorders>
              <w:top w:val="nil"/>
              <w:left w:val="nil"/>
              <w:bottom w:val="nil"/>
              <w:right w:val="nil"/>
            </w:tcBorders>
            <w:shd w:val="clear" w:color="auto" w:fill="auto"/>
            <w:noWrap/>
            <w:vAlign w:val="bottom"/>
            <w:hideMark/>
          </w:tcPr>
          <w:p w14:paraId="677A5AD6"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noWrap/>
            <w:vAlign w:val="bottom"/>
            <w:hideMark/>
          </w:tcPr>
          <w:p w14:paraId="5BFBBABA" w14:textId="53441F5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1 667</w:t>
            </w:r>
          </w:p>
        </w:tc>
      </w:tr>
      <w:tr w:rsidR="000958F5" w:rsidRPr="00F861D8" w14:paraId="385F77F5"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5DE42F54" w14:textId="1EF66DEE"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Servicios de apoyo informático</w:t>
            </w:r>
          </w:p>
        </w:tc>
        <w:tc>
          <w:tcPr>
            <w:tcW w:w="1559" w:type="dxa"/>
            <w:tcBorders>
              <w:top w:val="nil"/>
              <w:left w:val="nil"/>
              <w:bottom w:val="single" w:sz="4" w:space="0" w:color="auto"/>
              <w:right w:val="nil"/>
            </w:tcBorders>
            <w:shd w:val="clear" w:color="auto" w:fill="auto"/>
            <w:noWrap/>
            <w:vAlign w:val="bottom"/>
            <w:hideMark/>
          </w:tcPr>
          <w:p w14:paraId="15F89664" w14:textId="3BA499ED"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10 417</w:t>
            </w:r>
          </w:p>
        </w:tc>
        <w:tc>
          <w:tcPr>
            <w:tcW w:w="992" w:type="dxa"/>
            <w:tcBorders>
              <w:top w:val="nil"/>
              <w:left w:val="nil"/>
              <w:bottom w:val="single" w:sz="4" w:space="0" w:color="auto"/>
              <w:right w:val="nil"/>
            </w:tcBorders>
            <w:shd w:val="clear" w:color="auto" w:fill="auto"/>
            <w:noWrap/>
            <w:vAlign w:val="bottom"/>
            <w:hideMark/>
          </w:tcPr>
          <w:p w14:paraId="7CAE2AE1" w14:textId="2B2BE291"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15 104</w:t>
            </w:r>
          </w:p>
        </w:tc>
        <w:tc>
          <w:tcPr>
            <w:tcW w:w="1730" w:type="dxa"/>
            <w:tcBorders>
              <w:top w:val="nil"/>
              <w:left w:val="nil"/>
              <w:bottom w:val="single" w:sz="4" w:space="0" w:color="auto"/>
              <w:right w:val="nil"/>
            </w:tcBorders>
            <w:shd w:val="clear" w:color="auto" w:fill="auto"/>
            <w:noWrap/>
            <w:vAlign w:val="bottom"/>
            <w:hideMark/>
          </w:tcPr>
          <w:p w14:paraId="40AFEE8D" w14:textId="7ED1F3D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25 521</w:t>
            </w:r>
          </w:p>
        </w:tc>
      </w:tr>
      <w:tr w:rsidR="000958F5" w:rsidRPr="00F861D8" w14:paraId="125F6C36"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4189B896" w14:textId="52A3284F" w:rsidR="000958F5" w:rsidRPr="00F861D8" w:rsidRDefault="000958F5" w:rsidP="007751C4">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3.2.5 Impresoras, fotocopiadoras, apoyo informático y componentes varios</w:t>
            </w:r>
            <w:r w:rsidRPr="00F861D8">
              <w:rPr>
                <w:rFonts w:ascii="Times New Roman" w:hAnsi="Times New Roman"/>
                <w:sz w:val="18"/>
                <w:szCs w:val="18"/>
                <w:lang w:val="es-ES_tradnl"/>
              </w:rPr>
              <w:t xml:space="preserve"> </w:t>
            </w:r>
          </w:p>
        </w:tc>
        <w:tc>
          <w:tcPr>
            <w:tcW w:w="1559" w:type="dxa"/>
            <w:tcBorders>
              <w:top w:val="single" w:sz="4" w:space="0" w:color="auto"/>
              <w:left w:val="nil"/>
              <w:bottom w:val="single" w:sz="4" w:space="0" w:color="auto"/>
              <w:right w:val="nil"/>
            </w:tcBorders>
            <w:shd w:val="clear" w:color="auto" w:fill="auto"/>
            <w:noWrap/>
            <w:vAlign w:val="bottom"/>
            <w:hideMark/>
          </w:tcPr>
          <w:p w14:paraId="5B7B3060" w14:textId="66C4A206"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14 167</w:t>
            </w:r>
          </w:p>
        </w:tc>
        <w:tc>
          <w:tcPr>
            <w:tcW w:w="992" w:type="dxa"/>
            <w:tcBorders>
              <w:top w:val="single" w:sz="4" w:space="0" w:color="auto"/>
              <w:left w:val="nil"/>
              <w:bottom w:val="single" w:sz="4" w:space="0" w:color="auto"/>
              <w:right w:val="nil"/>
            </w:tcBorders>
            <w:shd w:val="clear" w:color="auto" w:fill="auto"/>
            <w:noWrap/>
            <w:vAlign w:val="bottom"/>
            <w:hideMark/>
          </w:tcPr>
          <w:p w14:paraId="1FFBC392" w14:textId="36976050"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15 104</w:t>
            </w:r>
          </w:p>
        </w:tc>
        <w:tc>
          <w:tcPr>
            <w:tcW w:w="1730" w:type="dxa"/>
            <w:tcBorders>
              <w:top w:val="single" w:sz="4" w:space="0" w:color="auto"/>
              <w:left w:val="nil"/>
              <w:bottom w:val="single" w:sz="4" w:space="0" w:color="auto"/>
              <w:right w:val="nil"/>
            </w:tcBorders>
            <w:shd w:val="clear" w:color="auto" w:fill="auto"/>
            <w:noWrap/>
            <w:vAlign w:val="bottom"/>
            <w:hideMark/>
          </w:tcPr>
          <w:p w14:paraId="188A72B6" w14:textId="60605CD9"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29 271</w:t>
            </w:r>
          </w:p>
        </w:tc>
      </w:tr>
      <w:tr w:rsidR="000958F5" w:rsidRPr="000930FA" w14:paraId="3C11B6D6"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71C72104" w14:textId="0DEB8B60"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3.2.6 Teléfono, franqueos y gastos diversos</w:t>
            </w:r>
          </w:p>
        </w:tc>
        <w:tc>
          <w:tcPr>
            <w:tcW w:w="1559" w:type="dxa"/>
            <w:tcBorders>
              <w:top w:val="single" w:sz="4" w:space="0" w:color="auto"/>
              <w:left w:val="nil"/>
              <w:bottom w:val="nil"/>
              <w:right w:val="nil"/>
            </w:tcBorders>
            <w:shd w:val="clear" w:color="auto" w:fill="auto"/>
            <w:noWrap/>
            <w:vAlign w:val="bottom"/>
            <w:hideMark/>
          </w:tcPr>
          <w:p w14:paraId="7F4A88A4"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6968F4E3"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7A87854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5FF3D6C7" w14:textId="77777777" w:rsidTr="00E817FD">
        <w:trPr>
          <w:trHeight w:val="291"/>
        </w:trPr>
        <w:tc>
          <w:tcPr>
            <w:tcW w:w="5813" w:type="dxa"/>
            <w:tcBorders>
              <w:top w:val="nil"/>
              <w:left w:val="nil"/>
              <w:bottom w:val="nil"/>
              <w:right w:val="nil"/>
            </w:tcBorders>
            <w:shd w:val="clear" w:color="auto" w:fill="auto"/>
            <w:noWrap/>
            <w:vAlign w:val="center"/>
            <w:hideMark/>
          </w:tcPr>
          <w:p w14:paraId="0E9FFDE5" w14:textId="77777777"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Teléfono</w:t>
            </w:r>
          </w:p>
        </w:tc>
        <w:tc>
          <w:tcPr>
            <w:tcW w:w="1559" w:type="dxa"/>
            <w:tcBorders>
              <w:top w:val="nil"/>
              <w:left w:val="nil"/>
              <w:bottom w:val="nil"/>
              <w:right w:val="nil"/>
            </w:tcBorders>
            <w:shd w:val="clear" w:color="auto" w:fill="auto"/>
            <w:noWrap/>
            <w:vAlign w:val="bottom"/>
            <w:hideMark/>
          </w:tcPr>
          <w:p w14:paraId="2ADBFEFA" w14:textId="00A4FC4E"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8 333</w:t>
            </w:r>
          </w:p>
        </w:tc>
        <w:tc>
          <w:tcPr>
            <w:tcW w:w="992" w:type="dxa"/>
            <w:tcBorders>
              <w:top w:val="nil"/>
              <w:left w:val="nil"/>
              <w:bottom w:val="nil"/>
              <w:right w:val="nil"/>
            </w:tcBorders>
            <w:shd w:val="clear" w:color="auto" w:fill="auto"/>
            <w:noWrap/>
            <w:vAlign w:val="bottom"/>
            <w:hideMark/>
          </w:tcPr>
          <w:p w14:paraId="54D18CEB"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nil"/>
              <w:right w:val="nil"/>
            </w:tcBorders>
            <w:shd w:val="clear" w:color="auto" w:fill="auto"/>
            <w:noWrap/>
            <w:vAlign w:val="bottom"/>
            <w:hideMark/>
          </w:tcPr>
          <w:p w14:paraId="0617F3E2" w14:textId="63C3221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8 333</w:t>
            </w:r>
          </w:p>
        </w:tc>
      </w:tr>
      <w:tr w:rsidR="000958F5" w:rsidRPr="00F861D8" w14:paraId="4429E044"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28837A8B" w14:textId="58CACEC4"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 xml:space="preserve">Franqueos y gastos diversos </w:t>
            </w:r>
          </w:p>
        </w:tc>
        <w:tc>
          <w:tcPr>
            <w:tcW w:w="1559" w:type="dxa"/>
            <w:tcBorders>
              <w:top w:val="nil"/>
              <w:left w:val="nil"/>
              <w:bottom w:val="single" w:sz="4" w:space="0" w:color="auto"/>
              <w:right w:val="nil"/>
            </w:tcBorders>
            <w:shd w:val="clear" w:color="auto" w:fill="auto"/>
            <w:noWrap/>
            <w:vAlign w:val="bottom"/>
            <w:hideMark/>
          </w:tcPr>
          <w:p w14:paraId="5700EFB3" w14:textId="77777777"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833</w:t>
            </w:r>
          </w:p>
        </w:tc>
        <w:tc>
          <w:tcPr>
            <w:tcW w:w="992" w:type="dxa"/>
            <w:tcBorders>
              <w:top w:val="nil"/>
              <w:left w:val="nil"/>
              <w:bottom w:val="single" w:sz="4" w:space="0" w:color="auto"/>
              <w:right w:val="nil"/>
            </w:tcBorders>
            <w:shd w:val="clear" w:color="auto" w:fill="auto"/>
            <w:noWrap/>
            <w:vAlign w:val="bottom"/>
            <w:hideMark/>
          </w:tcPr>
          <w:p w14:paraId="59F891A0"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2FF77AAC" w14:textId="77777777"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833</w:t>
            </w:r>
          </w:p>
        </w:tc>
      </w:tr>
      <w:tr w:rsidR="000958F5" w:rsidRPr="00F861D8" w14:paraId="654E2356"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158D6AFF" w14:textId="49E899F5"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3.2.6 Teléfono, franqueos y gastos diversos</w:t>
            </w:r>
          </w:p>
        </w:tc>
        <w:tc>
          <w:tcPr>
            <w:tcW w:w="1559" w:type="dxa"/>
            <w:tcBorders>
              <w:top w:val="single" w:sz="4" w:space="0" w:color="auto"/>
              <w:left w:val="nil"/>
              <w:bottom w:val="single" w:sz="4" w:space="0" w:color="auto"/>
              <w:right w:val="nil"/>
            </w:tcBorders>
            <w:shd w:val="clear" w:color="auto" w:fill="auto"/>
            <w:noWrap/>
            <w:vAlign w:val="bottom"/>
            <w:hideMark/>
          </w:tcPr>
          <w:p w14:paraId="6D4E6764" w14:textId="408DD0D9"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9 166</w:t>
            </w:r>
          </w:p>
        </w:tc>
        <w:tc>
          <w:tcPr>
            <w:tcW w:w="992" w:type="dxa"/>
            <w:tcBorders>
              <w:top w:val="single" w:sz="4" w:space="0" w:color="auto"/>
              <w:left w:val="nil"/>
              <w:bottom w:val="single" w:sz="4" w:space="0" w:color="auto"/>
              <w:right w:val="nil"/>
            </w:tcBorders>
            <w:shd w:val="clear" w:color="auto" w:fill="auto"/>
            <w:noWrap/>
            <w:vAlign w:val="bottom"/>
            <w:hideMark/>
          </w:tcPr>
          <w:p w14:paraId="73E14E5A" w14:textId="4A75B673"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2587C99C" w14:textId="4559325E"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9 166</w:t>
            </w:r>
          </w:p>
        </w:tc>
      </w:tr>
      <w:tr w:rsidR="000958F5" w:rsidRPr="00F861D8" w14:paraId="38BB28C2" w14:textId="77777777" w:rsidTr="00E817FD">
        <w:trPr>
          <w:trHeight w:val="291"/>
        </w:trPr>
        <w:tc>
          <w:tcPr>
            <w:tcW w:w="5813" w:type="dxa"/>
            <w:tcBorders>
              <w:top w:val="single" w:sz="4" w:space="0" w:color="auto"/>
              <w:left w:val="nil"/>
              <w:bottom w:val="nil"/>
              <w:right w:val="nil"/>
            </w:tcBorders>
            <w:shd w:val="clear" w:color="auto" w:fill="auto"/>
            <w:noWrap/>
            <w:vAlign w:val="center"/>
            <w:hideMark/>
          </w:tcPr>
          <w:p w14:paraId="01AE86E4" w14:textId="43CB0C70"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3.2.7 Atenciones sociales</w:t>
            </w:r>
            <w:r w:rsidRPr="00F861D8">
              <w:rPr>
                <w:rFonts w:ascii="Times New Roman" w:hAnsi="Times New Roman"/>
                <w:sz w:val="18"/>
                <w:szCs w:val="18"/>
                <w:lang w:val="es-ES_tradnl"/>
              </w:rPr>
              <w:t xml:space="preserve"> </w:t>
            </w:r>
          </w:p>
        </w:tc>
        <w:tc>
          <w:tcPr>
            <w:tcW w:w="1559" w:type="dxa"/>
            <w:tcBorders>
              <w:top w:val="single" w:sz="4" w:space="0" w:color="auto"/>
              <w:left w:val="nil"/>
              <w:bottom w:val="nil"/>
              <w:right w:val="nil"/>
            </w:tcBorders>
            <w:shd w:val="clear" w:color="auto" w:fill="auto"/>
            <w:noWrap/>
            <w:vAlign w:val="bottom"/>
            <w:hideMark/>
          </w:tcPr>
          <w:p w14:paraId="1F799AD8"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s-ES_tradnl"/>
              </w:rPr>
            </w:pPr>
          </w:p>
        </w:tc>
        <w:tc>
          <w:tcPr>
            <w:tcW w:w="992" w:type="dxa"/>
            <w:tcBorders>
              <w:top w:val="single" w:sz="4" w:space="0" w:color="auto"/>
              <w:left w:val="nil"/>
              <w:bottom w:val="nil"/>
              <w:right w:val="nil"/>
            </w:tcBorders>
            <w:shd w:val="clear" w:color="auto" w:fill="auto"/>
            <w:noWrap/>
            <w:vAlign w:val="bottom"/>
            <w:hideMark/>
          </w:tcPr>
          <w:p w14:paraId="173604EC"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c>
          <w:tcPr>
            <w:tcW w:w="1730" w:type="dxa"/>
            <w:tcBorders>
              <w:top w:val="single" w:sz="4" w:space="0" w:color="auto"/>
              <w:left w:val="nil"/>
              <w:bottom w:val="nil"/>
              <w:right w:val="nil"/>
            </w:tcBorders>
            <w:shd w:val="clear" w:color="auto" w:fill="auto"/>
            <w:noWrap/>
            <w:vAlign w:val="bottom"/>
            <w:hideMark/>
          </w:tcPr>
          <w:p w14:paraId="0E67A1E9"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s-ES_tradnl"/>
              </w:rPr>
            </w:pPr>
          </w:p>
        </w:tc>
      </w:tr>
      <w:tr w:rsidR="000958F5" w:rsidRPr="00F861D8" w14:paraId="7F8ACF90" w14:textId="77777777" w:rsidTr="00E817FD">
        <w:trPr>
          <w:trHeight w:val="291"/>
        </w:trPr>
        <w:tc>
          <w:tcPr>
            <w:tcW w:w="5813" w:type="dxa"/>
            <w:tcBorders>
              <w:top w:val="nil"/>
              <w:left w:val="nil"/>
              <w:bottom w:val="single" w:sz="4" w:space="0" w:color="auto"/>
              <w:right w:val="nil"/>
            </w:tcBorders>
            <w:shd w:val="clear" w:color="auto" w:fill="auto"/>
            <w:noWrap/>
            <w:vAlign w:val="center"/>
            <w:hideMark/>
          </w:tcPr>
          <w:p w14:paraId="7F176E65" w14:textId="6E6AB30B"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 xml:space="preserve">Atenciones sociales </w:t>
            </w:r>
          </w:p>
        </w:tc>
        <w:tc>
          <w:tcPr>
            <w:tcW w:w="1559" w:type="dxa"/>
            <w:tcBorders>
              <w:top w:val="nil"/>
              <w:left w:val="nil"/>
              <w:bottom w:val="single" w:sz="4" w:space="0" w:color="auto"/>
              <w:right w:val="nil"/>
            </w:tcBorders>
            <w:shd w:val="clear" w:color="auto" w:fill="auto"/>
            <w:noWrap/>
            <w:vAlign w:val="bottom"/>
            <w:hideMark/>
          </w:tcPr>
          <w:p w14:paraId="40F30351" w14:textId="2012599F"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2 083</w:t>
            </w:r>
          </w:p>
        </w:tc>
        <w:tc>
          <w:tcPr>
            <w:tcW w:w="992" w:type="dxa"/>
            <w:tcBorders>
              <w:top w:val="nil"/>
              <w:left w:val="nil"/>
              <w:bottom w:val="single" w:sz="4" w:space="0" w:color="auto"/>
              <w:right w:val="nil"/>
            </w:tcBorders>
            <w:shd w:val="clear" w:color="auto" w:fill="auto"/>
            <w:noWrap/>
            <w:vAlign w:val="bottom"/>
            <w:hideMark/>
          </w:tcPr>
          <w:p w14:paraId="45D3002F" w14:textId="77777777" w:rsidR="000958F5" w:rsidRPr="00F861D8" w:rsidRDefault="000958F5" w:rsidP="000D3AC4">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s-ES_tradnl"/>
              </w:rPr>
            </w:pPr>
          </w:p>
        </w:tc>
        <w:tc>
          <w:tcPr>
            <w:tcW w:w="1730" w:type="dxa"/>
            <w:tcBorders>
              <w:top w:val="nil"/>
              <w:left w:val="nil"/>
              <w:bottom w:val="single" w:sz="4" w:space="0" w:color="auto"/>
              <w:right w:val="nil"/>
            </w:tcBorders>
            <w:shd w:val="clear" w:color="auto" w:fill="auto"/>
            <w:noWrap/>
            <w:vAlign w:val="bottom"/>
            <w:hideMark/>
          </w:tcPr>
          <w:p w14:paraId="4ABAE909" w14:textId="08E5CF45"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2 083</w:t>
            </w:r>
          </w:p>
        </w:tc>
      </w:tr>
      <w:tr w:rsidR="000958F5" w:rsidRPr="00F861D8" w14:paraId="2918CB98"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0B49CA97" w14:textId="188B262D"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3.2.7 Atenciones sociales</w:t>
            </w:r>
          </w:p>
        </w:tc>
        <w:tc>
          <w:tcPr>
            <w:tcW w:w="1559" w:type="dxa"/>
            <w:tcBorders>
              <w:top w:val="single" w:sz="4" w:space="0" w:color="auto"/>
              <w:left w:val="nil"/>
              <w:bottom w:val="single" w:sz="4" w:space="0" w:color="auto"/>
              <w:right w:val="nil"/>
            </w:tcBorders>
            <w:shd w:val="clear" w:color="auto" w:fill="auto"/>
            <w:noWrap/>
            <w:vAlign w:val="bottom"/>
            <w:hideMark/>
          </w:tcPr>
          <w:p w14:paraId="28EDBF53" w14:textId="306DBB03"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2 083</w:t>
            </w:r>
          </w:p>
        </w:tc>
        <w:tc>
          <w:tcPr>
            <w:tcW w:w="992" w:type="dxa"/>
            <w:tcBorders>
              <w:top w:val="single" w:sz="4" w:space="0" w:color="auto"/>
              <w:left w:val="nil"/>
              <w:bottom w:val="single" w:sz="4" w:space="0" w:color="auto"/>
              <w:right w:val="nil"/>
            </w:tcBorders>
            <w:shd w:val="clear" w:color="auto" w:fill="auto"/>
            <w:noWrap/>
            <w:vAlign w:val="bottom"/>
            <w:hideMark/>
          </w:tcPr>
          <w:p w14:paraId="43D19D08" w14:textId="20E5386A"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auto" w:fill="auto"/>
            <w:noWrap/>
            <w:vAlign w:val="bottom"/>
            <w:hideMark/>
          </w:tcPr>
          <w:p w14:paraId="5B82197E" w14:textId="755338D7"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2 083</w:t>
            </w:r>
          </w:p>
        </w:tc>
      </w:tr>
      <w:tr w:rsidR="000958F5" w:rsidRPr="00F861D8" w14:paraId="577ADF9F"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3747515F" w14:textId="7798FDA5"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3.2 Gastos de funcionamiento (no relacionados con el personal)</w:t>
            </w:r>
          </w:p>
        </w:tc>
        <w:tc>
          <w:tcPr>
            <w:tcW w:w="1559" w:type="dxa"/>
            <w:tcBorders>
              <w:top w:val="single" w:sz="4" w:space="0" w:color="auto"/>
              <w:left w:val="nil"/>
              <w:bottom w:val="single" w:sz="4" w:space="0" w:color="auto"/>
              <w:right w:val="nil"/>
            </w:tcBorders>
            <w:shd w:val="clear" w:color="auto" w:fill="auto"/>
            <w:noWrap/>
            <w:vAlign w:val="bottom"/>
            <w:hideMark/>
          </w:tcPr>
          <w:p w14:paraId="46098A78" w14:textId="2D2E17D9"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116 041</w:t>
            </w:r>
          </w:p>
        </w:tc>
        <w:tc>
          <w:tcPr>
            <w:tcW w:w="992" w:type="dxa"/>
            <w:tcBorders>
              <w:top w:val="single" w:sz="4" w:space="0" w:color="auto"/>
              <w:left w:val="nil"/>
              <w:bottom w:val="single" w:sz="4" w:space="0" w:color="auto"/>
              <w:right w:val="nil"/>
            </w:tcBorders>
            <w:shd w:val="clear" w:color="auto" w:fill="auto"/>
            <w:noWrap/>
            <w:vAlign w:val="bottom"/>
            <w:hideMark/>
          </w:tcPr>
          <w:p w14:paraId="7711F914" w14:textId="5B2EE1CA"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15 104</w:t>
            </w:r>
          </w:p>
        </w:tc>
        <w:tc>
          <w:tcPr>
            <w:tcW w:w="1730" w:type="dxa"/>
            <w:tcBorders>
              <w:top w:val="single" w:sz="4" w:space="0" w:color="auto"/>
              <w:left w:val="nil"/>
              <w:bottom w:val="single" w:sz="4" w:space="0" w:color="auto"/>
              <w:right w:val="nil"/>
            </w:tcBorders>
            <w:shd w:val="clear" w:color="auto" w:fill="auto"/>
            <w:noWrap/>
            <w:vAlign w:val="bottom"/>
            <w:hideMark/>
          </w:tcPr>
          <w:p w14:paraId="078D6C28" w14:textId="7758B96E"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131 145</w:t>
            </w:r>
          </w:p>
        </w:tc>
      </w:tr>
      <w:tr w:rsidR="000958F5" w:rsidRPr="00F861D8" w14:paraId="53EC9D16"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07AFC8F0" w14:textId="584E5263" w:rsidR="000958F5" w:rsidRPr="00F861D8" w:rsidRDefault="000958F5" w:rsidP="000D3AC4">
            <w:pPr>
              <w:spacing w:after="0" w:line="240" w:lineRule="auto"/>
              <w:rPr>
                <w:rFonts w:ascii="Times New Roman" w:eastAsia="Times New Roman" w:hAnsi="Times New Roman"/>
                <w:b/>
                <w:bCs/>
                <w:color w:val="000000"/>
                <w:sz w:val="18"/>
                <w:szCs w:val="18"/>
                <w:lang w:val="es-ES_tradnl"/>
              </w:rPr>
            </w:pPr>
            <w:r w:rsidRPr="00F861D8">
              <w:rPr>
                <w:rFonts w:ascii="Times New Roman" w:hAnsi="Times New Roman"/>
                <w:b/>
                <w:bCs/>
                <w:sz w:val="18"/>
                <w:szCs w:val="18"/>
                <w:lang w:val="es-ES_tradnl"/>
              </w:rPr>
              <w:t>Total parcial 3 Secretaría (gastos de personal y funcionamiento)</w:t>
            </w:r>
          </w:p>
        </w:tc>
        <w:tc>
          <w:tcPr>
            <w:tcW w:w="1559" w:type="dxa"/>
            <w:tcBorders>
              <w:top w:val="single" w:sz="4" w:space="0" w:color="auto"/>
              <w:left w:val="nil"/>
              <w:bottom w:val="single" w:sz="4" w:space="0" w:color="auto"/>
              <w:right w:val="nil"/>
            </w:tcBorders>
            <w:shd w:val="clear" w:color="auto" w:fill="auto"/>
            <w:noWrap/>
            <w:vAlign w:val="bottom"/>
            <w:hideMark/>
          </w:tcPr>
          <w:p w14:paraId="7DBC6012" w14:textId="6D37529F" w:rsidR="000958F5" w:rsidRPr="00F861D8" w:rsidRDefault="000958F5" w:rsidP="000D3AC4">
            <w:pPr>
              <w:spacing w:after="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909 500</w:t>
            </w:r>
          </w:p>
        </w:tc>
        <w:tc>
          <w:tcPr>
            <w:tcW w:w="992" w:type="dxa"/>
            <w:tcBorders>
              <w:top w:val="single" w:sz="4" w:space="0" w:color="auto"/>
              <w:left w:val="nil"/>
              <w:bottom w:val="single" w:sz="4" w:space="0" w:color="auto"/>
              <w:right w:val="nil"/>
            </w:tcBorders>
            <w:shd w:val="clear" w:color="auto" w:fill="auto"/>
            <w:noWrap/>
            <w:vAlign w:val="bottom"/>
            <w:hideMark/>
          </w:tcPr>
          <w:p w14:paraId="3EBE9E48" w14:textId="3131E8B1" w:rsidR="000958F5" w:rsidRPr="00F861D8" w:rsidRDefault="000958F5" w:rsidP="000D3AC4">
            <w:pPr>
              <w:spacing w:after="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39 854</w:t>
            </w:r>
          </w:p>
        </w:tc>
        <w:tc>
          <w:tcPr>
            <w:tcW w:w="1730" w:type="dxa"/>
            <w:tcBorders>
              <w:top w:val="single" w:sz="4" w:space="0" w:color="auto"/>
              <w:left w:val="nil"/>
              <w:bottom w:val="single" w:sz="4" w:space="0" w:color="auto"/>
              <w:right w:val="nil"/>
            </w:tcBorders>
            <w:shd w:val="clear" w:color="auto" w:fill="auto"/>
            <w:noWrap/>
            <w:vAlign w:val="bottom"/>
            <w:hideMark/>
          </w:tcPr>
          <w:p w14:paraId="31CB00DB" w14:textId="61C3B6FD" w:rsidR="000958F5" w:rsidRPr="00F861D8" w:rsidRDefault="000958F5" w:rsidP="000D3AC4">
            <w:pPr>
              <w:spacing w:after="0" w:line="240" w:lineRule="auto"/>
              <w:jc w:val="right"/>
              <w:rPr>
                <w:rFonts w:ascii="Times New Roman" w:eastAsia="Times New Roman" w:hAnsi="Times New Roman"/>
                <w:b/>
                <w:bCs/>
                <w:color w:val="000000"/>
                <w:sz w:val="18"/>
                <w:szCs w:val="18"/>
                <w:lang w:val="es-ES_tradnl"/>
              </w:rPr>
            </w:pPr>
            <w:r w:rsidRPr="00F861D8">
              <w:rPr>
                <w:rFonts w:ascii="Times New Roman" w:hAnsi="Times New Roman"/>
                <w:b/>
                <w:sz w:val="18"/>
                <w:szCs w:val="18"/>
                <w:lang w:val="es-ES_tradnl"/>
              </w:rPr>
              <w:t>949 354</w:t>
            </w:r>
          </w:p>
        </w:tc>
      </w:tr>
      <w:tr w:rsidR="000958F5" w:rsidRPr="00F861D8" w14:paraId="3E5D9F4E"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3753326E" w14:textId="12B37079"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parcial 1+2+3</w:t>
            </w:r>
          </w:p>
        </w:tc>
        <w:tc>
          <w:tcPr>
            <w:tcW w:w="1559" w:type="dxa"/>
            <w:tcBorders>
              <w:top w:val="single" w:sz="4" w:space="0" w:color="auto"/>
              <w:left w:val="nil"/>
              <w:bottom w:val="single" w:sz="4" w:space="0" w:color="auto"/>
              <w:right w:val="nil"/>
            </w:tcBorders>
            <w:shd w:val="clear" w:color="auto" w:fill="auto"/>
            <w:noWrap/>
            <w:vAlign w:val="bottom"/>
            <w:hideMark/>
          </w:tcPr>
          <w:p w14:paraId="0DC26CD9" w14:textId="5CA59BBE"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3 477 417</w:t>
            </w:r>
          </w:p>
        </w:tc>
        <w:tc>
          <w:tcPr>
            <w:tcW w:w="992" w:type="dxa"/>
            <w:tcBorders>
              <w:top w:val="single" w:sz="4" w:space="0" w:color="auto"/>
              <w:left w:val="nil"/>
              <w:bottom w:val="single" w:sz="4" w:space="0" w:color="auto"/>
              <w:right w:val="nil"/>
            </w:tcBorders>
            <w:shd w:val="clear" w:color="auto" w:fill="auto"/>
            <w:noWrap/>
            <w:vAlign w:val="bottom"/>
            <w:hideMark/>
          </w:tcPr>
          <w:p w14:paraId="76D66DDC" w14:textId="462DBAC7"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-760 146</w:t>
            </w:r>
          </w:p>
        </w:tc>
        <w:tc>
          <w:tcPr>
            <w:tcW w:w="1730" w:type="dxa"/>
            <w:tcBorders>
              <w:top w:val="single" w:sz="4" w:space="0" w:color="auto"/>
              <w:left w:val="nil"/>
              <w:bottom w:val="single" w:sz="4" w:space="0" w:color="auto"/>
              <w:right w:val="nil"/>
            </w:tcBorders>
            <w:shd w:val="clear" w:color="auto" w:fill="auto"/>
            <w:noWrap/>
            <w:vAlign w:val="bottom"/>
            <w:hideMark/>
          </w:tcPr>
          <w:p w14:paraId="1B41977F" w14:textId="26C78261"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2 717 271</w:t>
            </w:r>
          </w:p>
        </w:tc>
      </w:tr>
      <w:tr w:rsidR="000958F5" w:rsidRPr="00F861D8" w14:paraId="5EA8017F" w14:textId="77777777" w:rsidTr="00E817FD">
        <w:trPr>
          <w:trHeight w:val="291"/>
        </w:trPr>
        <w:tc>
          <w:tcPr>
            <w:tcW w:w="5813" w:type="dxa"/>
            <w:tcBorders>
              <w:top w:val="single" w:sz="4" w:space="0" w:color="auto"/>
              <w:left w:val="nil"/>
              <w:bottom w:val="single" w:sz="4" w:space="0" w:color="auto"/>
              <w:right w:val="nil"/>
            </w:tcBorders>
            <w:shd w:val="clear" w:color="auto" w:fill="auto"/>
            <w:noWrap/>
            <w:vAlign w:val="center"/>
            <w:hideMark/>
          </w:tcPr>
          <w:p w14:paraId="28B547B5" w14:textId="38530AA0"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Gastos de apoyo a los programas (8%)</w:t>
            </w:r>
          </w:p>
        </w:tc>
        <w:tc>
          <w:tcPr>
            <w:tcW w:w="1559" w:type="dxa"/>
            <w:tcBorders>
              <w:top w:val="single" w:sz="4" w:space="0" w:color="auto"/>
              <w:left w:val="nil"/>
              <w:bottom w:val="single" w:sz="4" w:space="0" w:color="auto"/>
              <w:right w:val="nil"/>
            </w:tcBorders>
            <w:shd w:val="clear" w:color="auto" w:fill="auto"/>
            <w:noWrap/>
            <w:vAlign w:val="bottom"/>
            <w:hideMark/>
          </w:tcPr>
          <w:p w14:paraId="4D8CB276" w14:textId="6BC15EAD"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278 193</w:t>
            </w:r>
          </w:p>
        </w:tc>
        <w:tc>
          <w:tcPr>
            <w:tcW w:w="992" w:type="dxa"/>
            <w:tcBorders>
              <w:top w:val="single" w:sz="4" w:space="0" w:color="auto"/>
              <w:left w:val="nil"/>
              <w:bottom w:val="single" w:sz="4" w:space="0" w:color="auto"/>
              <w:right w:val="nil"/>
            </w:tcBorders>
            <w:shd w:val="clear" w:color="auto" w:fill="auto"/>
            <w:noWrap/>
            <w:vAlign w:val="bottom"/>
            <w:hideMark/>
          </w:tcPr>
          <w:p w14:paraId="29A72C30" w14:textId="3DD07486"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-60 812</w:t>
            </w:r>
          </w:p>
        </w:tc>
        <w:tc>
          <w:tcPr>
            <w:tcW w:w="1730" w:type="dxa"/>
            <w:tcBorders>
              <w:top w:val="single" w:sz="4" w:space="0" w:color="auto"/>
              <w:left w:val="nil"/>
              <w:bottom w:val="single" w:sz="4" w:space="0" w:color="auto"/>
              <w:right w:val="nil"/>
            </w:tcBorders>
            <w:shd w:val="clear" w:color="auto" w:fill="auto"/>
            <w:noWrap/>
            <w:vAlign w:val="bottom"/>
            <w:hideMark/>
          </w:tcPr>
          <w:p w14:paraId="0D5706AE" w14:textId="51F41E6C" w:rsidR="000958F5" w:rsidRPr="00F861D8" w:rsidRDefault="000958F5" w:rsidP="000D3AC4">
            <w:pPr>
              <w:spacing w:after="0" w:line="240" w:lineRule="auto"/>
              <w:jc w:val="right"/>
              <w:rPr>
                <w:rFonts w:ascii="Times New Roman" w:hAnsi="Times New Roman"/>
                <w:color w:val="000000"/>
                <w:sz w:val="18"/>
                <w:szCs w:val="18"/>
                <w:lang w:val="es-ES_tradnl"/>
              </w:rPr>
            </w:pPr>
            <w:r w:rsidRPr="00F861D8">
              <w:rPr>
                <w:rFonts w:ascii="Times New Roman" w:hAnsi="Times New Roman"/>
                <w:sz w:val="18"/>
                <w:szCs w:val="18"/>
                <w:lang w:val="es-ES_tradnl"/>
              </w:rPr>
              <w:t>217 382</w:t>
            </w:r>
          </w:p>
        </w:tc>
      </w:tr>
      <w:tr w:rsidR="000958F5" w:rsidRPr="00F861D8" w14:paraId="32796CF2" w14:textId="77777777" w:rsidTr="00E817FD">
        <w:trPr>
          <w:trHeight w:val="291"/>
        </w:trPr>
        <w:tc>
          <w:tcPr>
            <w:tcW w:w="5813" w:type="dxa"/>
            <w:tcBorders>
              <w:top w:val="single" w:sz="4" w:space="0" w:color="auto"/>
              <w:left w:val="nil"/>
              <w:bottom w:val="single" w:sz="4" w:space="0" w:color="auto"/>
              <w:right w:val="nil"/>
            </w:tcBorders>
            <w:shd w:val="clear" w:color="000000" w:fill="FFFFFF"/>
            <w:noWrap/>
            <w:vAlign w:val="center"/>
            <w:hideMark/>
          </w:tcPr>
          <w:p w14:paraId="6E4E5F7E" w14:textId="7DB69661"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sz w:val="18"/>
                <w:szCs w:val="18"/>
                <w:lang w:val="es-ES_tradnl"/>
              </w:rPr>
              <w:t>Costo total para el fondo fiduciario</w:t>
            </w:r>
          </w:p>
        </w:tc>
        <w:tc>
          <w:tcPr>
            <w:tcW w:w="1559" w:type="dxa"/>
            <w:tcBorders>
              <w:top w:val="single" w:sz="4" w:space="0" w:color="auto"/>
              <w:left w:val="nil"/>
              <w:bottom w:val="single" w:sz="4" w:space="0" w:color="auto"/>
              <w:right w:val="nil"/>
            </w:tcBorders>
            <w:shd w:val="clear" w:color="000000" w:fill="FFFFFF"/>
            <w:noWrap/>
            <w:vAlign w:val="bottom"/>
            <w:hideMark/>
          </w:tcPr>
          <w:p w14:paraId="4FB2565D" w14:textId="3692E21C"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3 755 610</w:t>
            </w:r>
          </w:p>
        </w:tc>
        <w:tc>
          <w:tcPr>
            <w:tcW w:w="992" w:type="dxa"/>
            <w:tcBorders>
              <w:top w:val="single" w:sz="4" w:space="0" w:color="auto"/>
              <w:left w:val="nil"/>
              <w:bottom w:val="single" w:sz="4" w:space="0" w:color="auto"/>
              <w:right w:val="nil"/>
            </w:tcBorders>
            <w:shd w:val="clear" w:color="000000" w:fill="FFFFFF"/>
            <w:noWrap/>
            <w:vAlign w:val="bottom"/>
            <w:hideMark/>
          </w:tcPr>
          <w:p w14:paraId="07A815B7" w14:textId="5E4888E0"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-820 958</w:t>
            </w:r>
          </w:p>
        </w:tc>
        <w:tc>
          <w:tcPr>
            <w:tcW w:w="1730" w:type="dxa"/>
            <w:tcBorders>
              <w:top w:val="single" w:sz="4" w:space="0" w:color="auto"/>
              <w:left w:val="nil"/>
              <w:bottom w:val="single" w:sz="4" w:space="0" w:color="auto"/>
              <w:right w:val="nil"/>
            </w:tcBorders>
            <w:shd w:val="clear" w:color="000000" w:fill="FFFFFF"/>
            <w:noWrap/>
            <w:vAlign w:val="bottom"/>
            <w:hideMark/>
          </w:tcPr>
          <w:p w14:paraId="5655BE7C" w14:textId="17A9A8C9"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2 934 653</w:t>
            </w:r>
          </w:p>
        </w:tc>
      </w:tr>
      <w:tr w:rsidR="000958F5" w:rsidRPr="000930FA" w14:paraId="52DC94F7" w14:textId="77777777" w:rsidTr="00E817FD">
        <w:trPr>
          <w:trHeight w:val="291"/>
        </w:trPr>
        <w:tc>
          <w:tcPr>
            <w:tcW w:w="5813" w:type="dxa"/>
            <w:tcBorders>
              <w:top w:val="single" w:sz="4" w:space="0" w:color="auto"/>
              <w:left w:val="nil"/>
              <w:bottom w:val="single" w:sz="4" w:space="0" w:color="auto"/>
              <w:right w:val="nil"/>
            </w:tcBorders>
            <w:shd w:val="clear" w:color="000000" w:fill="FFFFFF"/>
            <w:noWrap/>
            <w:vAlign w:val="center"/>
            <w:hideMark/>
          </w:tcPr>
          <w:p w14:paraId="775547D8" w14:textId="274A4DA3" w:rsidR="000958F5" w:rsidRPr="00F861D8" w:rsidRDefault="000958F5" w:rsidP="006863A3">
            <w:pPr>
              <w:spacing w:after="0" w:line="240" w:lineRule="auto"/>
              <w:rPr>
                <w:rFonts w:ascii="Times New Roman" w:hAnsi="Times New Roman"/>
                <w:color w:val="000000"/>
                <w:sz w:val="18"/>
                <w:szCs w:val="18"/>
                <w:lang w:val="es-ES_tradnl"/>
              </w:rPr>
            </w:pPr>
            <w:r w:rsidRPr="00F861D8">
              <w:rPr>
                <w:rFonts w:ascii="Times New Roman" w:hAnsi="Times New Roman"/>
                <w:sz w:val="18"/>
                <w:szCs w:val="18"/>
                <w:lang w:val="es-ES_tradnl"/>
              </w:rPr>
              <w:t>Contribución a la reserva de capital circulante (10%)</w:t>
            </w:r>
          </w:p>
        </w:tc>
        <w:tc>
          <w:tcPr>
            <w:tcW w:w="1559" w:type="dxa"/>
            <w:tcBorders>
              <w:top w:val="single" w:sz="4" w:space="0" w:color="auto"/>
              <w:left w:val="nil"/>
              <w:bottom w:val="single" w:sz="4" w:space="0" w:color="auto"/>
              <w:right w:val="nil"/>
            </w:tcBorders>
            <w:shd w:val="clear" w:color="000000" w:fill="FFFFFF"/>
            <w:noWrap/>
            <w:vAlign w:val="bottom"/>
            <w:hideMark/>
          </w:tcPr>
          <w:p w14:paraId="1DB211B2" w14:textId="0A019E7E"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992" w:type="dxa"/>
            <w:tcBorders>
              <w:top w:val="single" w:sz="4" w:space="0" w:color="auto"/>
              <w:left w:val="nil"/>
              <w:bottom w:val="single" w:sz="4" w:space="0" w:color="auto"/>
              <w:right w:val="nil"/>
            </w:tcBorders>
            <w:shd w:val="clear" w:color="000000" w:fill="FFFFFF"/>
            <w:noWrap/>
            <w:vAlign w:val="bottom"/>
            <w:hideMark/>
          </w:tcPr>
          <w:p w14:paraId="535DA69D" w14:textId="7B29F0D5"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4" w:space="0" w:color="auto"/>
              <w:right w:val="nil"/>
            </w:tcBorders>
            <w:shd w:val="clear" w:color="000000" w:fill="FFFFFF"/>
            <w:noWrap/>
            <w:vAlign w:val="bottom"/>
            <w:hideMark/>
          </w:tcPr>
          <w:p w14:paraId="4ACDC3C7" w14:textId="5CCD9365" w:rsidR="000958F5" w:rsidRPr="00F861D8" w:rsidRDefault="000958F5" w:rsidP="000D3AC4">
            <w:pPr>
              <w:spacing w:after="0" w:line="240" w:lineRule="auto"/>
              <w:jc w:val="right"/>
              <w:rPr>
                <w:rFonts w:ascii="Times New Roman" w:hAnsi="Times New Roman"/>
                <w:b/>
                <w:color w:val="000000"/>
                <w:sz w:val="18"/>
                <w:szCs w:val="18"/>
                <w:lang w:val="es-ES_tradnl"/>
              </w:rPr>
            </w:pPr>
          </w:p>
        </w:tc>
      </w:tr>
      <w:tr w:rsidR="000958F5" w:rsidRPr="00F861D8" w14:paraId="0442F142" w14:textId="77777777" w:rsidTr="00E817FD">
        <w:trPr>
          <w:trHeight w:val="291"/>
        </w:trPr>
        <w:tc>
          <w:tcPr>
            <w:tcW w:w="5813" w:type="dxa"/>
            <w:tcBorders>
              <w:top w:val="single" w:sz="4" w:space="0" w:color="auto"/>
              <w:left w:val="nil"/>
              <w:bottom w:val="single" w:sz="12" w:space="0" w:color="auto"/>
              <w:right w:val="nil"/>
            </w:tcBorders>
            <w:shd w:val="clear" w:color="000000" w:fill="FFFFFF"/>
            <w:noWrap/>
            <w:vAlign w:val="center"/>
            <w:hideMark/>
          </w:tcPr>
          <w:p w14:paraId="734BA23E" w14:textId="0955D79F" w:rsidR="000958F5" w:rsidRPr="00F861D8" w:rsidRDefault="000958F5" w:rsidP="006863A3">
            <w:pPr>
              <w:spacing w:after="0" w:line="240" w:lineRule="auto"/>
              <w:rPr>
                <w:rFonts w:ascii="Times New Roman" w:hAnsi="Times New Roman"/>
                <w:b/>
                <w:color w:val="000000"/>
                <w:sz w:val="18"/>
                <w:szCs w:val="18"/>
                <w:lang w:val="es-ES_tradnl"/>
              </w:rPr>
            </w:pPr>
            <w:r w:rsidRPr="00F861D8">
              <w:rPr>
                <w:rFonts w:ascii="Times New Roman" w:hAnsi="Times New Roman"/>
                <w:b/>
                <w:bCs/>
                <w:sz w:val="18"/>
                <w:szCs w:val="18"/>
                <w:lang w:val="es-ES_tradnl"/>
              </w:rPr>
              <w:t>Total de efectivo que se necesita</w:t>
            </w:r>
          </w:p>
        </w:tc>
        <w:tc>
          <w:tcPr>
            <w:tcW w:w="1559" w:type="dxa"/>
            <w:tcBorders>
              <w:top w:val="single" w:sz="4" w:space="0" w:color="auto"/>
              <w:left w:val="nil"/>
              <w:bottom w:val="single" w:sz="12" w:space="0" w:color="auto"/>
              <w:right w:val="nil"/>
            </w:tcBorders>
            <w:shd w:val="clear" w:color="000000" w:fill="FFFFFF"/>
            <w:noWrap/>
            <w:vAlign w:val="bottom"/>
            <w:hideMark/>
          </w:tcPr>
          <w:p w14:paraId="379C0E8C" w14:textId="5D55912B"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3 755 610</w:t>
            </w:r>
          </w:p>
        </w:tc>
        <w:tc>
          <w:tcPr>
            <w:tcW w:w="992" w:type="dxa"/>
            <w:tcBorders>
              <w:top w:val="single" w:sz="4" w:space="0" w:color="auto"/>
              <w:left w:val="nil"/>
              <w:bottom w:val="single" w:sz="12" w:space="0" w:color="auto"/>
              <w:right w:val="nil"/>
            </w:tcBorders>
            <w:shd w:val="clear" w:color="000000" w:fill="FFFFFF"/>
            <w:noWrap/>
            <w:vAlign w:val="bottom"/>
            <w:hideMark/>
          </w:tcPr>
          <w:p w14:paraId="78E6EB98" w14:textId="130909E7" w:rsidR="000958F5" w:rsidRPr="00F861D8" w:rsidRDefault="000958F5" w:rsidP="000D3AC4">
            <w:pPr>
              <w:spacing w:after="0" w:line="240" w:lineRule="auto"/>
              <w:jc w:val="right"/>
              <w:rPr>
                <w:rFonts w:ascii="Times New Roman" w:hAnsi="Times New Roman"/>
                <w:b/>
                <w:color w:val="000000"/>
                <w:sz w:val="18"/>
                <w:szCs w:val="18"/>
                <w:lang w:val="es-ES_tradnl"/>
              </w:rPr>
            </w:pPr>
          </w:p>
        </w:tc>
        <w:tc>
          <w:tcPr>
            <w:tcW w:w="1730" w:type="dxa"/>
            <w:tcBorders>
              <w:top w:val="single" w:sz="4" w:space="0" w:color="auto"/>
              <w:left w:val="nil"/>
              <w:bottom w:val="single" w:sz="12" w:space="0" w:color="auto"/>
              <w:right w:val="nil"/>
            </w:tcBorders>
            <w:shd w:val="clear" w:color="000000" w:fill="FFFFFF"/>
            <w:noWrap/>
            <w:vAlign w:val="bottom"/>
            <w:hideMark/>
          </w:tcPr>
          <w:p w14:paraId="4DE92526" w14:textId="4FC853B6" w:rsidR="000958F5" w:rsidRPr="00F861D8" w:rsidRDefault="000958F5" w:rsidP="000D3AC4">
            <w:pPr>
              <w:spacing w:after="0" w:line="240" w:lineRule="auto"/>
              <w:jc w:val="right"/>
              <w:rPr>
                <w:rFonts w:ascii="Times New Roman" w:hAnsi="Times New Roman"/>
                <w:b/>
                <w:color w:val="000000"/>
                <w:sz w:val="18"/>
                <w:szCs w:val="18"/>
                <w:lang w:val="es-ES_tradnl"/>
              </w:rPr>
            </w:pPr>
            <w:r w:rsidRPr="00F861D8">
              <w:rPr>
                <w:rFonts w:ascii="Times New Roman" w:hAnsi="Times New Roman"/>
                <w:b/>
                <w:sz w:val="18"/>
                <w:szCs w:val="18"/>
                <w:lang w:val="es-ES_tradnl"/>
              </w:rPr>
              <w:t>2 934 653</w:t>
            </w:r>
          </w:p>
        </w:tc>
      </w:tr>
    </w:tbl>
    <w:p w14:paraId="172E2B46" w14:textId="68E06CCE" w:rsidR="000958F5" w:rsidRPr="00703A97" w:rsidRDefault="000958F5" w:rsidP="00ED5068">
      <w:pPr>
        <w:pStyle w:val="Titletable"/>
        <w:keepNext w:val="0"/>
        <w:keepLines w:val="0"/>
        <w:spacing w:before="40" w:after="0"/>
        <w:ind w:left="0"/>
        <w:rPr>
          <w:rFonts w:eastAsia="Calibri"/>
          <w:b w:val="0"/>
          <w:bCs w:val="0"/>
          <w:sz w:val="18"/>
          <w:szCs w:val="18"/>
          <w:lang w:val="es-ES_tradnl"/>
        </w:rPr>
      </w:pPr>
      <w:r w:rsidRPr="00703A97">
        <w:rPr>
          <w:b w:val="0"/>
          <w:sz w:val="18"/>
          <w:szCs w:val="18"/>
          <w:lang w:val="es-ES_tradnl"/>
        </w:rPr>
        <w:t>a Un P</w:t>
      </w:r>
      <w:r w:rsidR="00356A65">
        <w:rPr>
          <w:b w:val="0"/>
          <w:sz w:val="18"/>
          <w:szCs w:val="18"/>
          <w:lang w:val="es-ES_tradnl"/>
        </w:rPr>
        <w:noBreakHyphen/>
      </w:r>
      <w:r w:rsidRPr="00703A97">
        <w:rPr>
          <w:b w:val="0"/>
          <w:sz w:val="18"/>
          <w:szCs w:val="18"/>
          <w:lang w:val="es-ES_tradnl"/>
        </w:rPr>
        <w:t>4 adscripto del PNUMA.</w:t>
      </w:r>
    </w:p>
    <w:p w14:paraId="613EDC0B" w14:textId="100FA303" w:rsidR="000958F5" w:rsidRPr="00703A97" w:rsidRDefault="000958F5" w:rsidP="004D359B">
      <w:pPr>
        <w:pStyle w:val="Normalnumber"/>
        <w:keepNext/>
        <w:keepLines/>
        <w:numPr>
          <w:ilvl w:val="0"/>
          <w:numId w:val="5"/>
        </w:numPr>
        <w:spacing w:before="240"/>
        <w:ind w:left="1247" w:firstLine="0"/>
        <w:rPr>
          <w:lang w:val="es-ES_tradnl"/>
        </w:rPr>
      </w:pPr>
      <w:r w:rsidRPr="00703A97">
        <w:rPr>
          <w:lang w:val="es-ES_tradnl"/>
        </w:rPr>
        <w:lastRenderedPageBreak/>
        <w:t>En las secciones que siguen se describen los cambios comparados con el presupuesto indicativo, del que el Plenario tomó nota en su cuarto período de sesiones.</w:t>
      </w:r>
    </w:p>
    <w:p w14:paraId="438C7401" w14:textId="46803573" w:rsidR="000958F5" w:rsidRPr="00703A97" w:rsidRDefault="007F2585" w:rsidP="007F2585">
      <w:pPr>
        <w:pStyle w:val="CH3"/>
        <w:rPr>
          <w:lang w:val="es-ES_tradnl"/>
        </w:rPr>
      </w:pPr>
      <w:r w:rsidRPr="00703A97">
        <w:rPr>
          <w:lang w:val="es-ES_tradnl"/>
        </w:rPr>
        <w:tab/>
      </w:r>
      <w:r w:rsidRPr="00703A97">
        <w:rPr>
          <w:bCs/>
          <w:lang w:val="es-ES_tradnl"/>
        </w:rPr>
        <w:t>1.</w:t>
      </w:r>
      <w:r w:rsidRPr="00703A97">
        <w:rPr>
          <w:lang w:val="es-ES_tradnl"/>
        </w:rPr>
        <w:tab/>
      </w:r>
      <w:r w:rsidRPr="00703A97">
        <w:rPr>
          <w:bCs/>
          <w:lang w:val="es-ES_tradnl"/>
        </w:rPr>
        <w:t>Ejecución del programa de trabajo</w:t>
      </w:r>
      <w:r w:rsidRPr="00703A97">
        <w:rPr>
          <w:lang w:val="es-ES_tradnl"/>
        </w:rPr>
        <w:t xml:space="preserve"> </w:t>
      </w:r>
    </w:p>
    <w:p w14:paraId="7E4B1450" w14:textId="7782D69D" w:rsidR="000958F5" w:rsidRPr="00703A97" w:rsidRDefault="000958F5" w:rsidP="004D359B">
      <w:pPr>
        <w:pStyle w:val="Normalnumber"/>
        <w:numPr>
          <w:ilvl w:val="0"/>
          <w:numId w:val="5"/>
        </w:numPr>
        <w:ind w:left="1247" w:firstLine="0"/>
        <w:rPr>
          <w:lang w:val="es-ES_tradnl"/>
        </w:rPr>
      </w:pPr>
      <w:r w:rsidRPr="0050309E">
        <w:rPr>
          <w:bCs/>
          <w:lang w:val="es-ES_tradnl"/>
        </w:rPr>
        <w:t xml:space="preserve">Objetivo 3: </w:t>
      </w:r>
      <w:r w:rsidRPr="00703A97">
        <w:rPr>
          <w:lang w:val="es-ES_tradnl"/>
        </w:rPr>
        <w:t>los proyectos de presupuesto presentados para 2018 y 2019, de los que el Plenario tomó nota en su cuarto período de sesiones suman 800.000 dólares anuales para las evaluaciones de las especies invasoras y los valores. Esta cifra se ha suprimido del proyecto de presupuesto para enero</w:t>
      </w:r>
      <w:r w:rsidR="00703A97">
        <w:rPr>
          <w:lang w:val="es-ES_tradnl"/>
        </w:rPr>
        <w:t xml:space="preserve"> </w:t>
      </w:r>
      <w:r w:rsidRPr="00703A97">
        <w:rPr>
          <w:lang w:val="es-ES_tradnl"/>
        </w:rPr>
        <w:t>a mayo de 2019. El presupuesto final para 2019 tendrá que reflejar la decisión del Plenario respecto de las dos evaluaciones temáticas (especies invasoras y utilización sostenible), y la evaluación metodológica sobre valores, para las que aún no se han previsto asignaciones en el presupuesto. En el documento IPBES/5/6, sobre consideraciones relativas a la realización de dos evaluaciones temáticas y una evaluación metodológica, se prevé un presupuesto de 997.000 dólares durante tres años para cada una de esas evaluaciones.</w:t>
      </w:r>
    </w:p>
    <w:p w14:paraId="21574BFB" w14:textId="399044D8" w:rsidR="000958F5" w:rsidRPr="00703A97" w:rsidRDefault="007F2585" w:rsidP="007F2585">
      <w:pPr>
        <w:pStyle w:val="CH3"/>
        <w:rPr>
          <w:lang w:val="es-ES_tradnl"/>
        </w:rPr>
      </w:pPr>
      <w:r w:rsidRPr="00703A97">
        <w:rPr>
          <w:lang w:val="es-ES_tradnl"/>
        </w:rPr>
        <w:tab/>
      </w:r>
      <w:r w:rsidRPr="00703A97">
        <w:rPr>
          <w:bCs/>
          <w:lang w:val="es-ES_tradnl"/>
        </w:rPr>
        <w:t>2.</w:t>
      </w:r>
      <w:r w:rsidRPr="00703A97">
        <w:rPr>
          <w:lang w:val="es-ES_tradnl"/>
        </w:rPr>
        <w:tab/>
      </w:r>
      <w:r w:rsidRPr="00703A97">
        <w:rPr>
          <w:bCs/>
          <w:lang w:val="es-ES_tradnl"/>
        </w:rPr>
        <w:t>Gastos de personal y de funcionamiento de la Secretaría</w:t>
      </w:r>
      <w:r w:rsidRPr="00703A97">
        <w:rPr>
          <w:lang w:val="es-ES_tradnl"/>
        </w:rPr>
        <w:t xml:space="preserve"> </w:t>
      </w:r>
    </w:p>
    <w:p w14:paraId="2D0AAD08" w14:textId="1F2EF1DE" w:rsidR="000958F5" w:rsidRPr="00703A97" w:rsidRDefault="000958F5" w:rsidP="004D359B">
      <w:pPr>
        <w:pStyle w:val="Normalnumber"/>
        <w:numPr>
          <w:ilvl w:val="0"/>
          <w:numId w:val="5"/>
        </w:numPr>
        <w:ind w:left="1247" w:firstLine="0"/>
        <w:rPr>
          <w:lang w:val="es-ES_tradnl"/>
        </w:rPr>
      </w:pPr>
      <w:r w:rsidRPr="00703A97">
        <w:rPr>
          <w:lang w:val="es-ES_tradnl"/>
        </w:rPr>
        <w:t>El costo de un nuevo puesto G</w:t>
      </w:r>
      <w:r w:rsidR="00356A65">
        <w:rPr>
          <w:lang w:val="es-ES_tradnl"/>
        </w:rPr>
        <w:noBreakHyphen/>
      </w:r>
      <w:r w:rsidRPr="00703A97">
        <w:rPr>
          <w:lang w:val="es-ES_tradnl"/>
        </w:rPr>
        <w:t>6 a jornada parcial en la Secretaría</w:t>
      </w:r>
      <w:r w:rsidR="003B4951">
        <w:rPr>
          <w:lang w:val="es-ES_tradnl"/>
        </w:rPr>
        <w:t xml:space="preserve"> de la Plataforma se incluye en </w:t>
      </w:r>
      <w:r w:rsidRPr="00703A97">
        <w:rPr>
          <w:lang w:val="es-ES_tradnl"/>
        </w:rPr>
        <w:t xml:space="preserve">2019 para el período de enero a mayo. El aumento en el costo de los servicios informáticos mencionado </w:t>
      </w:r>
      <w:r w:rsidR="00703A97" w:rsidRPr="00703A97">
        <w:rPr>
          <w:lang w:val="es-ES_tradnl"/>
        </w:rPr>
        <w:t>en</w:t>
      </w:r>
      <w:r w:rsidRPr="00703A97">
        <w:rPr>
          <w:lang w:val="es-ES_tradnl"/>
        </w:rPr>
        <w:t xml:space="preserve"> años anteriores se aplica también a ese período. </w:t>
      </w:r>
    </w:p>
    <w:p w14:paraId="0D9CE560" w14:textId="0AACAB5C" w:rsidR="000958F5" w:rsidRPr="00703A97" w:rsidRDefault="007F2585" w:rsidP="007F2585">
      <w:pPr>
        <w:pStyle w:val="CH1"/>
        <w:rPr>
          <w:lang w:val="es-ES_tradnl"/>
        </w:rPr>
      </w:pPr>
      <w:r w:rsidRPr="00703A97">
        <w:rPr>
          <w:lang w:val="es-ES_tradnl"/>
        </w:rPr>
        <w:tab/>
      </w:r>
      <w:r w:rsidRPr="00703A97">
        <w:rPr>
          <w:bCs/>
          <w:lang w:val="es-ES_tradnl"/>
        </w:rPr>
        <w:t>VI.</w:t>
      </w:r>
      <w:r w:rsidRPr="00703A97">
        <w:rPr>
          <w:lang w:val="es-ES_tradnl"/>
        </w:rPr>
        <w:tab/>
      </w:r>
      <w:r w:rsidRPr="00703A97">
        <w:rPr>
          <w:bCs/>
          <w:lang w:val="es-ES_tradnl"/>
        </w:rPr>
        <w:t>Sinopsis del costo de la Plataforma y estimación de los fondos que deben recaudarse</w:t>
      </w:r>
    </w:p>
    <w:p w14:paraId="571842B4" w14:textId="0B559EDF" w:rsidR="000958F5" w:rsidRPr="00703A97" w:rsidRDefault="000958F5" w:rsidP="004D359B">
      <w:pPr>
        <w:pStyle w:val="Normalnumber"/>
        <w:numPr>
          <w:ilvl w:val="0"/>
          <w:numId w:val="5"/>
        </w:numPr>
        <w:ind w:left="1247" w:firstLine="0"/>
        <w:rPr>
          <w:lang w:val="es-ES_tradnl"/>
        </w:rPr>
      </w:pPr>
      <w:r w:rsidRPr="00703A97">
        <w:rPr>
          <w:lang w:val="es-ES_tradnl"/>
        </w:rPr>
        <w:t xml:space="preserve">Las contribuciones recibidas hasta el 15 de diciembre de 2016 suman en total 26.476.193 dólares. Las promesas de contribuciones pendientes de pago </w:t>
      </w:r>
      <w:r w:rsidR="00703A97" w:rsidRPr="00703A97">
        <w:rPr>
          <w:lang w:val="es-ES_tradnl"/>
        </w:rPr>
        <w:t>correspondientes</w:t>
      </w:r>
      <w:r w:rsidRPr="00703A97">
        <w:rPr>
          <w:lang w:val="es-ES_tradnl"/>
        </w:rPr>
        <w:t xml:space="preserve"> al período 2016</w:t>
      </w:r>
      <w:r w:rsidR="00356A65">
        <w:rPr>
          <w:lang w:val="es-ES_tradnl"/>
        </w:rPr>
        <w:noBreakHyphen/>
      </w:r>
      <w:r w:rsidR="003B4951">
        <w:rPr>
          <w:lang w:val="es-ES_tradnl"/>
        </w:rPr>
        <w:t>2018 suman en total </w:t>
      </w:r>
      <w:r w:rsidRPr="00703A97">
        <w:rPr>
          <w:lang w:val="es-ES_tradnl"/>
        </w:rPr>
        <w:t>3.274.951 dólares. Hasta la fecha los recursos recibidos o prometidos suman en total de 29.751.144 dólares (cuadro 1).</w:t>
      </w:r>
    </w:p>
    <w:p w14:paraId="58C3E162" w14:textId="5369C79B" w:rsidR="000958F5" w:rsidRPr="00703A97" w:rsidRDefault="000958F5" w:rsidP="004D359B">
      <w:pPr>
        <w:pStyle w:val="Normalnumber"/>
        <w:numPr>
          <w:ilvl w:val="0"/>
          <w:numId w:val="5"/>
        </w:numPr>
        <w:ind w:left="1247" w:firstLine="0"/>
        <w:rPr>
          <w:lang w:val="es-ES_tradnl"/>
        </w:rPr>
      </w:pPr>
      <w:r w:rsidRPr="00703A97">
        <w:rPr>
          <w:lang w:val="es-ES_tradnl"/>
        </w:rPr>
        <w:t xml:space="preserve">El costo total de la totalidad del primer programa de trabajo de la Plataforma, que </w:t>
      </w:r>
      <w:r w:rsidR="00703A97" w:rsidRPr="00703A97">
        <w:rPr>
          <w:lang w:val="es-ES_tradnl"/>
        </w:rPr>
        <w:t>asciende</w:t>
      </w:r>
      <w:r w:rsidR="003B4951">
        <w:rPr>
          <w:lang w:val="es-ES_tradnl"/>
        </w:rPr>
        <w:t xml:space="preserve"> a </w:t>
      </w:r>
      <w:r w:rsidRPr="00703A97">
        <w:rPr>
          <w:lang w:val="es-ES_tradnl"/>
        </w:rPr>
        <w:t>40.506.766 dólares, se desglosa en el cuadro 7. Ese total incluye la finalización de seis evaluaciones en curso y todos los ajustes propuestos para el período 2016</w:t>
      </w:r>
      <w:r w:rsidR="00356A65">
        <w:rPr>
          <w:lang w:val="es-ES_tradnl"/>
        </w:rPr>
        <w:noBreakHyphen/>
      </w:r>
      <w:r w:rsidRPr="00703A97">
        <w:rPr>
          <w:lang w:val="es-ES_tradnl"/>
        </w:rPr>
        <w:t>2019 y parte del supuesto de que no se llevará a cabo ninguna evaluación nueva como parte del primer programa de trabajo.</w:t>
      </w:r>
    </w:p>
    <w:p w14:paraId="6DAA5F50" w14:textId="602111DB" w:rsidR="000958F5" w:rsidRPr="00703A97" w:rsidRDefault="000958F5" w:rsidP="00832F01">
      <w:pPr>
        <w:keepNext/>
        <w:keepLines/>
        <w:tabs>
          <w:tab w:val="left" w:pos="1247"/>
          <w:tab w:val="left" w:pos="1814"/>
          <w:tab w:val="left" w:pos="2381"/>
          <w:tab w:val="left" w:pos="2948"/>
          <w:tab w:val="left" w:pos="3515"/>
          <w:tab w:val="left" w:pos="4082"/>
        </w:tabs>
        <w:suppressAutoHyphens/>
        <w:spacing w:before="120" w:after="0" w:line="240" w:lineRule="auto"/>
        <w:ind w:left="1247"/>
        <w:rPr>
          <w:rFonts w:ascii="Times New Roman" w:hAnsi="Times New Roman"/>
          <w:b/>
          <w:sz w:val="20"/>
          <w:szCs w:val="20"/>
          <w:lang w:val="es-ES_tradnl"/>
        </w:rPr>
      </w:pPr>
      <w:r w:rsidRPr="00045A4D">
        <w:rPr>
          <w:rFonts w:ascii="Times New Roman" w:hAnsi="Times New Roman"/>
          <w:bCs/>
          <w:sz w:val="20"/>
          <w:szCs w:val="20"/>
          <w:lang w:val="es-ES_tradnl"/>
        </w:rPr>
        <w:t xml:space="preserve">Cuadro 7 </w:t>
      </w:r>
      <w:r w:rsidR="00045A4D" w:rsidRPr="00045A4D">
        <w:rPr>
          <w:rFonts w:ascii="Times New Roman" w:hAnsi="Times New Roman"/>
          <w:bCs/>
          <w:sz w:val="20"/>
          <w:szCs w:val="20"/>
          <w:lang w:val="es-ES_tradnl"/>
        </w:rPr>
        <w:br/>
      </w:r>
      <w:r w:rsidRPr="00703A97">
        <w:rPr>
          <w:rFonts w:ascii="Times New Roman" w:hAnsi="Times New Roman"/>
          <w:b/>
          <w:bCs/>
          <w:sz w:val="20"/>
          <w:szCs w:val="20"/>
          <w:lang w:val="es-ES_tradnl"/>
        </w:rPr>
        <w:t>Total de efectivo que se necesita para el primer programa de trabajo de la Plataforma (2012</w:t>
      </w:r>
      <w:r w:rsidR="00356A65">
        <w:rPr>
          <w:rFonts w:ascii="Times New Roman" w:hAnsi="Times New Roman"/>
          <w:b/>
          <w:bCs/>
          <w:sz w:val="20"/>
          <w:szCs w:val="20"/>
          <w:lang w:val="es-ES_tradnl"/>
        </w:rPr>
        <w:noBreakHyphen/>
      </w:r>
      <w:r w:rsidRPr="00703A97">
        <w:rPr>
          <w:rFonts w:ascii="Times New Roman" w:hAnsi="Times New Roman"/>
          <w:b/>
          <w:bCs/>
          <w:sz w:val="20"/>
          <w:szCs w:val="20"/>
          <w:lang w:val="es-ES_tradnl"/>
        </w:rPr>
        <w:t>2019)</w:t>
      </w:r>
    </w:p>
    <w:p w14:paraId="08F07979" w14:textId="42087B46" w:rsidR="00832F01" w:rsidRPr="00045A4D" w:rsidRDefault="00832F01" w:rsidP="00832F01">
      <w:pPr>
        <w:pStyle w:val="Titletable"/>
        <w:rPr>
          <w:b w:val="0"/>
          <w:sz w:val="18"/>
          <w:szCs w:val="18"/>
          <w:lang w:val="es-ES_tradnl"/>
        </w:rPr>
      </w:pPr>
      <w:r w:rsidRPr="00045A4D">
        <w:rPr>
          <w:b w:val="0"/>
          <w:sz w:val="18"/>
          <w:szCs w:val="18"/>
          <w:lang w:val="es-ES_tradnl"/>
        </w:rPr>
        <w:t>(en dólares de los E</w:t>
      </w:r>
      <w:r w:rsidR="003B4951" w:rsidRPr="00045A4D">
        <w:rPr>
          <w:b w:val="0"/>
          <w:sz w:val="18"/>
          <w:szCs w:val="18"/>
          <w:lang w:val="es-ES_tradnl"/>
        </w:rPr>
        <w:t>stados Unidos</w:t>
      </w:r>
      <w:r w:rsidRPr="00045A4D">
        <w:rPr>
          <w:b w:val="0"/>
          <w:sz w:val="18"/>
          <w:szCs w:val="18"/>
          <w:lang w:val="es-ES_tradnl"/>
        </w:rPr>
        <w:t>)</w:t>
      </w:r>
    </w:p>
    <w:tbl>
      <w:tblPr>
        <w:tblW w:w="8364" w:type="dxa"/>
        <w:tblInd w:w="1384" w:type="dxa"/>
        <w:tblLayout w:type="fixed"/>
        <w:tblLook w:val="04A0" w:firstRow="1" w:lastRow="0" w:firstColumn="1" w:lastColumn="0" w:noHBand="0" w:noVBand="1"/>
      </w:tblPr>
      <w:tblGrid>
        <w:gridCol w:w="6238"/>
        <w:gridCol w:w="2126"/>
      </w:tblGrid>
      <w:tr w:rsidR="000958F5" w:rsidRPr="00703A97" w14:paraId="681C6F14" w14:textId="77777777" w:rsidTr="001E2D97">
        <w:trPr>
          <w:trHeight w:val="231"/>
        </w:trPr>
        <w:tc>
          <w:tcPr>
            <w:tcW w:w="6238" w:type="dxa"/>
            <w:tcBorders>
              <w:top w:val="single" w:sz="4" w:space="0" w:color="auto"/>
              <w:left w:val="nil"/>
              <w:bottom w:val="single" w:sz="12" w:space="0" w:color="auto"/>
              <w:right w:val="nil"/>
            </w:tcBorders>
            <w:shd w:val="clear" w:color="auto" w:fill="auto"/>
            <w:noWrap/>
            <w:vAlign w:val="center"/>
            <w:hideMark/>
          </w:tcPr>
          <w:p w14:paraId="3E736A64" w14:textId="07C90435" w:rsidR="000958F5" w:rsidRPr="00703A97" w:rsidRDefault="000958F5" w:rsidP="00832F01">
            <w:pPr>
              <w:spacing w:before="40" w:after="40" w:line="240" w:lineRule="auto"/>
              <w:rPr>
                <w:rFonts w:ascii="Times New Roman" w:hAnsi="Times New Roman"/>
                <w:i/>
                <w:color w:val="000000"/>
                <w:sz w:val="20"/>
                <w:szCs w:val="20"/>
                <w:lang w:val="es-ES_tradnl"/>
              </w:rPr>
            </w:pPr>
            <w:r w:rsidRPr="00703A97">
              <w:rPr>
                <w:rFonts w:ascii="Times New Roman" w:hAnsi="Times New Roman"/>
                <w:i/>
                <w:iCs/>
                <w:sz w:val="20"/>
                <w:szCs w:val="20"/>
                <w:lang w:val="es-ES_tradnl"/>
              </w:rPr>
              <w:t>Año</w:t>
            </w:r>
            <w:r w:rsidRPr="00703A97">
              <w:rPr>
                <w:rFonts w:ascii="Times New Roman" w:hAnsi="Times New Roman"/>
                <w:sz w:val="20"/>
                <w:szCs w:val="20"/>
                <w:lang w:val="es-ES_tradnl"/>
              </w:rPr>
              <w:t xml:space="preserve"> </w:t>
            </w:r>
          </w:p>
        </w:tc>
        <w:tc>
          <w:tcPr>
            <w:tcW w:w="2126" w:type="dxa"/>
            <w:tcBorders>
              <w:top w:val="single" w:sz="4" w:space="0" w:color="auto"/>
              <w:left w:val="nil"/>
              <w:bottom w:val="single" w:sz="12" w:space="0" w:color="auto"/>
              <w:right w:val="nil"/>
            </w:tcBorders>
            <w:shd w:val="clear" w:color="auto" w:fill="auto"/>
            <w:noWrap/>
            <w:vAlign w:val="center"/>
            <w:hideMark/>
          </w:tcPr>
          <w:p w14:paraId="6CC54CB3" w14:textId="77777777" w:rsidR="000958F5" w:rsidRPr="00703A97" w:rsidRDefault="000958F5" w:rsidP="00C81A13">
            <w:pPr>
              <w:spacing w:before="40" w:after="40" w:line="240" w:lineRule="auto"/>
              <w:jc w:val="right"/>
              <w:rPr>
                <w:rFonts w:ascii="Times New Roman" w:hAnsi="Times New Roman"/>
                <w:i/>
                <w:color w:val="000000"/>
                <w:sz w:val="20"/>
                <w:szCs w:val="20"/>
                <w:lang w:val="es-ES_tradnl"/>
              </w:rPr>
            </w:pPr>
            <w:r w:rsidRPr="00703A97">
              <w:rPr>
                <w:rFonts w:ascii="Times New Roman" w:hAnsi="Times New Roman"/>
                <w:i/>
                <w:iCs/>
                <w:sz w:val="20"/>
                <w:szCs w:val="20"/>
                <w:lang w:val="es-ES_tradnl"/>
              </w:rPr>
              <w:t>Total</w:t>
            </w:r>
          </w:p>
        </w:tc>
      </w:tr>
      <w:tr w:rsidR="000958F5" w:rsidRPr="00703A97" w14:paraId="6EF0493C" w14:textId="77777777" w:rsidTr="001E2D97">
        <w:trPr>
          <w:trHeight w:val="189"/>
        </w:trPr>
        <w:tc>
          <w:tcPr>
            <w:tcW w:w="6238" w:type="dxa"/>
            <w:tcBorders>
              <w:top w:val="single" w:sz="12" w:space="0" w:color="auto"/>
              <w:left w:val="nil"/>
              <w:bottom w:val="nil"/>
              <w:right w:val="nil"/>
            </w:tcBorders>
            <w:shd w:val="clear" w:color="auto" w:fill="auto"/>
            <w:noWrap/>
            <w:vAlign w:val="center"/>
            <w:hideMark/>
          </w:tcPr>
          <w:p w14:paraId="25DE3C71" w14:textId="0460BD3F" w:rsidR="000958F5" w:rsidRPr="00703A97" w:rsidRDefault="000958F5" w:rsidP="00832F01">
            <w:pPr>
              <w:spacing w:before="40" w:after="40" w:line="240" w:lineRule="auto"/>
              <w:rPr>
                <w:rFonts w:ascii="Times New Roman" w:hAnsi="Times New Roman"/>
                <w:color w:val="000000"/>
                <w:sz w:val="20"/>
                <w:szCs w:val="20"/>
                <w:lang w:val="es-ES_tradnl"/>
              </w:rPr>
            </w:pPr>
            <w:r w:rsidRPr="00703A97">
              <w:rPr>
                <w:rFonts w:ascii="Times New Roman" w:hAnsi="Times New Roman"/>
                <w:sz w:val="20"/>
                <w:szCs w:val="20"/>
                <w:lang w:val="es-ES_tradnl"/>
              </w:rPr>
              <w:t>2012 (real)</w:t>
            </w:r>
          </w:p>
        </w:tc>
        <w:tc>
          <w:tcPr>
            <w:tcW w:w="2126" w:type="dxa"/>
            <w:tcBorders>
              <w:top w:val="single" w:sz="12" w:space="0" w:color="auto"/>
              <w:left w:val="nil"/>
              <w:bottom w:val="nil"/>
              <w:right w:val="nil"/>
            </w:tcBorders>
            <w:shd w:val="clear" w:color="auto" w:fill="auto"/>
            <w:noWrap/>
            <w:vAlign w:val="bottom"/>
            <w:hideMark/>
          </w:tcPr>
          <w:p w14:paraId="59C17D49" w14:textId="18744C0C" w:rsidR="000958F5" w:rsidRPr="00703A97" w:rsidRDefault="000958F5" w:rsidP="00C81A13">
            <w:pPr>
              <w:spacing w:before="40" w:after="40" w:line="240" w:lineRule="auto"/>
              <w:jc w:val="right"/>
              <w:rPr>
                <w:rFonts w:ascii="Times New Roman" w:hAnsi="Times New Roman"/>
                <w:color w:val="000000"/>
                <w:sz w:val="20"/>
                <w:szCs w:val="20"/>
                <w:lang w:val="es-ES_tradnl"/>
              </w:rPr>
            </w:pPr>
            <w:r w:rsidRPr="00703A97">
              <w:rPr>
                <w:rFonts w:ascii="Times New Roman" w:hAnsi="Times New Roman"/>
                <w:sz w:val="20"/>
                <w:szCs w:val="20"/>
                <w:lang w:val="es-ES_tradnl"/>
              </w:rPr>
              <w:t>480 123</w:t>
            </w:r>
          </w:p>
        </w:tc>
      </w:tr>
      <w:tr w:rsidR="000958F5" w:rsidRPr="00703A97" w14:paraId="10E35759" w14:textId="77777777" w:rsidTr="001E2D97">
        <w:trPr>
          <w:trHeight w:val="255"/>
        </w:trPr>
        <w:tc>
          <w:tcPr>
            <w:tcW w:w="6238" w:type="dxa"/>
            <w:tcBorders>
              <w:top w:val="nil"/>
              <w:left w:val="nil"/>
              <w:bottom w:val="nil"/>
              <w:right w:val="nil"/>
            </w:tcBorders>
            <w:shd w:val="clear" w:color="auto" w:fill="auto"/>
            <w:noWrap/>
            <w:vAlign w:val="center"/>
            <w:hideMark/>
          </w:tcPr>
          <w:p w14:paraId="13367C55" w14:textId="5D264AD7" w:rsidR="000958F5" w:rsidRPr="00703A97" w:rsidRDefault="000958F5" w:rsidP="00832F01">
            <w:pPr>
              <w:spacing w:before="40" w:after="40" w:line="240" w:lineRule="auto"/>
              <w:rPr>
                <w:rFonts w:ascii="Times New Roman" w:hAnsi="Times New Roman"/>
                <w:color w:val="000000"/>
                <w:sz w:val="20"/>
                <w:szCs w:val="20"/>
                <w:lang w:val="es-ES_tradnl"/>
              </w:rPr>
            </w:pPr>
            <w:r w:rsidRPr="00703A97">
              <w:rPr>
                <w:rFonts w:ascii="Times New Roman" w:hAnsi="Times New Roman"/>
                <w:sz w:val="20"/>
                <w:szCs w:val="20"/>
                <w:lang w:val="es-ES_tradnl"/>
              </w:rPr>
              <w:t>2013 (real)</w:t>
            </w:r>
          </w:p>
        </w:tc>
        <w:tc>
          <w:tcPr>
            <w:tcW w:w="2126" w:type="dxa"/>
            <w:tcBorders>
              <w:top w:val="nil"/>
              <w:left w:val="nil"/>
              <w:bottom w:val="nil"/>
              <w:right w:val="nil"/>
            </w:tcBorders>
            <w:shd w:val="clear" w:color="auto" w:fill="auto"/>
            <w:noWrap/>
            <w:vAlign w:val="bottom"/>
            <w:hideMark/>
          </w:tcPr>
          <w:p w14:paraId="2C4C9455" w14:textId="3074DB7E" w:rsidR="000958F5" w:rsidRPr="00703A97" w:rsidRDefault="000958F5" w:rsidP="00C81A13">
            <w:pPr>
              <w:spacing w:before="40" w:after="40" w:line="240" w:lineRule="auto"/>
              <w:jc w:val="right"/>
              <w:rPr>
                <w:rFonts w:ascii="Times New Roman" w:hAnsi="Times New Roman"/>
                <w:color w:val="000000"/>
                <w:sz w:val="20"/>
                <w:szCs w:val="20"/>
                <w:lang w:val="es-ES_tradnl"/>
              </w:rPr>
            </w:pPr>
            <w:r w:rsidRPr="00703A97">
              <w:rPr>
                <w:rFonts w:ascii="Times New Roman" w:hAnsi="Times New Roman"/>
                <w:sz w:val="20"/>
                <w:szCs w:val="20"/>
                <w:lang w:val="es-ES_tradnl"/>
              </w:rPr>
              <w:t>2 326 754</w:t>
            </w:r>
          </w:p>
        </w:tc>
      </w:tr>
      <w:tr w:rsidR="000958F5" w:rsidRPr="00703A97" w14:paraId="1ABBA812" w14:textId="77777777" w:rsidTr="001E2D97">
        <w:trPr>
          <w:trHeight w:val="189"/>
        </w:trPr>
        <w:tc>
          <w:tcPr>
            <w:tcW w:w="6238" w:type="dxa"/>
            <w:tcBorders>
              <w:top w:val="nil"/>
              <w:left w:val="nil"/>
              <w:bottom w:val="nil"/>
              <w:right w:val="nil"/>
            </w:tcBorders>
            <w:shd w:val="clear" w:color="auto" w:fill="auto"/>
            <w:noWrap/>
            <w:vAlign w:val="center"/>
            <w:hideMark/>
          </w:tcPr>
          <w:p w14:paraId="7C9ABC55" w14:textId="6294326E" w:rsidR="000958F5" w:rsidRPr="00703A97" w:rsidRDefault="000958F5" w:rsidP="00832F01">
            <w:pPr>
              <w:spacing w:before="40" w:after="40" w:line="240" w:lineRule="auto"/>
              <w:rPr>
                <w:rFonts w:ascii="Times New Roman" w:hAnsi="Times New Roman"/>
                <w:color w:val="000000"/>
                <w:sz w:val="20"/>
                <w:szCs w:val="20"/>
                <w:lang w:val="es-ES_tradnl"/>
              </w:rPr>
            </w:pPr>
            <w:r w:rsidRPr="00703A97">
              <w:rPr>
                <w:rFonts w:ascii="Times New Roman" w:hAnsi="Times New Roman"/>
                <w:sz w:val="20"/>
                <w:szCs w:val="20"/>
                <w:lang w:val="es-ES_tradnl"/>
              </w:rPr>
              <w:t>2014 (real)</w:t>
            </w:r>
          </w:p>
        </w:tc>
        <w:tc>
          <w:tcPr>
            <w:tcW w:w="2126" w:type="dxa"/>
            <w:tcBorders>
              <w:top w:val="nil"/>
              <w:left w:val="nil"/>
              <w:bottom w:val="nil"/>
              <w:right w:val="nil"/>
            </w:tcBorders>
            <w:shd w:val="clear" w:color="auto" w:fill="auto"/>
            <w:noWrap/>
            <w:vAlign w:val="bottom"/>
            <w:hideMark/>
          </w:tcPr>
          <w:p w14:paraId="57380243" w14:textId="37240E71" w:rsidR="000958F5" w:rsidRPr="00703A97" w:rsidRDefault="000958F5" w:rsidP="00C81A13">
            <w:pPr>
              <w:spacing w:before="40" w:after="40" w:line="240" w:lineRule="auto"/>
              <w:jc w:val="right"/>
              <w:rPr>
                <w:rFonts w:ascii="Times New Roman" w:hAnsi="Times New Roman"/>
                <w:color w:val="000000"/>
                <w:sz w:val="20"/>
                <w:szCs w:val="20"/>
                <w:lang w:val="es-ES_tradnl"/>
              </w:rPr>
            </w:pPr>
            <w:r w:rsidRPr="00703A97">
              <w:rPr>
                <w:rFonts w:ascii="Times New Roman" w:hAnsi="Times New Roman"/>
                <w:sz w:val="20"/>
                <w:szCs w:val="20"/>
                <w:lang w:val="es-ES_tradnl"/>
              </w:rPr>
              <w:t>3 784 158</w:t>
            </w:r>
          </w:p>
        </w:tc>
      </w:tr>
      <w:tr w:rsidR="000958F5" w:rsidRPr="00703A97" w14:paraId="2AAE9D44" w14:textId="77777777" w:rsidTr="001E2D97">
        <w:trPr>
          <w:trHeight w:val="189"/>
        </w:trPr>
        <w:tc>
          <w:tcPr>
            <w:tcW w:w="6238" w:type="dxa"/>
            <w:tcBorders>
              <w:top w:val="nil"/>
              <w:left w:val="nil"/>
              <w:bottom w:val="nil"/>
              <w:right w:val="nil"/>
            </w:tcBorders>
            <w:shd w:val="clear" w:color="auto" w:fill="auto"/>
            <w:noWrap/>
            <w:vAlign w:val="center"/>
            <w:hideMark/>
          </w:tcPr>
          <w:p w14:paraId="2C2B8B50" w14:textId="39676441" w:rsidR="000958F5" w:rsidRPr="00703A97" w:rsidRDefault="000958F5" w:rsidP="00832F01">
            <w:pPr>
              <w:spacing w:before="40" w:after="40" w:line="240" w:lineRule="auto"/>
              <w:rPr>
                <w:rFonts w:ascii="Times New Roman" w:hAnsi="Times New Roman"/>
                <w:color w:val="000000"/>
                <w:sz w:val="20"/>
                <w:szCs w:val="20"/>
                <w:lang w:val="es-ES_tradnl"/>
              </w:rPr>
            </w:pPr>
            <w:r w:rsidRPr="00703A97">
              <w:rPr>
                <w:rFonts w:ascii="Times New Roman" w:hAnsi="Times New Roman"/>
                <w:sz w:val="20"/>
                <w:szCs w:val="20"/>
                <w:lang w:val="es-ES_tradnl"/>
              </w:rPr>
              <w:t>2015 (real)</w:t>
            </w:r>
          </w:p>
        </w:tc>
        <w:tc>
          <w:tcPr>
            <w:tcW w:w="2126" w:type="dxa"/>
            <w:tcBorders>
              <w:top w:val="nil"/>
              <w:left w:val="nil"/>
              <w:bottom w:val="nil"/>
              <w:right w:val="nil"/>
            </w:tcBorders>
            <w:shd w:val="clear" w:color="auto" w:fill="auto"/>
            <w:noWrap/>
            <w:vAlign w:val="bottom"/>
            <w:hideMark/>
          </w:tcPr>
          <w:p w14:paraId="1D8C4E90" w14:textId="6D5DD7B4" w:rsidR="000958F5" w:rsidRPr="00703A97" w:rsidRDefault="000958F5" w:rsidP="00C81A13">
            <w:pPr>
              <w:spacing w:before="40" w:after="40" w:line="240" w:lineRule="auto"/>
              <w:jc w:val="right"/>
              <w:rPr>
                <w:rFonts w:ascii="Times New Roman" w:hAnsi="Times New Roman"/>
                <w:color w:val="000000"/>
                <w:sz w:val="20"/>
                <w:szCs w:val="20"/>
                <w:lang w:val="es-ES_tradnl"/>
              </w:rPr>
            </w:pPr>
            <w:r w:rsidRPr="00703A97">
              <w:rPr>
                <w:rFonts w:ascii="Times New Roman" w:hAnsi="Times New Roman"/>
                <w:sz w:val="20"/>
                <w:szCs w:val="20"/>
                <w:lang w:val="es-ES_tradnl"/>
              </w:rPr>
              <w:t>8 131 321</w:t>
            </w:r>
          </w:p>
        </w:tc>
      </w:tr>
      <w:tr w:rsidR="000958F5" w:rsidRPr="00703A97" w14:paraId="0543EF21" w14:textId="77777777" w:rsidTr="001E2D97">
        <w:trPr>
          <w:trHeight w:val="189"/>
        </w:trPr>
        <w:tc>
          <w:tcPr>
            <w:tcW w:w="6238" w:type="dxa"/>
            <w:tcBorders>
              <w:top w:val="nil"/>
              <w:left w:val="nil"/>
              <w:bottom w:val="nil"/>
              <w:right w:val="nil"/>
            </w:tcBorders>
            <w:shd w:val="clear" w:color="auto" w:fill="auto"/>
            <w:noWrap/>
            <w:vAlign w:val="center"/>
            <w:hideMark/>
          </w:tcPr>
          <w:p w14:paraId="07D400F7" w14:textId="7347C828" w:rsidR="000958F5" w:rsidRPr="00703A97" w:rsidRDefault="000958F5" w:rsidP="00832F01">
            <w:pPr>
              <w:spacing w:before="40" w:after="40" w:line="240" w:lineRule="auto"/>
              <w:rPr>
                <w:rFonts w:ascii="Times New Roman" w:hAnsi="Times New Roman"/>
                <w:color w:val="000000"/>
                <w:sz w:val="20"/>
                <w:szCs w:val="20"/>
                <w:lang w:val="es-ES_tradnl"/>
              </w:rPr>
            </w:pPr>
            <w:r w:rsidRPr="00703A97">
              <w:rPr>
                <w:rFonts w:ascii="Times New Roman" w:hAnsi="Times New Roman"/>
                <w:sz w:val="20"/>
                <w:szCs w:val="20"/>
                <w:lang w:val="es-ES_tradnl"/>
              </w:rPr>
              <w:t>2016 (estimación)</w:t>
            </w:r>
          </w:p>
        </w:tc>
        <w:tc>
          <w:tcPr>
            <w:tcW w:w="2126" w:type="dxa"/>
            <w:tcBorders>
              <w:top w:val="nil"/>
              <w:left w:val="nil"/>
              <w:bottom w:val="nil"/>
              <w:right w:val="nil"/>
            </w:tcBorders>
            <w:shd w:val="clear" w:color="auto" w:fill="auto"/>
            <w:noWrap/>
            <w:vAlign w:val="bottom"/>
            <w:hideMark/>
          </w:tcPr>
          <w:p w14:paraId="6B35AD3D" w14:textId="4B093257" w:rsidR="000958F5" w:rsidRPr="00703A97" w:rsidRDefault="000958F5" w:rsidP="00C81A13">
            <w:pPr>
              <w:spacing w:before="40" w:after="40" w:line="240" w:lineRule="auto"/>
              <w:jc w:val="right"/>
              <w:rPr>
                <w:rFonts w:ascii="Times New Roman" w:hAnsi="Times New Roman"/>
                <w:color w:val="000000"/>
                <w:sz w:val="20"/>
                <w:szCs w:val="20"/>
                <w:lang w:val="es-ES_tradnl"/>
              </w:rPr>
            </w:pPr>
            <w:r w:rsidRPr="00703A97">
              <w:rPr>
                <w:rFonts w:ascii="Times New Roman" w:hAnsi="Times New Roman"/>
                <w:sz w:val="20"/>
                <w:szCs w:val="20"/>
                <w:lang w:val="es-ES_tradnl"/>
              </w:rPr>
              <w:t>6 275 537</w:t>
            </w:r>
          </w:p>
        </w:tc>
      </w:tr>
      <w:tr w:rsidR="000958F5" w:rsidRPr="00703A97" w14:paraId="39BBB9C8" w14:textId="77777777" w:rsidTr="001E2D97">
        <w:trPr>
          <w:trHeight w:val="189"/>
        </w:trPr>
        <w:tc>
          <w:tcPr>
            <w:tcW w:w="6238" w:type="dxa"/>
            <w:tcBorders>
              <w:top w:val="nil"/>
              <w:left w:val="nil"/>
              <w:bottom w:val="nil"/>
              <w:right w:val="nil"/>
            </w:tcBorders>
            <w:shd w:val="clear" w:color="auto" w:fill="auto"/>
            <w:noWrap/>
            <w:vAlign w:val="center"/>
            <w:hideMark/>
          </w:tcPr>
          <w:p w14:paraId="1A39831B" w14:textId="19D05175" w:rsidR="000958F5" w:rsidRPr="00703A97" w:rsidRDefault="000958F5" w:rsidP="00832F01">
            <w:pPr>
              <w:spacing w:before="40" w:after="40" w:line="240" w:lineRule="auto"/>
              <w:rPr>
                <w:rFonts w:ascii="Times New Roman" w:hAnsi="Times New Roman"/>
                <w:color w:val="000000"/>
                <w:sz w:val="20"/>
                <w:szCs w:val="20"/>
                <w:lang w:val="es-ES_tradnl"/>
              </w:rPr>
            </w:pPr>
            <w:r w:rsidRPr="00703A97">
              <w:rPr>
                <w:rFonts w:ascii="Times New Roman" w:hAnsi="Times New Roman"/>
                <w:sz w:val="20"/>
                <w:szCs w:val="20"/>
                <w:lang w:val="es-ES_tradnl"/>
              </w:rPr>
              <w:t xml:space="preserve">2017 (proyecto de presupuesto revisado) </w:t>
            </w:r>
          </w:p>
        </w:tc>
        <w:tc>
          <w:tcPr>
            <w:tcW w:w="2126" w:type="dxa"/>
            <w:tcBorders>
              <w:top w:val="nil"/>
              <w:left w:val="nil"/>
              <w:bottom w:val="nil"/>
              <w:right w:val="nil"/>
            </w:tcBorders>
            <w:shd w:val="clear" w:color="auto" w:fill="auto"/>
            <w:noWrap/>
            <w:vAlign w:val="bottom"/>
            <w:hideMark/>
          </w:tcPr>
          <w:p w14:paraId="2B676C8A" w14:textId="1F954EB8" w:rsidR="000958F5" w:rsidRPr="00703A97" w:rsidRDefault="000958F5" w:rsidP="00C81A13">
            <w:pPr>
              <w:spacing w:before="40" w:after="40" w:line="240" w:lineRule="auto"/>
              <w:jc w:val="right"/>
              <w:rPr>
                <w:rFonts w:ascii="Times New Roman" w:hAnsi="Times New Roman"/>
                <w:color w:val="000000"/>
                <w:sz w:val="20"/>
                <w:szCs w:val="20"/>
                <w:lang w:val="es-ES_tradnl"/>
              </w:rPr>
            </w:pPr>
            <w:r w:rsidRPr="00703A97">
              <w:rPr>
                <w:rFonts w:ascii="Times New Roman" w:hAnsi="Times New Roman"/>
                <w:sz w:val="20"/>
                <w:szCs w:val="20"/>
                <w:lang w:val="es-ES_tradnl"/>
              </w:rPr>
              <w:t>9 453 710</w:t>
            </w:r>
          </w:p>
        </w:tc>
      </w:tr>
      <w:tr w:rsidR="000958F5" w:rsidRPr="00703A97" w14:paraId="19A2FBF7" w14:textId="77777777" w:rsidTr="001E2D97">
        <w:trPr>
          <w:trHeight w:val="279"/>
        </w:trPr>
        <w:tc>
          <w:tcPr>
            <w:tcW w:w="6238" w:type="dxa"/>
            <w:tcBorders>
              <w:top w:val="nil"/>
              <w:left w:val="nil"/>
              <w:bottom w:val="nil"/>
              <w:right w:val="nil"/>
            </w:tcBorders>
            <w:shd w:val="clear" w:color="auto" w:fill="auto"/>
            <w:noWrap/>
            <w:vAlign w:val="center"/>
            <w:hideMark/>
          </w:tcPr>
          <w:p w14:paraId="71D30AB7" w14:textId="1CC9E213" w:rsidR="000958F5" w:rsidRPr="00703A97" w:rsidRDefault="000958F5" w:rsidP="00832F01">
            <w:pPr>
              <w:spacing w:before="40" w:after="40" w:line="240" w:lineRule="auto"/>
              <w:rPr>
                <w:rFonts w:ascii="Times New Roman" w:hAnsi="Times New Roman"/>
                <w:color w:val="000000"/>
                <w:sz w:val="20"/>
                <w:szCs w:val="20"/>
                <w:lang w:val="es-ES_tradnl"/>
              </w:rPr>
            </w:pPr>
            <w:r w:rsidRPr="00703A97">
              <w:rPr>
                <w:rFonts w:ascii="Times New Roman" w:hAnsi="Times New Roman"/>
                <w:sz w:val="20"/>
                <w:szCs w:val="20"/>
                <w:lang w:val="es-ES_tradnl"/>
              </w:rPr>
              <w:t>2018 (proyecto de presupuesto revisado)</w:t>
            </w:r>
          </w:p>
        </w:tc>
        <w:tc>
          <w:tcPr>
            <w:tcW w:w="2126" w:type="dxa"/>
            <w:tcBorders>
              <w:top w:val="nil"/>
              <w:left w:val="nil"/>
              <w:bottom w:val="nil"/>
              <w:right w:val="nil"/>
            </w:tcBorders>
            <w:shd w:val="clear" w:color="auto" w:fill="auto"/>
            <w:noWrap/>
            <w:vAlign w:val="bottom"/>
            <w:hideMark/>
          </w:tcPr>
          <w:p w14:paraId="484EFF3F" w14:textId="276349FD" w:rsidR="000958F5" w:rsidRPr="00703A97" w:rsidRDefault="000958F5" w:rsidP="00C81A13">
            <w:pPr>
              <w:spacing w:before="40" w:after="40" w:line="240" w:lineRule="auto"/>
              <w:jc w:val="right"/>
              <w:rPr>
                <w:rFonts w:ascii="Times New Roman" w:hAnsi="Times New Roman"/>
                <w:color w:val="000000"/>
                <w:sz w:val="20"/>
                <w:szCs w:val="20"/>
                <w:lang w:val="es-ES_tradnl"/>
              </w:rPr>
            </w:pPr>
            <w:r w:rsidRPr="00703A97">
              <w:rPr>
                <w:rFonts w:ascii="Times New Roman" w:hAnsi="Times New Roman"/>
                <w:sz w:val="20"/>
                <w:szCs w:val="20"/>
                <w:lang w:val="es-ES_tradnl"/>
              </w:rPr>
              <w:t>7 120 510</w:t>
            </w:r>
          </w:p>
        </w:tc>
      </w:tr>
      <w:tr w:rsidR="000958F5" w:rsidRPr="00703A97" w14:paraId="3B06B6C2" w14:textId="77777777" w:rsidTr="001E2D97">
        <w:trPr>
          <w:trHeight w:val="189"/>
        </w:trPr>
        <w:tc>
          <w:tcPr>
            <w:tcW w:w="6238" w:type="dxa"/>
            <w:tcBorders>
              <w:top w:val="nil"/>
              <w:left w:val="nil"/>
              <w:bottom w:val="single" w:sz="4" w:space="0" w:color="auto"/>
              <w:right w:val="nil"/>
            </w:tcBorders>
            <w:shd w:val="clear" w:color="auto" w:fill="auto"/>
            <w:noWrap/>
            <w:vAlign w:val="center"/>
            <w:hideMark/>
          </w:tcPr>
          <w:p w14:paraId="1CA8F1AC" w14:textId="2F88D15D" w:rsidR="000958F5" w:rsidRPr="00703A97" w:rsidRDefault="000958F5" w:rsidP="00832F01">
            <w:pPr>
              <w:spacing w:before="40" w:after="40" w:line="240" w:lineRule="auto"/>
              <w:jc w:val="both"/>
              <w:rPr>
                <w:rFonts w:ascii="Times New Roman" w:hAnsi="Times New Roman"/>
                <w:color w:val="000000"/>
                <w:sz w:val="20"/>
                <w:szCs w:val="20"/>
                <w:lang w:val="es-ES_tradnl"/>
              </w:rPr>
            </w:pPr>
            <w:r w:rsidRPr="00703A97">
              <w:rPr>
                <w:rFonts w:ascii="Times New Roman" w:hAnsi="Times New Roman"/>
                <w:sz w:val="20"/>
                <w:szCs w:val="20"/>
                <w:lang w:val="es-ES_tradnl"/>
              </w:rPr>
              <w:t>2019 (presupuesto indicativo)</w:t>
            </w:r>
          </w:p>
        </w:tc>
        <w:tc>
          <w:tcPr>
            <w:tcW w:w="2126" w:type="dxa"/>
            <w:tcBorders>
              <w:top w:val="nil"/>
              <w:left w:val="nil"/>
              <w:bottom w:val="single" w:sz="4" w:space="0" w:color="auto"/>
              <w:right w:val="nil"/>
            </w:tcBorders>
            <w:shd w:val="clear" w:color="auto" w:fill="auto"/>
            <w:noWrap/>
            <w:vAlign w:val="bottom"/>
            <w:hideMark/>
          </w:tcPr>
          <w:p w14:paraId="184C1D24" w14:textId="0A17566D" w:rsidR="000958F5" w:rsidRPr="00703A97" w:rsidRDefault="000958F5" w:rsidP="00C81A13">
            <w:pPr>
              <w:spacing w:before="40" w:after="40" w:line="240" w:lineRule="auto"/>
              <w:jc w:val="right"/>
              <w:rPr>
                <w:rFonts w:ascii="Times New Roman" w:hAnsi="Times New Roman"/>
                <w:color w:val="000000"/>
                <w:sz w:val="20"/>
                <w:szCs w:val="20"/>
                <w:lang w:val="es-ES_tradnl"/>
              </w:rPr>
            </w:pPr>
            <w:r w:rsidRPr="00703A97">
              <w:rPr>
                <w:rFonts w:ascii="Times New Roman" w:hAnsi="Times New Roman"/>
                <w:sz w:val="20"/>
                <w:szCs w:val="20"/>
                <w:lang w:val="es-ES_tradnl"/>
              </w:rPr>
              <w:t>2 934 653</w:t>
            </w:r>
          </w:p>
        </w:tc>
      </w:tr>
      <w:tr w:rsidR="000958F5" w:rsidRPr="00703A97" w14:paraId="20EBFCC2" w14:textId="77777777" w:rsidTr="001E2D97">
        <w:trPr>
          <w:trHeight w:val="260"/>
        </w:trPr>
        <w:tc>
          <w:tcPr>
            <w:tcW w:w="6238" w:type="dxa"/>
            <w:tcBorders>
              <w:top w:val="single" w:sz="4" w:space="0" w:color="auto"/>
              <w:left w:val="nil"/>
              <w:bottom w:val="single" w:sz="12" w:space="0" w:color="auto"/>
              <w:right w:val="nil"/>
            </w:tcBorders>
            <w:shd w:val="clear" w:color="auto" w:fill="auto"/>
            <w:noWrap/>
            <w:hideMark/>
          </w:tcPr>
          <w:p w14:paraId="0B9E11A9" w14:textId="05023AFE" w:rsidR="000958F5" w:rsidRPr="00703A97" w:rsidRDefault="000958F5" w:rsidP="00832F01">
            <w:pPr>
              <w:spacing w:before="40" w:after="40" w:line="240" w:lineRule="auto"/>
              <w:rPr>
                <w:rFonts w:ascii="Times New Roman" w:hAnsi="Times New Roman"/>
                <w:b/>
                <w:color w:val="000000"/>
                <w:sz w:val="20"/>
                <w:szCs w:val="20"/>
                <w:lang w:val="es-ES_tradnl"/>
              </w:rPr>
            </w:pPr>
            <w:r w:rsidRPr="00703A97">
              <w:rPr>
                <w:rFonts w:ascii="Times New Roman" w:hAnsi="Times New Roman"/>
                <w:b/>
                <w:bCs/>
                <w:sz w:val="20"/>
                <w:szCs w:val="20"/>
                <w:lang w:val="es-ES_tradnl"/>
              </w:rPr>
              <w:t>Total de efectivo que se necesita</w:t>
            </w:r>
          </w:p>
        </w:tc>
        <w:tc>
          <w:tcPr>
            <w:tcW w:w="2126" w:type="dxa"/>
            <w:tcBorders>
              <w:top w:val="single" w:sz="4" w:space="0" w:color="auto"/>
              <w:left w:val="nil"/>
              <w:bottom w:val="single" w:sz="12" w:space="0" w:color="auto"/>
              <w:right w:val="nil"/>
            </w:tcBorders>
            <w:shd w:val="clear" w:color="auto" w:fill="auto"/>
            <w:noWrap/>
            <w:hideMark/>
          </w:tcPr>
          <w:p w14:paraId="4A184A6C" w14:textId="1668A794" w:rsidR="000958F5" w:rsidRPr="00045A4D" w:rsidRDefault="000958F5" w:rsidP="00C81A13">
            <w:pPr>
              <w:spacing w:before="40" w:after="40" w:line="240" w:lineRule="auto"/>
              <w:jc w:val="right"/>
              <w:rPr>
                <w:rFonts w:ascii="Times New Roman" w:hAnsi="Times New Roman"/>
                <w:b/>
                <w:color w:val="000000"/>
                <w:sz w:val="20"/>
                <w:szCs w:val="20"/>
                <w:lang w:val="es-ES_tradnl"/>
              </w:rPr>
            </w:pPr>
            <w:r w:rsidRPr="00045A4D">
              <w:rPr>
                <w:rFonts w:ascii="Times New Roman" w:hAnsi="Times New Roman"/>
                <w:b/>
                <w:sz w:val="20"/>
                <w:szCs w:val="20"/>
                <w:lang w:val="es-ES_tradnl"/>
              </w:rPr>
              <w:t>40 506 766</w:t>
            </w:r>
          </w:p>
        </w:tc>
      </w:tr>
    </w:tbl>
    <w:p w14:paraId="46B3C3FD" w14:textId="5220F6D6" w:rsidR="000958F5" w:rsidRPr="00703A97" w:rsidRDefault="000958F5" w:rsidP="003B4951">
      <w:pPr>
        <w:pStyle w:val="Normalnumber"/>
        <w:numPr>
          <w:ilvl w:val="0"/>
          <w:numId w:val="5"/>
        </w:numPr>
        <w:spacing w:before="240"/>
        <w:ind w:left="1247" w:firstLine="0"/>
        <w:rPr>
          <w:lang w:val="es-ES_tradnl"/>
        </w:rPr>
      </w:pPr>
      <w:r w:rsidRPr="00703A97">
        <w:rPr>
          <w:lang w:val="es-ES_tradnl"/>
        </w:rPr>
        <w:t xml:space="preserve">En vista de lo que antecede, faltan por recaudar 10.755.622 dólares, que corresponden a la diferencia entre el costo total (40.506.766 dólares) del primer programa de trabajo y el total de recursos recibidos o prometidos hasta la fecha (29.751.144 dólares). Para dar respuesta a esta delicada situación, la Mesa insta a los gobiernos y a los interesados que estén en condiciones de hacerlo a que hagan promesas de contribuciones al </w:t>
      </w:r>
      <w:r w:rsidR="001E2D97">
        <w:rPr>
          <w:lang w:val="es-ES_tradnl"/>
        </w:rPr>
        <w:t>Fondo Fiduciario</w:t>
      </w:r>
      <w:r w:rsidRPr="00703A97">
        <w:rPr>
          <w:lang w:val="es-ES_tradnl"/>
        </w:rPr>
        <w:t xml:space="preserve"> durante 2017 y los años siguientes. </w:t>
      </w:r>
    </w:p>
    <w:p w14:paraId="79729AD2" w14:textId="70115E54" w:rsidR="000958F5" w:rsidRPr="00703A97" w:rsidRDefault="000958F5" w:rsidP="004D359B">
      <w:pPr>
        <w:pStyle w:val="Normalnumber"/>
        <w:numPr>
          <w:ilvl w:val="0"/>
          <w:numId w:val="5"/>
        </w:numPr>
        <w:ind w:left="1247" w:firstLine="0"/>
        <w:rPr>
          <w:lang w:val="es-ES_tradnl"/>
        </w:rPr>
      </w:pPr>
      <w:r w:rsidRPr="00703A97">
        <w:rPr>
          <w:lang w:val="es-ES_tradnl"/>
        </w:rPr>
        <w:t xml:space="preserve">En el cuadro 8 se muestra el total de efectivo que se necesita (gastos con cargo al </w:t>
      </w:r>
      <w:r w:rsidR="001E2D97">
        <w:rPr>
          <w:lang w:val="es-ES_tradnl"/>
        </w:rPr>
        <w:t>Fondo Fiduciario</w:t>
      </w:r>
      <w:r w:rsidRPr="00703A97">
        <w:rPr>
          <w:lang w:val="es-ES_tradnl"/>
        </w:rPr>
        <w:t xml:space="preserve"> y las contribuciones a la reserva de capital circulante) para 2017</w:t>
      </w:r>
      <w:r w:rsidR="00356A65">
        <w:rPr>
          <w:lang w:val="es-ES_tradnl"/>
        </w:rPr>
        <w:noBreakHyphen/>
      </w:r>
      <w:r w:rsidRPr="00703A97">
        <w:rPr>
          <w:lang w:val="es-ES_tradnl"/>
        </w:rPr>
        <w:t xml:space="preserve">2019 y una estimación del saldo acumulado de fondos disponibles. </w:t>
      </w:r>
    </w:p>
    <w:p w14:paraId="3CAA694B" w14:textId="533B55E6" w:rsidR="000958F5" w:rsidRPr="00703A97" w:rsidRDefault="000958F5" w:rsidP="004D359B">
      <w:pPr>
        <w:pStyle w:val="Normalnumber"/>
        <w:numPr>
          <w:ilvl w:val="0"/>
          <w:numId w:val="5"/>
        </w:numPr>
        <w:ind w:left="1247" w:firstLine="0"/>
        <w:rPr>
          <w:lang w:val="es-ES_tradnl"/>
        </w:rPr>
      </w:pPr>
      <w:r w:rsidRPr="00703A97">
        <w:rPr>
          <w:lang w:val="es-ES_tradnl"/>
        </w:rPr>
        <w:lastRenderedPageBreak/>
        <w:t>Se estima en 6.189.233 dólares el saldo en efectivo disponible al 1 de enero de 2017. Esta cantidad corresponde a la diferencia entre el total de contribuciones recibidas y de promesas de contribución para el período 2012</w:t>
      </w:r>
      <w:r w:rsidR="00356A65">
        <w:rPr>
          <w:lang w:val="es-ES_tradnl"/>
        </w:rPr>
        <w:noBreakHyphen/>
      </w:r>
      <w:r w:rsidRPr="00703A97">
        <w:rPr>
          <w:lang w:val="es-ES_tradnl"/>
        </w:rPr>
        <w:t>2016, que equivale a 27.187.127 dólares (cuadro 1), y la suma de todos los gastos incurridos entre 2012 y 2016 presentada en el cuadro 7 por un total de 20.997.894 dólares. Este total más la cantidad prometida al 15 de diciembre de 201</w:t>
      </w:r>
      <w:r w:rsidR="00FB57B5">
        <w:rPr>
          <w:lang w:val="es-ES_tradnl"/>
        </w:rPr>
        <w:t>6</w:t>
      </w:r>
      <w:r w:rsidRPr="00703A97">
        <w:rPr>
          <w:lang w:val="es-ES_tradnl"/>
        </w:rPr>
        <w:t xml:space="preserve"> para 2017 (1.384.319 dólares) equivale a 7.573.552 dólares, que representan el ingreso total disponible para 2017, sobre la base del efectivo garantizado y las promesas de contribuciones. </w:t>
      </w:r>
    </w:p>
    <w:p w14:paraId="70963796" w14:textId="1899C6C9" w:rsidR="000958F5" w:rsidRPr="00703A97" w:rsidRDefault="000958F5" w:rsidP="004D359B">
      <w:pPr>
        <w:pStyle w:val="Normalnumber"/>
        <w:numPr>
          <w:ilvl w:val="0"/>
          <w:numId w:val="5"/>
        </w:numPr>
        <w:ind w:left="1247" w:firstLine="0"/>
        <w:rPr>
          <w:lang w:val="es-ES_tradnl"/>
        </w:rPr>
      </w:pPr>
      <w:r w:rsidRPr="00703A97">
        <w:rPr>
          <w:lang w:val="es-ES_tradnl"/>
        </w:rPr>
        <w:t xml:space="preserve">El ingreso total disponible para 2017 se utiliza en el cuadro 8 para calcular el saldo acumulado de fondos disponibles de 2017–2019. </w:t>
      </w:r>
    </w:p>
    <w:p w14:paraId="4DDF716C" w14:textId="1922A137" w:rsidR="000958F5" w:rsidRPr="00703A97" w:rsidRDefault="000958F5" w:rsidP="004D359B">
      <w:pPr>
        <w:pStyle w:val="Normalnumber"/>
        <w:numPr>
          <w:ilvl w:val="0"/>
          <w:numId w:val="5"/>
        </w:numPr>
        <w:ind w:left="1247" w:firstLine="0"/>
        <w:rPr>
          <w:lang w:val="es-ES_tradnl"/>
        </w:rPr>
      </w:pPr>
      <w:r w:rsidRPr="00703A97">
        <w:rPr>
          <w:lang w:val="es-ES_tradnl"/>
        </w:rPr>
        <w:t xml:space="preserve">Estimación prudente: en el renglón A del cuadro 8 se presenta una hipótesis muy conservadora, que plantea un saldo estimado y utiliza como ingresos solo las promesas </w:t>
      </w:r>
      <w:r w:rsidR="003B4951">
        <w:rPr>
          <w:lang w:val="es-ES_tradnl"/>
        </w:rPr>
        <w:t>de contribuciones formuladas al </w:t>
      </w:r>
      <w:r w:rsidRPr="00703A97">
        <w:rPr>
          <w:lang w:val="es-ES_tradnl"/>
        </w:rPr>
        <w:t>15 de diciembre de 2016 para 2017 y 2018. Según esta hipótesis prudente, la Plataforma tendrá un déficit en 2017 y necesitará 1.880.157 dólares para equilibrar su presupuesto. Previsiblemente ese déficit aumentará en los años siguientes hasta llegar a un nivel crítico de 10.755.522 dólares en 2019. De ahí que la suma de 10.755.622 dólares represente la cantidad total de fondos que habrá que recaudar.</w:t>
      </w:r>
    </w:p>
    <w:p w14:paraId="100F26DC" w14:textId="7817ABB0" w:rsidR="000958F5" w:rsidRPr="00703A97" w:rsidRDefault="000958F5" w:rsidP="004D359B">
      <w:pPr>
        <w:pStyle w:val="Normalnumber"/>
        <w:numPr>
          <w:ilvl w:val="0"/>
          <w:numId w:val="5"/>
        </w:numPr>
        <w:ind w:left="1247" w:firstLine="0"/>
        <w:rPr>
          <w:b/>
          <w:lang w:val="es-ES_tradnl"/>
        </w:rPr>
      </w:pPr>
      <w:r w:rsidRPr="00703A97">
        <w:rPr>
          <w:lang w:val="es-ES_tradnl"/>
        </w:rPr>
        <w:t xml:space="preserve">Hipótesis realista: el renglón B del cuadro 8 es una hipótesis más realista que presenta un saldo estimado revisado, que utiliza como ingresos, además de las promesas de contribuciones hechas al 15 de diciembre de 2016 para 2017 y 2018, otras posibles contribuciones basadas en la experiencia anterior con las contribuciones hechas por contribuyentes habituales. Según esta hipótesis más realista, la Plataforma también tendrá un déficit en 2017 y necesitará 707.630 dólares para equilibrar su presupuesto. Previsiblemente ese déficit aumentará en los años siguientes hasta llegar a un nivel un poco más bajo aunque igualmente crítico de 8.391.840 </w:t>
      </w:r>
      <w:r w:rsidR="006D3DDF" w:rsidRPr="00703A97">
        <w:rPr>
          <w:lang w:val="es-ES_tradnl"/>
        </w:rPr>
        <w:t>dólares</w:t>
      </w:r>
      <w:r w:rsidRPr="00703A97">
        <w:rPr>
          <w:lang w:val="es-ES_tradnl"/>
        </w:rPr>
        <w:t xml:space="preserve"> en 2019.</w:t>
      </w:r>
    </w:p>
    <w:p w14:paraId="69C2904C" w14:textId="60BBEF03" w:rsidR="000958F5" w:rsidRPr="00703A97" w:rsidRDefault="000958F5" w:rsidP="000958F5">
      <w:pPr>
        <w:spacing w:after="0" w:line="240" w:lineRule="auto"/>
        <w:rPr>
          <w:rFonts w:ascii="Times New Roman" w:hAnsi="Times New Roman"/>
          <w:b/>
          <w:color w:val="000000"/>
          <w:sz w:val="20"/>
          <w:szCs w:val="20"/>
          <w:lang w:val="es-ES_tradnl"/>
        </w:rPr>
      </w:pPr>
      <w:r w:rsidRPr="00045A4D">
        <w:rPr>
          <w:rFonts w:ascii="Times New Roman" w:hAnsi="Times New Roman"/>
          <w:bCs/>
          <w:sz w:val="20"/>
          <w:szCs w:val="20"/>
          <w:lang w:val="es-ES_tradnl"/>
        </w:rPr>
        <w:t xml:space="preserve">Cuadro 8 </w:t>
      </w:r>
      <w:r w:rsidR="00045A4D" w:rsidRPr="00045A4D">
        <w:rPr>
          <w:rFonts w:ascii="Times New Roman" w:hAnsi="Times New Roman"/>
          <w:bCs/>
          <w:sz w:val="20"/>
          <w:szCs w:val="20"/>
          <w:lang w:val="es-ES_tradnl"/>
        </w:rPr>
        <w:br/>
      </w:r>
      <w:r w:rsidRPr="00703A97">
        <w:rPr>
          <w:rFonts w:ascii="Times New Roman" w:hAnsi="Times New Roman"/>
          <w:b/>
          <w:bCs/>
          <w:sz w:val="20"/>
          <w:szCs w:val="20"/>
          <w:lang w:val="es-ES_tradnl"/>
        </w:rPr>
        <w:t>Total de efectivo que se necesita para la Plataforma y estimación del saldo acumulado de fondos disponibles para el período 2017–2019</w:t>
      </w:r>
    </w:p>
    <w:p w14:paraId="6826AF64" w14:textId="72CCB011" w:rsidR="000958F5" w:rsidRPr="00045A4D" w:rsidRDefault="000958F5" w:rsidP="00832F01">
      <w:pPr>
        <w:spacing w:after="120" w:line="240" w:lineRule="auto"/>
        <w:rPr>
          <w:rFonts w:ascii="Times New Roman" w:hAnsi="Times New Roman"/>
          <w:i/>
          <w:color w:val="000000"/>
          <w:sz w:val="18"/>
          <w:szCs w:val="18"/>
          <w:lang w:val="es-ES_tradnl"/>
        </w:rPr>
      </w:pPr>
      <w:r w:rsidRPr="00045A4D">
        <w:rPr>
          <w:rFonts w:ascii="Times New Roman" w:hAnsi="Times New Roman"/>
          <w:sz w:val="18"/>
          <w:szCs w:val="18"/>
          <w:lang w:val="es-ES_tradnl"/>
        </w:rPr>
        <w:t>(en dólares de los E</w:t>
      </w:r>
      <w:r w:rsidR="005E3352">
        <w:rPr>
          <w:rFonts w:ascii="Times New Roman" w:hAnsi="Times New Roman"/>
          <w:sz w:val="18"/>
          <w:szCs w:val="18"/>
          <w:lang w:val="es-ES_tradnl"/>
        </w:rPr>
        <w:t>stados Unidos</w:t>
      </w:r>
      <w:r w:rsidRPr="00045A4D">
        <w:rPr>
          <w:rFonts w:ascii="Times New Roman" w:hAnsi="Times New Roman"/>
          <w:sz w:val="18"/>
          <w:szCs w:val="18"/>
          <w:lang w:val="es-ES_tradnl"/>
        </w:rPr>
        <w:t>)</w:t>
      </w:r>
    </w:p>
    <w:tbl>
      <w:tblPr>
        <w:tblW w:w="5120" w:type="pct"/>
        <w:shd w:val="clear" w:color="auto" w:fill="FFFFFF" w:themeFill="background1"/>
        <w:tblLayout w:type="fixed"/>
        <w:tblLook w:val="05E0" w:firstRow="1" w:lastRow="1" w:firstColumn="1" w:lastColumn="1" w:noHBand="0" w:noVBand="1"/>
      </w:tblPr>
      <w:tblGrid>
        <w:gridCol w:w="2809"/>
        <w:gridCol w:w="1126"/>
        <w:gridCol w:w="1272"/>
        <w:gridCol w:w="1271"/>
        <w:gridCol w:w="1271"/>
        <w:gridCol w:w="1271"/>
        <w:gridCol w:w="1267"/>
      </w:tblGrid>
      <w:tr w:rsidR="000958F5" w:rsidRPr="00FB57B5" w14:paraId="0D0EA0F6" w14:textId="77777777" w:rsidTr="00852DEA">
        <w:trPr>
          <w:trHeight w:val="267"/>
        </w:trPr>
        <w:tc>
          <w:tcPr>
            <w:tcW w:w="1365" w:type="pct"/>
            <w:tcBorders>
              <w:top w:val="single" w:sz="4" w:space="0" w:color="auto"/>
            </w:tcBorders>
            <w:shd w:val="clear" w:color="auto" w:fill="FFFFFF" w:themeFill="background1"/>
            <w:noWrap/>
            <w:hideMark/>
          </w:tcPr>
          <w:p w14:paraId="2F236BDE" w14:textId="26C33E1D" w:rsidR="000958F5" w:rsidRPr="00FB57B5" w:rsidRDefault="000958F5" w:rsidP="006863A3">
            <w:pPr>
              <w:spacing w:after="0" w:line="240" w:lineRule="auto"/>
              <w:rPr>
                <w:rFonts w:ascii="Times New Roman" w:hAnsi="Times New Roman"/>
                <w:i/>
                <w:color w:val="000000"/>
                <w:sz w:val="18"/>
                <w:szCs w:val="18"/>
                <w:lang w:val="es-ES_tradnl"/>
              </w:rPr>
            </w:pPr>
          </w:p>
        </w:tc>
        <w:tc>
          <w:tcPr>
            <w:tcW w:w="1165" w:type="pct"/>
            <w:gridSpan w:val="2"/>
            <w:tcBorders>
              <w:top w:val="single" w:sz="4" w:space="0" w:color="auto"/>
              <w:bottom w:val="single" w:sz="4" w:space="0" w:color="auto"/>
            </w:tcBorders>
            <w:shd w:val="clear" w:color="auto" w:fill="FFFFFF" w:themeFill="background1"/>
            <w:noWrap/>
            <w:vAlign w:val="center"/>
            <w:hideMark/>
          </w:tcPr>
          <w:p w14:paraId="7CEDE3A2" w14:textId="77777777" w:rsidR="000958F5" w:rsidRPr="00FB57B5" w:rsidRDefault="000958F5" w:rsidP="00852DEA">
            <w:pPr>
              <w:spacing w:after="0" w:line="240" w:lineRule="auto"/>
              <w:jc w:val="center"/>
              <w:rPr>
                <w:rFonts w:ascii="Times New Roman" w:hAnsi="Times New Roman"/>
                <w:i/>
                <w:color w:val="000000"/>
                <w:sz w:val="18"/>
                <w:szCs w:val="18"/>
                <w:lang w:val="es-ES_tradnl"/>
              </w:rPr>
            </w:pPr>
            <w:r w:rsidRPr="00FB57B5">
              <w:rPr>
                <w:rFonts w:ascii="Times New Roman" w:hAnsi="Times New Roman"/>
                <w:i/>
                <w:sz w:val="18"/>
                <w:szCs w:val="18"/>
                <w:lang w:val="es-ES_tradnl"/>
              </w:rPr>
              <w:t>2017</w:t>
            </w:r>
          </w:p>
        </w:tc>
        <w:tc>
          <w:tcPr>
            <w:tcW w:w="1236" w:type="pct"/>
            <w:gridSpan w:val="2"/>
            <w:tcBorders>
              <w:top w:val="single" w:sz="4" w:space="0" w:color="auto"/>
              <w:bottom w:val="single" w:sz="4" w:space="0" w:color="auto"/>
            </w:tcBorders>
            <w:shd w:val="clear" w:color="auto" w:fill="FFFFFF" w:themeFill="background1"/>
            <w:noWrap/>
            <w:vAlign w:val="center"/>
            <w:hideMark/>
          </w:tcPr>
          <w:p w14:paraId="4D42C2B3" w14:textId="77777777" w:rsidR="000958F5" w:rsidRPr="00FB57B5" w:rsidRDefault="000958F5" w:rsidP="00852DEA">
            <w:pPr>
              <w:spacing w:after="0" w:line="240" w:lineRule="auto"/>
              <w:jc w:val="center"/>
              <w:rPr>
                <w:rFonts w:ascii="Times New Roman" w:hAnsi="Times New Roman"/>
                <w:i/>
                <w:color w:val="000000"/>
                <w:sz w:val="18"/>
                <w:szCs w:val="18"/>
                <w:lang w:val="es-ES_tradnl"/>
              </w:rPr>
            </w:pPr>
            <w:r w:rsidRPr="00FB57B5">
              <w:rPr>
                <w:rFonts w:ascii="Times New Roman" w:hAnsi="Times New Roman"/>
                <w:i/>
                <w:sz w:val="18"/>
                <w:szCs w:val="18"/>
                <w:lang w:val="es-ES_tradnl"/>
              </w:rPr>
              <w:t>2018</w:t>
            </w:r>
          </w:p>
        </w:tc>
        <w:tc>
          <w:tcPr>
            <w:tcW w:w="1235" w:type="pct"/>
            <w:gridSpan w:val="2"/>
            <w:tcBorders>
              <w:top w:val="single" w:sz="4" w:space="0" w:color="auto"/>
              <w:bottom w:val="single" w:sz="4" w:space="0" w:color="auto"/>
            </w:tcBorders>
            <w:shd w:val="clear" w:color="auto" w:fill="FFFFFF" w:themeFill="background1"/>
            <w:noWrap/>
            <w:vAlign w:val="center"/>
            <w:hideMark/>
          </w:tcPr>
          <w:p w14:paraId="153428D1" w14:textId="77777777" w:rsidR="000958F5" w:rsidRPr="00FB57B5" w:rsidRDefault="000958F5" w:rsidP="00852DEA">
            <w:pPr>
              <w:spacing w:after="0" w:line="240" w:lineRule="auto"/>
              <w:jc w:val="center"/>
              <w:rPr>
                <w:rFonts w:ascii="Times New Roman" w:hAnsi="Times New Roman"/>
                <w:i/>
                <w:color w:val="000000"/>
                <w:sz w:val="18"/>
                <w:szCs w:val="18"/>
                <w:lang w:val="es-ES_tradnl"/>
              </w:rPr>
            </w:pPr>
            <w:r w:rsidRPr="00FB57B5">
              <w:rPr>
                <w:rFonts w:ascii="Times New Roman" w:hAnsi="Times New Roman"/>
                <w:i/>
                <w:sz w:val="18"/>
                <w:szCs w:val="18"/>
                <w:lang w:val="es-ES_tradnl"/>
              </w:rPr>
              <w:t>2019</w:t>
            </w:r>
          </w:p>
        </w:tc>
      </w:tr>
      <w:tr w:rsidR="000958F5" w:rsidRPr="000930FA" w14:paraId="524C4D53" w14:textId="77777777" w:rsidTr="00852DEA">
        <w:trPr>
          <w:trHeight w:val="784"/>
        </w:trPr>
        <w:tc>
          <w:tcPr>
            <w:tcW w:w="1365" w:type="pct"/>
            <w:tcBorders>
              <w:bottom w:val="single" w:sz="12" w:space="0" w:color="auto"/>
            </w:tcBorders>
            <w:shd w:val="clear" w:color="auto" w:fill="FFFFFF" w:themeFill="background1"/>
            <w:noWrap/>
            <w:hideMark/>
          </w:tcPr>
          <w:p w14:paraId="0541B857" w14:textId="31B5CE97" w:rsidR="000958F5" w:rsidRPr="00852DEA" w:rsidRDefault="000958F5" w:rsidP="00852DEA">
            <w:pPr>
              <w:spacing w:after="0" w:line="240" w:lineRule="auto"/>
              <w:ind w:left="-113" w:right="-57"/>
              <w:jc w:val="right"/>
              <w:rPr>
                <w:rFonts w:ascii="Times New Roman" w:hAnsi="Times New Roman"/>
                <w:i/>
                <w:sz w:val="18"/>
                <w:szCs w:val="18"/>
                <w:lang w:val="es-ES_tradnl"/>
              </w:rPr>
            </w:pPr>
          </w:p>
        </w:tc>
        <w:tc>
          <w:tcPr>
            <w:tcW w:w="547" w:type="pct"/>
            <w:tcBorders>
              <w:top w:val="single" w:sz="4" w:space="0" w:color="auto"/>
              <w:bottom w:val="single" w:sz="12" w:space="0" w:color="auto"/>
            </w:tcBorders>
            <w:shd w:val="clear" w:color="auto" w:fill="FFFFFF" w:themeFill="background1"/>
            <w:tcMar>
              <w:left w:w="85" w:type="dxa"/>
              <w:right w:w="85" w:type="dxa"/>
            </w:tcMar>
            <w:vAlign w:val="bottom"/>
            <w:hideMark/>
          </w:tcPr>
          <w:p w14:paraId="45499335" w14:textId="5D8FCBE0" w:rsidR="000958F5" w:rsidRPr="00852DEA" w:rsidRDefault="00852DEA" w:rsidP="00852DEA">
            <w:pPr>
              <w:spacing w:after="0" w:line="240" w:lineRule="auto"/>
              <w:ind w:left="-113" w:right="-57"/>
              <w:jc w:val="right"/>
              <w:rPr>
                <w:rFonts w:ascii="Times New Roman" w:hAnsi="Times New Roman"/>
                <w:i/>
                <w:sz w:val="18"/>
                <w:szCs w:val="18"/>
                <w:lang w:val="es-ES_tradnl"/>
              </w:rPr>
            </w:pPr>
            <w:r w:rsidRPr="00852DEA">
              <w:rPr>
                <w:rFonts w:ascii="Times New Roman" w:hAnsi="Times New Roman"/>
                <w:i/>
                <w:sz w:val="18"/>
                <w:szCs w:val="18"/>
                <w:lang w:val="es-ES_tradnl"/>
              </w:rPr>
              <w:t xml:space="preserve">Total de </w:t>
            </w:r>
            <w:r>
              <w:rPr>
                <w:rFonts w:ascii="Times New Roman" w:hAnsi="Times New Roman"/>
                <w:i/>
                <w:sz w:val="18"/>
                <w:szCs w:val="18"/>
                <w:lang w:val="es-ES_tradnl"/>
              </w:rPr>
              <w:br/>
            </w:r>
            <w:r w:rsidRPr="00852DEA">
              <w:rPr>
                <w:rFonts w:ascii="Times New Roman" w:hAnsi="Times New Roman"/>
                <w:i/>
                <w:sz w:val="18"/>
                <w:szCs w:val="18"/>
                <w:lang w:val="es-ES_tradnl"/>
              </w:rPr>
              <w:t xml:space="preserve">efectivo que </w:t>
            </w:r>
            <w:r>
              <w:rPr>
                <w:rFonts w:ascii="Times New Roman" w:hAnsi="Times New Roman"/>
                <w:i/>
                <w:sz w:val="18"/>
                <w:szCs w:val="18"/>
                <w:lang w:val="es-ES_tradnl"/>
              </w:rPr>
              <w:br/>
            </w:r>
            <w:r w:rsidRPr="00852DEA">
              <w:rPr>
                <w:rFonts w:ascii="Times New Roman" w:hAnsi="Times New Roman"/>
                <w:i/>
                <w:sz w:val="18"/>
                <w:szCs w:val="18"/>
                <w:lang w:val="es-ES_tradnl"/>
              </w:rPr>
              <w:t>se necesita</w:t>
            </w:r>
          </w:p>
        </w:tc>
        <w:tc>
          <w:tcPr>
            <w:tcW w:w="618" w:type="pct"/>
            <w:tcBorders>
              <w:top w:val="single" w:sz="4" w:space="0" w:color="auto"/>
              <w:bottom w:val="single" w:sz="12" w:space="0" w:color="auto"/>
            </w:tcBorders>
            <w:shd w:val="clear" w:color="auto" w:fill="FFFFFF" w:themeFill="background1"/>
            <w:vAlign w:val="bottom"/>
            <w:hideMark/>
          </w:tcPr>
          <w:p w14:paraId="32A13B89" w14:textId="1C1B82B9" w:rsidR="000958F5" w:rsidRPr="00852DEA" w:rsidRDefault="000958F5" w:rsidP="00852DEA">
            <w:pPr>
              <w:spacing w:after="0" w:line="240" w:lineRule="auto"/>
              <w:ind w:left="-113" w:right="-57"/>
              <w:jc w:val="right"/>
              <w:rPr>
                <w:rFonts w:ascii="Times New Roman" w:hAnsi="Times New Roman"/>
                <w:i/>
                <w:sz w:val="18"/>
                <w:szCs w:val="18"/>
                <w:lang w:val="es-ES_tradnl"/>
              </w:rPr>
            </w:pPr>
            <w:r w:rsidRPr="00FB57B5">
              <w:rPr>
                <w:rFonts w:ascii="Times New Roman" w:hAnsi="Times New Roman"/>
                <w:i/>
                <w:sz w:val="18"/>
                <w:szCs w:val="18"/>
                <w:lang w:val="es-ES_tradnl"/>
              </w:rPr>
              <w:t>Saldo acumulado de fondos disponibles (+/-)</w:t>
            </w:r>
          </w:p>
        </w:tc>
        <w:tc>
          <w:tcPr>
            <w:tcW w:w="618" w:type="pct"/>
            <w:tcBorders>
              <w:top w:val="single" w:sz="4" w:space="0" w:color="auto"/>
              <w:bottom w:val="single" w:sz="12" w:space="0" w:color="auto"/>
            </w:tcBorders>
            <w:shd w:val="clear" w:color="auto" w:fill="FFFFFF" w:themeFill="background1"/>
            <w:vAlign w:val="bottom"/>
            <w:hideMark/>
          </w:tcPr>
          <w:p w14:paraId="6E75C418" w14:textId="6C135214" w:rsidR="000958F5" w:rsidRPr="00852DEA" w:rsidRDefault="000958F5" w:rsidP="00852DEA">
            <w:pPr>
              <w:spacing w:after="0" w:line="240" w:lineRule="auto"/>
              <w:ind w:left="-113" w:right="-57"/>
              <w:jc w:val="right"/>
              <w:rPr>
                <w:rFonts w:ascii="Times New Roman" w:hAnsi="Times New Roman"/>
                <w:i/>
                <w:sz w:val="18"/>
                <w:szCs w:val="18"/>
                <w:lang w:val="es-ES_tradnl"/>
              </w:rPr>
            </w:pPr>
            <w:r w:rsidRPr="00852DEA">
              <w:rPr>
                <w:rFonts w:ascii="Times New Roman" w:hAnsi="Times New Roman"/>
                <w:i/>
                <w:sz w:val="18"/>
                <w:szCs w:val="18"/>
                <w:lang w:val="es-ES_tradnl"/>
              </w:rPr>
              <w:t xml:space="preserve">Total de </w:t>
            </w:r>
            <w:r w:rsidR="00852DEA">
              <w:rPr>
                <w:rFonts w:ascii="Times New Roman" w:hAnsi="Times New Roman"/>
                <w:i/>
                <w:sz w:val="18"/>
                <w:szCs w:val="18"/>
                <w:lang w:val="es-ES_tradnl"/>
              </w:rPr>
              <w:br/>
            </w:r>
            <w:r w:rsidRPr="00852DEA">
              <w:rPr>
                <w:rFonts w:ascii="Times New Roman" w:hAnsi="Times New Roman"/>
                <w:i/>
                <w:sz w:val="18"/>
                <w:szCs w:val="18"/>
                <w:lang w:val="es-ES_tradnl"/>
              </w:rPr>
              <w:t xml:space="preserve">efectivo que </w:t>
            </w:r>
            <w:r w:rsidR="00852DEA">
              <w:rPr>
                <w:rFonts w:ascii="Times New Roman" w:hAnsi="Times New Roman"/>
                <w:i/>
                <w:sz w:val="18"/>
                <w:szCs w:val="18"/>
                <w:lang w:val="es-ES_tradnl"/>
              </w:rPr>
              <w:br/>
            </w:r>
            <w:r w:rsidRPr="00852DEA">
              <w:rPr>
                <w:rFonts w:ascii="Times New Roman" w:hAnsi="Times New Roman"/>
                <w:i/>
                <w:sz w:val="18"/>
                <w:szCs w:val="18"/>
                <w:lang w:val="es-ES_tradnl"/>
              </w:rPr>
              <w:t>se necesita</w:t>
            </w:r>
          </w:p>
        </w:tc>
        <w:tc>
          <w:tcPr>
            <w:tcW w:w="618" w:type="pct"/>
            <w:tcBorders>
              <w:top w:val="single" w:sz="4" w:space="0" w:color="auto"/>
              <w:bottom w:val="single" w:sz="12" w:space="0" w:color="auto"/>
            </w:tcBorders>
            <w:shd w:val="clear" w:color="auto" w:fill="FFFFFF" w:themeFill="background1"/>
            <w:vAlign w:val="bottom"/>
            <w:hideMark/>
          </w:tcPr>
          <w:p w14:paraId="36F0B7F1" w14:textId="311480CA" w:rsidR="000958F5" w:rsidRPr="00852DEA" w:rsidRDefault="000958F5" w:rsidP="00852DEA">
            <w:pPr>
              <w:spacing w:after="0" w:line="240" w:lineRule="auto"/>
              <w:ind w:left="-113" w:right="-57"/>
              <w:jc w:val="right"/>
              <w:rPr>
                <w:rFonts w:ascii="Times New Roman" w:hAnsi="Times New Roman"/>
                <w:i/>
                <w:sz w:val="18"/>
                <w:szCs w:val="18"/>
                <w:lang w:val="es-ES_tradnl"/>
              </w:rPr>
            </w:pPr>
            <w:r w:rsidRPr="00FB57B5">
              <w:rPr>
                <w:rFonts w:ascii="Times New Roman" w:hAnsi="Times New Roman"/>
                <w:i/>
                <w:sz w:val="18"/>
                <w:szCs w:val="18"/>
                <w:lang w:val="es-ES_tradnl"/>
              </w:rPr>
              <w:t>Saldo acumulado de fondos disponibles (+/-)</w:t>
            </w:r>
          </w:p>
        </w:tc>
        <w:tc>
          <w:tcPr>
            <w:tcW w:w="618" w:type="pct"/>
            <w:tcBorders>
              <w:top w:val="single" w:sz="4" w:space="0" w:color="auto"/>
              <w:bottom w:val="single" w:sz="12" w:space="0" w:color="auto"/>
            </w:tcBorders>
            <w:shd w:val="clear" w:color="auto" w:fill="FFFFFF" w:themeFill="background1"/>
            <w:vAlign w:val="bottom"/>
            <w:hideMark/>
          </w:tcPr>
          <w:p w14:paraId="4BCD6FB1" w14:textId="77845901" w:rsidR="000958F5" w:rsidRPr="00852DEA" w:rsidRDefault="00852DEA" w:rsidP="00852DEA">
            <w:pPr>
              <w:spacing w:after="0" w:line="240" w:lineRule="auto"/>
              <w:ind w:left="-113" w:right="-57"/>
              <w:jc w:val="right"/>
              <w:rPr>
                <w:rFonts w:ascii="Times New Roman" w:hAnsi="Times New Roman"/>
                <w:i/>
                <w:sz w:val="18"/>
                <w:szCs w:val="18"/>
                <w:lang w:val="es-ES_tradnl"/>
              </w:rPr>
            </w:pPr>
            <w:r w:rsidRPr="00852DEA">
              <w:rPr>
                <w:rFonts w:ascii="Times New Roman" w:hAnsi="Times New Roman"/>
                <w:i/>
                <w:sz w:val="18"/>
                <w:szCs w:val="18"/>
                <w:lang w:val="es-ES_tradnl"/>
              </w:rPr>
              <w:t xml:space="preserve">Total de </w:t>
            </w:r>
            <w:r>
              <w:rPr>
                <w:rFonts w:ascii="Times New Roman" w:hAnsi="Times New Roman"/>
                <w:i/>
                <w:sz w:val="18"/>
                <w:szCs w:val="18"/>
                <w:lang w:val="es-ES_tradnl"/>
              </w:rPr>
              <w:br/>
            </w:r>
            <w:r w:rsidRPr="00852DEA">
              <w:rPr>
                <w:rFonts w:ascii="Times New Roman" w:hAnsi="Times New Roman"/>
                <w:i/>
                <w:sz w:val="18"/>
                <w:szCs w:val="18"/>
                <w:lang w:val="es-ES_tradnl"/>
              </w:rPr>
              <w:t xml:space="preserve">efectivo que </w:t>
            </w:r>
            <w:r>
              <w:rPr>
                <w:rFonts w:ascii="Times New Roman" w:hAnsi="Times New Roman"/>
                <w:i/>
                <w:sz w:val="18"/>
                <w:szCs w:val="18"/>
                <w:lang w:val="es-ES_tradnl"/>
              </w:rPr>
              <w:br/>
            </w:r>
            <w:r w:rsidRPr="00852DEA">
              <w:rPr>
                <w:rFonts w:ascii="Times New Roman" w:hAnsi="Times New Roman"/>
                <w:i/>
                <w:sz w:val="18"/>
                <w:szCs w:val="18"/>
                <w:lang w:val="es-ES_tradnl"/>
              </w:rPr>
              <w:t>se necesita</w:t>
            </w:r>
          </w:p>
        </w:tc>
        <w:tc>
          <w:tcPr>
            <w:tcW w:w="617" w:type="pct"/>
            <w:tcBorders>
              <w:top w:val="single" w:sz="4" w:space="0" w:color="auto"/>
              <w:bottom w:val="single" w:sz="12" w:space="0" w:color="auto"/>
            </w:tcBorders>
            <w:shd w:val="clear" w:color="auto" w:fill="FFFFFF" w:themeFill="background1"/>
            <w:vAlign w:val="bottom"/>
            <w:hideMark/>
          </w:tcPr>
          <w:p w14:paraId="2342BCA8" w14:textId="738DA201" w:rsidR="000958F5" w:rsidRPr="00852DEA" w:rsidRDefault="000958F5" w:rsidP="00852DEA">
            <w:pPr>
              <w:spacing w:after="0" w:line="240" w:lineRule="auto"/>
              <w:ind w:left="-113" w:right="-57"/>
              <w:jc w:val="right"/>
              <w:rPr>
                <w:rFonts w:ascii="Times New Roman" w:hAnsi="Times New Roman"/>
                <w:i/>
                <w:sz w:val="18"/>
                <w:szCs w:val="18"/>
                <w:lang w:val="es-ES_tradnl"/>
              </w:rPr>
            </w:pPr>
            <w:r w:rsidRPr="00FB57B5">
              <w:rPr>
                <w:rFonts w:ascii="Times New Roman" w:hAnsi="Times New Roman"/>
                <w:i/>
                <w:sz w:val="18"/>
                <w:szCs w:val="18"/>
                <w:lang w:val="es-ES_tradnl"/>
              </w:rPr>
              <w:t>Saldo acumulado de fondos disponibles (+/-)</w:t>
            </w:r>
          </w:p>
        </w:tc>
      </w:tr>
      <w:tr w:rsidR="000958F5" w:rsidRPr="00FB57B5" w14:paraId="5BA39DA1" w14:textId="77777777" w:rsidTr="00FB57B5">
        <w:trPr>
          <w:trHeight w:val="536"/>
        </w:trPr>
        <w:tc>
          <w:tcPr>
            <w:tcW w:w="1365" w:type="pct"/>
            <w:tcBorders>
              <w:top w:val="single" w:sz="12" w:space="0" w:color="auto"/>
            </w:tcBorders>
            <w:shd w:val="clear" w:color="auto" w:fill="FFFFFF" w:themeFill="background1"/>
            <w:noWrap/>
            <w:hideMark/>
          </w:tcPr>
          <w:p w14:paraId="543F5041" w14:textId="16D5FC14" w:rsidR="000958F5" w:rsidRPr="00FB57B5" w:rsidRDefault="000958F5" w:rsidP="00EE73C3">
            <w:pPr>
              <w:spacing w:after="0" w:line="240" w:lineRule="auto"/>
              <w:rPr>
                <w:rFonts w:ascii="Times New Roman" w:hAnsi="Times New Roman"/>
                <w:color w:val="000000"/>
                <w:sz w:val="18"/>
                <w:szCs w:val="18"/>
                <w:lang w:val="es-ES_tradnl"/>
              </w:rPr>
            </w:pPr>
            <w:r w:rsidRPr="00FB57B5">
              <w:rPr>
                <w:rFonts w:ascii="Times New Roman" w:hAnsi="Times New Roman"/>
                <w:sz w:val="18"/>
                <w:szCs w:val="18"/>
                <w:lang w:val="es-ES_tradnl"/>
              </w:rPr>
              <w:t>Saldo de caja estimado al 1 de enero de 2017</w:t>
            </w:r>
          </w:p>
        </w:tc>
        <w:tc>
          <w:tcPr>
            <w:tcW w:w="547" w:type="pct"/>
            <w:tcBorders>
              <w:top w:val="single" w:sz="12" w:space="0" w:color="auto"/>
            </w:tcBorders>
            <w:shd w:val="clear" w:color="auto" w:fill="FFFFFF" w:themeFill="background1"/>
            <w:vAlign w:val="bottom"/>
            <w:hideMark/>
          </w:tcPr>
          <w:p w14:paraId="1BF6A50F" w14:textId="52D57912" w:rsidR="000958F5" w:rsidRPr="00FB57B5" w:rsidRDefault="000D3AC4"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color w:val="000000"/>
                <w:sz w:val="18"/>
                <w:szCs w:val="18"/>
                <w:lang w:val="es-ES_tradnl"/>
              </w:rPr>
              <w:t xml:space="preserve"> </w:t>
            </w:r>
          </w:p>
        </w:tc>
        <w:tc>
          <w:tcPr>
            <w:tcW w:w="618" w:type="pct"/>
            <w:tcBorders>
              <w:top w:val="single" w:sz="12" w:space="0" w:color="auto"/>
            </w:tcBorders>
            <w:shd w:val="clear" w:color="auto" w:fill="FFFFFF" w:themeFill="background1"/>
            <w:vAlign w:val="bottom"/>
            <w:hideMark/>
          </w:tcPr>
          <w:p w14:paraId="6026E2F3" w14:textId="4C82D035" w:rsidR="000958F5" w:rsidRPr="00FB57B5" w:rsidRDefault="000958F5"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sz w:val="18"/>
                <w:szCs w:val="18"/>
                <w:lang w:val="es-ES_tradnl"/>
              </w:rPr>
              <w:t>6 189 233</w:t>
            </w:r>
          </w:p>
        </w:tc>
        <w:tc>
          <w:tcPr>
            <w:tcW w:w="618" w:type="pct"/>
            <w:tcBorders>
              <w:top w:val="single" w:sz="12" w:space="0" w:color="auto"/>
            </w:tcBorders>
            <w:shd w:val="clear" w:color="auto" w:fill="FFFFFF" w:themeFill="background1"/>
            <w:vAlign w:val="bottom"/>
            <w:hideMark/>
          </w:tcPr>
          <w:p w14:paraId="4EDD6E73" w14:textId="613B9467" w:rsidR="000958F5" w:rsidRPr="00FB57B5" w:rsidRDefault="000D3AC4"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color w:val="000000"/>
                <w:sz w:val="18"/>
                <w:szCs w:val="18"/>
                <w:lang w:val="es-ES_tradnl"/>
              </w:rPr>
              <w:t xml:space="preserve"> </w:t>
            </w:r>
          </w:p>
        </w:tc>
        <w:tc>
          <w:tcPr>
            <w:tcW w:w="618" w:type="pct"/>
            <w:tcBorders>
              <w:top w:val="single" w:sz="12" w:space="0" w:color="auto"/>
            </w:tcBorders>
            <w:shd w:val="clear" w:color="auto" w:fill="FFFFFF" w:themeFill="background1"/>
            <w:vAlign w:val="bottom"/>
            <w:hideMark/>
          </w:tcPr>
          <w:p w14:paraId="1FE31A61" w14:textId="68C55D0F" w:rsidR="000958F5" w:rsidRPr="00FB57B5" w:rsidRDefault="000D3AC4"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color w:val="000000"/>
                <w:sz w:val="18"/>
                <w:szCs w:val="18"/>
                <w:lang w:val="es-ES_tradnl"/>
              </w:rPr>
              <w:t xml:space="preserve"> </w:t>
            </w:r>
          </w:p>
        </w:tc>
        <w:tc>
          <w:tcPr>
            <w:tcW w:w="618" w:type="pct"/>
            <w:tcBorders>
              <w:top w:val="single" w:sz="12" w:space="0" w:color="auto"/>
            </w:tcBorders>
            <w:shd w:val="clear" w:color="auto" w:fill="FFFFFF" w:themeFill="background1"/>
            <w:vAlign w:val="bottom"/>
            <w:hideMark/>
          </w:tcPr>
          <w:p w14:paraId="6677C497" w14:textId="0B16A978" w:rsidR="000958F5" w:rsidRPr="00FB57B5" w:rsidRDefault="000D3AC4"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color w:val="000000"/>
                <w:sz w:val="18"/>
                <w:szCs w:val="18"/>
                <w:lang w:val="es-ES_tradnl"/>
              </w:rPr>
              <w:t xml:space="preserve"> </w:t>
            </w:r>
          </w:p>
        </w:tc>
        <w:tc>
          <w:tcPr>
            <w:tcW w:w="617" w:type="pct"/>
            <w:tcBorders>
              <w:top w:val="single" w:sz="12" w:space="0" w:color="auto"/>
            </w:tcBorders>
            <w:shd w:val="clear" w:color="auto" w:fill="FFFFFF" w:themeFill="background1"/>
            <w:vAlign w:val="bottom"/>
            <w:hideMark/>
          </w:tcPr>
          <w:p w14:paraId="1BBDCE64" w14:textId="0A993E63" w:rsidR="000958F5" w:rsidRPr="00FB57B5" w:rsidRDefault="000D3AC4" w:rsidP="00FB57B5">
            <w:pPr>
              <w:spacing w:after="0" w:line="240" w:lineRule="auto"/>
              <w:jc w:val="right"/>
              <w:rPr>
                <w:rFonts w:ascii="Times New Roman" w:hAnsi="Times New Roman"/>
                <w:b/>
                <w:color w:val="000000"/>
                <w:sz w:val="18"/>
                <w:szCs w:val="18"/>
                <w:lang w:val="es-ES_tradnl"/>
              </w:rPr>
            </w:pPr>
            <w:r w:rsidRPr="00FB57B5">
              <w:rPr>
                <w:rFonts w:ascii="Times New Roman" w:hAnsi="Times New Roman"/>
                <w:b/>
                <w:color w:val="000000"/>
                <w:sz w:val="18"/>
                <w:szCs w:val="18"/>
                <w:lang w:val="es-ES_tradnl"/>
              </w:rPr>
              <w:t xml:space="preserve"> </w:t>
            </w:r>
          </w:p>
        </w:tc>
      </w:tr>
      <w:tr w:rsidR="000958F5" w:rsidRPr="00FB57B5" w14:paraId="42CE0E8F" w14:textId="77777777" w:rsidTr="00FB57B5">
        <w:trPr>
          <w:trHeight w:val="550"/>
        </w:trPr>
        <w:tc>
          <w:tcPr>
            <w:tcW w:w="1365" w:type="pct"/>
            <w:shd w:val="clear" w:color="auto" w:fill="FFFFFF" w:themeFill="background1"/>
            <w:noWrap/>
            <w:hideMark/>
          </w:tcPr>
          <w:p w14:paraId="2EE31862" w14:textId="6D351410" w:rsidR="000958F5" w:rsidRPr="00FB57B5" w:rsidRDefault="000958F5" w:rsidP="006863A3">
            <w:pPr>
              <w:spacing w:after="0" w:line="240" w:lineRule="auto"/>
              <w:rPr>
                <w:rFonts w:ascii="Times New Roman" w:hAnsi="Times New Roman"/>
                <w:color w:val="000000"/>
                <w:sz w:val="18"/>
                <w:szCs w:val="18"/>
                <w:lang w:val="es-ES_tradnl"/>
              </w:rPr>
            </w:pPr>
            <w:r w:rsidRPr="00FB57B5">
              <w:rPr>
                <w:rFonts w:ascii="Times New Roman" w:hAnsi="Times New Roman"/>
                <w:sz w:val="18"/>
                <w:szCs w:val="18"/>
                <w:lang w:val="es-ES_tradnl"/>
              </w:rPr>
              <w:t>Ingresos adicionales prometidos (véase el cuadro 1)</w:t>
            </w:r>
          </w:p>
        </w:tc>
        <w:tc>
          <w:tcPr>
            <w:tcW w:w="547" w:type="pct"/>
            <w:shd w:val="clear" w:color="auto" w:fill="FFFFFF" w:themeFill="background1"/>
            <w:vAlign w:val="bottom"/>
            <w:hideMark/>
          </w:tcPr>
          <w:p w14:paraId="592B3AD8" w14:textId="109F4B35" w:rsidR="000958F5" w:rsidRPr="00FB57B5" w:rsidRDefault="000D3AC4"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color w:val="000000"/>
                <w:sz w:val="18"/>
                <w:szCs w:val="18"/>
                <w:lang w:val="es-ES_tradnl"/>
              </w:rPr>
              <w:t xml:space="preserve"> </w:t>
            </w:r>
          </w:p>
        </w:tc>
        <w:tc>
          <w:tcPr>
            <w:tcW w:w="618" w:type="pct"/>
            <w:shd w:val="clear" w:color="auto" w:fill="FFFFFF" w:themeFill="background1"/>
            <w:vAlign w:val="bottom"/>
            <w:hideMark/>
          </w:tcPr>
          <w:p w14:paraId="6A7D691A" w14:textId="2CA37FC9" w:rsidR="000958F5" w:rsidRPr="00FB57B5" w:rsidRDefault="000958F5"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sz w:val="18"/>
                <w:szCs w:val="18"/>
                <w:lang w:val="es-ES_tradnl"/>
              </w:rPr>
              <w:t>1 384 319</w:t>
            </w:r>
          </w:p>
        </w:tc>
        <w:tc>
          <w:tcPr>
            <w:tcW w:w="618" w:type="pct"/>
            <w:shd w:val="clear" w:color="auto" w:fill="FFFFFF" w:themeFill="background1"/>
            <w:vAlign w:val="bottom"/>
            <w:hideMark/>
          </w:tcPr>
          <w:p w14:paraId="6835F537" w14:textId="58D065BA" w:rsidR="000958F5" w:rsidRPr="00FB57B5" w:rsidRDefault="000D3AC4"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color w:val="000000"/>
                <w:sz w:val="18"/>
                <w:szCs w:val="18"/>
                <w:lang w:val="es-ES_tradnl"/>
              </w:rPr>
              <w:t xml:space="preserve"> </w:t>
            </w:r>
          </w:p>
        </w:tc>
        <w:tc>
          <w:tcPr>
            <w:tcW w:w="618" w:type="pct"/>
            <w:shd w:val="clear" w:color="auto" w:fill="FFFFFF" w:themeFill="background1"/>
            <w:vAlign w:val="bottom"/>
            <w:hideMark/>
          </w:tcPr>
          <w:p w14:paraId="790D38F6" w14:textId="0F2C1955" w:rsidR="000958F5" w:rsidRPr="00FB57B5" w:rsidRDefault="000958F5"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sz w:val="18"/>
                <w:szCs w:val="18"/>
                <w:lang w:val="es-ES_tradnl"/>
              </w:rPr>
              <w:t>1 179 698</w:t>
            </w:r>
          </w:p>
        </w:tc>
        <w:tc>
          <w:tcPr>
            <w:tcW w:w="618" w:type="pct"/>
            <w:shd w:val="clear" w:color="auto" w:fill="FFFFFF" w:themeFill="background1"/>
            <w:vAlign w:val="bottom"/>
            <w:hideMark/>
          </w:tcPr>
          <w:p w14:paraId="0B4F2A7C" w14:textId="59E17C29" w:rsidR="000958F5" w:rsidRPr="00FB57B5" w:rsidRDefault="000D3AC4" w:rsidP="00FB57B5">
            <w:pPr>
              <w:spacing w:after="0" w:line="240" w:lineRule="auto"/>
              <w:jc w:val="right"/>
              <w:rPr>
                <w:rFonts w:ascii="Times New Roman" w:hAnsi="Times New Roman"/>
                <w:color w:val="000000"/>
                <w:sz w:val="18"/>
                <w:szCs w:val="18"/>
                <w:lang w:val="es-ES_tradnl"/>
              </w:rPr>
            </w:pPr>
            <w:r w:rsidRPr="00FB57B5">
              <w:rPr>
                <w:rFonts w:ascii="Times New Roman" w:hAnsi="Times New Roman"/>
                <w:color w:val="000000"/>
                <w:sz w:val="18"/>
                <w:szCs w:val="18"/>
                <w:lang w:val="es-ES_tradnl"/>
              </w:rPr>
              <w:t xml:space="preserve"> </w:t>
            </w:r>
          </w:p>
        </w:tc>
        <w:tc>
          <w:tcPr>
            <w:tcW w:w="617" w:type="pct"/>
            <w:shd w:val="clear" w:color="auto" w:fill="FFFFFF" w:themeFill="background1"/>
            <w:vAlign w:val="bottom"/>
            <w:hideMark/>
          </w:tcPr>
          <w:p w14:paraId="771D86EC" w14:textId="51931D62" w:rsidR="000958F5" w:rsidRPr="00FB57B5" w:rsidRDefault="000D3AC4" w:rsidP="00FB57B5">
            <w:pPr>
              <w:spacing w:after="0" w:line="240" w:lineRule="auto"/>
              <w:jc w:val="right"/>
              <w:rPr>
                <w:rFonts w:ascii="Times New Roman" w:hAnsi="Times New Roman"/>
                <w:b/>
                <w:color w:val="000000"/>
                <w:sz w:val="18"/>
                <w:szCs w:val="18"/>
                <w:lang w:val="es-ES_tradnl"/>
              </w:rPr>
            </w:pPr>
            <w:r w:rsidRPr="00FB57B5">
              <w:rPr>
                <w:rFonts w:ascii="Times New Roman" w:hAnsi="Times New Roman"/>
                <w:b/>
                <w:color w:val="000000"/>
                <w:sz w:val="18"/>
                <w:szCs w:val="18"/>
                <w:lang w:val="es-ES_tradnl"/>
              </w:rPr>
              <w:t xml:space="preserve"> </w:t>
            </w:r>
          </w:p>
        </w:tc>
      </w:tr>
      <w:tr w:rsidR="000958F5" w:rsidRPr="00FB57B5" w14:paraId="71274350" w14:textId="77777777" w:rsidTr="00FB57B5">
        <w:trPr>
          <w:trHeight w:val="267"/>
        </w:trPr>
        <w:tc>
          <w:tcPr>
            <w:tcW w:w="1365" w:type="pct"/>
            <w:shd w:val="clear" w:color="auto" w:fill="FFFFFF" w:themeFill="background1"/>
            <w:hideMark/>
          </w:tcPr>
          <w:p w14:paraId="1422563B" w14:textId="1D0ADB1F" w:rsidR="000958F5" w:rsidRPr="00FB57B5" w:rsidRDefault="000958F5" w:rsidP="00FB57B5">
            <w:pPr>
              <w:spacing w:after="0" w:line="240" w:lineRule="auto"/>
              <w:rPr>
                <w:rFonts w:ascii="Times New Roman" w:eastAsia="Times New Roman" w:hAnsi="Times New Roman"/>
                <w:b/>
                <w:bCs/>
                <w:sz w:val="18"/>
                <w:szCs w:val="18"/>
                <w:lang w:val="es-ES_tradnl"/>
              </w:rPr>
            </w:pPr>
            <w:r w:rsidRPr="00FB57B5">
              <w:rPr>
                <w:rFonts w:ascii="Times New Roman" w:hAnsi="Times New Roman"/>
                <w:b/>
                <w:bCs/>
                <w:sz w:val="18"/>
                <w:szCs w:val="18"/>
                <w:lang w:val="es-ES_tradnl"/>
              </w:rPr>
              <w:t>A. Saldo estimado sobre la base de promesas de contribuciones para 2017</w:t>
            </w:r>
            <w:r w:rsidR="00356A65" w:rsidRPr="00FB57B5">
              <w:rPr>
                <w:rFonts w:ascii="Times New Roman" w:hAnsi="Times New Roman"/>
                <w:b/>
                <w:bCs/>
                <w:sz w:val="18"/>
                <w:szCs w:val="18"/>
                <w:lang w:val="es-ES_tradnl"/>
              </w:rPr>
              <w:noBreakHyphen/>
            </w:r>
            <w:r w:rsidRPr="00FB57B5">
              <w:rPr>
                <w:rFonts w:ascii="Times New Roman" w:hAnsi="Times New Roman"/>
                <w:b/>
                <w:bCs/>
                <w:sz w:val="18"/>
                <w:szCs w:val="18"/>
                <w:lang w:val="es-ES_tradnl"/>
              </w:rPr>
              <w:t>2018</w:t>
            </w:r>
          </w:p>
        </w:tc>
        <w:tc>
          <w:tcPr>
            <w:tcW w:w="547" w:type="pct"/>
            <w:shd w:val="clear" w:color="auto" w:fill="FFFFFF" w:themeFill="background1"/>
            <w:noWrap/>
            <w:vAlign w:val="bottom"/>
            <w:hideMark/>
          </w:tcPr>
          <w:p w14:paraId="75F56FB2" w14:textId="60023EE0" w:rsidR="000958F5" w:rsidRPr="00FB57B5" w:rsidRDefault="000958F5" w:rsidP="00FB57B5">
            <w:pPr>
              <w:spacing w:after="0" w:line="240" w:lineRule="auto"/>
              <w:jc w:val="right"/>
              <w:rPr>
                <w:rFonts w:ascii="Times New Roman" w:eastAsia="Times New Roman" w:hAnsi="Times New Roman"/>
                <w:b/>
                <w:sz w:val="18"/>
                <w:szCs w:val="18"/>
                <w:lang w:val="es-ES_tradnl"/>
              </w:rPr>
            </w:pPr>
            <w:r w:rsidRPr="00FB57B5">
              <w:rPr>
                <w:rFonts w:ascii="Times New Roman" w:hAnsi="Times New Roman"/>
                <w:b/>
                <w:sz w:val="18"/>
                <w:szCs w:val="18"/>
                <w:lang w:val="es-ES_tradnl"/>
              </w:rPr>
              <w:t>9 453 710</w:t>
            </w:r>
          </w:p>
        </w:tc>
        <w:tc>
          <w:tcPr>
            <w:tcW w:w="618" w:type="pct"/>
            <w:shd w:val="clear" w:color="auto" w:fill="FFFFFF" w:themeFill="background1"/>
            <w:noWrap/>
            <w:vAlign w:val="bottom"/>
            <w:hideMark/>
          </w:tcPr>
          <w:p w14:paraId="7A909E61" w14:textId="5AFDA59E" w:rsidR="000958F5" w:rsidRPr="00FB57B5" w:rsidRDefault="000958F5" w:rsidP="00FB57B5">
            <w:pPr>
              <w:spacing w:after="0" w:line="240" w:lineRule="auto"/>
              <w:jc w:val="right"/>
              <w:rPr>
                <w:rFonts w:ascii="Times New Roman" w:eastAsia="Times New Roman" w:hAnsi="Times New Roman"/>
                <w:b/>
                <w:sz w:val="18"/>
                <w:szCs w:val="18"/>
                <w:lang w:val="es-ES_tradnl"/>
              </w:rPr>
            </w:pPr>
            <w:r w:rsidRPr="00FB57B5">
              <w:rPr>
                <w:rFonts w:ascii="Times New Roman" w:hAnsi="Times New Roman"/>
                <w:b/>
                <w:sz w:val="18"/>
                <w:szCs w:val="18"/>
                <w:lang w:val="es-ES_tradnl"/>
              </w:rPr>
              <w:t>(1 880 157)</w:t>
            </w:r>
          </w:p>
        </w:tc>
        <w:tc>
          <w:tcPr>
            <w:tcW w:w="618" w:type="pct"/>
            <w:shd w:val="clear" w:color="auto" w:fill="FFFFFF" w:themeFill="background1"/>
            <w:noWrap/>
            <w:vAlign w:val="bottom"/>
            <w:hideMark/>
          </w:tcPr>
          <w:p w14:paraId="6C087AD5" w14:textId="4BA7CB06" w:rsidR="000958F5" w:rsidRPr="00FB57B5" w:rsidRDefault="000958F5" w:rsidP="00FB57B5">
            <w:pPr>
              <w:spacing w:after="0" w:line="240" w:lineRule="auto"/>
              <w:jc w:val="right"/>
              <w:rPr>
                <w:rFonts w:ascii="Times New Roman" w:eastAsia="Times New Roman" w:hAnsi="Times New Roman"/>
                <w:b/>
                <w:sz w:val="18"/>
                <w:szCs w:val="18"/>
                <w:lang w:val="es-ES_tradnl"/>
              </w:rPr>
            </w:pPr>
            <w:r w:rsidRPr="00FB57B5">
              <w:rPr>
                <w:rFonts w:ascii="Times New Roman" w:hAnsi="Times New Roman"/>
                <w:b/>
                <w:sz w:val="18"/>
                <w:szCs w:val="18"/>
                <w:lang w:val="es-ES_tradnl"/>
              </w:rPr>
              <w:t xml:space="preserve">7 120 510 </w:t>
            </w:r>
          </w:p>
        </w:tc>
        <w:tc>
          <w:tcPr>
            <w:tcW w:w="618" w:type="pct"/>
            <w:shd w:val="clear" w:color="auto" w:fill="FFFFFF" w:themeFill="background1"/>
            <w:noWrap/>
            <w:vAlign w:val="bottom"/>
            <w:hideMark/>
          </w:tcPr>
          <w:p w14:paraId="3F77F5CE" w14:textId="1D56F490" w:rsidR="000958F5" w:rsidRPr="00FB57B5" w:rsidRDefault="000958F5" w:rsidP="00FB57B5">
            <w:pPr>
              <w:spacing w:after="0" w:line="240" w:lineRule="auto"/>
              <w:jc w:val="right"/>
              <w:rPr>
                <w:rFonts w:ascii="Times New Roman" w:eastAsia="Times New Roman" w:hAnsi="Times New Roman"/>
                <w:b/>
                <w:sz w:val="18"/>
                <w:szCs w:val="18"/>
                <w:lang w:val="es-ES_tradnl"/>
              </w:rPr>
            </w:pPr>
            <w:r w:rsidRPr="00FB57B5">
              <w:rPr>
                <w:rFonts w:ascii="Times New Roman" w:hAnsi="Times New Roman"/>
                <w:b/>
                <w:sz w:val="18"/>
                <w:szCs w:val="18"/>
                <w:lang w:val="es-ES_tradnl"/>
              </w:rPr>
              <w:t>(7 820 969)</w:t>
            </w:r>
          </w:p>
        </w:tc>
        <w:tc>
          <w:tcPr>
            <w:tcW w:w="618" w:type="pct"/>
            <w:shd w:val="clear" w:color="auto" w:fill="FFFFFF" w:themeFill="background1"/>
            <w:noWrap/>
            <w:vAlign w:val="bottom"/>
            <w:hideMark/>
          </w:tcPr>
          <w:p w14:paraId="27AB108C" w14:textId="43646259" w:rsidR="000958F5" w:rsidRPr="00FB57B5" w:rsidRDefault="000958F5" w:rsidP="00FB57B5">
            <w:pPr>
              <w:spacing w:after="0" w:line="240" w:lineRule="auto"/>
              <w:jc w:val="right"/>
              <w:rPr>
                <w:rFonts w:ascii="Times New Roman" w:eastAsia="Times New Roman" w:hAnsi="Times New Roman"/>
                <w:b/>
                <w:sz w:val="18"/>
                <w:szCs w:val="18"/>
                <w:lang w:val="es-ES_tradnl"/>
              </w:rPr>
            </w:pPr>
            <w:r w:rsidRPr="00FB57B5">
              <w:rPr>
                <w:rFonts w:ascii="Times New Roman" w:hAnsi="Times New Roman"/>
                <w:b/>
                <w:sz w:val="18"/>
                <w:szCs w:val="18"/>
                <w:lang w:val="es-ES_tradnl"/>
              </w:rPr>
              <w:t xml:space="preserve">2 934 653 </w:t>
            </w:r>
          </w:p>
        </w:tc>
        <w:tc>
          <w:tcPr>
            <w:tcW w:w="617" w:type="pct"/>
            <w:shd w:val="clear" w:color="auto" w:fill="FFFFFF" w:themeFill="background1"/>
            <w:noWrap/>
            <w:vAlign w:val="bottom"/>
            <w:hideMark/>
          </w:tcPr>
          <w:p w14:paraId="59461883" w14:textId="19D07495" w:rsidR="000958F5" w:rsidRPr="00FB57B5" w:rsidRDefault="000958F5" w:rsidP="00FB57B5">
            <w:pPr>
              <w:spacing w:after="0" w:line="240" w:lineRule="auto"/>
              <w:jc w:val="right"/>
              <w:rPr>
                <w:rFonts w:ascii="Times New Roman" w:eastAsia="Times New Roman" w:hAnsi="Times New Roman"/>
                <w:b/>
                <w:bCs/>
                <w:sz w:val="18"/>
                <w:szCs w:val="18"/>
                <w:lang w:val="es-ES_tradnl"/>
              </w:rPr>
            </w:pPr>
            <w:r w:rsidRPr="00FB57B5">
              <w:rPr>
                <w:rFonts w:ascii="Times New Roman" w:hAnsi="Times New Roman"/>
                <w:b/>
                <w:sz w:val="18"/>
                <w:szCs w:val="18"/>
                <w:lang w:val="es-ES_tradnl"/>
              </w:rPr>
              <w:t>(10 755 622)</w:t>
            </w:r>
          </w:p>
        </w:tc>
      </w:tr>
      <w:tr w:rsidR="000958F5" w:rsidRPr="00FB57B5" w14:paraId="11FAB8FF" w14:textId="77777777" w:rsidTr="00852DEA">
        <w:trPr>
          <w:trHeight w:val="153"/>
        </w:trPr>
        <w:tc>
          <w:tcPr>
            <w:tcW w:w="1365" w:type="pct"/>
            <w:shd w:val="clear" w:color="auto" w:fill="FFFFFF" w:themeFill="background1"/>
            <w:noWrap/>
            <w:hideMark/>
          </w:tcPr>
          <w:p w14:paraId="0A4E3938" w14:textId="77777777" w:rsidR="000958F5" w:rsidRPr="00FB57B5" w:rsidRDefault="000958F5" w:rsidP="006863A3">
            <w:pPr>
              <w:keepNext/>
              <w:keepLines/>
              <w:tabs>
                <w:tab w:val="right" w:pos="851"/>
                <w:tab w:val="left" w:pos="1247"/>
                <w:tab w:val="left" w:pos="1814"/>
                <w:tab w:val="left" w:pos="2381"/>
                <w:tab w:val="left" w:pos="2948"/>
                <w:tab w:val="left" w:pos="3515"/>
                <w:tab w:val="left" w:pos="4082"/>
              </w:tabs>
              <w:suppressAutoHyphens/>
              <w:spacing w:after="0" w:line="240" w:lineRule="auto"/>
              <w:ind w:left="1247" w:right="284" w:hanging="1247"/>
              <w:rPr>
                <w:rFonts w:ascii="Times New Roman" w:hAnsi="Times New Roman"/>
                <w:sz w:val="18"/>
                <w:szCs w:val="18"/>
                <w:lang w:val="es-ES_tradnl"/>
              </w:rPr>
            </w:pPr>
          </w:p>
        </w:tc>
        <w:tc>
          <w:tcPr>
            <w:tcW w:w="547" w:type="pct"/>
            <w:shd w:val="clear" w:color="auto" w:fill="FFFFFF" w:themeFill="background1"/>
            <w:noWrap/>
            <w:vAlign w:val="bottom"/>
            <w:hideMark/>
          </w:tcPr>
          <w:p w14:paraId="75F5D535" w14:textId="77777777" w:rsidR="000958F5" w:rsidRPr="00FB57B5" w:rsidRDefault="000958F5" w:rsidP="00FB57B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szCs w:val="18"/>
                <w:lang w:val="es-ES_tradnl"/>
              </w:rPr>
            </w:pPr>
          </w:p>
        </w:tc>
        <w:tc>
          <w:tcPr>
            <w:tcW w:w="618" w:type="pct"/>
            <w:shd w:val="clear" w:color="auto" w:fill="FFFFFF" w:themeFill="background1"/>
            <w:noWrap/>
            <w:vAlign w:val="bottom"/>
            <w:hideMark/>
          </w:tcPr>
          <w:p w14:paraId="73015779" w14:textId="77777777" w:rsidR="000958F5" w:rsidRPr="00FB57B5" w:rsidRDefault="000958F5" w:rsidP="00FB57B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szCs w:val="18"/>
                <w:lang w:val="es-ES_tradnl"/>
              </w:rPr>
            </w:pPr>
          </w:p>
        </w:tc>
        <w:tc>
          <w:tcPr>
            <w:tcW w:w="618" w:type="pct"/>
            <w:shd w:val="clear" w:color="auto" w:fill="FFFFFF" w:themeFill="background1"/>
            <w:noWrap/>
            <w:vAlign w:val="bottom"/>
            <w:hideMark/>
          </w:tcPr>
          <w:p w14:paraId="1585BBAA" w14:textId="77777777" w:rsidR="000958F5" w:rsidRPr="00FB57B5" w:rsidRDefault="000958F5" w:rsidP="00FB57B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szCs w:val="18"/>
                <w:lang w:val="es-ES_tradnl"/>
              </w:rPr>
            </w:pPr>
          </w:p>
        </w:tc>
        <w:tc>
          <w:tcPr>
            <w:tcW w:w="618" w:type="pct"/>
            <w:shd w:val="clear" w:color="auto" w:fill="FFFFFF" w:themeFill="background1"/>
            <w:noWrap/>
            <w:vAlign w:val="bottom"/>
            <w:hideMark/>
          </w:tcPr>
          <w:p w14:paraId="467D223A" w14:textId="77777777" w:rsidR="000958F5" w:rsidRPr="00FB57B5" w:rsidRDefault="000958F5" w:rsidP="00FB57B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szCs w:val="18"/>
                <w:lang w:val="es-ES_tradnl"/>
              </w:rPr>
            </w:pPr>
          </w:p>
        </w:tc>
        <w:tc>
          <w:tcPr>
            <w:tcW w:w="618" w:type="pct"/>
            <w:shd w:val="clear" w:color="auto" w:fill="FFFFFF" w:themeFill="background1"/>
            <w:noWrap/>
            <w:vAlign w:val="bottom"/>
            <w:hideMark/>
          </w:tcPr>
          <w:p w14:paraId="4996F11F" w14:textId="77777777" w:rsidR="000958F5" w:rsidRPr="00FB57B5" w:rsidRDefault="000958F5" w:rsidP="00FB57B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szCs w:val="18"/>
                <w:lang w:val="es-ES_tradnl"/>
              </w:rPr>
            </w:pPr>
          </w:p>
        </w:tc>
        <w:tc>
          <w:tcPr>
            <w:tcW w:w="617" w:type="pct"/>
            <w:shd w:val="clear" w:color="auto" w:fill="FFFFFF" w:themeFill="background1"/>
            <w:noWrap/>
            <w:vAlign w:val="bottom"/>
            <w:hideMark/>
          </w:tcPr>
          <w:p w14:paraId="3EAD1B3D" w14:textId="77777777" w:rsidR="000958F5" w:rsidRPr="00FB57B5" w:rsidRDefault="000958F5" w:rsidP="00FB57B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szCs w:val="18"/>
                <w:lang w:val="es-ES_tradnl"/>
              </w:rPr>
            </w:pPr>
          </w:p>
        </w:tc>
      </w:tr>
      <w:tr w:rsidR="000958F5" w:rsidRPr="00FB57B5" w14:paraId="292E4270" w14:textId="77777777" w:rsidTr="00FB57B5">
        <w:trPr>
          <w:trHeight w:val="819"/>
        </w:trPr>
        <w:tc>
          <w:tcPr>
            <w:tcW w:w="1365" w:type="pct"/>
            <w:shd w:val="clear" w:color="auto" w:fill="FFFFFF" w:themeFill="background1"/>
            <w:noWrap/>
            <w:hideMark/>
          </w:tcPr>
          <w:p w14:paraId="5A97CD33" w14:textId="2E35245B" w:rsidR="000958F5" w:rsidRPr="00FB57B5" w:rsidRDefault="000958F5" w:rsidP="00FB57B5">
            <w:pPr>
              <w:spacing w:after="60" w:line="240" w:lineRule="auto"/>
              <w:rPr>
                <w:rFonts w:ascii="Times New Roman" w:hAnsi="Times New Roman"/>
                <w:sz w:val="18"/>
                <w:szCs w:val="18"/>
                <w:lang w:val="es-ES_tradnl"/>
              </w:rPr>
            </w:pPr>
            <w:r w:rsidRPr="00FB57B5">
              <w:rPr>
                <w:rFonts w:ascii="Times New Roman" w:hAnsi="Times New Roman"/>
                <w:sz w:val="18"/>
                <w:szCs w:val="18"/>
                <w:lang w:val="es-ES_tradnl"/>
              </w:rPr>
              <w:t>Posibles contribuciones adicionales de contribuyentes habituales (NB: no se han hecho promesas de contribuciones)</w:t>
            </w:r>
          </w:p>
        </w:tc>
        <w:tc>
          <w:tcPr>
            <w:tcW w:w="547" w:type="pct"/>
            <w:shd w:val="clear" w:color="auto" w:fill="FFFFFF" w:themeFill="background1"/>
            <w:noWrap/>
            <w:vAlign w:val="bottom"/>
            <w:hideMark/>
          </w:tcPr>
          <w:p w14:paraId="0CA81112" w14:textId="3D36AAC2" w:rsidR="000958F5" w:rsidRPr="00FB57B5" w:rsidRDefault="000D3AC4" w:rsidP="00FB57B5">
            <w:pPr>
              <w:spacing w:after="0" w:line="240" w:lineRule="auto"/>
              <w:jc w:val="right"/>
              <w:rPr>
                <w:rFonts w:ascii="Times New Roman" w:hAnsi="Times New Roman"/>
                <w:sz w:val="18"/>
                <w:szCs w:val="18"/>
                <w:lang w:val="es-ES_tradnl"/>
              </w:rPr>
            </w:pPr>
            <w:r w:rsidRPr="00FB57B5">
              <w:rPr>
                <w:rFonts w:ascii="Times New Roman" w:hAnsi="Times New Roman"/>
                <w:sz w:val="18"/>
                <w:szCs w:val="18"/>
                <w:lang w:val="es-ES_tradnl"/>
              </w:rPr>
              <w:t xml:space="preserve"> </w:t>
            </w:r>
          </w:p>
        </w:tc>
        <w:tc>
          <w:tcPr>
            <w:tcW w:w="618" w:type="pct"/>
            <w:shd w:val="clear" w:color="auto" w:fill="FFFFFF" w:themeFill="background1"/>
            <w:noWrap/>
            <w:vAlign w:val="bottom"/>
            <w:hideMark/>
          </w:tcPr>
          <w:p w14:paraId="6CD00C2C" w14:textId="4663C8B7" w:rsidR="000958F5" w:rsidRPr="00FB57B5" w:rsidRDefault="000958F5" w:rsidP="00FB57B5">
            <w:pPr>
              <w:spacing w:after="0" w:line="240" w:lineRule="auto"/>
              <w:jc w:val="right"/>
              <w:rPr>
                <w:rFonts w:ascii="Times New Roman" w:hAnsi="Times New Roman"/>
                <w:sz w:val="18"/>
                <w:szCs w:val="18"/>
                <w:lang w:val="es-ES_tradnl"/>
              </w:rPr>
            </w:pPr>
            <w:r w:rsidRPr="00FB57B5">
              <w:rPr>
                <w:rFonts w:ascii="Times New Roman" w:hAnsi="Times New Roman"/>
                <w:sz w:val="18"/>
                <w:szCs w:val="18"/>
                <w:lang w:val="es-ES_tradnl"/>
              </w:rPr>
              <w:t>1 172 528</w:t>
            </w:r>
          </w:p>
        </w:tc>
        <w:tc>
          <w:tcPr>
            <w:tcW w:w="618" w:type="pct"/>
            <w:shd w:val="clear" w:color="auto" w:fill="FFFFFF" w:themeFill="background1"/>
            <w:noWrap/>
            <w:vAlign w:val="bottom"/>
            <w:hideMark/>
          </w:tcPr>
          <w:p w14:paraId="046FF5FD" w14:textId="17920ED2" w:rsidR="000958F5" w:rsidRPr="00FB57B5" w:rsidRDefault="000D3AC4" w:rsidP="00FB57B5">
            <w:pPr>
              <w:spacing w:after="0" w:line="240" w:lineRule="auto"/>
              <w:jc w:val="right"/>
              <w:rPr>
                <w:rFonts w:ascii="Times New Roman" w:hAnsi="Times New Roman"/>
                <w:sz w:val="18"/>
                <w:szCs w:val="18"/>
                <w:lang w:val="es-ES_tradnl"/>
              </w:rPr>
            </w:pPr>
            <w:r w:rsidRPr="00FB57B5">
              <w:rPr>
                <w:rFonts w:ascii="Times New Roman" w:hAnsi="Times New Roman"/>
                <w:sz w:val="18"/>
                <w:szCs w:val="18"/>
                <w:lang w:val="es-ES_tradnl"/>
              </w:rPr>
              <w:t xml:space="preserve"> </w:t>
            </w:r>
          </w:p>
        </w:tc>
        <w:tc>
          <w:tcPr>
            <w:tcW w:w="618" w:type="pct"/>
            <w:shd w:val="clear" w:color="auto" w:fill="FFFFFF" w:themeFill="background1"/>
            <w:noWrap/>
            <w:vAlign w:val="bottom"/>
            <w:hideMark/>
          </w:tcPr>
          <w:p w14:paraId="6F6F83CE" w14:textId="5DE2CB5C" w:rsidR="000958F5" w:rsidRPr="00FB57B5" w:rsidRDefault="000958F5" w:rsidP="00FB57B5">
            <w:pPr>
              <w:spacing w:after="0" w:line="240" w:lineRule="auto"/>
              <w:jc w:val="right"/>
              <w:rPr>
                <w:rFonts w:ascii="Times New Roman" w:hAnsi="Times New Roman"/>
                <w:sz w:val="18"/>
                <w:szCs w:val="18"/>
                <w:lang w:val="es-ES_tradnl"/>
              </w:rPr>
            </w:pPr>
            <w:r w:rsidRPr="00FB57B5">
              <w:rPr>
                <w:rFonts w:ascii="Times New Roman" w:hAnsi="Times New Roman"/>
                <w:sz w:val="18"/>
                <w:szCs w:val="18"/>
                <w:lang w:val="es-ES_tradnl"/>
              </w:rPr>
              <w:t>1 191 255</w:t>
            </w:r>
          </w:p>
        </w:tc>
        <w:tc>
          <w:tcPr>
            <w:tcW w:w="618" w:type="pct"/>
            <w:shd w:val="clear" w:color="auto" w:fill="FFFFFF" w:themeFill="background1"/>
            <w:noWrap/>
            <w:vAlign w:val="bottom"/>
            <w:hideMark/>
          </w:tcPr>
          <w:p w14:paraId="24206F4C" w14:textId="03F1F580" w:rsidR="000958F5" w:rsidRPr="00FB57B5" w:rsidRDefault="000D3AC4" w:rsidP="00FB57B5">
            <w:pPr>
              <w:spacing w:after="0" w:line="240" w:lineRule="auto"/>
              <w:jc w:val="right"/>
              <w:rPr>
                <w:rFonts w:ascii="Times New Roman" w:hAnsi="Times New Roman"/>
                <w:sz w:val="18"/>
                <w:szCs w:val="18"/>
                <w:lang w:val="es-ES_tradnl"/>
              </w:rPr>
            </w:pPr>
            <w:r w:rsidRPr="00FB57B5">
              <w:rPr>
                <w:rFonts w:ascii="Times New Roman" w:hAnsi="Times New Roman"/>
                <w:sz w:val="18"/>
                <w:szCs w:val="18"/>
                <w:lang w:val="es-ES_tradnl"/>
              </w:rPr>
              <w:t xml:space="preserve"> </w:t>
            </w:r>
          </w:p>
        </w:tc>
        <w:tc>
          <w:tcPr>
            <w:tcW w:w="617" w:type="pct"/>
            <w:shd w:val="clear" w:color="auto" w:fill="FFFFFF" w:themeFill="background1"/>
            <w:noWrap/>
            <w:vAlign w:val="bottom"/>
            <w:hideMark/>
          </w:tcPr>
          <w:p w14:paraId="0B5A7B06" w14:textId="347DBFB9" w:rsidR="000958F5" w:rsidRPr="00FB57B5" w:rsidRDefault="000D3AC4" w:rsidP="00FB57B5">
            <w:pPr>
              <w:spacing w:after="0" w:line="240" w:lineRule="auto"/>
              <w:jc w:val="right"/>
              <w:rPr>
                <w:rFonts w:ascii="Times New Roman" w:hAnsi="Times New Roman"/>
                <w:b/>
                <w:sz w:val="18"/>
                <w:szCs w:val="18"/>
                <w:lang w:val="es-ES_tradnl"/>
              </w:rPr>
            </w:pPr>
            <w:r w:rsidRPr="00FB57B5">
              <w:rPr>
                <w:rFonts w:ascii="Times New Roman" w:hAnsi="Times New Roman"/>
                <w:b/>
                <w:sz w:val="18"/>
                <w:szCs w:val="18"/>
                <w:lang w:val="es-ES_tradnl"/>
              </w:rPr>
              <w:t xml:space="preserve"> </w:t>
            </w:r>
          </w:p>
        </w:tc>
      </w:tr>
      <w:tr w:rsidR="000958F5" w:rsidRPr="00FB57B5" w14:paraId="584617C2" w14:textId="77777777" w:rsidTr="00FB57B5">
        <w:trPr>
          <w:trHeight w:val="281"/>
        </w:trPr>
        <w:tc>
          <w:tcPr>
            <w:tcW w:w="1365" w:type="pct"/>
            <w:tcBorders>
              <w:bottom w:val="single" w:sz="12" w:space="0" w:color="auto"/>
            </w:tcBorders>
            <w:shd w:val="clear" w:color="auto" w:fill="FFFFFF" w:themeFill="background1"/>
            <w:hideMark/>
          </w:tcPr>
          <w:p w14:paraId="13534BDC" w14:textId="4322264C" w:rsidR="000958F5" w:rsidRPr="00FB57B5" w:rsidRDefault="000958F5" w:rsidP="006863A3">
            <w:pPr>
              <w:spacing w:after="0" w:line="240" w:lineRule="auto"/>
              <w:rPr>
                <w:rFonts w:ascii="Times New Roman" w:hAnsi="Times New Roman"/>
                <w:b/>
                <w:color w:val="0D0D0D"/>
                <w:sz w:val="18"/>
                <w:szCs w:val="18"/>
                <w:lang w:val="es-ES_tradnl"/>
              </w:rPr>
            </w:pPr>
            <w:r w:rsidRPr="00FB57B5">
              <w:rPr>
                <w:rFonts w:ascii="Times New Roman" w:hAnsi="Times New Roman"/>
                <w:b/>
                <w:bCs/>
                <w:sz w:val="18"/>
                <w:szCs w:val="18"/>
                <w:lang w:val="es-ES_tradnl"/>
              </w:rPr>
              <w:t>B. Saldo estimado revisado teniendo en cuenta las posibles contribuciones adicionales</w:t>
            </w:r>
          </w:p>
        </w:tc>
        <w:tc>
          <w:tcPr>
            <w:tcW w:w="547" w:type="pct"/>
            <w:tcBorders>
              <w:bottom w:val="single" w:sz="12" w:space="0" w:color="auto"/>
            </w:tcBorders>
            <w:shd w:val="clear" w:color="auto" w:fill="FFFFFF" w:themeFill="background1"/>
            <w:noWrap/>
            <w:vAlign w:val="bottom"/>
            <w:hideMark/>
          </w:tcPr>
          <w:p w14:paraId="613923F8" w14:textId="28069174" w:rsidR="000958F5" w:rsidRPr="00FB57B5" w:rsidRDefault="000958F5" w:rsidP="00FB57B5">
            <w:pPr>
              <w:spacing w:after="0" w:line="240" w:lineRule="auto"/>
              <w:jc w:val="right"/>
              <w:rPr>
                <w:rFonts w:ascii="Times New Roman" w:hAnsi="Times New Roman"/>
                <w:b/>
                <w:color w:val="0D0D0D"/>
                <w:sz w:val="18"/>
                <w:szCs w:val="18"/>
                <w:lang w:val="es-ES_tradnl"/>
              </w:rPr>
            </w:pPr>
            <w:r w:rsidRPr="00FB57B5">
              <w:rPr>
                <w:rFonts w:ascii="Times New Roman" w:hAnsi="Times New Roman"/>
                <w:b/>
                <w:sz w:val="18"/>
                <w:szCs w:val="18"/>
                <w:lang w:val="es-ES_tradnl"/>
              </w:rPr>
              <w:t>9 453 710</w:t>
            </w:r>
          </w:p>
        </w:tc>
        <w:tc>
          <w:tcPr>
            <w:tcW w:w="618" w:type="pct"/>
            <w:tcBorders>
              <w:bottom w:val="single" w:sz="12" w:space="0" w:color="auto"/>
            </w:tcBorders>
            <w:shd w:val="clear" w:color="auto" w:fill="FFFFFF" w:themeFill="background1"/>
            <w:noWrap/>
            <w:vAlign w:val="bottom"/>
            <w:hideMark/>
          </w:tcPr>
          <w:p w14:paraId="0A8CB3FB" w14:textId="62CC48E7" w:rsidR="000958F5" w:rsidRPr="00FB57B5" w:rsidRDefault="000958F5" w:rsidP="00FB57B5">
            <w:pPr>
              <w:spacing w:after="0" w:line="240" w:lineRule="auto"/>
              <w:jc w:val="right"/>
              <w:rPr>
                <w:rFonts w:ascii="Times New Roman" w:hAnsi="Times New Roman"/>
                <w:b/>
                <w:color w:val="0D0D0D"/>
                <w:sz w:val="18"/>
                <w:szCs w:val="18"/>
                <w:lang w:val="es-ES_tradnl"/>
              </w:rPr>
            </w:pPr>
            <w:r w:rsidRPr="00FB57B5">
              <w:rPr>
                <w:rFonts w:ascii="Times New Roman" w:hAnsi="Times New Roman"/>
                <w:b/>
                <w:sz w:val="18"/>
                <w:szCs w:val="18"/>
                <w:lang w:val="es-ES_tradnl"/>
              </w:rPr>
              <w:t>(707 630)</w:t>
            </w:r>
          </w:p>
        </w:tc>
        <w:tc>
          <w:tcPr>
            <w:tcW w:w="618" w:type="pct"/>
            <w:tcBorders>
              <w:bottom w:val="single" w:sz="12" w:space="0" w:color="auto"/>
            </w:tcBorders>
            <w:shd w:val="clear" w:color="auto" w:fill="FFFFFF" w:themeFill="background1"/>
            <w:noWrap/>
            <w:vAlign w:val="bottom"/>
            <w:hideMark/>
          </w:tcPr>
          <w:p w14:paraId="2D22DB15" w14:textId="3F3455C1" w:rsidR="000958F5" w:rsidRPr="00FB57B5" w:rsidRDefault="000958F5" w:rsidP="00FB57B5">
            <w:pPr>
              <w:spacing w:after="0" w:line="240" w:lineRule="auto"/>
              <w:jc w:val="right"/>
              <w:rPr>
                <w:rFonts w:ascii="Times New Roman" w:hAnsi="Times New Roman"/>
                <w:b/>
                <w:color w:val="0D0D0D"/>
                <w:sz w:val="18"/>
                <w:szCs w:val="18"/>
                <w:lang w:val="es-ES_tradnl"/>
              </w:rPr>
            </w:pPr>
            <w:r w:rsidRPr="00FB57B5">
              <w:rPr>
                <w:rFonts w:ascii="Times New Roman" w:hAnsi="Times New Roman"/>
                <w:b/>
                <w:sz w:val="18"/>
                <w:szCs w:val="18"/>
                <w:lang w:val="es-ES_tradnl"/>
              </w:rPr>
              <w:t xml:space="preserve">7 120 510 </w:t>
            </w:r>
          </w:p>
        </w:tc>
        <w:tc>
          <w:tcPr>
            <w:tcW w:w="618" w:type="pct"/>
            <w:tcBorders>
              <w:bottom w:val="single" w:sz="12" w:space="0" w:color="auto"/>
            </w:tcBorders>
            <w:shd w:val="clear" w:color="auto" w:fill="FFFFFF" w:themeFill="background1"/>
            <w:noWrap/>
            <w:vAlign w:val="bottom"/>
            <w:hideMark/>
          </w:tcPr>
          <w:p w14:paraId="5C9C93E4" w14:textId="2DC8C2D9" w:rsidR="000958F5" w:rsidRPr="00FB57B5" w:rsidRDefault="000958F5" w:rsidP="00FB57B5">
            <w:pPr>
              <w:spacing w:after="0" w:line="240" w:lineRule="auto"/>
              <w:jc w:val="right"/>
              <w:rPr>
                <w:rFonts w:ascii="Times New Roman" w:hAnsi="Times New Roman"/>
                <w:b/>
                <w:color w:val="0D0D0D"/>
                <w:sz w:val="18"/>
                <w:szCs w:val="18"/>
                <w:lang w:val="es-ES_tradnl"/>
              </w:rPr>
            </w:pPr>
            <w:r w:rsidRPr="00FB57B5">
              <w:rPr>
                <w:rFonts w:ascii="Times New Roman" w:hAnsi="Times New Roman"/>
                <w:b/>
                <w:sz w:val="18"/>
                <w:szCs w:val="18"/>
                <w:lang w:val="es-ES_tradnl"/>
              </w:rPr>
              <w:t>(5 457 187)</w:t>
            </w:r>
          </w:p>
        </w:tc>
        <w:tc>
          <w:tcPr>
            <w:tcW w:w="618" w:type="pct"/>
            <w:tcBorders>
              <w:bottom w:val="single" w:sz="12" w:space="0" w:color="auto"/>
            </w:tcBorders>
            <w:shd w:val="clear" w:color="auto" w:fill="FFFFFF" w:themeFill="background1"/>
            <w:noWrap/>
            <w:vAlign w:val="bottom"/>
            <w:hideMark/>
          </w:tcPr>
          <w:p w14:paraId="7476F7B3" w14:textId="426945B4" w:rsidR="000958F5" w:rsidRPr="00FB57B5" w:rsidRDefault="000958F5" w:rsidP="00FB57B5">
            <w:pPr>
              <w:spacing w:after="0" w:line="240" w:lineRule="auto"/>
              <w:jc w:val="right"/>
              <w:rPr>
                <w:rFonts w:ascii="Times New Roman" w:hAnsi="Times New Roman"/>
                <w:b/>
                <w:color w:val="0D0D0D"/>
                <w:sz w:val="18"/>
                <w:szCs w:val="18"/>
                <w:lang w:val="es-ES_tradnl"/>
              </w:rPr>
            </w:pPr>
            <w:r w:rsidRPr="00FB57B5">
              <w:rPr>
                <w:rFonts w:ascii="Times New Roman" w:hAnsi="Times New Roman"/>
                <w:b/>
                <w:sz w:val="18"/>
                <w:szCs w:val="18"/>
                <w:lang w:val="es-ES_tradnl"/>
              </w:rPr>
              <w:t xml:space="preserve">2 934 653 </w:t>
            </w:r>
          </w:p>
        </w:tc>
        <w:tc>
          <w:tcPr>
            <w:tcW w:w="617" w:type="pct"/>
            <w:tcBorders>
              <w:bottom w:val="single" w:sz="12" w:space="0" w:color="auto"/>
            </w:tcBorders>
            <w:shd w:val="clear" w:color="auto" w:fill="FFFFFF" w:themeFill="background1"/>
            <w:noWrap/>
            <w:vAlign w:val="bottom"/>
            <w:hideMark/>
          </w:tcPr>
          <w:p w14:paraId="717CB559" w14:textId="4401541C" w:rsidR="000958F5" w:rsidRPr="00FB57B5" w:rsidRDefault="000958F5" w:rsidP="00FB57B5">
            <w:pPr>
              <w:spacing w:after="0" w:line="240" w:lineRule="auto"/>
              <w:jc w:val="right"/>
              <w:rPr>
                <w:rFonts w:ascii="Times New Roman" w:hAnsi="Times New Roman"/>
                <w:b/>
                <w:color w:val="0D0D0D"/>
                <w:sz w:val="18"/>
                <w:szCs w:val="18"/>
                <w:lang w:val="es-ES_tradnl"/>
              </w:rPr>
            </w:pPr>
            <w:r w:rsidRPr="00FB57B5">
              <w:rPr>
                <w:rFonts w:ascii="Times New Roman" w:hAnsi="Times New Roman"/>
                <w:b/>
                <w:sz w:val="18"/>
                <w:szCs w:val="18"/>
                <w:lang w:val="es-ES_tradnl"/>
              </w:rPr>
              <w:t>(8 391 840)</w:t>
            </w:r>
          </w:p>
        </w:tc>
      </w:tr>
    </w:tbl>
    <w:p w14:paraId="6B4D29DA" w14:textId="482910AF" w:rsidR="000958F5" w:rsidRPr="00703A97" w:rsidRDefault="00FB57B5" w:rsidP="00637C12">
      <w:pPr>
        <w:pStyle w:val="CH1"/>
        <w:rPr>
          <w:lang w:val="es-ES_tradnl"/>
        </w:rPr>
      </w:pPr>
      <w:r>
        <w:rPr>
          <w:bCs/>
          <w:lang w:val="es-ES_tradnl"/>
        </w:rPr>
        <w:tab/>
      </w:r>
      <w:r w:rsidR="007F2585" w:rsidRPr="00703A97">
        <w:rPr>
          <w:bCs/>
          <w:lang w:val="es-ES_tradnl"/>
        </w:rPr>
        <w:t>VII.</w:t>
      </w:r>
      <w:r w:rsidR="007F2585" w:rsidRPr="00703A97">
        <w:rPr>
          <w:lang w:val="es-ES_tradnl"/>
        </w:rPr>
        <w:tab/>
      </w:r>
      <w:r w:rsidR="0050309E">
        <w:rPr>
          <w:bCs/>
          <w:lang w:val="es-ES_tradnl"/>
        </w:rPr>
        <w:t>A</w:t>
      </w:r>
      <w:r w:rsidR="007F2585" w:rsidRPr="00703A97">
        <w:rPr>
          <w:bCs/>
          <w:lang w:val="es-ES_tradnl"/>
        </w:rPr>
        <w:t>ctividades de recaudación de fondos y proyecto de estrategia de recaudación de fondos</w:t>
      </w:r>
    </w:p>
    <w:p w14:paraId="0A4B7DAB" w14:textId="2967525D" w:rsidR="000958F5" w:rsidRPr="00703A97" w:rsidRDefault="007F2585" w:rsidP="007F2585">
      <w:pPr>
        <w:pStyle w:val="CH2"/>
        <w:rPr>
          <w:lang w:val="es-ES_tradnl"/>
        </w:rPr>
      </w:pPr>
      <w:r w:rsidRPr="00703A97">
        <w:rPr>
          <w:lang w:val="es-ES_tradnl"/>
        </w:rPr>
        <w:tab/>
      </w:r>
      <w:r w:rsidRPr="00703A97">
        <w:rPr>
          <w:bCs/>
          <w:lang w:val="es-ES_tradnl"/>
        </w:rPr>
        <w:t>A.</w:t>
      </w:r>
      <w:r w:rsidRPr="00703A97">
        <w:rPr>
          <w:lang w:val="es-ES_tradnl"/>
        </w:rPr>
        <w:tab/>
      </w:r>
      <w:r w:rsidRPr="00703A97">
        <w:rPr>
          <w:bCs/>
          <w:lang w:val="es-ES_tradnl"/>
        </w:rPr>
        <w:t>Actividades de recaudación de fondos</w:t>
      </w:r>
    </w:p>
    <w:p w14:paraId="0D20CB23" w14:textId="2BD47A49" w:rsidR="000958F5" w:rsidRPr="00703A97" w:rsidRDefault="000958F5" w:rsidP="004D359B">
      <w:pPr>
        <w:pStyle w:val="Normalnumber"/>
        <w:numPr>
          <w:ilvl w:val="0"/>
          <w:numId w:val="5"/>
        </w:numPr>
        <w:ind w:left="1247" w:firstLine="0"/>
        <w:rPr>
          <w:lang w:val="es-ES_tradnl"/>
        </w:rPr>
      </w:pPr>
      <w:r w:rsidRPr="00703A97">
        <w:rPr>
          <w:lang w:val="es-ES_tradnl"/>
        </w:rPr>
        <w:t xml:space="preserve">Como en años anteriores, la Secretaria Ejecutiva, bajo la orientación de la Mesa, se ha empeñado activamente en procurar financiación, en particular invitando a todos los gobiernos y observadores a que aporten recursos financieros y presten apoyo en especie. De resultas de ello, se han recibido contribuciones financieras de envergadura (cuadro 1) y apoyo en especie (cuadro 2), gracias a lo cual se lograron </w:t>
      </w:r>
      <w:r w:rsidRPr="00703A97">
        <w:rPr>
          <w:lang w:val="es-ES_tradnl"/>
        </w:rPr>
        <w:lastRenderedPageBreak/>
        <w:t xml:space="preserve">importantes economías en el programa de trabajo. Con miras a </w:t>
      </w:r>
      <w:r w:rsidR="00703A97" w:rsidRPr="00703A97">
        <w:rPr>
          <w:lang w:val="es-ES_tradnl"/>
        </w:rPr>
        <w:t>sensibilizar</w:t>
      </w:r>
      <w:r w:rsidRPr="00703A97">
        <w:rPr>
          <w:lang w:val="es-ES_tradnl"/>
        </w:rPr>
        <w:t xml:space="preserve"> acerca de las necesidades de la Plataforma con respecto a la creación de capacidad y forjar nuevas alianzas, la serie de sesiones de alto nivel del foro de la Plataforma sobre creación de capacidad se celebró en Nueva York el 23 de septiembre de 2016, paralelamente al septuagésimo primer período ordinario de sesiones de la Asamblea General de las Naciones Unidas (para más detalles, véase la nota de la Secretaría sobre la labor de creación de capacidad, en el documento IPBES</w:t>
      </w:r>
      <w:r w:rsidR="00356A65">
        <w:rPr>
          <w:lang w:val="es-ES_tradnl"/>
        </w:rPr>
        <w:noBreakHyphen/>
      </w:r>
      <w:r w:rsidRPr="00703A97">
        <w:rPr>
          <w:lang w:val="es-ES_tradnl"/>
        </w:rPr>
        <w:t>5/3).</w:t>
      </w:r>
    </w:p>
    <w:p w14:paraId="3E1DB22A" w14:textId="4D499907" w:rsidR="000958F5" w:rsidRPr="00703A97" w:rsidRDefault="00993C69" w:rsidP="004D359B">
      <w:pPr>
        <w:pStyle w:val="Normalnumber"/>
        <w:numPr>
          <w:ilvl w:val="0"/>
          <w:numId w:val="5"/>
        </w:numPr>
        <w:ind w:left="1247" w:firstLine="0"/>
        <w:rPr>
          <w:lang w:val="es-ES_tradnl"/>
        </w:rPr>
      </w:pPr>
      <w:r w:rsidRPr="00703A97">
        <w:rPr>
          <w:lang w:val="es-ES_tradnl"/>
        </w:rPr>
        <w:t>Bajo la orientación de la Mesa, la Secretaria Ejecutiva ha logrado también que el funcionamiento de la Plataforma siga siendo cada vez más eficaz. Se trata de economías relacionadas con el costo del lugar de celebración y los viajes del personal resultantes de la celebración de reuniones importantes en Bonn, y economías en las dietas gracias a que se ha proporcionado alojamiento y comidas a los participantes en la reunión. Además, determinados puestos y responsabilidades relacionadas con los viajes y las adquisiciones se han consolidado en la sede de la Secretaría en Bonn, lo que ha dado lugar a una reducción de los gastos de viaje gracias a que los trámites se realizan a tiempo y con una mayor eficiencia. El personal de la Secretaría también han contribuido a lograr economías viajando voluntariamente en clase económica</w:t>
      </w:r>
      <w:r w:rsidR="008E7D12">
        <w:rPr>
          <w:lang w:val="es-ES_tradnl"/>
        </w:rPr>
        <w:t xml:space="preserve"> en </w:t>
      </w:r>
      <w:r w:rsidRPr="00703A97">
        <w:rPr>
          <w:lang w:val="es-ES_tradnl"/>
        </w:rPr>
        <w:t xml:space="preserve">situaciones en que el </w:t>
      </w:r>
      <w:r w:rsidR="00703A97" w:rsidRPr="00703A97">
        <w:rPr>
          <w:lang w:val="es-ES_tradnl"/>
        </w:rPr>
        <w:t>Reglamento</w:t>
      </w:r>
      <w:r w:rsidRPr="00703A97">
        <w:rPr>
          <w:lang w:val="es-ES_tradnl"/>
        </w:rPr>
        <w:t xml:space="preserve"> de las Naciones Unidas permite la adquisición de boletos de clase preferencial.</w:t>
      </w:r>
    </w:p>
    <w:p w14:paraId="1448D4CB" w14:textId="13C7DA2B" w:rsidR="000958F5" w:rsidRPr="00703A97" w:rsidRDefault="007F2585" w:rsidP="007F2585">
      <w:pPr>
        <w:pStyle w:val="CH2"/>
        <w:rPr>
          <w:lang w:val="es-ES_tradnl"/>
        </w:rPr>
      </w:pPr>
      <w:r w:rsidRPr="00703A97">
        <w:rPr>
          <w:lang w:val="es-ES_tradnl"/>
        </w:rPr>
        <w:tab/>
      </w:r>
      <w:r w:rsidRPr="00703A97">
        <w:rPr>
          <w:bCs/>
          <w:lang w:val="es-ES_tradnl"/>
        </w:rPr>
        <w:t>B.</w:t>
      </w:r>
      <w:r w:rsidRPr="00703A97">
        <w:rPr>
          <w:lang w:val="es-ES_tradnl"/>
        </w:rPr>
        <w:tab/>
      </w:r>
      <w:r w:rsidRPr="00703A97">
        <w:rPr>
          <w:bCs/>
          <w:lang w:val="es-ES_tradnl"/>
        </w:rPr>
        <w:t>Proyecto de estrategia de recaudación de fondos</w:t>
      </w:r>
    </w:p>
    <w:p w14:paraId="74DD1C5B" w14:textId="3E9DB704" w:rsidR="00637C12" w:rsidRPr="00703A97" w:rsidRDefault="000958F5" w:rsidP="004D359B">
      <w:pPr>
        <w:pStyle w:val="Normalnumber"/>
        <w:numPr>
          <w:ilvl w:val="0"/>
          <w:numId w:val="5"/>
        </w:numPr>
        <w:ind w:left="1247" w:firstLine="0"/>
        <w:rPr>
          <w:lang w:val="es-ES_tradnl"/>
        </w:rPr>
      </w:pPr>
      <w:r w:rsidRPr="00703A97">
        <w:rPr>
          <w:lang w:val="es-ES_tradnl"/>
        </w:rPr>
        <w:t>La Secretaria Ejecutiva, bajo la orientación de la Mesa, ha elaborado un proyecto de estrategia de recaudación de fondos, que se presenta en el anexo de la presente nota.</w:t>
      </w:r>
    </w:p>
    <w:p w14:paraId="4627AAB6" w14:textId="302C5353" w:rsidR="00637C12" w:rsidRPr="00703A97" w:rsidRDefault="00FB57B5" w:rsidP="00637C12">
      <w:pPr>
        <w:pStyle w:val="CH1"/>
        <w:ind w:hanging="887"/>
        <w:rPr>
          <w:lang w:val="es-ES_tradnl"/>
        </w:rPr>
      </w:pPr>
      <w:r>
        <w:rPr>
          <w:bCs/>
          <w:lang w:val="es-ES_tradnl"/>
        </w:rPr>
        <w:t>VIII</w:t>
      </w:r>
      <w:r w:rsidR="00A71AED" w:rsidRPr="00703A97">
        <w:rPr>
          <w:bCs/>
          <w:lang w:val="es-ES_tradnl"/>
        </w:rPr>
        <w:t>.</w:t>
      </w:r>
      <w:r w:rsidR="00A71AED" w:rsidRPr="00703A97">
        <w:rPr>
          <w:lang w:val="es-ES_tradnl"/>
        </w:rPr>
        <w:tab/>
      </w:r>
      <w:r w:rsidR="00A71AED" w:rsidRPr="00703A97">
        <w:rPr>
          <w:bCs/>
          <w:lang w:val="es-ES_tradnl"/>
        </w:rPr>
        <w:t>Medidas que se proponen al Plenario</w:t>
      </w:r>
    </w:p>
    <w:p w14:paraId="7ACCED1E" w14:textId="3C6D562B" w:rsidR="00637C12" w:rsidRPr="00703A97" w:rsidRDefault="00637C12" w:rsidP="004D359B">
      <w:pPr>
        <w:pStyle w:val="Normalnumber"/>
        <w:numPr>
          <w:ilvl w:val="0"/>
          <w:numId w:val="5"/>
        </w:numPr>
        <w:ind w:left="1247" w:firstLine="0"/>
        <w:rPr>
          <w:lang w:val="es-ES_tradnl"/>
        </w:rPr>
      </w:pPr>
      <w:r w:rsidRPr="00703A97">
        <w:rPr>
          <w:lang w:val="es-ES_tradnl"/>
        </w:rPr>
        <w:t xml:space="preserve">El Plenario tal vez desee considerar la posibilidad de adoptar las medidas siguientes: </w:t>
      </w:r>
    </w:p>
    <w:p w14:paraId="22B19269" w14:textId="77777777"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Acoger con beneplácito las contribuciones en efectivo y en especie recibidas desde el cuarto período de sesiones del Plenario de la Plataforma;</w:t>
      </w:r>
    </w:p>
    <w:p w14:paraId="114A7906" w14:textId="1B71996F"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 xml:space="preserve">Tomar nota del estado de las contribuciones en efectivo </w:t>
      </w:r>
      <w:r w:rsidR="008E7D12">
        <w:rPr>
          <w:lang w:val="es-ES_tradnl"/>
        </w:rPr>
        <w:t>y en especie recibidas hasta la </w:t>
      </w:r>
      <w:r w:rsidRPr="00703A97">
        <w:rPr>
          <w:lang w:val="es-ES_tradnl"/>
        </w:rPr>
        <w:t>fecha;</w:t>
      </w:r>
    </w:p>
    <w:p w14:paraId="71119B77" w14:textId="77777777"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Tomar nota también de las promesas de contribuciones hechas para después de 2016;</w:t>
      </w:r>
    </w:p>
    <w:p w14:paraId="4B861E97" w14:textId="4870004C"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Tomar nota además del estado de los gastos incurridos en el bienio 2015</w:t>
      </w:r>
      <w:r w:rsidR="00356A65">
        <w:rPr>
          <w:lang w:val="es-ES_tradnl"/>
        </w:rPr>
        <w:noBreakHyphen/>
      </w:r>
      <w:r w:rsidRPr="00703A97">
        <w:rPr>
          <w:lang w:val="es-ES_tradnl"/>
        </w:rPr>
        <w:t>2016 y del nivel de economías logradas en ese bienio;</w:t>
      </w:r>
    </w:p>
    <w:p w14:paraId="73505228" w14:textId="317E937E"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 xml:space="preserve">Invitar a los gobiernos, los organismos de las Naciones Unidas, el Fondo para el Medio Ambiente Mundial, otras organizaciones intergubernamentales, interesados y otras entidades que estén en condiciones de hacerlo, sobre todo a las organizaciones de integración económica regional, el sector privado y las fundaciones, a que hagan promesas de contribución y aporten contribuciones al </w:t>
      </w:r>
      <w:r w:rsidR="001E2D97">
        <w:rPr>
          <w:lang w:val="es-ES_tradnl"/>
        </w:rPr>
        <w:t>Fondo Fiduciario</w:t>
      </w:r>
      <w:r w:rsidRPr="00703A97">
        <w:rPr>
          <w:lang w:val="es-ES_tradnl"/>
        </w:rPr>
        <w:t xml:space="preserve"> de la Plataforma para financiar su labor;</w:t>
      </w:r>
    </w:p>
    <w:p w14:paraId="6B6CB76C" w14:textId="197D5263"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Solicitar a la Secretaria Ejecutiva que, con la orientación de la Mesa, informe al Plenario en su sexto período de sesiones sobre los gastos correspondientes al bienio 2016</w:t>
      </w:r>
      <w:r w:rsidR="00356A65">
        <w:rPr>
          <w:lang w:val="es-ES_tradnl"/>
        </w:rPr>
        <w:noBreakHyphen/>
      </w:r>
      <w:r w:rsidRPr="00703A97">
        <w:rPr>
          <w:lang w:val="es-ES_tradnl"/>
        </w:rPr>
        <w:t>2017;</w:t>
      </w:r>
    </w:p>
    <w:p w14:paraId="44C5A3D8" w14:textId="5D304B9D"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Aprobar el presupuesto revisado para el bienio 2017</w:t>
      </w:r>
      <w:r w:rsidR="00356A65">
        <w:rPr>
          <w:lang w:val="es-ES_tradnl"/>
        </w:rPr>
        <w:noBreakHyphen/>
      </w:r>
      <w:r w:rsidRPr="00703A97">
        <w:rPr>
          <w:lang w:val="es-ES_tradnl"/>
        </w:rPr>
        <w:t xml:space="preserve">2018 por la suma de </w:t>
      </w:r>
      <w:r w:rsidR="001E2D97">
        <w:rPr>
          <w:lang w:val="es-ES_tradnl"/>
        </w:rPr>
        <w:t>[   ]</w:t>
      </w:r>
      <w:r w:rsidRPr="00703A97">
        <w:rPr>
          <w:lang w:val="es-ES_tradnl"/>
        </w:rPr>
        <w:t xml:space="preserve"> dólares;</w:t>
      </w:r>
    </w:p>
    <w:p w14:paraId="6D2B67D0" w14:textId="26539603"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 xml:space="preserve">Tomar nota del proyecto de presupuesto para 2019, por la suma de </w:t>
      </w:r>
      <w:r w:rsidR="001E2D97">
        <w:rPr>
          <w:lang w:val="es-ES_tradnl"/>
        </w:rPr>
        <w:t>[   ]</w:t>
      </w:r>
      <w:r w:rsidRPr="00703A97">
        <w:rPr>
          <w:lang w:val="es-ES_tradnl"/>
        </w:rPr>
        <w:t xml:space="preserve"> dólares, con la advertencia de que será preciso revisarlo nuevamente antes de su aprobación;</w:t>
      </w:r>
    </w:p>
    <w:p w14:paraId="353A884E" w14:textId="77777777" w:rsidR="00637C12" w:rsidRPr="00703A97" w:rsidRDefault="00637C12" w:rsidP="004D359B">
      <w:pPr>
        <w:pStyle w:val="Normalnumber"/>
        <w:numPr>
          <w:ilvl w:val="0"/>
          <w:numId w:val="11"/>
        </w:numPr>
        <w:tabs>
          <w:tab w:val="clear" w:pos="1134"/>
        </w:tabs>
        <w:ind w:firstLine="624"/>
        <w:rPr>
          <w:lang w:val="es-ES_tradnl"/>
        </w:rPr>
      </w:pPr>
      <w:r w:rsidRPr="00703A97">
        <w:rPr>
          <w:lang w:val="es-ES_tradnl"/>
        </w:rPr>
        <w:t>Pedir a los expertos de países desarrollados propuestos como miembros de los grupos de expertos o a los órganos subsidiarios que confirmen si cuentan con el apoyo financiero necesario para su participación en la labor de la Plataforma;</w:t>
      </w:r>
    </w:p>
    <w:p w14:paraId="2FBE90C3" w14:textId="218BE7FD" w:rsidR="00637C12" w:rsidRPr="00703A97" w:rsidRDefault="00637C12" w:rsidP="004D359B">
      <w:pPr>
        <w:pStyle w:val="Normalnumber"/>
        <w:numPr>
          <w:ilvl w:val="0"/>
          <w:numId w:val="5"/>
        </w:numPr>
        <w:ind w:left="1247" w:firstLine="0"/>
        <w:rPr>
          <w:lang w:val="es-ES_tradnl"/>
        </w:rPr>
      </w:pPr>
      <w:r w:rsidRPr="00703A97">
        <w:rPr>
          <w:lang w:val="es-ES_tradnl"/>
        </w:rPr>
        <w:t>Aprobar la estrategia de recaudación de fondos y pedir a la Secretaria Ejecutiva que, de conformidad con el reglamento financiero de la Plataforma y con la orientación de la Mesa, y el apoyo de los países miembros, comience a aplicar la estrategia e informe al Plenario sobre los progresos realizados al respecto.</w:t>
      </w:r>
    </w:p>
    <w:p w14:paraId="41730C32" w14:textId="77777777" w:rsidR="007F2585" w:rsidRPr="00703A97" w:rsidRDefault="007F2585" w:rsidP="001A03C8">
      <w:pPr>
        <w:pStyle w:val="Normalnumber"/>
        <w:numPr>
          <w:ilvl w:val="0"/>
          <w:numId w:val="0"/>
        </w:numPr>
        <w:tabs>
          <w:tab w:val="clear" w:pos="624"/>
          <w:tab w:val="left" w:pos="1170"/>
        </w:tabs>
        <w:ind w:left="1247"/>
        <w:rPr>
          <w:lang w:val="es-ES_tradnl"/>
        </w:rPr>
      </w:pPr>
    </w:p>
    <w:p w14:paraId="1F7F2C91" w14:textId="77777777" w:rsidR="001A03C8" w:rsidRPr="00703A97" w:rsidRDefault="001A03C8" w:rsidP="001A03C8">
      <w:pPr>
        <w:pStyle w:val="NormalNonumber"/>
        <w:rPr>
          <w:lang w:val="es-ES_tradnl"/>
        </w:rPr>
        <w:sectPr w:rsidR="001A03C8" w:rsidRPr="00703A97" w:rsidSect="000958F5">
          <w:headerReference w:type="even" r:id="rId28"/>
          <w:headerReference w:type="default" r:id="rId29"/>
          <w:headerReference w:type="first" r:id="rId30"/>
          <w:footerReference w:type="first" r:id="rId31"/>
          <w:footnotePr>
            <w:numFmt w:val="chicago"/>
          </w:footnotePr>
          <w:type w:val="continuous"/>
          <w:pgSz w:w="12240" w:h="15840" w:code="1"/>
          <w:pgMar w:top="907" w:right="992" w:bottom="1418" w:left="1418" w:header="539" w:footer="975" w:gutter="0"/>
          <w:cols w:space="539"/>
          <w:titlePg/>
          <w:docGrid w:linePitch="360"/>
        </w:sectPr>
      </w:pPr>
    </w:p>
    <w:p w14:paraId="75A79E7F" w14:textId="77777777" w:rsidR="000958F5" w:rsidRPr="00703A97" w:rsidRDefault="007F2585" w:rsidP="007F2585">
      <w:pPr>
        <w:pStyle w:val="ZZAnxheader"/>
        <w:rPr>
          <w:rFonts w:eastAsia="Calibri"/>
          <w:w w:val="103"/>
          <w:lang w:val="es-ES_tradnl"/>
        </w:rPr>
      </w:pPr>
      <w:r w:rsidRPr="00703A97">
        <w:rPr>
          <w:lang w:val="es-ES_tradnl"/>
        </w:rPr>
        <w:lastRenderedPageBreak/>
        <w:t>Anexo</w:t>
      </w:r>
    </w:p>
    <w:p w14:paraId="3A786127" w14:textId="6F3FF73F" w:rsidR="000958F5" w:rsidRPr="00703A97" w:rsidRDefault="000958F5" w:rsidP="00E17046">
      <w:pPr>
        <w:pStyle w:val="ZZAnxtitle"/>
        <w:spacing w:before="320"/>
        <w:rPr>
          <w:lang w:val="es-ES_tradnl"/>
        </w:rPr>
      </w:pPr>
      <w:r w:rsidRPr="00703A97">
        <w:rPr>
          <w:lang w:val="es-ES_tradnl"/>
        </w:rPr>
        <w:t>Proyecto de estrategia de recaudación de fondos</w:t>
      </w:r>
    </w:p>
    <w:p w14:paraId="3733E81D" w14:textId="489A786A" w:rsidR="000958F5" w:rsidRPr="008E7D12" w:rsidRDefault="007F2585" w:rsidP="008E7D12">
      <w:pPr>
        <w:pStyle w:val="CH1"/>
        <w:spacing w:before="120"/>
        <w:ind w:right="0"/>
        <w:rPr>
          <w:rFonts w:ascii="Times New Roman Bold" w:hAnsi="Times New Roman Bold"/>
          <w:spacing w:val="-6"/>
          <w:lang w:val="es-ES_tradnl"/>
        </w:rPr>
      </w:pPr>
      <w:r w:rsidRPr="00703A97">
        <w:rPr>
          <w:lang w:val="es-ES_tradnl"/>
        </w:rPr>
        <w:tab/>
      </w:r>
      <w:r w:rsidRPr="00703A97">
        <w:rPr>
          <w:bCs/>
          <w:lang w:val="es-ES_tradnl"/>
        </w:rPr>
        <w:t>I.</w:t>
      </w:r>
      <w:r w:rsidRPr="00703A97">
        <w:rPr>
          <w:lang w:val="es-ES_tradnl"/>
        </w:rPr>
        <w:tab/>
      </w:r>
      <w:r w:rsidRPr="008E7D12">
        <w:rPr>
          <w:rFonts w:ascii="Times New Roman Bold" w:hAnsi="Times New Roman Bold"/>
          <w:bCs/>
          <w:spacing w:val="-6"/>
          <w:lang w:val="es-ES_tradnl"/>
        </w:rPr>
        <w:t>Recaudación de fondos en el marco de la Plataforma: tres tipos de recursos</w:t>
      </w:r>
    </w:p>
    <w:p w14:paraId="5D5C7D4B" w14:textId="4B850F6E" w:rsidR="000958F5" w:rsidRPr="00703A97" w:rsidRDefault="000958F5" w:rsidP="0050309E">
      <w:pPr>
        <w:pStyle w:val="Normalnumber"/>
        <w:rPr>
          <w:lang w:val="es-ES_tradnl"/>
        </w:rPr>
      </w:pPr>
      <w:r w:rsidRPr="00703A97">
        <w:rPr>
          <w:lang w:val="es-ES_tradnl"/>
        </w:rPr>
        <w:t>La Plataforma cuenta con tres tipos de recursos para desempeñar con éxito y eficacia su mandato y alcanzar su objetivo de fortalecer la interfaz científico</w:t>
      </w:r>
      <w:r w:rsidR="00356A65">
        <w:rPr>
          <w:lang w:val="es-ES_tradnl"/>
        </w:rPr>
        <w:noBreakHyphen/>
      </w:r>
      <w:r w:rsidRPr="00703A97">
        <w:rPr>
          <w:lang w:val="es-ES_tradnl"/>
        </w:rPr>
        <w:t xml:space="preserve">normativa para la diversidad biológica y los servicios de los ecosistemas: contribuciones en efectivo al </w:t>
      </w:r>
      <w:r w:rsidR="001E2D97">
        <w:rPr>
          <w:lang w:val="es-ES_tradnl"/>
        </w:rPr>
        <w:t>Fondo Fiduciario</w:t>
      </w:r>
      <w:r w:rsidRPr="00703A97">
        <w:rPr>
          <w:lang w:val="es-ES_tradnl"/>
        </w:rPr>
        <w:t xml:space="preserve">; contribuciones en especie para apoyar la ejecución del programa de trabajo y el aprovechamiento óptimo de las actividades de los asociados en apoyo de la Plataforma. </w:t>
      </w:r>
    </w:p>
    <w:p w14:paraId="403FA181" w14:textId="1DC3341F" w:rsidR="000958F5" w:rsidRPr="008E7D12" w:rsidRDefault="000958F5" w:rsidP="0050309E">
      <w:pPr>
        <w:pStyle w:val="Normalnumber"/>
        <w:rPr>
          <w:spacing w:val="-2"/>
          <w:lang w:val="es-ES_tradnl"/>
        </w:rPr>
      </w:pPr>
      <w:r w:rsidRPr="008E7D12">
        <w:rPr>
          <w:spacing w:val="-2"/>
          <w:lang w:val="es-ES_tradnl"/>
        </w:rPr>
        <w:t>Las contribuciones en efectivo al Fondo Fiduciario apoyan el funcionamiento básico de la Plataforma, en particular los períodos de sesiones del Plenario, la Mesa y el Grupo Multidisciplinario de Expertos, el funcionamiento de la Secretaría y la ejecución del programa de trabajo. Conforme al artículo 5 del reglamento financiero de la Plataforma, aprobado por el Plenario en l</w:t>
      </w:r>
      <w:r w:rsidR="008E7D12">
        <w:rPr>
          <w:spacing w:val="-2"/>
          <w:lang w:val="es-ES_tradnl"/>
        </w:rPr>
        <w:t>as decisiones IPBES</w:t>
      </w:r>
      <w:r w:rsidR="00356A65">
        <w:rPr>
          <w:spacing w:val="-2"/>
          <w:lang w:val="es-ES_tradnl"/>
        </w:rPr>
        <w:noBreakHyphen/>
      </w:r>
      <w:r w:rsidR="008E7D12">
        <w:rPr>
          <w:spacing w:val="-2"/>
          <w:lang w:val="es-ES_tradnl"/>
        </w:rPr>
        <w:t>2/7 e IPBES</w:t>
      </w:r>
      <w:r w:rsidR="00356A65">
        <w:rPr>
          <w:spacing w:val="-2"/>
          <w:lang w:val="es-ES_tradnl"/>
        </w:rPr>
        <w:noBreakHyphen/>
      </w:r>
      <w:r w:rsidRPr="008E7D12">
        <w:rPr>
          <w:spacing w:val="-2"/>
          <w:lang w:val="es-ES_tradnl"/>
        </w:rPr>
        <w:t xml:space="preserve">3/2, se efectuarán contribuciones en efectivo al </w:t>
      </w:r>
      <w:r w:rsidR="001E2D97">
        <w:rPr>
          <w:spacing w:val="-2"/>
          <w:lang w:val="es-ES_tradnl"/>
        </w:rPr>
        <w:t>Fondo Fiduciario</w:t>
      </w:r>
      <w:r w:rsidRPr="008E7D12">
        <w:rPr>
          <w:spacing w:val="-2"/>
          <w:lang w:val="es-ES_tradnl"/>
        </w:rPr>
        <w:t xml:space="preserve"> como contribuciones no destinadas a fines específicos. Como excepción, se admitirán contribuciones de una sola vez que excedan de</w:t>
      </w:r>
      <w:r w:rsidR="001E2D97">
        <w:rPr>
          <w:spacing w:val="-2"/>
          <w:lang w:val="es-ES_tradnl"/>
        </w:rPr>
        <w:t> </w:t>
      </w:r>
      <w:r w:rsidRPr="008E7D12">
        <w:rPr>
          <w:spacing w:val="-2"/>
          <w:lang w:val="es-ES_tradnl"/>
        </w:rPr>
        <w:t xml:space="preserve">300.000 dólares por contribuyente y por actividad con la aprobación del Plenario. Se podrán aceptar contribuciones de una sola vez que no excedan de 300.000 dólares por contribuyente y por actividad con la aprobación de la Mesa. Hasta la fecha, se han recibido contribuciones en efectivo al </w:t>
      </w:r>
      <w:r w:rsidR="001E2D97">
        <w:rPr>
          <w:spacing w:val="-2"/>
          <w:lang w:val="es-ES_tradnl"/>
        </w:rPr>
        <w:t>Fondo Fiduciario</w:t>
      </w:r>
      <w:r w:rsidRPr="008E7D12">
        <w:rPr>
          <w:spacing w:val="-2"/>
          <w:lang w:val="es-ES_tradnl"/>
        </w:rPr>
        <w:t xml:space="preserve"> exclusivamente de los gobiernos. Algunos gobiernos donantes aportan sus contribuciones al </w:t>
      </w:r>
      <w:r w:rsidR="001E2D97">
        <w:rPr>
          <w:spacing w:val="-2"/>
          <w:lang w:val="es-ES_tradnl"/>
        </w:rPr>
        <w:t>Fondo Fiduciario</w:t>
      </w:r>
      <w:r w:rsidRPr="008E7D12">
        <w:rPr>
          <w:spacing w:val="-2"/>
          <w:lang w:val="es-ES_tradnl"/>
        </w:rPr>
        <w:t xml:space="preserve"> periódicamente; sin embargo, las demás contribuciones se reciben con irregularidad y su monto varía. </w:t>
      </w:r>
    </w:p>
    <w:p w14:paraId="6423A3FC" w14:textId="2452E6E0" w:rsidR="000958F5" w:rsidRPr="00703A97" w:rsidRDefault="000958F5" w:rsidP="0050309E">
      <w:pPr>
        <w:pStyle w:val="Normalnumber"/>
        <w:rPr>
          <w:lang w:val="es-ES_tradnl"/>
        </w:rPr>
      </w:pPr>
      <w:r w:rsidRPr="00703A97">
        <w:rPr>
          <w:lang w:val="es-ES_tradnl"/>
        </w:rPr>
        <w:t xml:space="preserve">Se entiende por contribuciones en especie como apoyo directo, no recibido por el </w:t>
      </w:r>
      <w:r w:rsidR="001E2D97">
        <w:rPr>
          <w:lang w:val="es-ES_tradnl"/>
        </w:rPr>
        <w:t>Fondo Fiduciario</w:t>
      </w:r>
      <w:r w:rsidRPr="00703A97">
        <w:rPr>
          <w:lang w:val="es-ES_tradnl"/>
        </w:rPr>
        <w:t xml:space="preserve">, para actividades, ya sea las programadas como parte del programa de trabajo, que, de no ser así, tendrían que ser sufragadas por el </w:t>
      </w:r>
      <w:r w:rsidR="001E2D97">
        <w:rPr>
          <w:lang w:val="es-ES_tradnl"/>
        </w:rPr>
        <w:t>Fondo Fiduciario</w:t>
      </w:r>
      <w:r w:rsidRPr="00703A97">
        <w:rPr>
          <w:lang w:val="es-ES_tradnl"/>
        </w:rPr>
        <w:t xml:space="preserve"> u organizadas para apoyar el programa de trabajo. Las contribuciones en especie provienen de distintos contribuyentes, desde particulares hasta instituciones y gobiernos, y sus contribuciones abarcan muy diversas actividades, entre ellas:</w:t>
      </w:r>
    </w:p>
    <w:p w14:paraId="4656D762" w14:textId="5FC117BE" w:rsidR="000958F5" w:rsidRPr="008E7D12" w:rsidRDefault="00BC69EF" w:rsidP="008E7D12">
      <w:pPr>
        <w:pStyle w:val="Normalnumber"/>
        <w:numPr>
          <w:ilvl w:val="0"/>
          <w:numId w:val="14"/>
        </w:numPr>
        <w:tabs>
          <w:tab w:val="clear" w:pos="624"/>
          <w:tab w:val="clear" w:pos="1134"/>
        </w:tabs>
        <w:ind w:firstLine="624"/>
        <w:rPr>
          <w:spacing w:val="-2"/>
          <w:lang w:val="es-ES_tradnl"/>
        </w:rPr>
      </w:pPr>
      <w:r w:rsidRPr="008E7D12">
        <w:rPr>
          <w:spacing w:val="-2"/>
          <w:lang w:val="es-ES_tradnl"/>
        </w:rPr>
        <w:t xml:space="preserve">Aporte de tiempo y conocimientos especializados de expertos que son miembros de los grupos de expertos de las evaluaciones y de otra índole: contribución en especie sin la cual la ejecución del programa de trabajo de la Plataforma sería inviable dentro de los </w:t>
      </w:r>
      <w:r w:rsidR="00703A97" w:rsidRPr="008E7D12">
        <w:rPr>
          <w:spacing w:val="-2"/>
          <w:lang w:val="es-ES_tradnl"/>
        </w:rPr>
        <w:t>límites</w:t>
      </w:r>
      <w:r w:rsidRPr="008E7D12">
        <w:rPr>
          <w:spacing w:val="-2"/>
          <w:lang w:val="es-ES_tradnl"/>
        </w:rPr>
        <w:t xml:space="preserve"> actuales de los recursos financieros;</w:t>
      </w:r>
    </w:p>
    <w:p w14:paraId="0C91A678" w14:textId="0D4F7D33" w:rsidR="000958F5" w:rsidRPr="00703A97" w:rsidRDefault="00BC69EF" w:rsidP="0050309E">
      <w:pPr>
        <w:pStyle w:val="Normalnumber"/>
        <w:numPr>
          <w:ilvl w:val="0"/>
          <w:numId w:val="14"/>
        </w:numPr>
        <w:tabs>
          <w:tab w:val="clear" w:pos="1134"/>
        </w:tabs>
        <w:ind w:firstLine="624"/>
        <w:rPr>
          <w:lang w:val="es-ES_tradnl"/>
        </w:rPr>
      </w:pPr>
      <w:r w:rsidRPr="00703A97">
        <w:rPr>
          <w:lang w:val="es-ES_tradnl"/>
        </w:rPr>
        <w:t>Los gastos de participación en las reuniones de la Plataforma de los expertos de países desarrollados que no reúnen las condiciones necesarias para recibir apoyo financiero;</w:t>
      </w:r>
    </w:p>
    <w:p w14:paraId="4AABF13B" w14:textId="7D9A13AB" w:rsidR="000958F5" w:rsidRPr="00703A97" w:rsidRDefault="00BC69EF" w:rsidP="0050309E">
      <w:pPr>
        <w:pStyle w:val="Normalnumber"/>
        <w:numPr>
          <w:ilvl w:val="0"/>
          <w:numId w:val="14"/>
        </w:numPr>
        <w:tabs>
          <w:tab w:val="clear" w:pos="1134"/>
        </w:tabs>
        <w:ind w:firstLine="624"/>
        <w:rPr>
          <w:lang w:val="es-ES_tradnl"/>
        </w:rPr>
      </w:pPr>
      <w:r w:rsidRPr="00703A97">
        <w:rPr>
          <w:lang w:val="es-ES_tradnl"/>
        </w:rPr>
        <w:t>El apoyo técnico prestado a productos previstos específicos por las instituciones que acogen a dependencias de apoyo técnico;</w:t>
      </w:r>
    </w:p>
    <w:p w14:paraId="415241A5" w14:textId="3FCD024B" w:rsidR="000958F5" w:rsidRPr="00703A97" w:rsidRDefault="00BC69EF" w:rsidP="0050309E">
      <w:pPr>
        <w:pStyle w:val="Normalnumber"/>
        <w:numPr>
          <w:ilvl w:val="0"/>
          <w:numId w:val="14"/>
        </w:numPr>
        <w:tabs>
          <w:tab w:val="clear" w:pos="1134"/>
        </w:tabs>
        <w:ind w:firstLine="624"/>
        <w:rPr>
          <w:lang w:val="es-ES_tradnl"/>
        </w:rPr>
      </w:pPr>
      <w:r w:rsidRPr="00703A97">
        <w:rPr>
          <w:lang w:val="es-ES_tradnl"/>
        </w:rPr>
        <w:t>La prestación de servicios a reuniones y el apoyo logístico a reuniones específicas;</w:t>
      </w:r>
    </w:p>
    <w:p w14:paraId="0BAD2F49" w14:textId="33E1423F" w:rsidR="000958F5" w:rsidRPr="00703A97" w:rsidRDefault="00BC69EF" w:rsidP="0050309E">
      <w:pPr>
        <w:pStyle w:val="Normalnumber"/>
        <w:numPr>
          <w:ilvl w:val="0"/>
          <w:numId w:val="14"/>
        </w:numPr>
        <w:tabs>
          <w:tab w:val="clear" w:pos="1134"/>
        </w:tabs>
        <w:ind w:firstLine="624"/>
        <w:rPr>
          <w:lang w:val="es-ES_tradnl"/>
        </w:rPr>
      </w:pPr>
      <w:r w:rsidRPr="00703A97">
        <w:rPr>
          <w:lang w:val="es-ES_tradnl"/>
        </w:rPr>
        <w:t>El suministro de datos, como los relativos a los indicadores, el acceso a</w:t>
      </w:r>
      <w:r w:rsidR="003B4951">
        <w:rPr>
          <w:lang w:val="es-ES_tradnl"/>
        </w:rPr>
        <w:t xml:space="preserve"> </w:t>
      </w:r>
      <w:r w:rsidRPr="00703A97">
        <w:rPr>
          <w:lang w:val="es-ES_tradnl"/>
        </w:rPr>
        <w:t xml:space="preserve">conocimientos a los que, de otra manera, solo se accedería mediante el pago de una tarifa, o el libre acceso para crear una infraestructura digital. </w:t>
      </w:r>
    </w:p>
    <w:p w14:paraId="0DFBBCEB" w14:textId="07E0103D" w:rsidR="000958F5" w:rsidRPr="00703A97" w:rsidRDefault="000958F5" w:rsidP="0050309E">
      <w:pPr>
        <w:pStyle w:val="Normalnumber"/>
        <w:rPr>
          <w:lang w:val="es-ES_tradnl"/>
        </w:rPr>
      </w:pPr>
      <w:r w:rsidRPr="00703A97">
        <w:rPr>
          <w:lang w:val="es-ES_tradnl"/>
        </w:rPr>
        <w:t>El aprovechamiento máximo de las actividades de los asociados en apoyo de la Plataforma no contribuye directamente a la ejecución del programa de trabajo de la Plataforma pero indirectamente contribuye, en gran medida, a garantizar el éxito general de la Plataforma. Se trata fundamentalmente de crear las bases sobre las que se apoyen las actividades de la Plataforma</w:t>
      </w:r>
      <w:r w:rsidR="003B4951">
        <w:rPr>
          <w:lang w:val="es-ES_tradnl"/>
        </w:rPr>
        <w:t xml:space="preserve"> </w:t>
      </w:r>
      <w:r w:rsidRPr="00703A97">
        <w:rPr>
          <w:lang w:val="es-ES_tradnl"/>
        </w:rPr>
        <w:t xml:space="preserve">y que faciliten lograr la aceptación y aplicación práctica de los productos previstos de la Plataforma. En este sentido, los asociados contribuyen a la labor de la Plataforma, por ejemplo, promoviendo y catalizando las actividades encaminadas a atender necesidades de creación de capacidad prioritarias, apoyar a la generación de conocimientos en esferas en las que la Plataforma haya detectado y priorizado alguna deficiencia y facilitar la participación de las comunidades indígenas y locales en el marco de la Plataforma. </w:t>
      </w:r>
    </w:p>
    <w:p w14:paraId="0D8B3C18" w14:textId="73CA1CEA" w:rsidR="000958F5" w:rsidRPr="00703A97" w:rsidRDefault="000958F5" w:rsidP="0050309E">
      <w:pPr>
        <w:pStyle w:val="Normalnumber"/>
        <w:rPr>
          <w:lang w:val="es-ES_tradnl"/>
        </w:rPr>
      </w:pPr>
      <w:r w:rsidRPr="00703A97">
        <w:rPr>
          <w:lang w:val="es-ES_tradnl"/>
        </w:rPr>
        <w:t xml:space="preserve">La recaudación de fondos para la Plataforma tiene que abarcar los tres tipos de recursos. Dado que un </w:t>
      </w:r>
      <w:r w:rsidR="001E2D97">
        <w:rPr>
          <w:lang w:val="es-ES_tradnl"/>
        </w:rPr>
        <w:t>Fondo Fiduciario</w:t>
      </w:r>
      <w:r w:rsidRPr="00703A97">
        <w:rPr>
          <w:lang w:val="es-ES_tradnl"/>
        </w:rPr>
        <w:t xml:space="preserve"> bien dotado de recursos es lo más importante para el funcionamiento de la Plataforma, se deberá hacer hincapié en la recaudación de contribuciones en efectivo al </w:t>
      </w:r>
      <w:r w:rsidR="001E2D97">
        <w:rPr>
          <w:lang w:val="es-ES_tradnl"/>
        </w:rPr>
        <w:t>Fondo Fiduciario</w:t>
      </w:r>
      <w:r w:rsidRPr="00703A97">
        <w:rPr>
          <w:lang w:val="es-ES_tradnl"/>
        </w:rPr>
        <w:t xml:space="preserve">. Sinn embargo, al mismo tiempo, es </w:t>
      </w:r>
      <w:r w:rsidR="00703A97" w:rsidRPr="00703A97">
        <w:rPr>
          <w:lang w:val="es-ES_tradnl"/>
        </w:rPr>
        <w:t>también</w:t>
      </w:r>
      <w:r w:rsidRPr="00703A97">
        <w:rPr>
          <w:lang w:val="es-ES_tradnl"/>
        </w:rPr>
        <w:t xml:space="preserve"> fundamental para asegurar el éxito de la Plataforma, que se soliciten contribuciones en especie y se aprovechen al máximo las actividades de los asociados. </w:t>
      </w:r>
    </w:p>
    <w:p w14:paraId="318D2B74" w14:textId="5846F722" w:rsidR="000958F5" w:rsidRPr="00703A97" w:rsidRDefault="007F2585" w:rsidP="0050309E">
      <w:pPr>
        <w:pStyle w:val="CH1"/>
        <w:spacing w:before="120"/>
        <w:rPr>
          <w:lang w:val="es-ES_tradnl"/>
        </w:rPr>
      </w:pPr>
      <w:r w:rsidRPr="00703A97">
        <w:rPr>
          <w:lang w:val="es-ES_tradnl"/>
        </w:rPr>
        <w:lastRenderedPageBreak/>
        <w:tab/>
      </w:r>
      <w:r w:rsidRPr="00703A97">
        <w:rPr>
          <w:bCs/>
          <w:lang w:val="es-ES_tradnl"/>
        </w:rPr>
        <w:t>II.</w:t>
      </w:r>
      <w:r w:rsidRPr="00703A97">
        <w:rPr>
          <w:lang w:val="es-ES_tradnl"/>
        </w:rPr>
        <w:tab/>
      </w:r>
      <w:r w:rsidRPr="00703A97">
        <w:rPr>
          <w:bCs/>
          <w:lang w:val="es-ES_tradnl"/>
        </w:rPr>
        <w:t>Actividades destinadas a fortalecer la recaudación de fondos</w:t>
      </w:r>
    </w:p>
    <w:p w14:paraId="0FC8C69A" w14:textId="50AB72BE" w:rsidR="000958F5" w:rsidRPr="00703A97" w:rsidRDefault="000958F5" w:rsidP="0050309E">
      <w:pPr>
        <w:pStyle w:val="Normalnumber"/>
        <w:rPr>
          <w:lang w:val="es-ES_tradnl"/>
        </w:rPr>
      </w:pPr>
      <w:r w:rsidRPr="00703A97">
        <w:rPr>
          <w:lang w:val="es-ES_tradnl"/>
        </w:rPr>
        <w:t xml:space="preserve">Con miras a fortalecer la recaudación de fondos para la Plataforma se recomienda llevar a cabo las siguientes actividades: </w:t>
      </w:r>
    </w:p>
    <w:p w14:paraId="2477C409" w14:textId="2272D21C" w:rsidR="000958F5" w:rsidRPr="00703A97" w:rsidRDefault="000958F5" w:rsidP="0050309E">
      <w:pPr>
        <w:pStyle w:val="Normalnumber"/>
        <w:numPr>
          <w:ilvl w:val="1"/>
          <w:numId w:val="13"/>
        </w:numPr>
        <w:tabs>
          <w:tab w:val="clear" w:pos="567"/>
        </w:tabs>
        <w:ind w:firstLine="624"/>
        <w:rPr>
          <w:lang w:val="es-ES_tradnl"/>
        </w:rPr>
      </w:pPr>
      <w:r w:rsidRPr="00703A97">
        <w:rPr>
          <w:lang w:val="es-ES_tradnl"/>
        </w:rPr>
        <w:t xml:space="preserve">Aumentar el conocimiento de la estructura actual de donantes de la Plataforma y </w:t>
      </w:r>
      <w:r w:rsidR="00703A97" w:rsidRPr="00703A97">
        <w:rPr>
          <w:lang w:val="es-ES_tradnl"/>
        </w:rPr>
        <w:t>determinar</w:t>
      </w:r>
      <w:r w:rsidRPr="00703A97">
        <w:rPr>
          <w:lang w:val="es-ES_tradnl"/>
        </w:rPr>
        <w:t xml:space="preserve"> a los posibles asociados o donantes para cada uno de los tres tipos de recursos, observando que, si bien involucrar a las fundaciones filantrópicas y al sector privado debería ser uno de los objetivos de las actividades de recaudación de fondos de la Plataforma, lo más probable sea que los gobiernos sigan siendo el principal grupo de donantes al </w:t>
      </w:r>
      <w:r w:rsidR="001E2D97">
        <w:rPr>
          <w:lang w:val="es-ES_tradnl"/>
        </w:rPr>
        <w:t>Fondo Fiduciario</w:t>
      </w:r>
      <w:r w:rsidRPr="00703A97">
        <w:rPr>
          <w:lang w:val="es-ES_tradnl"/>
        </w:rPr>
        <w:t>;</w:t>
      </w:r>
    </w:p>
    <w:p w14:paraId="21A848B1" w14:textId="30F3EBDE" w:rsidR="000958F5" w:rsidRPr="008E7D12" w:rsidRDefault="000958F5" w:rsidP="0050309E">
      <w:pPr>
        <w:pStyle w:val="Normalnumber"/>
        <w:numPr>
          <w:ilvl w:val="1"/>
          <w:numId w:val="13"/>
        </w:numPr>
        <w:tabs>
          <w:tab w:val="clear" w:pos="567"/>
        </w:tabs>
        <w:ind w:firstLine="624"/>
        <w:rPr>
          <w:spacing w:val="-4"/>
          <w:lang w:val="es-ES_tradnl"/>
        </w:rPr>
      </w:pPr>
      <w:r w:rsidRPr="008E7D12">
        <w:rPr>
          <w:spacing w:val="-4"/>
          <w:lang w:val="es-ES_tradnl"/>
        </w:rPr>
        <w:t xml:space="preserve">Aumentar el conocimiento de los incentivos, la motivación, los desincentivos y los obstáculos con que tropiezan los donantes que aportan fondos, contribuciones en especie y actividades de apoyo; </w:t>
      </w:r>
    </w:p>
    <w:p w14:paraId="4FF96359" w14:textId="038FD755" w:rsidR="000958F5" w:rsidRPr="00703A97" w:rsidRDefault="000958F5" w:rsidP="0050309E">
      <w:pPr>
        <w:pStyle w:val="Normalnumber"/>
        <w:numPr>
          <w:ilvl w:val="1"/>
          <w:numId w:val="13"/>
        </w:numPr>
        <w:tabs>
          <w:tab w:val="clear" w:pos="567"/>
        </w:tabs>
        <w:ind w:firstLine="624"/>
        <w:rPr>
          <w:lang w:val="es-ES_tradnl"/>
        </w:rPr>
      </w:pPr>
      <w:r w:rsidRPr="00703A97">
        <w:rPr>
          <w:lang w:val="es-ES_tradnl"/>
        </w:rPr>
        <w:t>Intensificar los esfuerzos para aumentar el número de miembros de la Plataforma;</w:t>
      </w:r>
    </w:p>
    <w:p w14:paraId="2D653E40" w14:textId="4044855C" w:rsidR="000958F5" w:rsidRPr="00703A97" w:rsidRDefault="000958F5" w:rsidP="0050309E">
      <w:pPr>
        <w:pStyle w:val="Normalnumber"/>
        <w:numPr>
          <w:ilvl w:val="1"/>
          <w:numId w:val="13"/>
        </w:numPr>
        <w:tabs>
          <w:tab w:val="clear" w:pos="567"/>
        </w:tabs>
        <w:ind w:firstLine="624"/>
        <w:rPr>
          <w:lang w:val="es-ES_tradnl"/>
        </w:rPr>
      </w:pPr>
      <w:r w:rsidRPr="00703A97">
        <w:rPr>
          <w:lang w:val="es-ES_tradnl"/>
        </w:rPr>
        <w:t>Comunicar constantemente la importancia de la labor de la Plataforma y sus beneficios a los posibles donantes y asociados;</w:t>
      </w:r>
    </w:p>
    <w:p w14:paraId="2011ECD3" w14:textId="660CE3BC" w:rsidR="000958F5" w:rsidRPr="00703A97" w:rsidRDefault="000958F5" w:rsidP="0050309E">
      <w:pPr>
        <w:pStyle w:val="Normalnumber"/>
        <w:numPr>
          <w:ilvl w:val="1"/>
          <w:numId w:val="13"/>
        </w:numPr>
        <w:tabs>
          <w:tab w:val="clear" w:pos="567"/>
        </w:tabs>
        <w:ind w:firstLine="624"/>
        <w:rPr>
          <w:lang w:val="es-ES_tradnl"/>
        </w:rPr>
      </w:pPr>
      <w:r w:rsidRPr="00703A97">
        <w:rPr>
          <w:lang w:val="es-ES_tradnl"/>
        </w:rPr>
        <w:t>Sensibilizar cada vez más a los posibles donantes y asociados con respecto a las vías disponibles para apoyar la Plataforma;</w:t>
      </w:r>
    </w:p>
    <w:p w14:paraId="6AB730BE" w14:textId="122AA707" w:rsidR="000958F5" w:rsidRPr="00703A97" w:rsidRDefault="000958F5" w:rsidP="0050309E">
      <w:pPr>
        <w:pStyle w:val="Normalnumber"/>
        <w:numPr>
          <w:ilvl w:val="1"/>
          <w:numId w:val="13"/>
        </w:numPr>
        <w:tabs>
          <w:tab w:val="clear" w:pos="567"/>
        </w:tabs>
        <w:ind w:firstLine="624"/>
        <w:rPr>
          <w:lang w:val="es-ES_tradnl"/>
        </w:rPr>
      </w:pPr>
      <w:r w:rsidRPr="00703A97">
        <w:rPr>
          <w:lang w:val="es-ES_tradnl"/>
        </w:rPr>
        <w:t>Crear oportunidades para la participación de posibles donantes y asociados, en particular en el marco de actividades de alto nivel y en reuniones bilaterales;</w:t>
      </w:r>
    </w:p>
    <w:p w14:paraId="10D5DDEA" w14:textId="51CD8213" w:rsidR="000958F5" w:rsidRPr="00703A97" w:rsidRDefault="000958F5" w:rsidP="0050309E">
      <w:pPr>
        <w:pStyle w:val="Normalnumber"/>
        <w:numPr>
          <w:ilvl w:val="1"/>
          <w:numId w:val="13"/>
        </w:numPr>
        <w:tabs>
          <w:tab w:val="clear" w:pos="567"/>
        </w:tabs>
        <w:ind w:firstLine="624"/>
        <w:rPr>
          <w:lang w:val="es-ES_tradnl"/>
        </w:rPr>
      </w:pPr>
      <w:r w:rsidRPr="00703A97">
        <w:rPr>
          <w:lang w:val="es-ES_tradnl"/>
        </w:rPr>
        <w:t>Colaborar con los actuales donantes que estén dispuestos a promover las actividades de recaudación de fondos;</w:t>
      </w:r>
    </w:p>
    <w:p w14:paraId="77AF1B44" w14:textId="540403AB" w:rsidR="000958F5" w:rsidRPr="00703A97" w:rsidRDefault="000958F5" w:rsidP="0050309E">
      <w:pPr>
        <w:pStyle w:val="Normalnumber"/>
        <w:numPr>
          <w:ilvl w:val="1"/>
          <w:numId w:val="13"/>
        </w:numPr>
        <w:tabs>
          <w:tab w:val="clear" w:pos="567"/>
        </w:tabs>
        <w:ind w:firstLine="624"/>
        <w:rPr>
          <w:lang w:val="es-ES_tradnl"/>
        </w:rPr>
      </w:pPr>
      <w:r w:rsidRPr="00703A97">
        <w:rPr>
          <w:lang w:val="es-ES_tradnl"/>
        </w:rPr>
        <w:t>Apreciar debidamente las contribuciones recibidas de los donantes y asociados.</w:t>
      </w:r>
    </w:p>
    <w:p w14:paraId="13B607ED" w14:textId="6B2F9213" w:rsidR="000958F5" w:rsidRPr="00703A97" w:rsidRDefault="007F2585" w:rsidP="0050309E">
      <w:pPr>
        <w:pStyle w:val="CH1"/>
        <w:rPr>
          <w:lang w:val="es-ES_tradnl"/>
        </w:rPr>
      </w:pPr>
      <w:r w:rsidRPr="00703A97">
        <w:rPr>
          <w:lang w:val="es-ES_tradnl"/>
        </w:rPr>
        <w:tab/>
      </w:r>
      <w:r w:rsidRPr="00703A97">
        <w:rPr>
          <w:bCs/>
          <w:lang w:val="es-ES_tradnl"/>
        </w:rPr>
        <w:t>III.</w:t>
      </w:r>
      <w:r w:rsidRPr="00703A97">
        <w:rPr>
          <w:lang w:val="es-ES_tradnl"/>
        </w:rPr>
        <w:tab/>
      </w:r>
      <w:r w:rsidRPr="00703A97">
        <w:rPr>
          <w:bCs/>
          <w:lang w:val="es-ES_tradnl"/>
        </w:rPr>
        <w:t>Actividades prioritarias durante 2017</w:t>
      </w:r>
    </w:p>
    <w:p w14:paraId="495ACB44" w14:textId="0507295D" w:rsidR="000958F5" w:rsidRPr="00703A97" w:rsidRDefault="000958F5" w:rsidP="0050309E">
      <w:pPr>
        <w:pStyle w:val="Normalnumber"/>
        <w:tabs>
          <w:tab w:val="clear" w:pos="1134"/>
        </w:tabs>
        <w:rPr>
          <w:lang w:val="es-ES_tradnl"/>
        </w:rPr>
      </w:pPr>
      <w:r w:rsidRPr="00703A97">
        <w:rPr>
          <w:lang w:val="es-ES_tradnl"/>
        </w:rPr>
        <w:t>Un oficial de movilización de recursos, patrocinado por el Gobierno de Francia, se encargará de coordinar la aplicación de la estrategia de recaudación de fondos para el primer programa de trabajo de la Plataforma, a partir de septiembre de 2017. Se recomienda llevar a cabo las siguientes actividades entre los períodos de sesiones quinto y sexto del Plenario:</w:t>
      </w:r>
    </w:p>
    <w:p w14:paraId="3B34C413" w14:textId="29F77020" w:rsidR="000958F5" w:rsidRPr="00703A97" w:rsidRDefault="000958F5" w:rsidP="0050309E">
      <w:pPr>
        <w:pStyle w:val="Normalnumber"/>
        <w:numPr>
          <w:ilvl w:val="0"/>
          <w:numId w:val="12"/>
        </w:numPr>
        <w:tabs>
          <w:tab w:val="clear" w:pos="1134"/>
        </w:tabs>
        <w:ind w:firstLine="624"/>
        <w:rPr>
          <w:lang w:val="es-ES_tradnl"/>
        </w:rPr>
      </w:pPr>
      <w:r w:rsidRPr="00703A97">
        <w:rPr>
          <w:lang w:val="es-ES_tradnl"/>
        </w:rPr>
        <w:t>Invitación oficial a países no miembros de la Plataforma para que sean miembros;</w:t>
      </w:r>
    </w:p>
    <w:p w14:paraId="7252D49B" w14:textId="7135A7F3" w:rsidR="000958F5" w:rsidRPr="00703A97" w:rsidRDefault="000958F5" w:rsidP="0050309E">
      <w:pPr>
        <w:pStyle w:val="Normalnumber"/>
        <w:numPr>
          <w:ilvl w:val="0"/>
          <w:numId w:val="12"/>
        </w:numPr>
        <w:tabs>
          <w:tab w:val="clear" w:pos="1134"/>
        </w:tabs>
        <w:ind w:firstLine="624"/>
        <w:rPr>
          <w:lang w:val="es-ES_tradnl"/>
        </w:rPr>
      </w:pPr>
      <w:r w:rsidRPr="00703A97">
        <w:rPr>
          <w:lang w:val="es-ES_tradnl"/>
        </w:rPr>
        <w:t>Producción de materiales de comunicación para resaltar el valor de la labor de la Plataforma entre posibles asociados y donantes, utilizando ejemplos concretos y</w:t>
      </w:r>
      <w:r w:rsidR="003B4951">
        <w:rPr>
          <w:lang w:val="es-ES_tradnl"/>
        </w:rPr>
        <w:t xml:space="preserve"> </w:t>
      </w:r>
      <w:r w:rsidRPr="00703A97">
        <w:rPr>
          <w:lang w:val="es-ES_tradnl"/>
        </w:rPr>
        <w:t xml:space="preserve">relatos y señalando las vías específicas para la prestación de apoyo, entre ellas las contribuciones al </w:t>
      </w:r>
      <w:r w:rsidR="001E2D97">
        <w:rPr>
          <w:lang w:val="es-ES_tradnl"/>
        </w:rPr>
        <w:t>Fondo Fiduciario</w:t>
      </w:r>
      <w:r w:rsidRPr="00703A97">
        <w:rPr>
          <w:lang w:val="es-ES_tradnl"/>
        </w:rPr>
        <w:t>, la aportación de fondos para fines específicos, en la medida en que el reglamento financiero lo permita, la opción más flexible de contribuciones en especie-y la realización de actividades de apoyo;</w:t>
      </w:r>
    </w:p>
    <w:p w14:paraId="6EB337FD" w14:textId="6F0C61C9" w:rsidR="000958F5" w:rsidRPr="00703A97" w:rsidRDefault="000958F5" w:rsidP="0050309E">
      <w:pPr>
        <w:pStyle w:val="Normalnumber"/>
        <w:numPr>
          <w:ilvl w:val="0"/>
          <w:numId w:val="12"/>
        </w:numPr>
        <w:tabs>
          <w:tab w:val="clear" w:pos="1134"/>
        </w:tabs>
        <w:ind w:firstLine="624"/>
        <w:rPr>
          <w:lang w:val="es-ES_tradnl"/>
        </w:rPr>
      </w:pPr>
      <w:r w:rsidRPr="00703A97">
        <w:rPr>
          <w:lang w:val="es-ES_tradnl"/>
        </w:rPr>
        <w:t>La selección de algunos donantes excepcionales y la colaboración con ellos en la organización de una reunión de recaudación de fondos paralelamente al foro político de alto nivel sobre el desarrollo sostenible, que se celebrará en Nueva York del 10 al 19 de julio de 2017;</w:t>
      </w:r>
    </w:p>
    <w:p w14:paraId="6C77E483" w14:textId="016A7298" w:rsidR="000958F5" w:rsidRPr="00703A97" w:rsidRDefault="000958F5" w:rsidP="0050309E">
      <w:pPr>
        <w:pStyle w:val="Normalnumber"/>
        <w:numPr>
          <w:ilvl w:val="0"/>
          <w:numId w:val="12"/>
        </w:numPr>
        <w:tabs>
          <w:tab w:val="clear" w:pos="1134"/>
        </w:tabs>
        <w:ind w:firstLine="624"/>
        <w:rPr>
          <w:lang w:val="es-ES_tradnl"/>
        </w:rPr>
      </w:pPr>
      <w:r w:rsidRPr="00703A97">
        <w:rPr>
          <w:lang w:val="es-ES_tradnl"/>
        </w:rPr>
        <w:t>Preparación de un análisis, incluso mediante la celebración de consultas con los Estados miembros y otros posibles donantes, de la estructura actual de la Plataforma y los incentivos, las motivaciones, los desincentivos y los obstáculos con que tropiezan para aportar fondos, contribuciones y apoyo, así como la determinación de estrategias para mejorar los incentivos, superar los obstáculos y lograr la participación de otros posibles donantes y asociados;</w:t>
      </w:r>
    </w:p>
    <w:p w14:paraId="4E865C51" w14:textId="6BBAE225" w:rsidR="000958F5" w:rsidRPr="00703A97" w:rsidRDefault="000958F5" w:rsidP="0050309E">
      <w:pPr>
        <w:pStyle w:val="Normalnumber"/>
        <w:numPr>
          <w:ilvl w:val="0"/>
          <w:numId w:val="12"/>
        </w:numPr>
        <w:tabs>
          <w:tab w:val="clear" w:pos="1134"/>
        </w:tabs>
        <w:ind w:firstLine="624"/>
        <w:rPr>
          <w:lang w:val="es-ES_tradnl"/>
        </w:rPr>
      </w:pPr>
      <w:r w:rsidRPr="00703A97">
        <w:rPr>
          <w:lang w:val="es-ES_tradnl"/>
        </w:rPr>
        <w:t>Participación junto con gobiernos, fundaciones y empresas específicos en actividades importantes de recaudación de fondos en curso en consonancia con las estrategias definidas;</w:t>
      </w:r>
    </w:p>
    <w:p w14:paraId="13906A77" w14:textId="43B53A24" w:rsidR="000958F5" w:rsidRPr="00703A97" w:rsidRDefault="000958F5" w:rsidP="0050309E">
      <w:pPr>
        <w:pStyle w:val="Normalnumber"/>
        <w:numPr>
          <w:ilvl w:val="0"/>
          <w:numId w:val="12"/>
        </w:numPr>
        <w:tabs>
          <w:tab w:val="clear" w:pos="1134"/>
        </w:tabs>
        <w:ind w:firstLine="624"/>
        <w:rPr>
          <w:lang w:val="es-ES_tradnl"/>
        </w:rPr>
      </w:pPr>
      <w:r w:rsidRPr="00703A97">
        <w:rPr>
          <w:lang w:val="es-ES_tradnl"/>
        </w:rPr>
        <w:t>Establecimiento y mantenimiento de una lista de contribuyentes a la Plataforma en el sitio web de la Plataforma;</w:t>
      </w:r>
    </w:p>
    <w:p w14:paraId="78339E0A" w14:textId="78D66298" w:rsidR="000958F5" w:rsidRPr="00703A97" w:rsidRDefault="000958F5" w:rsidP="0050309E">
      <w:pPr>
        <w:pStyle w:val="Normalnumber"/>
        <w:numPr>
          <w:ilvl w:val="0"/>
          <w:numId w:val="12"/>
        </w:numPr>
        <w:tabs>
          <w:tab w:val="clear" w:pos="1134"/>
        </w:tabs>
        <w:ind w:firstLine="624"/>
        <w:rPr>
          <w:lang w:val="es-ES_tradnl"/>
        </w:rPr>
      </w:pPr>
      <w:r w:rsidRPr="00703A97">
        <w:rPr>
          <w:lang w:val="es-ES_tradnl"/>
        </w:rPr>
        <w:t xml:space="preserve">Organización de una reunión de posibles donantes en el período previo al sexto período de sesiones del Plenario.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EE73C3" w:rsidRPr="000930FA" w14:paraId="7867141B" w14:textId="77777777" w:rsidTr="008E7D12">
        <w:trPr>
          <w:trHeight w:val="229"/>
        </w:trPr>
        <w:tc>
          <w:tcPr>
            <w:tcW w:w="2009" w:type="dxa"/>
          </w:tcPr>
          <w:p w14:paraId="4DBAB492" w14:textId="77777777" w:rsidR="00EE73C3" w:rsidRPr="00703A97" w:rsidRDefault="00EE73C3" w:rsidP="008E7D12">
            <w:pPr>
              <w:pStyle w:val="Normal-pool"/>
              <w:spacing w:before="40" w:after="40"/>
              <w:rPr>
                <w:lang w:val="es-ES_tradnl"/>
              </w:rPr>
            </w:pPr>
          </w:p>
        </w:tc>
        <w:tc>
          <w:tcPr>
            <w:tcW w:w="2009" w:type="dxa"/>
          </w:tcPr>
          <w:p w14:paraId="0EAE2A32" w14:textId="77777777" w:rsidR="00EE73C3" w:rsidRPr="00703A97" w:rsidRDefault="00EE73C3" w:rsidP="008E7D12">
            <w:pPr>
              <w:pStyle w:val="Normal-pool"/>
              <w:spacing w:before="40" w:after="40"/>
              <w:rPr>
                <w:lang w:val="es-ES_tradnl"/>
              </w:rPr>
            </w:pPr>
          </w:p>
        </w:tc>
        <w:tc>
          <w:tcPr>
            <w:tcW w:w="2009" w:type="dxa"/>
            <w:tcBorders>
              <w:bottom w:val="single" w:sz="4" w:space="0" w:color="auto"/>
            </w:tcBorders>
          </w:tcPr>
          <w:p w14:paraId="4A957BE2" w14:textId="77777777" w:rsidR="00EE73C3" w:rsidRPr="00703A97" w:rsidRDefault="00EE73C3" w:rsidP="008E7D12">
            <w:pPr>
              <w:pStyle w:val="Normal-pool"/>
              <w:spacing w:before="40" w:after="40"/>
              <w:rPr>
                <w:lang w:val="es-ES_tradnl"/>
              </w:rPr>
            </w:pPr>
          </w:p>
        </w:tc>
        <w:tc>
          <w:tcPr>
            <w:tcW w:w="2009" w:type="dxa"/>
          </w:tcPr>
          <w:p w14:paraId="63BE5E06" w14:textId="77777777" w:rsidR="00EE73C3" w:rsidRPr="00703A97" w:rsidRDefault="00EE73C3" w:rsidP="008E7D12">
            <w:pPr>
              <w:pStyle w:val="Normal-pool"/>
              <w:spacing w:before="40" w:after="40"/>
              <w:rPr>
                <w:lang w:val="es-ES_tradnl"/>
              </w:rPr>
            </w:pPr>
          </w:p>
        </w:tc>
        <w:tc>
          <w:tcPr>
            <w:tcW w:w="2010" w:type="dxa"/>
          </w:tcPr>
          <w:p w14:paraId="1929EC9D" w14:textId="77777777" w:rsidR="00EE73C3" w:rsidRPr="00703A97" w:rsidRDefault="00EE73C3" w:rsidP="008E7D12">
            <w:pPr>
              <w:pStyle w:val="Normal-pool"/>
              <w:spacing w:before="40" w:after="40"/>
              <w:rPr>
                <w:lang w:val="es-ES_tradnl"/>
              </w:rPr>
            </w:pPr>
          </w:p>
        </w:tc>
      </w:tr>
    </w:tbl>
    <w:p w14:paraId="6F42E7A1" w14:textId="77777777" w:rsidR="000958F5" w:rsidRPr="008E7D12" w:rsidRDefault="000958F5" w:rsidP="008E7D12">
      <w:pPr>
        <w:pStyle w:val="Normal-pool"/>
        <w:spacing w:after="120"/>
        <w:rPr>
          <w:sz w:val="16"/>
          <w:szCs w:val="16"/>
          <w:lang w:val="es-ES_tradnl"/>
        </w:rPr>
      </w:pPr>
    </w:p>
    <w:sectPr w:rsidR="000958F5" w:rsidRPr="008E7D12" w:rsidSect="007F2585">
      <w:headerReference w:type="even" r:id="rId32"/>
      <w:headerReference w:type="default" r:id="rId33"/>
      <w:headerReference w:type="first" r:id="rId34"/>
      <w:footnotePr>
        <w:numFmt w:val="chicago"/>
      </w:footnotePr>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F7D9" w14:textId="77777777" w:rsidR="0078512A" w:rsidRDefault="0078512A">
      <w:r>
        <w:separator/>
      </w:r>
    </w:p>
  </w:endnote>
  <w:endnote w:type="continuationSeparator" w:id="0">
    <w:p w14:paraId="562B6EE9" w14:textId="77777777" w:rsidR="0078512A" w:rsidRDefault="0078512A">
      <w:r>
        <w:continuationSeparator/>
      </w:r>
    </w:p>
  </w:endnote>
  <w:endnote w:type="continuationNotice" w:id="1">
    <w:p w14:paraId="5D065709" w14:textId="77777777" w:rsidR="0078512A" w:rsidRDefault="00785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7C5F" w14:textId="21FC7D2E" w:rsidR="00FB57B5" w:rsidRPr="00905D1D" w:rsidRDefault="00FB57B5" w:rsidP="00905D1D">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A67083">
      <w:rPr>
        <w:b/>
        <w:noProof/>
        <w:sz w:val="18"/>
        <w:szCs w:val="18"/>
      </w:rPr>
      <w:t>2</w:t>
    </w:r>
    <w:r w:rsidRPr="00905D1D">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9CFE" w14:textId="13320F25" w:rsidR="00FB57B5" w:rsidRPr="00905D1D" w:rsidRDefault="00FB57B5" w:rsidP="00905D1D">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A67083">
      <w:rPr>
        <w:b/>
        <w:noProof/>
        <w:sz w:val="18"/>
        <w:szCs w:val="18"/>
      </w:rPr>
      <w:t>21</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C934" w14:textId="23704FBF" w:rsidR="00FB57B5" w:rsidRPr="00F658CA" w:rsidRDefault="00FB57B5" w:rsidP="000958F5">
    <w:pPr>
      <w:pStyle w:val="Normal-pool"/>
    </w:pPr>
    <w:r>
      <w:rPr>
        <w:lang w:val="es-ES"/>
      </w:rPr>
      <w:t>K1612444</w:t>
    </w:r>
    <w:r>
      <w:rPr>
        <w:lang w:val="es-ES"/>
      </w:rPr>
      <w:tab/>
      <w:t>2</w:t>
    </w:r>
    <w:r w:rsidR="000930FA">
      <w:rPr>
        <w:lang w:val="es-ES"/>
      </w:rPr>
      <w:t>6</w:t>
    </w:r>
    <w:r>
      <w:rPr>
        <w:lang w:val="es-ES"/>
      </w:rP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362B" w14:textId="5FF6DF8B" w:rsidR="00FB57B5" w:rsidRPr="00772242" w:rsidRDefault="00FB57B5" w:rsidP="00536253">
    <w:pPr>
      <w:pStyle w:val="Footer"/>
      <w:jc w:val="right"/>
      <w:rPr>
        <w:rFonts w:ascii="Times New Roman" w:hAnsi="Times New Roman"/>
        <w:b/>
        <w:szCs w:val="18"/>
      </w:rPr>
    </w:pPr>
    <w:r w:rsidRPr="009F2FDF">
      <w:rPr>
        <w:rFonts w:ascii="Times New Roman" w:hAnsi="Times New Roman"/>
        <w:b/>
        <w:szCs w:val="18"/>
      </w:rPr>
      <w:fldChar w:fldCharType="begin"/>
    </w:r>
    <w:r>
      <w:rPr>
        <w:rFonts w:ascii="Times New Roman" w:hAnsi="Times New Roman"/>
        <w:b/>
        <w:szCs w:val="18"/>
      </w:rPr>
      <w:instrText>PAGE</w:instrText>
    </w:r>
    <w:r w:rsidRPr="009F2FDF">
      <w:rPr>
        <w:rFonts w:ascii="Times New Roman" w:hAnsi="Times New Roman"/>
        <w:b/>
        <w:szCs w:val="18"/>
      </w:rPr>
      <w:instrText xml:space="preserve">   \* MERGEFORMAT</w:instrText>
    </w:r>
    <w:r w:rsidRPr="009F2FDF">
      <w:rPr>
        <w:rFonts w:ascii="Times New Roman" w:hAnsi="Times New Roman"/>
        <w:b/>
        <w:szCs w:val="18"/>
      </w:rPr>
      <w:fldChar w:fldCharType="separate"/>
    </w:r>
    <w:r w:rsidR="00A67083" w:rsidRPr="00A67083">
      <w:rPr>
        <w:rFonts w:ascii="Times New Roman" w:hAnsi="Times New Roman"/>
        <w:b/>
        <w:noProof/>
        <w:szCs w:val="18"/>
        <w:lang w:val="fr-FR"/>
      </w:rPr>
      <w:t>3</w:t>
    </w:r>
    <w:r w:rsidRPr="009F2FDF">
      <w:rPr>
        <w:rFonts w:ascii="Times New Roman" w:hAnsi="Times New Roman"/>
        <w:b/>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2162"/>
      <w:docPartObj>
        <w:docPartGallery w:val="Page Numbers (Bottom of Page)"/>
        <w:docPartUnique/>
      </w:docPartObj>
    </w:sdtPr>
    <w:sdtEndPr>
      <w:rPr>
        <w:noProof/>
      </w:rPr>
    </w:sdtEndPr>
    <w:sdtContent>
      <w:p w14:paraId="56AEE032" w14:textId="10CF28B6" w:rsidR="00FB57B5" w:rsidRPr="00AD1320" w:rsidRDefault="00FB57B5" w:rsidP="008E7D12">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A67083">
          <w:rPr>
            <w:rStyle w:val="Normal-poolChar"/>
            <w:b/>
            <w:noProof/>
            <w:sz w:val="18"/>
            <w:szCs w:val="18"/>
          </w:rPr>
          <w:t>4</w:t>
        </w:r>
        <w:r w:rsidRPr="00AD1320">
          <w:rPr>
            <w:rStyle w:val="Normal-poolCha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47A6" w14:textId="77777777" w:rsidR="0078512A" w:rsidRPr="00B95C83" w:rsidRDefault="0078512A" w:rsidP="001C03A1">
      <w:pPr>
        <w:pStyle w:val="Normal-pool"/>
        <w:tabs>
          <w:tab w:val="clear" w:pos="1247"/>
          <w:tab w:val="clear" w:pos="1814"/>
          <w:tab w:val="clear" w:pos="2381"/>
          <w:tab w:val="clear" w:pos="2948"/>
          <w:tab w:val="clear" w:pos="3515"/>
          <w:tab w:val="clear" w:pos="4082"/>
          <w:tab w:val="left" w:pos="624"/>
        </w:tabs>
        <w:spacing w:before="20" w:after="40"/>
        <w:ind w:left="624"/>
        <w:rPr>
          <w:sz w:val="18"/>
          <w:szCs w:val="18"/>
        </w:rPr>
      </w:pPr>
      <w:r w:rsidRPr="00B95C83">
        <w:rPr>
          <w:sz w:val="18"/>
          <w:szCs w:val="18"/>
        </w:rPr>
        <w:separator/>
      </w:r>
    </w:p>
  </w:footnote>
  <w:footnote w:type="continuationSeparator" w:id="0">
    <w:p w14:paraId="335BE839" w14:textId="77777777" w:rsidR="0078512A" w:rsidRDefault="0078512A">
      <w:r>
        <w:continuationSeparator/>
      </w:r>
    </w:p>
  </w:footnote>
  <w:footnote w:type="continuationNotice" w:id="1">
    <w:p w14:paraId="616488BB" w14:textId="77777777" w:rsidR="0078512A" w:rsidRDefault="0078512A">
      <w:pPr>
        <w:spacing w:after="0" w:line="240" w:lineRule="auto"/>
      </w:pPr>
    </w:p>
  </w:footnote>
  <w:footnote w:id="2">
    <w:p w14:paraId="5C7B687B" w14:textId="17545793" w:rsidR="00FB57B5" w:rsidRPr="00B95C83" w:rsidRDefault="00FB57B5" w:rsidP="001C03A1">
      <w:pPr>
        <w:pStyle w:val="FootnoteText"/>
        <w:tabs>
          <w:tab w:val="clear" w:pos="1247"/>
          <w:tab w:val="clear" w:pos="1814"/>
          <w:tab w:val="clear" w:pos="2381"/>
          <w:tab w:val="clear" w:pos="2948"/>
          <w:tab w:val="clear" w:pos="3515"/>
          <w:tab w:val="clear" w:pos="4082"/>
        </w:tabs>
        <w:rPr>
          <w:rStyle w:val="FootnoteReference"/>
          <w:sz w:val="18"/>
          <w:vertAlign w:val="baseline"/>
        </w:rPr>
      </w:pPr>
      <w:r w:rsidRPr="001C03A1">
        <w:rPr>
          <w:lang w:val="es-ES"/>
        </w:rPr>
        <w:t>*</w:t>
      </w:r>
      <w:r>
        <w:rPr>
          <w:lang w:val="es-ES"/>
        </w:rPr>
        <w:t xml:space="preserve"> IPBES/5/1/Rev.1.</w:t>
      </w:r>
    </w:p>
  </w:footnote>
  <w:footnote w:id="3">
    <w:p w14:paraId="05642129" w14:textId="4DB2CA32" w:rsidR="00FB57B5" w:rsidRPr="00B95C83" w:rsidRDefault="00FB57B5" w:rsidP="001C03A1">
      <w:pPr>
        <w:pStyle w:val="FootnoteText"/>
        <w:tabs>
          <w:tab w:val="clear" w:pos="1247"/>
          <w:tab w:val="clear" w:pos="1814"/>
          <w:tab w:val="clear" w:pos="2381"/>
          <w:tab w:val="clear" w:pos="2948"/>
          <w:tab w:val="clear" w:pos="3515"/>
          <w:tab w:val="clear" w:pos="4082"/>
        </w:tabs>
        <w:rPr>
          <w:szCs w:val="18"/>
        </w:rPr>
      </w:pPr>
      <w:r w:rsidRPr="00B95C83">
        <w:rPr>
          <w:rStyle w:val="FootnoteReference"/>
          <w:sz w:val="18"/>
          <w:lang w:val="es-ES"/>
        </w:rPr>
        <w:footnoteRef/>
      </w:r>
      <w:r>
        <w:rPr>
          <w:lang w:val="es-ES"/>
        </w:rPr>
        <w:t xml:space="preserve"> Estas estimaciones se calcularon a partir de un sueldoacadémico anual de 52.000 dólares basado en el sueldo medio a la paridad del poder adquisitivo de 28 países que son representativos de la diversidad geográfica de los países miembros de la Plataforma. Los sueldos medios a la paridad del poder adquisitivo de esos 28 países se extrajeron del siguiente estudio: Philip G Altbach y otros, eds. </w:t>
      </w:r>
      <w:r w:rsidRPr="00F208CD">
        <w:rPr>
          <w:lang w:val="en-US"/>
        </w:rPr>
        <w:t>Paying the Professoriate: A Global Comparison of Compensation and Contract (Routledge, 2012).</w:t>
      </w:r>
    </w:p>
  </w:footnote>
  <w:footnote w:id="4">
    <w:p w14:paraId="6D58D9A4" w14:textId="25643EB2" w:rsidR="00FB57B5" w:rsidRPr="00B95C83" w:rsidRDefault="00FB57B5" w:rsidP="001C03A1">
      <w:pPr>
        <w:pStyle w:val="FootnoteText"/>
        <w:tabs>
          <w:tab w:val="clear" w:pos="1247"/>
          <w:tab w:val="clear" w:pos="1814"/>
          <w:tab w:val="clear" w:pos="2381"/>
          <w:tab w:val="clear" w:pos="2948"/>
          <w:tab w:val="clear" w:pos="3515"/>
          <w:tab w:val="clear" w:pos="4082"/>
        </w:tabs>
        <w:rPr>
          <w:szCs w:val="18"/>
        </w:rPr>
      </w:pPr>
      <w:r w:rsidRPr="00536253">
        <w:rPr>
          <w:rStyle w:val="FootnoteReference"/>
          <w:sz w:val="18"/>
          <w:lang w:val="es-ES"/>
        </w:rPr>
        <w:footnoteRef/>
      </w:r>
      <w:r>
        <w:rPr>
          <w:lang w:val="es-ES"/>
        </w:rPr>
        <w:t xml:space="preserve"> Estas estimaciones se basan en 1.172 expertos en 2016, 984 en 2015 y 559 en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ED0D" w14:textId="6BBAD8B2" w:rsidR="00FB57B5" w:rsidRPr="000958F5" w:rsidRDefault="00FB57B5" w:rsidP="006863A3">
    <w:pPr>
      <w:pStyle w:val="Header"/>
      <w:rPr>
        <w:rFonts w:ascii="Times New Roman" w:hAnsi="Times New Roman"/>
        <w:b w:val="0"/>
        <w:szCs w:val="18"/>
      </w:rPr>
    </w:pPr>
    <w:r w:rsidRPr="000958F5">
      <w:rPr>
        <w:rFonts w:ascii="Times New Roman" w:hAnsi="Times New Roman"/>
        <w:noProof/>
        <w:szCs w:val="18"/>
      </w:rPr>
      <w:t>IPBES/5/10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D4E3" w14:textId="73A26017" w:rsidR="00FB57B5" w:rsidRPr="008E7D12" w:rsidRDefault="00FB57B5" w:rsidP="008E7D12">
    <w:pPr>
      <w:pStyle w:val="Header"/>
      <w:rPr>
        <w:szCs w:val="18"/>
      </w:rPr>
    </w:pPr>
    <w:r>
      <w:rPr>
        <w:rFonts w:ascii="Times New Roman" w:hAnsi="Times New Roman"/>
        <w:szCs w:val="18"/>
        <w:lang w:val="en-GB"/>
      </w:rPr>
      <w:t>IPBES/5/10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7ED6" w14:textId="77777777" w:rsidR="00FB57B5" w:rsidRPr="00AD1320" w:rsidRDefault="00FB57B5" w:rsidP="008E7D12">
    <w:pPr>
      <w:pStyle w:val="Header"/>
      <w:jc w:val="right"/>
      <w:rPr>
        <w:szCs w:val="18"/>
      </w:rPr>
    </w:pPr>
    <w:r>
      <w:rPr>
        <w:rFonts w:ascii="Times New Roman" w:hAnsi="Times New Roman"/>
        <w:szCs w:val="18"/>
        <w:lang w:val="en-GB"/>
      </w:rPr>
      <w:t>IPBES/5/10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306C" w14:textId="5844E0CA" w:rsidR="00FB57B5" w:rsidRPr="00AD1320" w:rsidRDefault="00FB57B5" w:rsidP="00832F01">
    <w:pPr>
      <w:pStyle w:val="Header"/>
      <w:jc w:val="right"/>
      <w:rPr>
        <w:szCs w:val="18"/>
      </w:rPr>
    </w:pPr>
    <w:r>
      <w:rPr>
        <w:rFonts w:ascii="Times New Roman" w:hAnsi="Times New Roman"/>
        <w:szCs w:val="18"/>
        <w:lang w:val="en-GB"/>
      </w:rPr>
      <w:t>IPBES/5/10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00CC" w14:textId="15341281" w:rsidR="00FB57B5" w:rsidRPr="00A63601" w:rsidRDefault="0078512A" w:rsidP="006863A3">
    <w:pPr>
      <w:pStyle w:val="Header"/>
      <w:jc w:val="right"/>
      <w:rPr>
        <w:b w:val="0"/>
        <w:szCs w:val="18"/>
      </w:rPr>
    </w:pPr>
    <w:r>
      <w:rPr>
        <w:noProof/>
      </w:rPr>
      <w:pict w14:anchorId="1CE19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4572" o:spid="_x0000_s2051" type="#_x0000_t136" style="position:absolute;left:0;text-align:left;margin-left:0;margin-top:0;width:538.95pt;height:153.9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FB57B5" w:rsidRPr="00A63601">
      <w:rPr>
        <w:szCs w:val="18"/>
      </w:rPr>
      <w:t>IPBES/3/10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2845" w14:textId="57F9033F" w:rsidR="00FB57B5" w:rsidRDefault="00FB57B5" w:rsidP="0053625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DA18" w14:textId="06744210" w:rsidR="00FB57B5" w:rsidRPr="000958F5" w:rsidRDefault="00FB57B5" w:rsidP="00BE54B2">
    <w:pPr>
      <w:pStyle w:val="Header"/>
      <w:rPr>
        <w:rFonts w:ascii="Times New Roman" w:hAnsi="Times New Roman"/>
        <w:b w:val="0"/>
        <w:szCs w:val="18"/>
      </w:rPr>
    </w:pPr>
    <w:r w:rsidRPr="000958F5">
      <w:rPr>
        <w:rFonts w:ascii="Times New Roman" w:hAnsi="Times New Roman"/>
        <w:noProof/>
        <w:szCs w:val="18"/>
      </w:rPr>
      <w:t>IPBES/5/10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3605" w14:textId="124B332F" w:rsidR="00FB57B5" w:rsidRPr="000958F5" w:rsidRDefault="0078512A" w:rsidP="006863A3">
    <w:pPr>
      <w:pStyle w:val="Header"/>
      <w:jc w:val="right"/>
      <w:rPr>
        <w:rFonts w:ascii="Times New Roman" w:hAnsi="Times New Roman"/>
        <w:b w:val="0"/>
        <w:szCs w:val="18"/>
      </w:rPr>
    </w:pPr>
    <w:r>
      <w:rPr>
        <w:noProof/>
      </w:rPr>
      <w:pict w14:anchorId="5AA1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4575" o:spid="_x0000_s2054" type="#_x0000_t136" style="position:absolute;left:0;text-align:left;margin-left:0;margin-top:0;width:538.95pt;height:153.9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FB57B5" w:rsidRPr="000958F5">
      <w:rPr>
        <w:rFonts w:ascii="Times New Roman" w:hAnsi="Times New Roman"/>
        <w:noProof/>
        <w:szCs w:val="18"/>
      </w:rPr>
      <w:t>IPBES/5/10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D488" w14:textId="7A180492" w:rsidR="00FB57B5" w:rsidRPr="00FF44F9" w:rsidRDefault="00FB57B5" w:rsidP="00536253">
    <w:pPr>
      <w:pStyle w:val="Header"/>
      <w:jc w:val="right"/>
      <w:rPr>
        <w:rFonts w:ascii="Times New Roman" w:hAnsi="Times New Roman"/>
        <w:b w:val="0"/>
        <w:szCs w:val="18"/>
      </w:rPr>
    </w:pPr>
    <w:r w:rsidRPr="00FF44F9">
      <w:rPr>
        <w:rFonts w:ascii="Times New Roman" w:hAnsi="Times New Roman"/>
        <w:noProof/>
        <w:szCs w:val="18"/>
      </w:rPr>
      <w:t>IPBES/5/10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9D50" w14:textId="3B737B10" w:rsidR="00FB57B5" w:rsidRPr="008E7D12" w:rsidRDefault="00FB57B5" w:rsidP="008E7D12">
    <w:pPr>
      <w:pStyle w:val="Header"/>
      <w:rPr>
        <w:szCs w:val="18"/>
      </w:rPr>
    </w:pPr>
    <w:r>
      <w:rPr>
        <w:rFonts w:ascii="Times New Roman" w:hAnsi="Times New Roman"/>
        <w:szCs w:val="18"/>
        <w:lang w:val="en-GB"/>
      </w:rPr>
      <w:t>IPBES/5/10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40D5" w14:textId="77777777" w:rsidR="00FB57B5" w:rsidRPr="00AD1320" w:rsidRDefault="00FB57B5" w:rsidP="008E7D12">
    <w:pPr>
      <w:pStyle w:val="Header"/>
      <w:jc w:val="right"/>
      <w:rPr>
        <w:szCs w:val="18"/>
      </w:rPr>
    </w:pPr>
    <w:r>
      <w:rPr>
        <w:rFonts w:ascii="Times New Roman" w:hAnsi="Times New Roman"/>
        <w:szCs w:val="18"/>
        <w:lang w:val="en-GB"/>
      </w:rPr>
      <w:t>IPBES/5/10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F7F5" w14:textId="35171E61" w:rsidR="00FB57B5" w:rsidRPr="00AD1320" w:rsidRDefault="00FB57B5" w:rsidP="00AD1320">
    <w:pPr>
      <w:pStyle w:val="Header"/>
      <w:rPr>
        <w:szCs w:val="18"/>
      </w:rPr>
    </w:pPr>
    <w:r>
      <w:rPr>
        <w:rFonts w:ascii="Times New Roman" w:hAnsi="Times New Roman"/>
        <w:szCs w:val="18"/>
        <w:lang w:val="en-GB"/>
      </w:rPr>
      <w:t>IPBES/5/10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2DEC7CB2"/>
    <w:multiLevelType w:val="hybridMultilevel"/>
    <w:tmpl w:val="3880142E"/>
    <w:lvl w:ilvl="0" w:tplc="CDC0D336">
      <w:start w:val="1"/>
      <w:numFmt w:val="lowerLetter"/>
      <w:lvlText w:val="(%1)"/>
      <w:lvlJc w:val="left"/>
      <w:pPr>
        <w:tabs>
          <w:tab w:val="num" w:pos="2495"/>
        </w:tabs>
        <w:ind w:left="1247" w:firstLine="624"/>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48657E49"/>
    <w:multiLevelType w:val="hybridMultilevel"/>
    <w:tmpl w:val="162E2036"/>
    <w:lvl w:ilvl="0" w:tplc="8FD69CE2">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FF1DD1"/>
    <w:multiLevelType w:val="hybridMultilevel"/>
    <w:tmpl w:val="81E6B3EA"/>
    <w:lvl w:ilvl="0" w:tplc="0409000F">
      <w:start w:val="1"/>
      <w:numFmt w:val="decimal"/>
      <w:lvlText w:val="%1."/>
      <w:lvlJc w:val="left"/>
      <w:pPr>
        <w:ind w:left="1967" w:hanging="360"/>
      </w:pPr>
    </w:lvl>
    <w:lvl w:ilvl="1" w:tplc="8FD69CE2">
      <w:start w:val="1"/>
      <w:numFmt w:val="lowerLetter"/>
      <w:lvlText w:val="(%2)"/>
      <w:lvlJc w:val="left"/>
      <w:pPr>
        <w:ind w:left="3060"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15:restartNumberingAfterBreak="0">
    <w:nsid w:val="7D0C047D"/>
    <w:multiLevelType w:val="hybridMultilevel"/>
    <w:tmpl w:val="C45C9946"/>
    <w:lvl w:ilvl="0" w:tplc="CDC0D336">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7DAF08D8"/>
    <w:multiLevelType w:val="multilevel"/>
    <w:tmpl w:val="E4122E1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3"/>
  </w:num>
  <w:num w:numId="3">
    <w:abstractNumId w:val="8"/>
  </w:num>
  <w:num w:numId="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5">
    <w:abstractNumId w:val="4"/>
    <w:lvlOverride w:ilvl="0">
      <w:lvl w:ilvl="0" w:tplc="58BCC05E">
        <w:start w:val="1"/>
        <w:numFmt w:val="decimal"/>
        <w:lvlText w:val="%1."/>
        <w:lvlJc w:val="left"/>
        <w:pPr>
          <w:ind w:left="1400" w:hanging="265"/>
        </w:pPr>
        <w:rPr>
          <w:rFonts w:ascii="Times New Roman" w:hAnsi="Times New Roman" w:cs="Times New Roman" w:hint="default"/>
          <w:b w:val="0"/>
          <w:sz w:val="20"/>
          <w:szCs w:val="20"/>
        </w:rPr>
      </w:lvl>
    </w:lvlOverride>
  </w:num>
  <w:num w:numId="6">
    <w:abstractNumId w:val="9"/>
    <w:lvlOverride w:ilvl="1">
      <w:lvl w:ilvl="1" w:tplc="8FD69CE2">
        <w:start w:val="1"/>
        <w:numFmt w:val="lowerLetter"/>
        <w:lvlText w:val="%2)"/>
        <w:lvlJc w:val="left"/>
        <w:pPr>
          <w:ind w:left="3060" w:hanging="360"/>
        </w:pPr>
        <w:rPr>
          <w:rFonts w:hint="default"/>
          <w:sz w:val="20"/>
          <w:szCs w:val="20"/>
        </w:rPr>
      </w:lvl>
    </w:lvlOverride>
  </w:num>
  <w:num w:numId="7">
    <w:abstractNumId w:val="5"/>
  </w:num>
  <w:num w:numId="8">
    <w:abstractNumId w:val="7"/>
    <w:lvlOverride w:ilvl="0">
      <w:lvl w:ilvl="0" w:tplc="8FD69CE2">
        <w:start w:val="1"/>
        <w:numFmt w:val="lowerLetter"/>
        <w:lvlText w:val="%1)"/>
        <w:lvlJc w:val="left"/>
        <w:pPr>
          <w:ind w:left="2790" w:hanging="360"/>
        </w:pPr>
        <w:rPr>
          <w:rFonts w:hint="default"/>
          <w:sz w:val="20"/>
          <w:szCs w:val="20"/>
        </w:rPr>
      </w:lvl>
    </w:lvlOverride>
  </w:num>
  <w:num w:numId="9">
    <w:abstractNumId w:val="2"/>
    <w:lvlOverride w:ilvl="0">
      <w:lvl w:ilvl="0" w:tplc="CDC0D336">
        <w:start w:val="1"/>
        <w:numFmt w:val="lowerLetter"/>
        <w:lvlText w:val="%1)"/>
        <w:lvlJc w:val="left"/>
        <w:pPr>
          <w:tabs>
            <w:tab w:val="num" w:pos="2495"/>
          </w:tabs>
          <w:ind w:left="1247" w:firstLine="624"/>
        </w:pPr>
        <w:rPr>
          <w:rFonts w:hint="default"/>
          <w:sz w:val="20"/>
          <w:szCs w:val="20"/>
        </w:rPr>
      </w:lvl>
    </w:lvlOverride>
  </w:num>
  <w:num w:numId="10">
    <w:abstractNumId w:val="10"/>
    <w:lvlOverride w:ilvl="0">
      <w:lvl w:ilvl="0" w:tplc="CDC0D336">
        <w:start w:val="1"/>
        <w:numFmt w:val="lowerLetter"/>
        <w:lvlText w:val="%1)"/>
        <w:lvlJc w:val="left"/>
        <w:pPr>
          <w:ind w:left="2790" w:hanging="360"/>
        </w:pPr>
        <w:rPr>
          <w:rFonts w:hint="default"/>
          <w:sz w:val="20"/>
          <w:szCs w:val="20"/>
        </w:rPr>
      </w:lvl>
    </w:lvlOverride>
  </w:num>
  <w:num w:numId="11">
    <w:abstractNumId w:val="11"/>
    <w:lvlOverride w:ilvl="0">
      <w:lvl w:ilvl="0">
        <w:start w:val="1"/>
        <w:numFmt w:val="lowerLetter"/>
        <w:lvlText w:val="%1)"/>
        <w:lvlJc w:val="left"/>
        <w:pPr>
          <w:tabs>
            <w:tab w:val="num" w:pos="1134"/>
          </w:tabs>
          <w:ind w:left="1247" w:firstLine="0"/>
        </w:pPr>
        <w:rPr>
          <w:rFonts w:hint="default"/>
        </w:rPr>
      </w:lvl>
    </w:lvlOverride>
  </w:num>
  <w:num w:numId="12">
    <w:abstractNumId w:val="12"/>
    <w:lvlOverride w:ilvl="0">
      <w:lvl w:ilvl="0">
        <w:start w:val="1"/>
        <w:numFmt w:val="lowerLetter"/>
        <w:lvlText w:val="%1)"/>
        <w:lvlJc w:val="left"/>
        <w:pPr>
          <w:tabs>
            <w:tab w:val="num" w:pos="1134"/>
          </w:tabs>
          <w:ind w:left="1247" w:firstLine="0"/>
        </w:pPr>
        <w:rPr>
          <w:rFonts w:hint="default"/>
        </w:rPr>
      </w:lvl>
    </w:lvlOverride>
  </w:num>
  <w:num w:numId="13">
    <w:abstractNumId w:val="6"/>
    <w:lvlOverride w:ilvl="1">
      <w:lvl w:ilvl="1">
        <w:start w:val="1"/>
        <w:numFmt w:val="lowerLetter"/>
        <w:lvlText w:val="%2)"/>
        <w:lvlJc w:val="left"/>
        <w:pPr>
          <w:tabs>
            <w:tab w:val="num" w:pos="567"/>
          </w:tabs>
          <w:ind w:left="1247" w:firstLine="567"/>
        </w:pPr>
        <w:rPr>
          <w:rFonts w:hint="default"/>
        </w:rPr>
      </w:lvl>
    </w:lvlOverride>
  </w:num>
  <w:num w:numId="14">
    <w:abstractNumId w:val="1"/>
    <w:lvlOverride w:ilvl="0">
      <w:lvl w:ilvl="0">
        <w:start w:val="1"/>
        <w:numFmt w:val="lowerLetter"/>
        <w:lvlText w:val="%1)"/>
        <w:lvlJc w:val="left"/>
        <w:pPr>
          <w:tabs>
            <w:tab w:val="num" w:pos="1134"/>
          </w:tabs>
          <w:ind w:left="1247"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es-ES_tradnl"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4953"/>
    <w:rsid w:val="00010869"/>
    <w:rsid w:val="00012F1A"/>
    <w:rsid w:val="000149E6"/>
    <w:rsid w:val="00016B15"/>
    <w:rsid w:val="00021D21"/>
    <w:rsid w:val="000247B0"/>
    <w:rsid w:val="00024D90"/>
    <w:rsid w:val="00024E11"/>
    <w:rsid w:val="00026997"/>
    <w:rsid w:val="000272B6"/>
    <w:rsid w:val="00030C70"/>
    <w:rsid w:val="00032DF7"/>
    <w:rsid w:val="00033C5F"/>
    <w:rsid w:val="00033E0B"/>
    <w:rsid w:val="00035EDE"/>
    <w:rsid w:val="000369DC"/>
    <w:rsid w:val="000419B9"/>
    <w:rsid w:val="0004430B"/>
    <w:rsid w:val="0004540A"/>
    <w:rsid w:val="00045A4D"/>
    <w:rsid w:val="000509B4"/>
    <w:rsid w:val="00053927"/>
    <w:rsid w:val="00056E79"/>
    <w:rsid w:val="00057626"/>
    <w:rsid w:val="0006035B"/>
    <w:rsid w:val="00061444"/>
    <w:rsid w:val="0006430A"/>
    <w:rsid w:val="00065E6A"/>
    <w:rsid w:val="00071886"/>
    <w:rsid w:val="00071CD2"/>
    <w:rsid w:val="000742BC"/>
    <w:rsid w:val="00076642"/>
    <w:rsid w:val="00076985"/>
    <w:rsid w:val="00082A0C"/>
    <w:rsid w:val="00083504"/>
    <w:rsid w:val="00083FE7"/>
    <w:rsid w:val="000904EF"/>
    <w:rsid w:val="00092157"/>
    <w:rsid w:val="000930FA"/>
    <w:rsid w:val="000958F5"/>
    <w:rsid w:val="0009640C"/>
    <w:rsid w:val="00097CD7"/>
    <w:rsid w:val="000A2885"/>
    <w:rsid w:val="000A5F8F"/>
    <w:rsid w:val="000B22A2"/>
    <w:rsid w:val="000C2827"/>
    <w:rsid w:val="000C2A52"/>
    <w:rsid w:val="000C4A31"/>
    <w:rsid w:val="000C5AB9"/>
    <w:rsid w:val="000C7294"/>
    <w:rsid w:val="000D06CF"/>
    <w:rsid w:val="000D33C0"/>
    <w:rsid w:val="000D3AC4"/>
    <w:rsid w:val="000D6941"/>
    <w:rsid w:val="000F1CF2"/>
    <w:rsid w:val="000F214B"/>
    <w:rsid w:val="000F2189"/>
    <w:rsid w:val="000F6B5C"/>
    <w:rsid w:val="001006DF"/>
    <w:rsid w:val="001067D2"/>
    <w:rsid w:val="00115336"/>
    <w:rsid w:val="00117803"/>
    <w:rsid w:val="001202E3"/>
    <w:rsid w:val="0012356F"/>
    <w:rsid w:val="00123699"/>
    <w:rsid w:val="00125AE3"/>
    <w:rsid w:val="0013059D"/>
    <w:rsid w:val="00131E51"/>
    <w:rsid w:val="00140E6E"/>
    <w:rsid w:val="00141A55"/>
    <w:rsid w:val="001446A3"/>
    <w:rsid w:val="001473A5"/>
    <w:rsid w:val="001534F2"/>
    <w:rsid w:val="00155395"/>
    <w:rsid w:val="00160D74"/>
    <w:rsid w:val="00164BBD"/>
    <w:rsid w:val="00165F16"/>
    <w:rsid w:val="00167689"/>
    <w:rsid w:val="00167D02"/>
    <w:rsid w:val="00180590"/>
    <w:rsid w:val="00181EC8"/>
    <w:rsid w:val="00184349"/>
    <w:rsid w:val="00190B3C"/>
    <w:rsid w:val="00195F33"/>
    <w:rsid w:val="00197C61"/>
    <w:rsid w:val="001A0074"/>
    <w:rsid w:val="001A0272"/>
    <w:rsid w:val="001A03C8"/>
    <w:rsid w:val="001B1268"/>
    <w:rsid w:val="001B1617"/>
    <w:rsid w:val="001B504B"/>
    <w:rsid w:val="001C03A1"/>
    <w:rsid w:val="001C0A25"/>
    <w:rsid w:val="001C199F"/>
    <w:rsid w:val="001C6EF0"/>
    <w:rsid w:val="001D29D1"/>
    <w:rsid w:val="001D3571"/>
    <w:rsid w:val="001D3874"/>
    <w:rsid w:val="001D6771"/>
    <w:rsid w:val="001D7E75"/>
    <w:rsid w:val="001E2004"/>
    <w:rsid w:val="001E2D97"/>
    <w:rsid w:val="001E56D2"/>
    <w:rsid w:val="001E71BD"/>
    <w:rsid w:val="001E7D56"/>
    <w:rsid w:val="001F0663"/>
    <w:rsid w:val="001F255A"/>
    <w:rsid w:val="001F26AE"/>
    <w:rsid w:val="001F75DE"/>
    <w:rsid w:val="001F7F9A"/>
    <w:rsid w:val="00200D58"/>
    <w:rsid w:val="002013BE"/>
    <w:rsid w:val="002063A4"/>
    <w:rsid w:val="0021145B"/>
    <w:rsid w:val="00213AF2"/>
    <w:rsid w:val="002144BF"/>
    <w:rsid w:val="00215FE2"/>
    <w:rsid w:val="002201D9"/>
    <w:rsid w:val="002213E7"/>
    <w:rsid w:val="00231673"/>
    <w:rsid w:val="00235F74"/>
    <w:rsid w:val="00242C7C"/>
    <w:rsid w:val="00243231"/>
    <w:rsid w:val="00243D36"/>
    <w:rsid w:val="00247707"/>
    <w:rsid w:val="0026018E"/>
    <w:rsid w:val="002707CA"/>
    <w:rsid w:val="00274684"/>
    <w:rsid w:val="00280356"/>
    <w:rsid w:val="00285344"/>
    <w:rsid w:val="0028670C"/>
    <w:rsid w:val="00286740"/>
    <w:rsid w:val="002929D8"/>
    <w:rsid w:val="002A09A7"/>
    <w:rsid w:val="002A237D"/>
    <w:rsid w:val="002A4014"/>
    <w:rsid w:val="002A4C53"/>
    <w:rsid w:val="002B0672"/>
    <w:rsid w:val="002B247F"/>
    <w:rsid w:val="002C027F"/>
    <w:rsid w:val="002C0EC5"/>
    <w:rsid w:val="002C145D"/>
    <w:rsid w:val="002C2C3E"/>
    <w:rsid w:val="002C3F3F"/>
    <w:rsid w:val="002C4603"/>
    <w:rsid w:val="002C533E"/>
    <w:rsid w:val="002D027F"/>
    <w:rsid w:val="002D7A85"/>
    <w:rsid w:val="002D7B60"/>
    <w:rsid w:val="002E0A40"/>
    <w:rsid w:val="002E2C2B"/>
    <w:rsid w:val="002E3A42"/>
    <w:rsid w:val="002E605D"/>
    <w:rsid w:val="002F4761"/>
    <w:rsid w:val="002F5C79"/>
    <w:rsid w:val="003019E2"/>
    <w:rsid w:val="00301DC8"/>
    <w:rsid w:val="00307D22"/>
    <w:rsid w:val="00307FCD"/>
    <w:rsid w:val="00311D27"/>
    <w:rsid w:val="0031413F"/>
    <w:rsid w:val="003148BB"/>
    <w:rsid w:val="00317976"/>
    <w:rsid w:val="0032022B"/>
    <w:rsid w:val="003305A5"/>
    <w:rsid w:val="00333111"/>
    <w:rsid w:val="003406A0"/>
    <w:rsid w:val="00342871"/>
    <w:rsid w:val="00342E73"/>
    <w:rsid w:val="00344AD1"/>
    <w:rsid w:val="00345BB2"/>
    <w:rsid w:val="00355EA9"/>
    <w:rsid w:val="00356A65"/>
    <w:rsid w:val="003578DE"/>
    <w:rsid w:val="00372A69"/>
    <w:rsid w:val="00376983"/>
    <w:rsid w:val="00396257"/>
    <w:rsid w:val="00397835"/>
    <w:rsid w:val="00397EB8"/>
    <w:rsid w:val="003A4FD0"/>
    <w:rsid w:val="003A5C90"/>
    <w:rsid w:val="003A69D1"/>
    <w:rsid w:val="003A7705"/>
    <w:rsid w:val="003A77F1"/>
    <w:rsid w:val="003B1545"/>
    <w:rsid w:val="003B1CF8"/>
    <w:rsid w:val="003B4951"/>
    <w:rsid w:val="003C09C4"/>
    <w:rsid w:val="003C1ADF"/>
    <w:rsid w:val="003C409D"/>
    <w:rsid w:val="003C5BA6"/>
    <w:rsid w:val="003D0003"/>
    <w:rsid w:val="003D0BC9"/>
    <w:rsid w:val="003D0C8F"/>
    <w:rsid w:val="003D4D4E"/>
    <w:rsid w:val="003D50CB"/>
    <w:rsid w:val="003E64D5"/>
    <w:rsid w:val="003F04DB"/>
    <w:rsid w:val="003F0E85"/>
    <w:rsid w:val="003F1D30"/>
    <w:rsid w:val="003F7440"/>
    <w:rsid w:val="0040449E"/>
    <w:rsid w:val="0041081A"/>
    <w:rsid w:val="00410C55"/>
    <w:rsid w:val="004123E9"/>
    <w:rsid w:val="00413923"/>
    <w:rsid w:val="00416854"/>
    <w:rsid w:val="00417725"/>
    <w:rsid w:val="00421301"/>
    <w:rsid w:val="00422D04"/>
    <w:rsid w:val="0043510F"/>
    <w:rsid w:val="00437E75"/>
    <w:rsid w:val="00437F26"/>
    <w:rsid w:val="0044234F"/>
    <w:rsid w:val="00444097"/>
    <w:rsid w:val="00444837"/>
    <w:rsid w:val="00445487"/>
    <w:rsid w:val="00446AD2"/>
    <w:rsid w:val="00446C54"/>
    <w:rsid w:val="00454769"/>
    <w:rsid w:val="00462269"/>
    <w:rsid w:val="00466991"/>
    <w:rsid w:val="0047064C"/>
    <w:rsid w:val="004756F0"/>
    <w:rsid w:val="004830DC"/>
    <w:rsid w:val="00494054"/>
    <w:rsid w:val="004A42E1"/>
    <w:rsid w:val="004A4328"/>
    <w:rsid w:val="004A5F8F"/>
    <w:rsid w:val="004B162C"/>
    <w:rsid w:val="004B5D58"/>
    <w:rsid w:val="004B6D8B"/>
    <w:rsid w:val="004B7530"/>
    <w:rsid w:val="004C0E52"/>
    <w:rsid w:val="004C3DBE"/>
    <w:rsid w:val="004C5C96"/>
    <w:rsid w:val="004D06A4"/>
    <w:rsid w:val="004D359B"/>
    <w:rsid w:val="004D6DD3"/>
    <w:rsid w:val="004E7363"/>
    <w:rsid w:val="004E7B72"/>
    <w:rsid w:val="004F1A81"/>
    <w:rsid w:val="0050309E"/>
    <w:rsid w:val="00503660"/>
    <w:rsid w:val="00505E28"/>
    <w:rsid w:val="00507CBD"/>
    <w:rsid w:val="0051202F"/>
    <w:rsid w:val="00517861"/>
    <w:rsid w:val="00517CE4"/>
    <w:rsid w:val="005218D9"/>
    <w:rsid w:val="00526C41"/>
    <w:rsid w:val="00531BC0"/>
    <w:rsid w:val="00534C5D"/>
    <w:rsid w:val="00536186"/>
    <w:rsid w:val="00536253"/>
    <w:rsid w:val="00541E34"/>
    <w:rsid w:val="00542437"/>
    <w:rsid w:val="0054261E"/>
    <w:rsid w:val="00544CBB"/>
    <w:rsid w:val="00551D6A"/>
    <w:rsid w:val="00552629"/>
    <w:rsid w:val="0056332E"/>
    <w:rsid w:val="00572D6E"/>
    <w:rsid w:val="0057315F"/>
    <w:rsid w:val="00576104"/>
    <w:rsid w:val="00577444"/>
    <w:rsid w:val="00593205"/>
    <w:rsid w:val="00595473"/>
    <w:rsid w:val="005C1674"/>
    <w:rsid w:val="005C5C5C"/>
    <w:rsid w:val="005C67C8"/>
    <w:rsid w:val="005D0249"/>
    <w:rsid w:val="005D6E8C"/>
    <w:rsid w:val="005D7CF9"/>
    <w:rsid w:val="005E1E71"/>
    <w:rsid w:val="005E23A8"/>
    <w:rsid w:val="005E3352"/>
    <w:rsid w:val="005E4BE8"/>
    <w:rsid w:val="005F0E50"/>
    <w:rsid w:val="005F100C"/>
    <w:rsid w:val="005F68DA"/>
    <w:rsid w:val="005F728D"/>
    <w:rsid w:val="00606059"/>
    <w:rsid w:val="0060773B"/>
    <w:rsid w:val="00614083"/>
    <w:rsid w:val="006157B5"/>
    <w:rsid w:val="00626FC6"/>
    <w:rsid w:val="006303B4"/>
    <w:rsid w:val="0063240A"/>
    <w:rsid w:val="00633D3D"/>
    <w:rsid w:val="00634AC3"/>
    <w:rsid w:val="00635234"/>
    <w:rsid w:val="0063601D"/>
    <w:rsid w:val="00637C12"/>
    <w:rsid w:val="006413DD"/>
    <w:rsid w:val="00641703"/>
    <w:rsid w:val="006431A6"/>
    <w:rsid w:val="0064497B"/>
    <w:rsid w:val="00645235"/>
    <w:rsid w:val="006459F6"/>
    <w:rsid w:val="006501AD"/>
    <w:rsid w:val="00651BFA"/>
    <w:rsid w:val="00654475"/>
    <w:rsid w:val="006600AD"/>
    <w:rsid w:val="00665A4B"/>
    <w:rsid w:val="00680709"/>
    <w:rsid w:val="006836F1"/>
    <w:rsid w:val="0068474E"/>
    <w:rsid w:val="006863A3"/>
    <w:rsid w:val="00686BC5"/>
    <w:rsid w:val="00692E2A"/>
    <w:rsid w:val="006971B3"/>
    <w:rsid w:val="006A76F2"/>
    <w:rsid w:val="006C18E2"/>
    <w:rsid w:val="006D1ED0"/>
    <w:rsid w:val="006D3723"/>
    <w:rsid w:val="006D3DDF"/>
    <w:rsid w:val="006D7EFB"/>
    <w:rsid w:val="006E5666"/>
    <w:rsid w:val="006E6672"/>
    <w:rsid w:val="006E6722"/>
    <w:rsid w:val="006F0AA7"/>
    <w:rsid w:val="007013C0"/>
    <w:rsid w:val="007027B9"/>
    <w:rsid w:val="00703A97"/>
    <w:rsid w:val="00710899"/>
    <w:rsid w:val="00714AFD"/>
    <w:rsid w:val="00714E08"/>
    <w:rsid w:val="00715E88"/>
    <w:rsid w:val="00734CAA"/>
    <w:rsid w:val="0075533C"/>
    <w:rsid w:val="00757581"/>
    <w:rsid w:val="007611A0"/>
    <w:rsid w:val="007678CD"/>
    <w:rsid w:val="007700D2"/>
    <w:rsid w:val="007751C4"/>
    <w:rsid w:val="00782A6B"/>
    <w:rsid w:val="0078492A"/>
    <w:rsid w:val="0078512A"/>
    <w:rsid w:val="00785FBB"/>
    <w:rsid w:val="00791F78"/>
    <w:rsid w:val="00796D3F"/>
    <w:rsid w:val="007A1683"/>
    <w:rsid w:val="007A509A"/>
    <w:rsid w:val="007A5C12"/>
    <w:rsid w:val="007A7CB0"/>
    <w:rsid w:val="007B4FCA"/>
    <w:rsid w:val="007B68A3"/>
    <w:rsid w:val="007C2541"/>
    <w:rsid w:val="007C47D8"/>
    <w:rsid w:val="007C5AC6"/>
    <w:rsid w:val="007D1C83"/>
    <w:rsid w:val="007D66A8"/>
    <w:rsid w:val="007D772C"/>
    <w:rsid w:val="007E003F"/>
    <w:rsid w:val="007F2585"/>
    <w:rsid w:val="007F3540"/>
    <w:rsid w:val="007F6126"/>
    <w:rsid w:val="0080148A"/>
    <w:rsid w:val="008034CE"/>
    <w:rsid w:val="0081264B"/>
    <w:rsid w:val="00813C0E"/>
    <w:rsid w:val="00816321"/>
    <w:rsid w:val="008164F2"/>
    <w:rsid w:val="00821395"/>
    <w:rsid w:val="00830E26"/>
    <w:rsid w:val="0083163D"/>
    <w:rsid w:val="00832F01"/>
    <w:rsid w:val="008335B2"/>
    <w:rsid w:val="00842408"/>
    <w:rsid w:val="00843576"/>
    <w:rsid w:val="00843B64"/>
    <w:rsid w:val="008441DF"/>
    <w:rsid w:val="00846A75"/>
    <w:rsid w:val="008478FC"/>
    <w:rsid w:val="00852DEA"/>
    <w:rsid w:val="00857793"/>
    <w:rsid w:val="00864868"/>
    <w:rsid w:val="00867BFF"/>
    <w:rsid w:val="0087131C"/>
    <w:rsid w:val="00882584"/>
    <w:rsid w:val="008829D3"/>
    <w:rsid w:val="0088480A"/>
    <w:rsid w:val="00886539"/>
    <w:rsid w:val="0088757A"/>
    <w:rsid w:val="00887663"/>
    <w:rsid w:val="00890436"/>
    <w:rsid w:val="0089088E"/>
    <w:rsid w:val="008911AE"/>
    <w:rsid w:val="00892A03"/>
    <w:rsid w:val="008957DD"/>
    <w:rsid w:val="00897D98"/>
    <w:rsid w:val="008A29C3"/>
    <w:rsid w:val="008A30AE"/>
    <w:rsid w:val="008A6DF2"/>
    <w:rsid w:val="008A7807"/>
    <w:rsid w:val="008B39BB"/>
    <w:rsid w:val="008B3EBE"/>
    <w:rsid w:val="008B4BE4"/>
    <w:rsid w:val="008B4CC9"/>
    <w:rsid w:val="008C1AA9"/>
    <w:rsid w:val="008C38EA"/>
    <w:rsid w:val="008C6E87"/>
    <w:rsid w:val="008D107E"/>
    <w:rsid w:val="008D5655"/>
    <w:rsid w:val="008D6888"/>
    <w:rsid w:val="008D7C99"/>
    <w:rsid w:val="008E0FCB"/>
    <w:rsid w:val="008E2CCD"/>
    <w:rsid w:val="008E2F8A"/>
    <w:rsid w:val="008E7D12"/>
    <w:rsid w:val="008F51CE"/>
    <w:rsid w:val="008F7142"/>
    <w:rsid w:val="00905A83"/>
    <w:rsid w:val="00905D1D"/>
    <w:rsid w:val="0092078A"/>
    <w:rsid w:val="00920EC7"/>
    <w:rsid w:val="0092178C"/>
    <w:rsid w:val="0092584C"/>
    <w:rsid w:val="00926D69"/>
    <w:rsid w:val="00930B88"/>
    <w:rsid w:val="00931163"/>
    <w:rsid w:val="00935B91"/>
    <w:rsid w:val="00936753"/>
    <w:rsid w:val="00940DCC"/>
    <w:rsid w:val="0094179A"/>
    <w:rsid w:val="009441A9"/>
    <w:rsid w:val="0094459E"/>
    <w:rsid w:val="00944DBC"/>
    <w:rsid w:val="00944EC3"/>
    <w:rsid w:val="0094617E"/>
    <w:rsid w:val="00950427"/>
    <w:rsid w:val="00950977"/>
    <w:rsid w:val="00951A7B"/>
    <w:rsid w:val="009527C6"/>
    <w:rsid w:val="009564A6"/>
    <w:rsid w:val="00964967"/>
    <w:rsid w:val="009649CB"/>
    <w:rsid w:val="0096595F"/>
    <w:rsid w:val="00966656"/>
    <w:rsid w:val="00967621"/>
    <w:rsid w:val="00967E6A"/>
    <w:rsid w:val="00970A46"/>
    <w:rsid w:val="00972814"/>
    <w:rsid w:val="00973903"/>
    <w:rsid w:val="00974DD0"/>
    <w:rsid w:val="00984A20"/>
    <w:rsid w:val="0098578F"/>
    <w:rsid w:val="00985ADF"/>
    <w:rsid w:val="00993C69"/>
    <w:rsid w:val="00994D4E"/>
    <w:rsid w:val="009A7D46"/>
    <w:rsid w:val="009B4A0F"/>
    <w:rsid w:val="009B5F85"/>
    <w:rsid w:val="009C11D2"/>
    <w:rsid w:val="009C2E1B"/>
    <w:rsid w:val="009C65E3"/>
    <w:rsid w:val="009C6C70"/>
    <w:rsid w:val="009C73ED"/>
    <w:rsid w:val="009D0B63"/>
    <w:rsid w:val="009E2E6F"/>
    <w:rsid w:val="009E307E"/>
    <w:rsid w:val="009E6F6B"/>
    <w:rsid w:val="009E78C3"/>
    <w:rsid w:val="009F3D34"/>
    <w:rsid w:val="009F3F0F"/>
    <w:rsid w:val="00A014BF"/>
    <w:rsid w:val="00A03CD8"/>
    <w:rsid w:val="00A074BA"/>
    <w:rsid w:val="00A07870"/>
    <w:rsid w:val="00A07F19"/>
    <w:rsid w:val="00A12487"/>
    <w:rsid w:val="00A1348D"/>
    <w:rsid w:val="00A21E42"/>
    <w:rsid w:val="00A232EE"/>
    <w:rsid w:val="00A24DFE"/>
    <w:rsid w:val="00A330D5"/>
    <w:rsid w:val="00A374FD"/>
    <w:rsid w:val="00A377F7"/>
    <w:rsid w:val="00A4175F"/>
    <w:rsid w:val="00A41F4B"/>
    <w:rsid w:val="00A44411"/>
    <w:rsid w:val="00A469FA"/>
    <w:rsid w:val="00A47676"/>
    <w:rsid w:val="00A55B01"/>
    <w:rsid w:val="00A55ED8"/>
    <w:rsid w:val="00A56B5B"/>
    <w:rsid w:val="00A603FF"/>
    <w:rsid w:val="00A60EF4"/>
    <w:rsid w:val="00A657DD"/>
    <w:rsid w:val="00A666A6"/>
    <w:rsid w:val="00A67083"/>
    <w:rsid w:val="00A675FD"/>
    <w:rsid w:val="00A71AED"/>
    <w:rsid w:val="00A72437"/>
    <w:rsid w:val="00A80611"/>
    <w:rsid w:val="00A8397A"/>
    <w:rsid w:val="00A85A37"/>
    <w:rsid w:val="00A9412B"/>
    <w:rsid w:val="00AA0B8B"/>
    <w:rsid w:val="00AA0C30"/>
    <w:rsid w:val="00AB5340"/>
    <w:rsid w:val="00AB7B70"/>
    <w:rsid w:val="00AC0A89"/>
    <w:rsid w:val="00AC0C6D"/>
    <w:rsid w:val="00AC1CD9"/>
    <w:rsid w:val="00AC1CF8"/>
    <w:rsid w:val="00AC44DC"/>
    <w:rsid w:val="00AC585D"/>
    <w:rsid w:val="00AC7C96"/>
    <w:rsid w:val="00AD1320"/>
    <w:rsid w:val="00AE237D"/>
    <w:rsid w:val="00AE2393"/>
    <w:rsid w:val="00AE4550"/>
    <w:rsid w:val="00AE502A"/>
    <w:rsid w:val="00AF2AF6"/>
    <w:rsid w:val="00AF7C07"/>
    <w:rsid w:val="00B01B4B"/>
    <w:rsid w:val="00B14EC2"/>
    <w:rsid w:val="00B1638A"/>
    <w:rsid w:val="00B209F9"/>
    <w:rsid w:val="00B22C93"/>
    <w:rsid w:val="00B27589"/>
    <w:rsid w:val="00B31695"/>
    <w:rsid w:val="00B3392C"/>
    <w:rsid w:val="00B36368"/>
    <w:rsid w:val="00B405B7"/>
    <w:rsid w:val="00B409F1"/>
    <w:rsid w:val="00B473FE"/>
    <w:rsid w:val="00B52222"/>
    <w:rsid w:val="00B52AAD"/>
    <w:rsid w:val="00B54FE7"/>
    <w:rsid w:val="00B66901"/>
    <w:rsid w:val="00B66ACF"/>
    <w:rsid w:val="00B71E6D"/>
    <w:rsid w:val="00B72070"/>
    <w:rsid w:val="00B7453F"/>
    <w:rsid w:val="00B779E1"/>
    <w:rsid w:val="00B86B80"/>
    <w:rsid w:val="00B91EE1"/>
    <w:rsid w:val="00B92B2F"/>
    <w:rsid w:val="00B95C83"/>
    <w:rsid w:val="00BA0090"/>
    <w:rsid w:val="00BA1A67"/>
    <w:rsid w:val="00BA502A"/>
    <w:rsid w:val="00BA556C"/>
    <w:rsid w:val="00BA670D"/>
    <w:rsid w:val="00BB1F26"/>
    <w:rsid w:val="00BC4483"/>
    <w:rsid w:val="00BC69EF"/>
    <w:rsid w:val="00BD6F73"/>
    <w:rsid w:val="00BE54B2"/>
    <w:rsid w:val="00BE5B5F"/>
    <w:rsid w:val="00BF44EA"/>
    <w:rsid w:val="00BF4F0C"/>
    <w:rsid w:val="00C11CEC"/>
    <w:rsid w:val="00C22EEA"/>
    <w:rsid w:val="00C267DC"/>
    <w:rsid w:val="00C26F55"/>
    <w:rsid w:val="00C30C63"/>
    <w:rsid w:val="00C322F1"/>
    <w:rsid w:val="00C36B8B"/>
    <w:rsid w:val="00C3773F"/>
    <w:rsid w:val="00C37E40"/>
    <w:rsid w:val="00C415C1"/>
    <w:rsid w:val="00C421FD"/>
    <w:rsid w:val="00C47DBF"/>
    <w:rsid w:val="00C552FF"/>
    <w:rsid w:val="00C558DA"/>
    <w:rsid w:val="00C55AF3"/>
    <w:rsid w:val="00C57931"/>
    <w:rsid w:val="00C61543"/>
    <w:rsid w:val="00C70845"/>
    <w:rsid w:val="00C811F1"/>
    <w:rsid w:val="00C81A13"/>
    <w:rsid w:val="00C824FE"/>
    <w:rsid w:val="00C84759"/>
    <w:rsid w:val="00C94077"/>
    <w:rsid w:val="00C95BA3"/>
    <w:rsid w:val="00CA6C7F"/>
    <w:rsid w:val="00CB2C4D"/>
    <w:rsid w:val="00CB4B9F"/>
    <w:rsid w:val="00CC10A6"/>
    <w:rsid w:val="00CC78AD"/>
    <w:rsid w:val="00CC7F8D"/>
    <w:rsid w:val="00CD05F3"/>
    <w:rsid w:val="00CD5EB8"/>
    <w:rsid w:val="00CD7044"/>
    <w:rsid w:val="00CE0594"/>
    <w:rsid w:val="00CE08B9"/>
    <w:rsid w:val="00CE2196"/>
    <w:rsid w:val="00CE524C"/>
    <w:rsid w:val="00CF141F"/>
    <w:rsid w:val="00CF2841"/>
    <w:rsid w:val="00CF4777"/>
    <w:rsid w:val="00D067BB"/>
    <w:rsid w:val="00D1352A"/>
    <w:rsid w:val="00D169AF"/>
    <w:rsid w:val="00D17A48"/>
    <w:rsid w:val="00D20FC5"/>
    <w:rsid w:val="00D21397"/>
    <w:rsid w:val="00D23A41"/>
    <w:rsid w:val="00D25249"/>
    <w:rsid w:val="00D2678E"/>
    <w:rsid w:val="00D30BC1"/>
    <w:rsid w:val="00D330D0"/>
    <w:rsid w:val="00D35BE8"/>
    <w:rsid w:val="00D3693E"/>
    <w:rsid w:val="00D44172"/>
    <w:rsid w:val="00D459F2"/>
    <w:rsid w:val="00D55BF2"/>
    <w:rsid w:val="00D55CC5"/>
    <w:rsid w:val="00D57176"/>
    <w:rsid w:val="00D57CDF"/>
    <w:rsid w:val="00D61E91"/>
    <w:rsid w:val="00D62B2D"/>
    <w:rsid w:val="00D62DAC"/>
    <w:rsid w:val="00D637DC"/>
    <w:rsid w:val="00D63B8C"/>
    <w:rsid w:val="00D72EC3"/>
    <w:rsid w:val="00D739CC"/>
    <w:rsid w:val="00D8093D"/>
    <w:rsid w:val="00D8108C"/>
    <w:rsid w:val="00D81ADD"/>
    <w:rsid w:val="00D842AE"/>
    <w:rsid w:val="00D87566"/>
    <w:rsid w:val="00D9211C"/>
    <w:rsid w:val="00D92DE0"/>
    <w:rsid w:val="00D92FEF"/>
    <w:rsid w:val="00D93A0F"/>
    <w:rsid w:val="00D97F00"/>
    <w:rsid w:val="00DA1BCA"/>
    <w:rsid w:val="00DA663D"/>
    <w:rsid w:val="00DB57D3"/>
    <w:rsid w:val="00DC1AF3"/>
    <w:rsid w:val="00DC297F"/>
    <w:rsid w:val="00DC45C7"/>
    <w:rsid w:val="00DC46FF"/>
    <w:rsid w:val="00DC5254"/>
    <w:rsid w:val="00DD0943"/>
    <w:rsid w:val="00DD1235"/>
    <w:rsid w:val="00DD1A4F"/>
    <w:rsid w:val="00DD2838"/>
    <w:rsid w:val="00DD3107"/>
    <w:rsid w:val="00DD7C2C"/>
    <w:rsid w:val="00DE2F28"/>
    <w:rsid w:val="00DF05AB"/>
    <w:rsid w:val="00DF5B02"/>
    <w:rsid w:val="00E06797"/>
    <w:rsid w:val="00E1265B"/>
    <w:rsid w:val="00E13B48"/>
    <w:rsid w:val="00E1404F"/>
    <w:rsid w:val="00E17046"/>
    <w:rsid w:val="00E216D5"/>
    <w:rsid w:val="00E21C83"/>
    <w:rsid w:val="00E24ADA"/>
    <w:rsid w:val="00E328C8"/>
    <w:rsid w:val="00E32F59"/>
    <w:rsid w:val="00E415BF"/>
    <w:rsid w:val="00E44A5A"/>
    <w:rsid w:val="00E453C3"/>
    <w:rsid w:val="00E4581C"/>
    <w:rsid w:val="00E46D9A"/>
    <w:rsid w:val="00E514C3"/>
    <w:rsid w:val="00E55947"/>
    <w:rsid w:val="00E565FF"/>
    <w:rsid w:val="00E61434"/>
    <w:rsid w:val="00E65388"/>
    <w:rsid w:val="00E66A3A"/>
    <w:rsid w:val="00E725D1"/>
    <w:rsid w:val="00E752CC"/>
    <w:rsid w:val="00E817FD"/>
    <w:rsid w:val="00E83B21"/>
    <w:rsid w:val="00E85B7D"/>
    <w:rsid w:val="00E87238"/>
    <w:rsid w:val="00E9121B"/>
    <w:rsid w:val="00E92861"/>
    <w:rsid w:val="00E930DA"/>
    <w:rsid w:val="00EA0AE2"/>
    <w:rsid w:val="00EA0BE9"/>
    <w:rsid w:val="00EA236B"/>
    <w:rsid w:val="00EA39E5"/>
    <w:rsid w:val="00EA5E72"/>
    <w:rsid w:val="00EA6DFE"/>
    <w:rsid w:val="00EB03B1"/>
    <w:rsid w:val="00EB38D9"/>
    <w:rsid w:val="00EB5507"/>
    <w:rsid w:val="00EB5AC0"/>
    <w:rsid w:val="00EB645F"/>
    <w:rsid w:val="00EC2814"/>
    <w:rsid w:val="00EC5A46"/>
    <w:rsid w:val="00EC63E2"/>
    <w:rsid w:val="00ED0EBE"/>
    <w:rsid w:val="00ED1023"/>
    <w:rsid w:val="00ED1489"/>
    <w:rsid w:val="00ED5068"/>
    <w:rsid w:val="00ED5CF3"/>
    <w:rsid w:val="00EE0B7A"/>
    <w:rsid w:val="00EE6305"/>
    <w:rsid w:val="00EE73C3"/>
    <w:rsid w:val="00EF22B3"/>
    <w:rsid w:val="00EF4ADB"/>
    <w:rsid w:val="00EF7720"/>
    <w:rsid w:val="00F032BC"/>
    <w:rsid w:val="00F03B69"/>
    <w:rsid w:val="00F07A50"/>
    <w:rsid w:val="00F10240"/>
    <w:rsid w:val="00F113DA"/>
    <w:rsid w:val="00F14FE9"/>
    <w:rsid w:val="00F171B4"/>
    <w:rsid w:val="00F208CD"/>
    <w:rsid w:val="00F24AB6"/>
    <w:rsid w:val="00F3094E"/>
    <w:rsid w:val="00F31DFD"/>
    <w:rsid w:val="00F350E4"/>
    <w:rsid w:val="00F37DC8"/>
    <w:rsid w:val="00F439B3"/>
    <w:rsid w:val="00F45C9B"/>
    <w:rsid w:val="00F55590"/>
    <w:rsid w:val="00F57B43"/>
    <w:rsid w:val="00F6021C"/>
    <w:rsid w:val="00F60DF3"/>
    <w:rsid w:val="00F650C3"/>
    <w:rsid w:val="00F65D85"/>
    <w:rsid w:val="00F803C8"/>
    <w:rsid w:val="00F8091E"/>
    <w:rsid w:val="00F8615C"/>
    <w:rsid w:val="00F861D8"/>
    <w:rsid w:val="00F86A82"/>
    <w:rsid w:val="00F931EB"/>
    <w:rsid w:val="00F94214"/>
    <w:rsid w:val="00F94415"/>
    <w:rsid w:val="00F950CB"/>
    <w:rsid w:val="00F969E5"/>
    <w:rsid w:val="00FA3208"/>
    <w:rsid w:val="00FA5BA4"/>
    <w:rsid w:val="00FA6BB0"/>
    <w:rsid w:val="00FB1660"/>
    <w:rsid w:val="00FB4C18"/>
    <w:rsid w:val="00FB57B5"/>
    <w:rsid w:val="00FB7560"/>
    <w:rsid w:val="00FB78A7"/>
    <w:rsid w:val="00FD0D40"/>
    <w:rsid w:val="00FD2299"/>
    <w:rsid w:val="00FD5860"/>
    <w:rsid w:val="00FE352D"/>
    <w:rsid w:val="00FE40EB"/>
    <w:rsid w:val="00FE4D02"/>
    <w:rsid w:val="00FE74ED"/>
    <w:rsid w:val="00FE7D62"/>
    <w:rsid w:val="00FF3819"/>
    <w:rsid w:val="00FF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0D140AE"/>
  <w15:docId w15:val="{D264B470-297A-4D16-9ED9-B6E49EA7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F44EA"/>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A03C8"/>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rsid w:val="001A03C8"/>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uiPriority w:val="5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0958F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TablesClmnHd">
    <w:name w:val="_Tables_Clmn_Hd"/>
    <w:basedOn w:val="Normal"/>
    <w:rsid w:val="000958F5"/>
    <w:pPr>
      <w:keepNext/>
      <w:keepLines/>
      <w:suppressLineNumbers/>
      <w:tabs>
        <w:tab w:val="right" w:pos="1020"/>
        <w:tab w:val="left" w:pos="1260"/>
      </w:tabs>
      <w:suppressAutoHyphens/>
      <w:spacing w:before="40" w:after="40" w:line="160" w:lineRule="exact"/>
      <w:jc w:val="right"/>
    </w:pPr>
    <w:rPr>
      <w:rFonts w:ascii="Times New Roman" w:eastAsia="Times New Roman" w:hAnsi="Times New Roman"/>
      <w:i/>
      <w:iCs/>
      <w:snapToGrid w:val="0"/>
      <w:spacing w:val="6"/>
      <w:w w:val="106"/>
      <w:kern w:val="8"/>
      <w:sz w:val="14"/>
      <w:szCs w:val="14"/>
      <w:lang w:val="en-GB"/>
    </w:rPr>
  </w:style>
  <w:style w:type="paragraph" w:customStyle="1" w:styleId="TablesBody">
    <w:name w:val="_Tables_Body"/>
    <w:basedOn w:val="TablesClmnHd"/>
    <w:link w:val="TablesBodyChar"/>
    <w:rsid w:val="000958F5"/>
  </w:style>
  <w:style w:type="character" w:customStyle="1" w:styleId="TablesBodyChar">
    <w:name w:val="_Tables_Body Char"/>
    <w:link w:val="TablesBody"/>
    <w:rsid w:val="000958F5"/>
    <w:rPr>
      <w:i/>
      <w:iCs/>
      <w:snapToGrid w:val="0"/>
      <w:spacing w:val="6"/>
      <w:w w:val="106"/>
      <w:kern w:val="8"/>
      <w:sz w:val="14"/>
      <w:szCs w:val="14"/>
      <w:lang w:val="en-GB"/>
    </w:rPr>
  </w:style>
  <w:style w:type="character" w:customStyle="1" w:styleId="Heading9Char">
    <w:name w:val="Heading 9 Char"/>
    <w:link w:val="Heading9"/>
    <w:rsid w:val="000958F5"/>
    <w:rPr>
      <w:rFonts w:ascii="Calibri" w:eastAsia="MS Mincho" w:hAnsi="Calibri"/>
      <w:snapToGrid w:val="0"/>
      <w:sz w:val="22"/>
      <w:szCs w:val="22"/>
      <w:u w:val="single"/>
    </w:rPr>
  </w:style>
  <w:style w:type="paragraph" w:styleId="BodyText">
    <w:name w:val="Body Text"/>
    <w:basedOn w:val="Normal"/>
    <w:link w:val="BodyTextChar"/>
    <w:rsid w:val="000958F5"/>
    <w:pPr>
      <w:widowControl w:val="0"/>
      <w:tabs>
        <w:tab w:val="left" w:pos="10206"/>
      </w:tabs>
      <w:overflowPunct w:val="0"/>
      <w:autoSpaceDE w:val="0"/>
      <w:autoSpaceDN w:val="0"/>
      <w:adjustRightInd w:val="0"/>
      <w:spacing w:after="0" w:line="240" w:lineRule="auto"/>
      <w:ind w:right="567"/>
      <w:textAlignment w:val="baseline"/>
    </w:pPr>
    <w:rPr>
      <w:rFonts w:ascii="Times New Roman" w:eastAsia="Times New Roman" w:hAnsi="Times New Roman"/>
      <w:sz w:val="24"/>
      <w:szCs w:val="20"/>
      <w:lang w:val="en-GB"/>
    </w:rPr>
  </w:style>
  <w:style w:type="character" w:customStyle="1" w:styleId="BodyTextChar">
    <w:name w:val="Body Text Char"/>
    <w:basedOn w:val="DefaultParagraphFont"/>
    <w:link w:val="BodyText"/>
    <w:rsid w:val="000958F5"/>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0958F5"/>
    <w:rPr>
      <w:sz w:val="18"/>
      <w:lang w:val="fr-FR"/>
    </w:rPr>
  </w:style>
  <w:style w:type="paragraph" w:customStyle="1" w:styleId="HCh">
    <w:name w:val="_ H _Ch"/>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lang w:val="en-GB"/>
    </w:rPr>
  </w:style>
  <w:style w:type="paragraph" w:customStyle="1" w:styleId="XLarge">
    <w:name w:val="XLarge"/>
    <w:basedOn w:val="Normal"/>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90" w:lineRule="exact"/>
      <w:outlineLvl w:val="0"/>
    </w:pPr>
    <w:rPr>
      <w:rFonts w:ascii="Times New Roman" w:eastAsia="Times New Roman" w:hAnsi="Times New Roman"/>
      <w:b/>
      <w:spacing w:val="-4"/>
      <w:w w:val="98"/>
      <w:kern w:val="14"/>
      <w:sz w:val="40"/>
      <w:szCs w:val="20"/>
      <w:lang w:val="en-GB"/>
    </w:rPr>
  </w:style>
  <w:style w:type="paragraph" w:customStyle="1" w:styleId="H23">
    <w:name w:val="_ H_2/3"/>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eastAsia="Times New Roman" w:hAnsi="Times New Roman"/>
      <w:b/>
      <w:spacing w:val="2"/>
      <w:w w:val="103"/>
      <w:kern w:val="14"/>
      <w:sz w:val="20"/>
      <w:szCs w:val="20"/>
      <w:lang w:val="en-GB"/>
    </w:rPr>
  </w:style>
  <w:style w:type="character" w:styleId="CommentReference">
    <w:name w:val="annotation reference"/>
    <w:unhideWhenUsed/>
    <w:rsid w:val="000958F5"/>
    <w:rPr>
      <w:sz w:val="16"/>
      <w:szCs w:val="16"/>
    </w:rPr>
  </w:style>
  <w:style w:type="paragraph" w:styleId="CommentText">
    <w:name w:val="annotation text"/>
    <w:basedOn w:val="Normal"/>
    <w:link w:val="CommentTextChar"/>
    <w:unhideWhenUsed/>
    <w:rsid w:val="000958F5"/>
    <w:rPr>
      <w:rFonts w:eastAsia="Calibri"/>
      <w:sz w:val="20"/>
      <w:szCs w:val="20"/>
      <w:lang w:val="en-GB"/>
    </w:rPr>
  </w:style>
  <w:style w:type="character" w:customStyle="1" w:styleId="CommentTextChar">
    <w:name w:val="Comment Text Char"/>
    <w:basedOn w:val="DefaultParagraphFont"/>
    <w:link w:val="CommentText"/>
    <w:rsid w:val="000958F5"/>
    <w:rPr>
      <w:rFonts w:ascii="Calibri" w:eastAsia="Calibri" w:hAnsi="Calibri"/>
      <w:lang w:val="en-GB"/>
    </w:rPr>
  </w:style>
  <w:style w:type="paragraph" w:styleId="CommentSubject">
    <w:name w:val="annotation subject"/>
    <w:basedOn w:val="CommentText"/>
    <w:next w:val="CommentText"/>
    <w:link w:val="CommentSubjectChar"/>
    <w:uiPriority w:val="99"/>
    <w:semiHidden/>
    <w:unhideWhenUsed/>
    <w:rsid w:val="000958F5"/>
    <w:rPr>
      <w:b/>
      <w:bCs/>
    </w:rPr>
  </w:style>
  <w:style w:type="character" w:customStyle="1" w:styleId="CommentSubjectChar">
    <w:name w:val="Comment Subject Char"/>
    <w:basedOn w:val="CommentTextChar"/>
    <w:link w:val="CommentSubject"/>
    <w:uiPriority w:val="99"/>
    <w:semiHidden/>
    <w:rsid w:val="000958F5"/>
    <w:rPr>
      <w:rFonts w:ascii="Calibri" w:eastAsia="Calibri" w:hAnsi="Calibri"/>
      <w:b/>
      <w:bCs/>
      <w:lang w:val="en-GB"/>
    </w:rPr>
  </w:style>
  <w:style w:type="paragraph" w:customStyle="1" w:styleId="MediumGrid1-Accent21">
    <w:name w:val="Medium Grid 1 - Accent 21"/>
    <w:basedOn w:val="Normal"/>
    <w:uiPriority w:val="34"/>
    <w:qFormat/>
    <w:rsid w:val="000958F5"/>
    <w:pPr>
      <w:ind w:left="720"/>
      <w:contextualSpacing/>
    </w:pPr>
    <w:rPr>
      <w:rFonts w:eastAsia="Calibri"/>
      <w:lang w:val="en-GB"/>
    </w:rPr>
  </w:style>
  <w:style w:type="paragraph" w:customStyle="1" w:styleId="MediumList2-Accent21">
    <w:name w:val="Medium List 2 - Accent 21"/>
    <w:hidden/>
    <w:uiPriority w:val="71"/>
    <w:rsid w:val="000958F5"/>
    <w:rPr>
      <w:rFonts w:ascii="Calibri" w:eastAsia="Calibri" w:hAnsi="Calibri"/>
      <w:sz w:val="22"/>
      <w:szCs w:val="22"/>
    </w:rPr>
  </w:style>
  <w:style w:type="character" w:customStyle="1" w:styleId="st">
    <w:name w:val="st"/>
    <w:rsid w:val="000958F5"/>
  </w:style>
  <w:style w:type="paragraph" w:customStyle="1" w:styleId="ColorfulShading-Accent11">
    <w:name w:val="Colorful Shading - Accent 11"/>
    <w:hidden/>
    <w:uiPriority w:val="99"/>
    <w:semiHidden/>
    <w:rsid w:val="000958F5"/>
    <w:rPr>
      <w:rFonts w:ascii="Calibri" w:eastAsia="Calibri" w:hAnsi="Calibri"/>
      <w:sz w:val="22"/>
      <w:szCs w:val="22"/>
    </w:rPr>
  </w:style>
  <w:style w:type="paragraph" w:customStyle="1" w:styleId="H1">
    <w:name w:val="_ H_1"/>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Default">
    <w:name w:val="Default"/>
    <w:rsid w:val="000958F5"/>
    <w:pPr>
      <w:autoSpaceDE w:val="0"/>
      <w:autoSpaceDN w:val="0"/>
      <w:adjustRightInd w:val="0"/>
    </w:pPr>
    <w:rPr>
      <w:rFonts w:eastAsia="Calibri"/>
      <w:color w:val="000000"/>
      <w:sz w:val="24"/>
      <w:szCs w:val="24"/>
      <w:lang w:val="en-GB" w:eastAsia="en-GB"/>
    </w:rPr>
  </w:style>
  <w:style w:type="table" w:customStyle="1" w:styleId="PlainTable11">
    <w:name w:val="Plain Table 11"/>
    <w:basedOn w:val="TableNormal"/>
    <w:next w:val="PlainTable12"/>
    <w:uiPriority w:val="41"/>
    <w:rsid w:val="000958F5"/>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0958F5"/>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lorfulList-Accent11">
    <w:name w:val="Colorful List - Accent 11"/>
    <w:basedOn w:val="Normal"/>
    <w:uiPriority w:val="34"/>
    <w:qFormat/>
    <w:rsid w:val="000958F5"/>
    <w:pPr>
      <w:ind w:left="720"/>
      <w:contextualSpacing/>
    </w:pPr>
    <w:rPr>
      <w:rFonts w:eastAsia="Times New Roman"/>
      <w:lang w:val="en-GB"/>
    </w:rPr>
  </w:style>
  <w:style w:type="table" w:customStyle="1" w:styleId="TableGrid1">
    <w:name w:val="Table Grid1"/>
    <w:basedOn w:val="TableNormal"/>
    <w:next w:val="TableGrid"/>
    <w:uiPriority w:val="39"/>
    <w:rsid w:val="000958F5"/>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58F5"/>
    <w:pPr>
      <w:spacing w:after="0" w:line="240" w:lineRule="auto"/>
    </w:pPr>
    <w:rPr>
      <w:rFonts w:ascii="Times New Roman" w:eastAsia="Calibri" w:hAnsi="Times New Roman"/>
      <w:sz w:val="24"/>
      <w:szCs w:val="24"/>
    </w:rPr>
  </w:style>
  <w:style w:type="table" w:customStyle="1" w:styleId="PlainTable21">
    <w:name w:val="Plain Table 21"/>
    <w:basedOn w:val="TableNormal"/>
    <w:uiPriority w:val="42"/>
    <w:rsid w:val="000958F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0958F5"/>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semiHidden/>
    <w:rsid w:val="000958F5"/>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0958F5"/>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0958F5"/>
    <w:pPr>
      <w:ind w:left="720"/>
      <w:contextualSpacing/>
    </w:pPr>
    <w:rPr>
      <w:rFonts w:eastAsia="Calibri"/>
      <w:lang w:val="en-GB"/>
    </w:rPr>
  </w:style>
  <w:style w:type="table" w:customStyle="1" w:styleId="PlainTable31">
    <w:name w:val="Plain Table 31"/>
    <w:basedOn w:val="TableNormal"/>
    <w:uiPriority w:val="43"/>
    <w:rsid w:val="000958F5"/>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958F5"/>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0958F5"/>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0958F5"/>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0958F5"/>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958F5"/>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0958F5"/>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0958F5"/>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0958F5"/>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0958F5"/>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0958F5"/>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0958F5"/>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0958F5"/>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0958F5"/>
    <w:rPr>
      <w:rFonts w:ascii="Calibri" w:eastAsia="MS Mincho" w:hAnsi="Calibri"/>
      <w:b/>
      <w:sz w:val="28"/>
      <w:szCs w:val="22"/>
    </w:rPr>
  </w:style>
  <w:style w:type="paragraph" w:customStyle="1" w:styleId="AnnexHeading1">
    <w:name w:val="Annex Heading 1"/>
    <w:basedOn w:val="Heading1"/>
    <w:qFormat/>
    <w:rsid w:val="000958F5"/>
    <w:pPr>
      <w:numPr>
        <w:numId w:val="7"/>
      </w:numPr>
      <w:spacing w:line="240" w:lineRule="auto"/>
      <w:ind w:left="1276" w:hanging="709"/>
    </w:pPr>
    <w:rPr>
      <w:rFonts w:ascii="Times New Roman" w:hAnsi="Times New Roman"/>
      <w:szCs w:val="20"/>
      <w:lang w:val="en-GB"/>
    </w:rPr>
  </w:style>
  <w:style w:type="paragraph" w:styleId="EndnoteText">
    <w:name w:val="endnote text"/>
    <w:basedOn w:val="Normal"/>
    <w:link w:val="EndnoteTextChar"/>
    <w:uiPriority w:val="99"/>
    <w:semiHidden/>
    <w:unhideWhenUsed/>
    <w:rsid w:val="000958F5"/>
    <w:rPr>
      <w:rFonts w:eastAsia="Calibri"/>
      <w:sz w:val="20"/>
      <w:szCs w:val="20"/>
      <w:lang w:val="en-GB"/>
    </w:rPr>
  </w:style>
  <w:style w:type="character" w:customStyle="1" w:styleId="EndnoteTextChar">
    <w:name w:val="Endnote Text Char"/>
    <w:basedOn w:val="DefaultParagraphFont"/>
    <w:link w:val="EndnoteText"/>
    <w:uiPriority w:val="99"/>
    <w:semiHidden/>
    <w:rsid w:val="000958F5"/>
    <w:rPr>
      <w:rFonts w:ascii="Calibri" w:eastAsia="Calibri" w:hAnsi="Calibri"/>
      <w:lang w:val="en-GB"/>
    </w:rPr>
  </w:style>
  <w:style w:type="character" w:styleId="EndnoteReference">
    <w:name w:val="endnote reference"/>
    <w:uiPriority w:val="99"/>
    <w:semiHidden/>
    <w:unhideWhenUsed/>
    <w:rsid w:val="000958F5"/>
    <w:rPr>
      <w:vertAlign w:val="superscript"/>
    </w:rPr>
  </w:style>
  <w:style w:type="character" w:customStyle="1" w:styleId="st1">
    <w:name w:val="st1"/>
    <w:basedOn w:val="DefaultParagraphFont"/>
    <w:rsid w:val="00097CD7"/>
  </w:style>
  <w:style w:type="paragraph" w:styleId="Revision">
    <w:name w:val="Revision"/>
    <w:hidden/>
    <w:uiPriority w:val="99"/>
    <w:semiHidden/>
    <w:rsid w:val="002213E7"/>
    <w:rPr>
      <w:rFonts w:ascii="Calibri" w:eastAsia="MS Mincho" w:hAnsi="Calibri"/>
      <w:sz w:val="22"/>
      <w:szCs w:val="22"/>
    </w:rPr>
  </w:style>
  <w:style w:type="table" w:customStyle="1" w:styleId="PlainTable13">
    <w:name w:val="Plain Table 13"/>
    <w:basedOn w:val="TableNormal"/>
    <w:uiPriority w:val="41"/>
    <w:rsid w:val="0092584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92584C"/>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92584C"/>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92584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92584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92584C"/>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92584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92584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92584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92584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92584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05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9606">
      <w:bodyDiv w:val="1"/>
      <w:marLeft w:val="0"/>
      <w:marRight w:val="0"/>
      <w:marTop w:val="0"/>
      <w:marBottom w:val="0"/>
      <w:divBdr>
        <w:top w:val="none" w:sz="0" w:space="0" w:color="auto"/>
        <w:left w:val="none" w:sz="0" w:space="0" w:color="auto"/>
        <w:bottom w:val="none" w:sz="0" w:space="0" w:color="auto"/>
        <w:right w:val="none" w:sz="0" w:space="0" w:color="auto"/>
      </w:divBdr>
      <w:divsChild>
        <w:div w:id="599605166">
          <w:marLeft w:val="0"/>
          <w:marRight w:val="0"/>
          <w:marTop w:val="0"/>
          <w:marBottom w:val="0"/>
          <w:divBdr>
            <w:top w:val="none" w:sz="0" w:space="0" w:color="auto"/>
            <w:left w:val="none" w:sz="0" w:space="0" w:color="auto"/>
            <w:bottom w:val="none" w:sz="0" w:space="0" w:color="auto"/>
            <w:right w:val="none" w:sz="0" w:space="0" w:color="auto"/>
          </w:divBdr>
          <w:divsChild>
            <w:div w:id="1364673291">
              <w:marLeft w:val="0"/>
              <w:marRight w:val="0"/>
              <w:marTop w:val="0"/>
              <w:marBottom w:val="480"/>
              <w:divBdr>
                <w:top w:val="none" w:sz="0" w:space="0" w:color="auto"/>
                <w:left w:val="none" w:sz="0" w:space="0" w:color="auto"/>
                <w:bottom w:val="none" w:sz="0" w:space="0" w:color="auto"/>
                <w:right w:val="none" w:sz="0" w:space="0" w:color="auto"/>
              </w:divBdr>
              <w:divsChild>
                <w:div w:id="2112313556">
                  <w:marLeft w:val="0"/>
                  <w:marRight w:val="0"/>
                  <w:marTop w:val="0"/>
                  <w:marBottom w:val="0"/>
                  <w:divBdr>
                    <w:top w:val="none" w:sz="0" w:space="0" w:color="auto"/>
                    <w:left w:val="none" w:sz="0" w:space="0" w:color="auto"/>
                    <w:bottom w:val="none" w:sz="0" w:space="0" w:color="auto"/>
                    <w:right w:val="none" w:sz="0" w:space="0" w:color="auto"/>
                  </w:divBdr>
                  <w:divsChild>
                    <w:div w:id="1630239813">
                      <w:marLeft w:val="0"/>
                      <w:marRight w:val="0"/>
                      <w:marTop w:val="0"/>
                      <w:marBottom w:val="0"/>
                      <w:divBdr>
                        <w:top w:val="none" w:sz="0" w:space="0" w:color="auto"/>
                        <w:left w:val="none" w:sz="0" w:space="0" w:color="auto"/>
                        <w:bottom w:val="none" w:sz="0" w:space="0" w:color="auto"/>
                        <w:right w:val="none" w:sz="0" w:space="0" w:color="auto"/>
                      </w:divBdr>
                      <w:divsChild>
                        <w:div w:id="1709332916">
                          <w:marLeft w:val="0"/>
                          <w:marRight w:val="0"/>
                          <w:marTop w:val="0"/>
                          <w:marBottom w:val="0"/>
                          <w:divBdr>
                            <w:top w:val="none" w:sz="0" w:space="0" w:color="auto"/>
                            <w:left w:val="none" w:sz="0" w:space="0" w:color="auto"/>
                            <w:bottom w:val="none" w:sz="0" w:space="0" w:color="auto"/>
                            <w:right w:val="none" w:sz="0" w:space="0" w:color="auto"/>
                          </w:divBdr>
                          <w:divsChild>
                            <w:div w:id="255479105">
                              <w:marLeft w:val="0"/>
                              <w:marRight w:val="0"/>
                              <w:marTop w:val="0"/>
                              <w:marBottom w:val="240"/>
                              <w:divBdr>
                                <w:top w:val="none" w:sz="0" w:space="0" w:color="auto"/>
                                <w:left w:val="none" w:sz="0" w:space="0" w:color="auto"/>
                                <w:bottom w:val="none" w:sz="0" w:space="0" w:color="auto"/>
                                <w:right w:val="none" w:sz="0" w:space="0" w:color="auto"/>
                              </w:divBdr>
                              <w:divsChild>
                                <w:div w:id="11148504">
                                  <w:marLeft w:val="0"/>
                                  <w:marRight w:val="0"/>
                                  <w:marTop w:val="0"/>
                                  <w:marBottom w:val="0"/>
                                  <w:divBdr>
                                    <w:top w:val="none" w:sz="0" w:space="0" w:color="auto"/>
                                    <w:left w:val="none" w:sz="0" w:space="0" w:color="auto"/>
                                    <w:bottom w:val="none" w:sz="0" w:space="0" w:color="auto"/>
                                    <w:right w:val="none" w:sz="0" w:space="0" w:color="auto"/>
                                  </w:divBdr>
                                  <w:divsChild>
                                    <w:div w:id="361056581">
                                      <w:marLeft w:val="0"/>
                                      <w:marRight w:val="0"/>
                                      <w:marTop w:val="0"/>
                                      <w:marBottom w:val="0"/>
                                      <w:divBdr>
                                        <w:top w:val="none" w:sz="0" w:space="0" w:color="auto"/>
                                        <w:left w:val="none" w:sz="0" w:space="0" w:color="auto"/>
                                        <w:bottom w:val="none" w:sz="0" w:space="0" w:color="auto"/>
                                        <w:right w:val="none" w:sz="0" w:space="0" w:color="auto"/>
                                      </w:divBdr>
                                      <w:divsChild>
                                        <w:div w:id="741024774">
                                          <w:marLeft w:val="0"/>
                                          <w:marRight w:val="0"/>
                                          <w:marTop w:val="0"/>
                                          <w:marBottom w:val="0"/>
                                          <w:divBdr>
                                            <w:top w:val="none" w:sz="0" w:space="0" w:color="auto"/>
                                            <w:left w:val="none" w:sz="0" w:space="0" w:color="auto"/>
                                            <w:bottom w:val="none" w:sz="0" w:space="0" w:color="auto"/>
                                            <w:right w:val="none" w:sz="0" w:space="0" w:color="auto"/>
                                          </w:divBdr>
                                          <w:divsChild>
                                            <w:div w:id="2106610845">
                                              <w:marLeft w:val="0"/>
                                              <w:marRight w:val="0"/>
                                              <w:marTop w:val="0"/>
                                              <w:marBottom w:val="0"/>
                                              <w:divBdr>
                                                <w:top w:val="none" w:sz="0" w:space="0" w:color="auto"/>
                                                <w:left w:val="none" w:sz="0" w:space="0" w:color="auto"/>
                                                <w:bottom w:val="none" w:sz="0" w:space="0" w:color="auto"/>
                                                <w:right w:val="none" w:sz="0" w:space="0" w:color="auto"/>
                                              </w:divBdr>
                                              <w:divsChild>
                                                <w:div w:id="549922498">
                                                  <w:marLeft w:val="0"/>
                                                  <w:marRight w:val="0"/>
                                                  <w:marTop w:val="0"/>
                                                  <w:marBottom w:val="0"/>
                                                  <w:divBdr>
                                                    <w:top w:val="none" w:sz="0" w:space="0" w:color="auto"/>
                                                    <w:left w:val="none" w:sz="0" w:space="0" w:color="auto"/>
                                                    <w:bottom w:val="none" w:sz="0" w:space="0" w:color="auto"/>
                                                    <w:right w:val="none" w:sz="0" w:space="0" w:color="auto"/>
                                                  </w:divBdr>
                                                  <w:divsChild>
                                                    <w:div w:id="1637762347">
                                                      <w:marLeft w:val="0"/>
                                                      <w:marRight w:val="0"/>
                                                      <w:marTop w:val="0"/>
                                                      <w:marBottom w:val="0"/>
                                                      <w:divBdr>
                                                        <w:top w:val="none" w:sz="0" w:space="0" w:color="auto"/>
                                                        <w:left w:val="none" w:sz="0" w:space="0" w:color="auto"/>
                                                        <w:bottom w:val="none" w:sz="0" w:space="0" w:color="auto"/>
                                                        <w:right w:val="none" w:sz="0" w:space="0" w:color="auto"/>
                                                      </w:divBdr>
                                                      <w:divsChild>
                                                        <w:div w:id="1125538097">
                                                          <w:marLeft w:val="0"/>
                                                          <w:marRight w:val="0"/>
                                                          <w:marTop w:val="0"/>
                                                          <w:marBottom w:val="0"/>
                                                          <w:divBdr>
                                                            <w:top w:val="none" w:sz="0" w:space="0" w:color="auto"/>
                                                            <w:left w:val="none" w:sz="0" w:space="0" w:color="auto"/>
                                                            <w:bottom w:val="none" w:sz="0" w:space="0" w:color="auto"/>
                                                            <w:right w:val="none" w:sz="0" w:space="0" w:color="auto"/>
                                                          </w:divBdr>
                                                          <w:divsChild>
                                                            <w:div w:id="507133251">
                                                              <w:marLeft w:val="0"/>
                                                              <w:marRight w:val="0"/>
                                                              <w:marTop w:val="0"/>
                                                              <w:marBottom w:val="0"/>
                                                              <w:divBdr>
                                                                <w:top w:val="none" w:sz="0" w:space="0" w:color="auto"/>
                                                                <w:left w:val="none" w:sz="0" w:space="0" w:color="auto"/>
                                                                <w:bottom w:val="none" w:sz="0" w:space="0" w:color="auto"/>
                                                                <w:right w:val="none" w:sz="0" w:space="0" w:color="auto"/>
                                                              </w:divBdr>
                                                              <w:divsChild>
                                                                <w:div w:id="1936864794">
                                                                  <w:marLeft w:val="0"/>
                                                                  <w:marRight w:val="0"/>
                                                                  <w:marTop w:val="0"/>
                                                                  <w:marBottom w:val="0"/>
                                                                  <w:divBdr>
                                                                    <w:top w:val="none" w:sz="0" w:space="0" w:color="auto"/>
                                                                    <w:left w:val="none" w:sz="0" w:space="0" w:color="auto"/>
                                                                    <w:bottom w:val="none" w:sz="0" w:space="0" w:color="auto"/>
                                                                    <w:right w:val="none" w:sz="0" w:space="0" w:color="auto"/>
                                                                  </w:divBdr>
                                                                  <w:divsChild>
                                                                    <w:div w:id="17810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60411193">
      <w:bodyDiv w:val="1"/>
      <w:marLeft w:val="0"/>
      <w:marRight w:val="0"/>
      <w:marTop w:val="0"/>
      <w:marBottom w:val="0"/>
      <w:divBdr>
        <w:top w:val="none" w:sz="0" w:space="0" w:color="auto"/>
        <w:left w:val="none" w:sz="0" w:space="0" w:color="auto"/>
        <w:bottom w:val="none" w:sz="0" w:space="0" w:color="auto"/>
        <w:right w:val="none" w:sz="0" w:space="0" w:color="auto"/>
      </w:divBdr>
      <w:divsChild>
        <w:div w:id="1366326345">
          <w:marLeft w:val="0"/>
          <w:marRight w:val="0"/>
          <w:marTop w:val="0"/>
          <w:marBottom w:val="0"/>
          <w:divBdr>
            <w:top w:val="none" w:sz="0" w:space="0" w:color="auto"/>
            <w:left w:val="none" w:sz="0" w:space="0" w:color="auto"/>
            <w:bottom w:val="none" w:sz="0" w:space="0" w:color="auto"/>
            <w:right w:val="none" w:sz="0" w:space="0" w:color="auto"/>
          </w:divBdr>
          <w:divsChild>
            <w:div w:id="105972378">
              <w:marLeft w:val="0"/>
              <w:marRight w:val="0"/>
              <w:marTop w:val="0"/>
              <w:marBottom w:val="480"/>
              <w:divBdr>
                <w:top w:val="none" w:sz="0" w:space="0" w:color="auto"/>
                <w:left w:val="none" w:sz="0" w:space="0" w:color="auto"/>
                <w:bottom w:val="none" w:sz="0" w:space="0" w:color="auto"/>
                <w:right w:val="none" w:sz="0" w:space="0" w:color="auto"/>
              </w:divBdr>
              <w:divsChild>
                <w:div w:id="268008917">
                  <w:marLeft w:val="0"/>
                  <w:marRight w:val="0"/>
                  <w:marTop w:val="0"/>
                  <w:marBottom w:val="0"/>
                  <w:divBdr>
                    <w:top w:val="none" w:sz="0" w:space="0" w:color="auto"/>
                    <w:left w:val="none" w:sz="0" w:space="0" w:color="auto"/>
                    <w:bottom w:val="none" w:sz="0" w:space="0" w:color="auto"/>
                    <w:right w:val="none" w:sz="0" w:space="0" w:color="auto"/>
                  </w:divBdr>
                  <w:divsChild>
                    <w:div w:id="798452887">
                      <w:marLeft w:val="0"/>
                      <w:marRight w:val="0"/>
                      <w:marTop w:val="0"/>
                      <w:marBottom w:val="0"/>
                      <w:divBdr>
                        <w:top w:val="none" w:sz="0" w:space="0" w:color="auto"/>
                        <w:left w:val="none" w:sz="0" w:space="0" w:color="auto"/>
                        <w:bottom w:val="none" w:sz="0" w:space="0" w:color="auto"/>
                        <w:right w:val="none" w:sz="0" w:space="0" w:color="auto"/>
                      </w:divBdr>
                      <w:divsChild>
                        <w:div w:id="1987590393">
                          <w:marLeft w:val="0"/>
                          <w:marRight w:val="0"/>
                          <w:marTop w:val="0"/>
                          <w:marBottom w:val="0"/>
                          <w:divBdr>
                            <w:top w:val="none" w:sz="0" w:space="0" w:color="auto"/>
                            <w:left w:val="none" w:sz="0" w:space="0" w:color="auto"/>
                            <w:bottom w:val="none" w:sz="0" w:space="0" w:color="auto"/>
                            <w:right w:val="none" w:sz="0" w:space="0" w:color="auto"/>
                          </w:divBdr>
                          <w:divsChild>
                            <w:div w:id="1508716423">
                              <w:marLeft w:val="0"/>
                              <w:marRight w:val="0"/>
                              <w:marTop w:val="0"/>
                              <w:marBottom w:val="240"/>
                              <w:divBdr>
                                <w:top w:val="none" w:sz="0" w:space="0" w:color="auto"/>
                                <w:left w:val="none" w:sz="0" w:space="0" w:color="auto"/>
                                <w:bottom w:val="none" w:sz="0" w:space="0" w:color="auto"/>
                                <w:right w:val="none" w:sz="0" w:space="0" w:color="auto"/>
                              </w:divBdr>
                              <w:divsChild>
                                <w:div w:id="2093693661">
                                  <w:marLeft w:val="0"/>
                                  <w:marRight w:val="0"/>
                                  <w:marTop w:val="0"/>
                                  <w:marBottom w:val="0"/>
                                  <w:divBdr>
                                    <w:top w:val="none" w:sz="0" w:space="0" w:color="auto"/>
                                    <w:left w:val="none" w:sz="0" w:space="0" w:color="auto"/>
                                    <w:bottom w:val="none" w:sz="0" w:space="0" w:color="auto"/>
                                    <w:right w:val="none" w:sz="0" w:space="0" w:color="auto"/>
                                  </w:divBdr>
                                  <w:divsChild>
                                    <w:div w:id="477765227">
                                      <w:marLeft w:val="0"/>
                                      <w:marRight w:val="0"/>
                                      <w:marTop w:val="0"/>
                                      <w:marBottom w:val="0"/>
                                      <w:divBdr>
                                        <w:top w:val="none" w:sz="0" w:space="0" w:color="auto"/>
                                        <w:left w:val="none" w:sz="0" w:space="0" w:color="auto"/>
                                        <w:bottom w:val="none" w:sz="0" w:space="0" w:color="auto"/>
                                        <w:right w:val="none" w:sz="0" w:space="0" w:color="auto"/>
                                      </w:divBdr>
                                      <w:divsChild>
                                        <w:div w:id="1859540809">
                                          <w:marLeft w:val="0"/>
                                          <w:marRight w:val="0"/>
                                          <w:marTop w:val="0"/>
                                          <w:marBottom w:val="0"/>
                                          <w:divBdr>
                                            <w:top w:val="none" w:sz="0" w:space="0" w:color="auto"/>
                                            <w:left w:val="none" w:sz="0" w:space="0" w:color="auto"/>
                                            <w:bottom w:val="none" w:sz="0" w:space="0" w:color="auto"/>
                                            <w:right w:val="none" w:sz="0" w:space="0" w:color="auto"/>
                                          </w:divBdr>
                                          <w:divsChild>
                                            <w:div w:id="1459492138">
                                              <w:marLeft w:val="0"/>
                                              <w:marRight w:val="0"/>
                                              <w:marTop w:val="0"/>
                                              <w:marBottom w:val="0"/>
                                              <w:divBdr>
                                                <w:top w:val="none" w:sz="0" w:space="0" w:color="auto"/>
                                                <w:left w:val="none" w:sz="0" w:space="0" w:color="auto"/>
                                                <w:bottom w:val="none" w:sz="0" w:space="0" w:color="auto"/>
                                                <w:right w:val="none" w:sz="0" w:space="0" w:color="auto"/>
                                              </w:divBdr>
                                              <w:divsChild>
                                                <w:div w:id="977683526">
                                                  <w:marLeft w:val="0"/>
                                                  <w:marRight w:val="0"/>
                                                  <w:marTop w:val="0"/>
                                                  <w:marBottom w:val="0"/>
                                                  <w:divBdr>
                                                    <w:top w:val="none" w:sz="0" w:space="0" w:color="auto"/>
                                                    <w:left w:val="none" w:sz="0" w:space="0" w:color="auto"/>
                                                    <w:bottom w:val="none" w:sz="0" w:space="0" w:color="auto"/>
                                                    <w:right w:val="none" w:sz="0" w:space="0" w:color="auto"/>
                                                  </w:divBdr>
                                                  <w:divsChild>
                                                    <w:div w:id="1930456577">
                                                      <w:marLeft w:val="0"/>
                                                      <w:marRight w:val="0"/>
                                                      <w:marTop w:val="0"/>
                                                      <w:marBottom w:val="0"/>
                                                      <w:divBdr>
                                                        <w:top w:val="none" w:sz="0" w:space="0" w:color="auto"/>
                                                        <w:left w:val="none" w:sz="0" w:space="0" w:color="auto"/>
                                                        <w:bottom w:val="none" w:sz="0" w:space="0" w:color="auto"/>
                                                        <w:right w:val="none" w:sz="0" w:space="0" w:color="auto"/>
                                                      </w:divBdr>
                                                      <w:divsChild>
                                                        <w:div w:id="1711800380">
                                                          <w:marLeft w:val="0"/>
                                                          <w:marRight w:val="0"/>
                                                          <w:marTop w:val="0"/>
                                                          <w:marBottom w:val="0"/>
                                                          <w:divBdr>
                                                            <w:top w:val="none" w:sz="0" w:space="0" w:color="auto"/>
                                                            <w:left w:val="none" w:sz="0" w:space="0" w:color="auto"/>
                                                            <w:bottom w:val="none" w:sz="0" w:space="0" w:color="auto"/>
                                                            <w:right w:val="none" w:sz="0" w:space="0" w:color="auto"/>
                                                          </w:divBdr>
                                                          <w:divsChild>
                                                            <w:div w:id="1295214478">
                                                              <w:marLeft w:val="0"/>
                                                              <w:marRight w:val="0"/>
                                                              <w:marTop w:val="0"/>
                                                              <w:marBottom w:val="0"/>
                                                              <w:divBdr>
                                                                <w:top w:val="none" w:sz="0" w:space="0" w:color="auto"/>
                                                                <w:left w:val="none" w:sz="0" w:space="0" w:color="auto"/>
                                                                <w:bottom w:val="none" w:sz="0" w:space="0" w:color="auto"/>
                                                                <w:right w:val="none" w:sz="0" w:space="0" w:color="auto"/>
                                                              </w:divBdr>
                                                              <w:divsChild>
                                                                <w:div w:id="305673385">
                                                                  <w:marLeft w:val="0"/>
                                                                  <w:marRight w:val="0"/>
                                                                  <w:marTop w:val="0"/>
                                                                  <w:marBottom w:val="0"/>
                                                                  <w:divBdr>
                                                                    <w:top w:val="none" w:sz="0" w:space="0" w:color="auto"/>
                                                                    <w:left w:val="none" w:sz="0" w:space="0" w:color="auto"/>
                                                                    <w:bottom w:val="none" w:sz="0" w:space="0" w:color="auto"/>
                                                                    <w:right w:val="none" w:sz="0" w:space="0" w:color="auto"/>
                                                                  </w:divBdr>
                                                                  <w:divsChild>
                                                                    <w:div w:id="21138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3227015">
      <w:bodyDiv w:val="1"/>
      <w:marLeft w:val="0"/>
      <w:marRight w:val="0"/>
      <w:marTop w:val="0"/>
      <w:marBottom w:val="0"/>
      <w:divBdr>
        <w:top w:val="none" w:sz="0" w:space="0" w:color="auto"/>
        <w:left w:val="none" w:sz="0" w:space="0" w:color="auto"/>
        <w:bottom w:val="none" w:sz="0" w:space="0" w:color="auto"/>
        <w:right w:val="none" w:sz="0" w:space="0" w:color="auto"/>
      </w:divBdr>
    </w:div>
    <w:div w:id="116512201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 Id="rId27" Type="http://schemas.openxmlformats.org/officeDocument/2006/relationships/hyperlink" Target="file:///C:\Users\anne.larigauderie\AppData\Local\Microsoft\Windows\INetCache\Content.Outlook\Copy%20of%20Copy%20of%20revised%20table%202_tk_al_es_final.xlsx" TargetMode="Externa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16C0-A4F5-407D-8EA9-EB23FFEB974A}">
  <ds:schemaRefs>
    <ds:schemaRef ds:uri="http://schemas.openxmlformats.org/officeDocument/2006/bibliography"/>
  </ds:schemaRefs>
</ds:datastoreItem>
</file>

<file path=customXml/itemProps2.xml><?xml version="1.0" encoding="utf-8"?>
<ds:datastoreItem xmlns:ds="http://schemas.openxmlformats.org/officeDocument/2006/customXml" ds:itemID="{F5443A5C-BF49-48A6-A776-318BD02B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11654</Words>
  <Characters>66428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2017-01-04T11:42:00Z</cp:lastPrinted>
  <dcterms:created xsi:type="dcterms:W3CDTF">2017-01-26T10:56:00Z</dcterms:created>
  <dcterms:modified xsi:type="dcterms:W3CDTF">2017-01-26T10:56:00Z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sara.sanchez.gonzalez</vt:lpwstr>
  </property>
  <property fmtid="{D5CDD505-2E9C-101B-9397-08002B2CF9AE}" pid="4" name="GeneratedDate">
    <vt:lpwstr>1/18/2017 11:27:55 AM</vt:lpwstr>
  </property>
  <property fmtid="{D5CDD505-2E9C-101B-9397-08002B2CF9AE}" pid="5" name="OriginalDocID">
    <vt:lpwstr>c76a62dd-f2f2-40ab-a93f-86db9200510b</vt:lpwstr>
  </property>
</Properties>
</file>