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Layout w:type="fixed"/>
        <w:tblLook w:val="0000"/>
      </w:tblPr>
      <w:tblGrid>
        <w:gridCol w:w="1560"/>
        <w:gridCol w:w="5387"/>
        <w:gridCol w:w="2833"/>
      </w:tblGrid>
      <w:tr w:rsidR="00746DD5" w:rsidRPr="00430595" w:rsidTr="00746DD5">
        <w:tblPrEx>
          <w:tblCellMar>
            <w:top w:w="0" w:type="dxa"/>
            <w:bottom w:w="0" w:type="dxa"/>
          </w:tblCellMar>
        </w:tblPrEx>
        <w:trPr>
          <w:cantSplit/>
          <w:trHeight w:val="850"/>
        </w:trPr>
        <w:tc>
          <w:tcPr>
            <w:tcW w:w="1560" w:type="dxa"/>
          </w:tcPr>
          <w:p w:rsidR="00746DD5" w:rsidRPr="00430595" w:rsidRDefault="00746DD5" w:rsidP="00360870">
            <w:pPr>
              <w:tabs>
                <w:tab w:val="left" w:pos="624"/>
                <w:tab w:val="left" w:pos="1871"/>
                <w:tab w:val="left" w:pos="2495"/>
                <w:tab w:val="left" w:pos="3119"/>
              </w:tabs>
              <w:rPr>
                <w:rFonts w:ascii="Arial" w:hAnsi="Arial" w:cs="Arial"/>
                <w:b/>
                <w:noProof/>
                <w:sz w:val="27"/>
                <w:szCs w:val="27"/>
              </w:rPr>
            </w:pPr>
            <w:r w:rsidRPr="00430595">
              <w:rPr>
                <w:rFonts w:ascii="Arial" w:hAnsi="Arial" w:cs="Arial"/>
                <w:b/>
                <w:noProof/>
                <w:sz w:val="27"/>
                <w:szCs w:val="27"/>
              </w:rPr>
              <w:t>NATIONS</w:t>
            </w:r>
            <w:r w:rsidRPr="00430595">
              <w:rPr>
                <w:rFonts w:ascii="Arial" w:hAnsi="Arial" w:cs="Arial"/>
                <w:b/>
                <w:noProof/>
                <w:sz w:val="27"/>
                <w:szCs w:val="27"/>
              </w:rPr>
              <w:br/>
              <w:t>UNIES</w:t>
            </w:r>
          </w:p>
        </w:tc>
        <w:tc>
          <w:tcPr>
            <w:tcW w:w="5387" w:type="dxa"/>
          </w:tcPr>
          <w:p w:rsidR="00746DD5" w:rsidRPr="00430595" w:rsidRDefault="00746DD5" w:rsidP="00360870">
            <w:pPr>
              <w:tabs>
                <w:tab w:val="left" w:pos="624"/>
                <w:tab w:val="left" w:pos="1871"/>
                <w:tab w:val="left" w:pos="2495"/>
                <w:tab w:val="left" w:pos="3119"/>
              </w:tabs>
              <w:rPr>
                <w:rFonts w:ascii="Univers" w:hAnsi="Univers"/>
                <w:b/>
                <w:sz w:val="27"/>
                <w:szCs w:val="27"/>
              </w:rPr>
            </w:pPr>
          </w:p>
        </w:tc>
        <w:tc>
          <w:tcPr>
            <w:tcW w:w="2833" w:type="dxa"/>
          </w:tcPr>
          <w:p w:rsidR="00746DD5" w:rsidRPr="00430595" w:rsidRDefault="00746DD5" w:rsidP="00360870">
            <w:pPr>
              <w:tabs>
                <w:tab w:val="left" w:pos="624"/>
                <w:tab w:val="left" w:pos="1871"/>
                <w:tab w:val="left" w:pos="2495"/>
                <w:tab w:val="left" w:pos="3119"/>
              </w:tabs>
              <w:jc w:val="right"/>
              <w:rPr>
                <w:rFonts w:ascii="Univers" w:hAnsi="Univers"/>
                <w:b/>
                <w:sz w:val="72"/>
                <w:szCs w:val="72"/>
              </w:rPr>
            </w:pPr>
            <w:r w:rsidRPr="00430595">
              <w:rPr>
                <w:rFonts w:ascii="Univers" w:hAnsi="Univers"/>
                <w:b/>
                <w:sz w:val="72"/>
                <w:szCs w:val="72"/>
              </w:rPr>
              <w:t>EP</w:t>
            </w:r>
          </w:p>
        </w:tc>
      </w:tr>
      <w:tr w:rsidR="00746DD5" w:rsidRPr="00430595" w:rsidTr="00746DD5">
        <w:tblPrEx>
          <w:tblCellMar>
            <w:top w:w="0" w:type="dxa"/>
            <w:bottom w:w="0" w:type="dxa"/>
          </w:tblCellMar>
        </w:tblPrEx>
        <w:trPr>
          <w:cantSplit/>
          <w:trHeight w:val="281"/>
        </w:trPr>
        <w:tc>
          <w:tcPr>
            <w:tcW w:w="1560" w:type="dxa"/>
            <w:tcBorders>
              <w:bottom w:val="single" w:sz="4" w:space="0" w:color="auto"/>
            </w:tcBorders>
          </w:tcPr>
          <w:p w:rsidR="00746DD5" w:rsidRPr="00430595" w:rsidRDefault="00746DD5" w:rsidP="00360870">
            <w:pPr>
              <w:tabs>
                <w:tab w:val="left" w:pos="624"/>
                <w:tab w:val="left" w:pos="1871"/>
                <w:tab w:val="left" w:pos="2495"/>
                <w:tab w:val="left" w:pos="3119"/>
              </w:tabs>
              <w:rPr>
                <w:noProof/>
                <w:sz w:val="18"/>
                <w:szCs w:val="18"/>
              </w:rPr>
            </w:pPr>
          </w:p>
        </w:tc>
        <w:tc>
          <w:tcPr>
            <w:tcW w:w="5387" w:type="dxa"/>
            <w:tcBorders>
              <w:bottom w:val="single" w:sz="4" w:space="0" w:color="auto"/>
            </w:tcBorders>
          </w:tcPr>
          <w:p w:rsidR="00746DD5" w:rsidRPr="00430595" w:rsidRDefault="00746DD5" w:rsidP="00360870">
            <w:pPr>
              <w:tabs>
                <w:tab w:val="left" w:pos="624"/>
                <w:tab w:val="left" w:pos="1871"/>
                <w:tab w:val="left" w:pos="2495"/>
                <w:tab w:val="left" w:pos="3119"/>
              </w:tabs>
              <w:rPr>
                <w:rFonts w:ascii="Univers" w:hAnsi="Univers"/>
                <w:b/>
                <w:sz w:val="18"/>
                <w:szCs w:val="18"/>
              </w:rPr>
            </w:pPr>
          </w:p>
        </w:tc>
        <w:tc>
          <w:tcPr>
            <w:tcW w:w="2833" w:type="dxa"/>
            <w:tcBorders>
              <w:bottom w:val="single" w:sz="4" w:space="0" w:color="auto"/>
            </w:tcBorders>
          </w:tcPr>
          <w:p w:rsidR="00746DD5" w:rsidRPr="00430595" w:rsidRDefault="00746DD5" w:rsidP="00746DD5">
            <w:pPr>
              <w:tabs>
                <w:tab w:val="left" w:pos="624"/>
                <w:tab w:val="left" w:pos="1871"/>
                <w:tab w:val="left" w:pos="2495"/>
                <w:tab w:val="left" w:pos="3119"/>
              </w:tabs>
              <w:rPr>
                <w:noProof/>
                <w:sz w:val="18"/>
                <w:szCs w:val="18"/>
                <w:lang w:eastAsia="ja-JP"/>
              </w:rPr>
            </w:pPr>
            <w:r w:rsidRPr="00430595">
              <w:rPr>
                <w:b/>
                <w:sz w:val="24"/>
                <w:szCs w:val="24"/>
              </w:rPr>
              <w:t>IPBES</w:t>
            </w:r>
            <w:r w:rsidRPr="00430595">
              <w:rPr>
                <w:lang w:eastAsia="ja-JP"/>
              </w:rPr>
              <w:t>/2/1</w:t>
            </w:r>
            <w:r>
              <w:rPr>
                <w:lang w:eastAsia="ja-JP"/>
              </w:rPr>
              <w:t>/Add.1</w:t>
            </w:r>
          </w:p>
        </w:tc>
      </w:tr>
      <w:bookmarkStart w:id="0" w:name="_MON_1021710482"/>
      <w:bookmarkStart w:id="1" w:name="_MON_1021710510"/>
      <w:bookmarkEnd w:id="0"/>
      <w:bookmarkEnd w:id="1"/>
      <w:tr w:rsidR="00746DD5" w:rsidRPr="00430595" w:rsidTr="00746DD5">
        <w:tblPrEx>
          <w:tblCellMar>
            <w:top w:w="0" w:type="dxa"/>
            <w:bottom w:w="0" w:type="dxa"/>
          </w:tblCellMar>
        </w:tblPrEx>
        <w:trPr>
          <w:cantSplit/>
          <w:trHeight w:val="2549"/>
        </w:trPr>
        <w:tc>
          <w:tcPr>
            <w:tcW w:w="1560" w:type="dxa"/>
            <w:tcBorders>
              <w:top w:val="single" w:sz="4" w:space="0" w:color="auto"/>
              <w:bottom w:val="single" w:sz="24" w:space="0" w:color="auto"/>
            </w:tcBorders>
          </w:tcPr>
          <w:p w:rsidR="00746DD5" w:rsidRPr="00430595" w:rsidRDefault="00746DD5" w:rsidP="00360870">
            <w:pPr>
              <w:tabs>
                <w:tab w:val="left" w:pos="624"/>
                <w:tab w:val="left" w:pos="1871"/>
                <w:tab w:val="left" w:pos="2495"/>
                <w:tab w:val="left" w:pos="3119"/>
              </w:tabs>
              <w:rPr>
                <w:noProof/>
              </w:rPr>
            </w:pPr>
            <w:r w:rsidRPr="00430595">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8" o:title=""/>
                </v:shape>
                <o:OLEObject Type="Embed" ProgID="Word.Picture.8" ShapeID="_x0000_i1025" DrawAspect="Content" ObjectID="_1445882265" r:id="rId9"/>
              </w:object>
            </w:r>
            <w:r w:rsidR="00FC05BA">
              <w:rPr>
                <w:noProof/>
                <w:lang w:val="en-US"/>
              </w:rPr>
              <w:drawing>
                <wp:inline distT="0" distB="0" distL="0" distR="0">
                  <wp:extent cx="723900" cy="762000"/>
                  <wp:effectExtent l="1905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tc>
        <w:tc>
          <w:tcPr>
            <w:tcW w:w="5387" w:type="dxa"/>
            <w:tcBorders>
              <w:top w:val="single" w:sz="4" w:space="0" w:color="auto"/>
              <w:bottom w:val="single" w:sz="24" w:space="0" w:color="auto"/>
            </w:tcBorders>
          </w:tcPr>
          <w:p w:rsidR="00746DD5" w:rsidRPr="00430595" w:rsidRDefault="00746DD5" w:rsidP="00360870">
            <w:pPr>
              <w:tabs>
                <w:tab w:val="left" w:pos="624"/>
                <w:tab w:val="left" w:pos="1871"/>
                <w:tab w:val="left" w:pos="2495"/>
                <w:tab w:val="left" w:pos="3119"/>
              </w:tabs>
              <w:spacing w:before="1400"/>
              <w:rPr>
                <w:rFonts w:ascii="Arial" w:hAnsi="Arial" w:cs="Arial"/>
                <w:b/>
                <w:sz w:val="28"/>
              </w:rPr>
            </w:pPr>
            <w:r w:rsidRPr="00430595">
              <w:rPr>
                <w:rFonts w:ascii="Arial" w:hAnsi="Arial" w:cs="Arial"/>
                <w:b/>
                <w:sz w:val="32"/>
                <w:szCs w:val="32"/>
              </w:rPr>
              <w:t>Programme des</w:t>
            </w:r>
            <w:r w:rsidRPr="00430595">
              <w:rPr>
                <w:rFonts w:ascii="Arial" w:hAnsi="Arial" w:cs="Arial"/>
                <w:b/>
                <w:sz w:val="32"/>
                <w:szCs w:val="32"/>
              </w:rPr>
              <w:br/>
              <w:t xml:space="preserve">Nations Unies pour </w:t>
            </w:r>
            <w:r w:rsidRPr="00430595">
              <w:rPr>
                <w:rFonts w:ascii="Arial" w:hAnsi="Arial" w:cs="Arial"/>
                <w:b/>
                <w:sz w:val="32"/>
                <w:szCs w:val="32"/>
              </w:rPr>
              <w:br/>
              <w:t>l</w:t>
            </w:r>
            <w:r w:rsidR="003D1F07">
              <w:rPr>
                <w:rFonts w:ascii="Arial" w:hAnsi="Arial" w:cs="Arial"/>
                <w:b/>
                <w:sz w:val="32"/>
                <w:szCs w:val="32"/>
              </w:rPr>
              <w:t>’</w:t>
            </w:r>
            <w:r w:rsidRPr="00430595">
              <w:rPr>
                <w:rFonts w:ascii="Arial" w:hAnsi="Arial" w:cs="Arial"/>
                <w:b/>
                <w:sz w:val="32"/>
                <w:szCs w:val="32"/>
              </w:rPr>
              <w:t>environnement</w:t>
            </w:r>
          </w:p>
        </w:tc>
        <w:tc>
          <w:tcPr>
            <w:tcW w:w="2833" w:type="dxa"/>
            <w:tcBorders>
              <w:top w:val="single" w:sz="4" w:space="0" w:color="auto"/>
              <w:bottom w:val="single" w:sz="24" w:space="0" w:color="auto"/>
            </w:tcBorders>
          </w:tcPr>
          <w:p w:rsidR="00746DD5" w:rsidRPr="00430595" w:rsidRDefault="00746DD5" w:rsidP="00360870">
            <w:pPr>
              <w:tabs>
                <w:tab w:val="left" w:pos="624"/>
                <w:tab w:val="left" w:pos="1871"/>
                <w:tab w:val="left" w:pos="2495"/>
                <w:tab w:val="left" w:pos="3119"/>
              </w:tabs>
              <w:spacing w:before="240"/>
            </w:pPr>
            <w:r w:rsidRPr="00430595">
              <w:t>Distr. : générale</w:t>
            </w:r>
          </w:p>
          <w:p w:rsidR="00746DD5" w:rsidRPr="00430595" w:rsidRDefault="00746DD5" w:rsidP="00360870">
            <w:pPr>
              <w:tabs>
                <w:tab w:val="left" w:pos="624"/>
                <w:tab w:val="left" w:pos="1871"/>
                <w:tab w:val="left" w:pos="2495"/>
                <w:tab w:val="left" w:pos="3119"/>
              </w:tabs>
            </w:pPr>
            <w:r w:rsidRPr="00430595">
              <w:t>1</w:t>
            </w:r>
            <w:r>
              <w:t>9</w:t>
            </w:r>
            <w:r w:rsidRPr="00430595">
              <w:t> septembre 2013</w:t>
            </w:r>
          </w:p>
          <w:p w:rsidR="00746DD5" w:rsidRPr="00430595" w:rsidRDefault="00746DD5" w:rsidP="00360870">
            <w:pPr>
              <w:tabs>
                <w:tab w:val="left" w:pos="624"/>
                <w:tab w:val="left" w:pos="1871"/>
                <w:tab w:val="left" w:pos="2495"/>
                <w:tab w:val="left" w:pos="3119"/>
              </w:tabs>
            </w:pPr>
          </w:p>
          <w:p w:rsidR="00746DD5" w:rsidRPr="00430595" w:rsidRDefault="00746DD5" w:rsidP="00360870">
            <w:pPr>
              <w:tabs>
                <w:tab w:val="left" w:pos="624"/>
                <w:tab w:val="left" w:pos="1871"/>
                <w:tab w:val="left" w:pos="2495"/>
                <w:tab w:val="left" w:pos="3119"/>
              </w:tabs>
            </w:pPr>
            <w:r w:rsidRPr="00430595">
              <w:t>Français</w:t>
            </w:r>
          </w:p>
          <w:p w:rsidR="00746DD5" w:rsidRPr="00430595" w:rsidRDefault="00746DD5" w:rsidP="00360870">
            <w:pPr>
              <w:tabs>
                <w:tab w:val="left" w:pos="624"/>
                <w:tab w:val="left" w:pos="1871"/>
                <w:tab w:val="left" w:pos="2495"/>
                <w:tab w:val="left" w:pos="3119"/>
              </w:tabs>
            </w:pPr>
            <w:r w:rsidRPr="00430595">
              <w:t xml:space="preserve">Original : anglais </w:t>
            </w:r>
          </w:p>
        </w:tc>
      </w:tr>
    </w:tbl>
    <w:p w:rsidR="00746DD5" w:rsidRPr="00430595" w:rsidRDefault="00746DD5" w:rsidP="00746DD5">
      <w:pPr>
        <w:pStyle w:val="AATitle"/>
        <w:keepNext w:val="0"/>
        <w:keepLines w:val="0"/>
        <w:tabs>
          <w:tab w:val="clear" w:pos="1814"/>
          <w:tab w:val="clear" w:pos="2381"/>
          <w:tab w:val="clear" w:pos="2948"/>
          <w:tab w:val="clear" w:pos="3515"/>
          <w:tab w:val="left" w:pos="624"/>
          <w:tab w:val="left" w:pos="1871"/>
          <w:tab w:val="left" w:pos="2495"/>
          <w:tab w:val="left" w:pos="3119"/>
        </w:tabs>
        <w:rPr>
          <w:lang w:val="fr-FR"/>
        </w:rPr>
      </w:pPr>
      <w:r w:rsidRPr="00430595">
        <w:rPr>
          <w:lang w:val="fr-FR"/>
        </w:rPr>
        <w:t xml:space="preserve">Plénière de </w:t>
      </w:r>
      <w:smartTag w:uri="urn:schemas-microsoft-com:office:smarttags" w:element="PersonName">
        <w:smartTagPr>
          <w:attr w:name="ProductID" w:val="la Plateforme"/>
        </w:smartTagPr>
        <w:r w:rsidRPr="00430595">
          <w:rPr>
            <w:lang w:val="fr-FR"/>
          </w:rPr>
          <w:t>la Plateforme</w:t>
        </w:r>
      </w:smartTag>
      <w:r w:rsidRPr="00430595">
        <w:rPr>
          <w:lang w:val="fr-FR"/>
        </w:rPr>
        <w:t xml:space="preserve"> intergouvernementale </w:t>
      </w:r>
      <w:r>
        <w:rPr>
          <w:lang w:val="fr-FR"/>
        </w:rPr>
        <w:br/>
      </w:r>
      <w:r w:rsidRPr="00430595">
        <w:rPr>
          <w:lang w:val="fr-FR"/>
        </w:rPr>
        <w:t>scientifique et politique sur la biodiversité et les</w:t>
      </w:r>
      <w:r>
        <w:rPr>
          <w:lang w:val="fr-FR"/>
        </w:rPr>
        <w:t xml:space="preserve"> </w:t>
      </w:r>
      <w:r>
        <w:rPr>
          <w:lang w:val="fr-FR"/>
        </w:rPr>
        <w:br/>
      </w:r>
      <w:r w:rsidRPr="00430595">
        <w:rPr>
          <w:lang w:val="fr-FR"/>
        </w:rPr>
        <w:t>services écosystémiques</w:t>
      </w:r>
    </w:p>
    <w:p w:rsidR="00746DD5" w:rsidRPr="00430595" w:rsidRDefault="00746DD5" w:rsidP="00746DD5">
      <w:pPr>
        <w:pStyle w:val="AATitle"/>
        <w:keepNext w:val="0"/>
        <w:keepLines w:val="0"/>
        <w:tabs>
          <w:tab w:val="clear" w:pos="1814"/>
          <w:tab w:val="clear" w:pos="2381"/>
          <w:tab w:val="clear" w:pos="2948"/>
          <w:tab w:val="clear" w:pos="3515"/>
          <w:tab w:val="left" w:pos="624"/>
          <w:tab w:val="left" w:pos="1871"/>
          <w:tab w:val="left" w:pos="2495"/>
          <w:tab w:val="left" w:pos="3119"/>
        </w:tabs>
        <w:rPr>
          <w:lang w:val="fr-FR"/>
        </w:rPr>
      </w:pPr>
      <w:r w:rsidRPr="00430595">
        <w:rPr>
          <w:lang w:val="fr-FR"/>
        </w:rPr>
        <w:t>Deuxième session</w:t>
      </w:r>
    </w:p>
    <w:p w:rsidR="00746DD5" w:rsidRPr="00430595" w:rsidRDefault="00746DD5" w:rsidP="00746DD5">
      <w:pPr>
        <w:pStyle w:val="AATitle"/>
        <w:keepNext w:val="0"/>
        <w:keepLines w:val="0"/>
        <w:tabs>
          <w:tab w:val="clear" w:pos="1814"/>
          <w:tab w:val="clear" w:pos="2381"/>
          <w:tab w:val="clear" w:pos="2948"/>
          <w:tab w:val="clear" w:pos="3515"/>
          <w:tab w:val="left" w:pos="624"/>
          <w:tab w:val="left" w:pos="1871"/>
          <w:tab w:val="left" w:pos="2495"/>
          <w:tab w:val="left" w:pos="3119"/>
        </w:tabs>
        <w:rPr>
          <w:b w:val="0"/>
          <w:lang w:val="fr-FR" w:eastAsia="ja-JP"/>
        </w:rPr>
      </w:pPr>
      <w:r w:rsidRPr="00430595">
        <w:rPr>
          <w:b w:val="0"/>
          <w:lang w:val="fr-FR" w:eastAsia="ja-JP"/>
        </w:rPr>
        <w:t>Antalya (Turquie), 9–14 décembre 2013</w:t>
      </w:r>
    </w:p>
    <w:p w:rsidR="00813C06" w:rsidRDefault="00F64297" w:rsidP="00746DD5">
      <w:pPr>
        <w:pStyle w:val="BBTitle"/>
      </w:pPr>
      <w:r>
        <w:t>Ordre du jour provisoire annoté</w:t>
      </w:r>
    </w:p>
    <w:p w:rsidR="00746DD5" w:rsidRDefault="00746DD5" w:rsidP="005F5DEE">
      <w:pPr>
        <w:pStyle w:val="CH2"/>
        <w:tabs>
          <w:tab w:val="clear" w:pos="851"/>
          <w:tab w:val="left" w:pos="709"/>
        </w:tabs>
      </w:pPr>
      <w:r>
        <w:tab/>
        <w:t>Point 1</w:t>
      </w:r>
    </w:p>
    <w:p w:rsidR="00AB7A8E" w:rsidRDefault="00746DD5" w:rsidP="001764D2">
      <w:pPr>
        <w:pStyle w:val="CH2"/>
        <w:tabs>
          <w:tab w:val="clear" w:pos="851"/>
          <w:tab w:val="left" w:pos="709"/>
        </w:tabs>
      </w:pPr>
      <w:r>
        <w:tab/>
      </w:r>
      <w:r w:rsidR="00F64297">
        <w:t>Ouverture de la session</w:t>
      </w:r>
    </w:p>
    <w:p w:rsidR="00AB7A8E" w:rsidRDefault="00F64297" w:rsidP="00746DD5">
      <w:pPr>
        <w:pStyle w:val="Normalnumber"/>
      </w:pPr>
      <w:r>
        <w:t xml:space="preserve">La </w:t>
      </w:r>
      <w:r w:rsidR="00175263">
        <w:t>deuxièm</w:t>
      </w:r>
      <w:r>
        <w:t xml:space="preserve">e session de la Plénière de la Plateforme intergouvernementale scientifique et politique sur la biodiversité et les services écosystémiques aura lieu au </w:t>
      </w:r>
      <w:r w:rsidR="00175263" w:rsidRPr="00175263">
        <w:t>Rixos Sungate Hotel</w:t>
      </w:r>
      <w:r>
        <w:t xml:space="preserve"> à </w:t>
      </w:r>
      <w:r w:rsidR="00175263">
        <w:t>Antalya</w:t>
      </w:r>
      <w:r>
        <w:t xml:space="preserve"> (</w:t>
      </w:r>
      <w:r w:rsidR="00175263">
        <w:t>Turquie</w:t>
      </w:r>
      <w:r>
        <w:t xml:space="preserve">) du </w:t>
      </w:r>
      <w:r w:rsidR="00175263">
        <w:t>9</w:t>
      </w:r>
      <w:r>
        <w:t xml:space="preserve"> au </w:t>
      </w:r>
      <w:r w:rsidR="00175263">
        <w:t xml:space="preserve">14 décembre </w:t>
      </w:r>
      <w:r>
        <w:t xml:space="preserve">2013. La session sera ouverte à 10 heures le lundi </w:t>
      </w:r>
      <w:r w:rsidR="00175263">
        <w:t xml:space="preserve">9 décembre </w:t>
      </w:r>
      <w:r>
        <w:t xml:space="preserve">par le </w:t>
      </w:r>
      <w:r w:rsidR="00175263">
        <w:t>Président de la Plénière</w:t>
      </w:r>
      <w:r w:rsidR="00E851C1">
        <w:t>. Le</w:t>
      </w:r>
      <w:r w:rsidR="00175263">
        <w:t xml:space="preserve"> </w:t>
      </w:r>
      <w:r>
        <w:t>Directeur exécutif du Programme des Nations Unies pour l</w:t>
      </w:r>
      <w:r w:rsidR="003D1F07">
        <w:t>’</w:t>
      </w:r>
      <w:r>
        <w:t>environnement (PNUE) ou son représentant</w:t>
      </w:r>
      <w:r w:rsidR="00E851C1">
        <w:t xml:space="preserve"> prononcera ensuite une allocution de bienvenue</w:t>
      </w:r>
      <w:r>
        <w:t xml:space="preserve">. Un représentant du Gouvernement </w:t>
      </w:r>
      <w:r w:rsidR="00175263">
        <w:t>turc</w:t>
      </w:r>
      <w:r>
        <w:t xml:space="preserve"> prononcera également une déclaration liminaire.</w:t>
      </w:r>
    </w:p>
    <w:p w:rsidR="00746DD5" w:rsidRPr="00746DD5" w:rsidRDefault="00746DD5" w:rsidP="001764D2">
      <w:pPr>
        <w:pStyle w:val="CH2"/>
        <w:tabs>
          <w:tab w:val="clear" w:pos="851"/>
          <w:tab w:val="left" w:pos="709"/>
        </w:tabs>
      </w:pPr>
      <w:r>
        <w:tab/>
      </w:r>
      <w:r w:rsidRPr="00746DD5">
        <w:t>Point 2</w:t>
      </w:r>
    </w:p>
    <w:p w:rsidR="00AB7A8E" w:rsidRPr="00746DD5" w:rsidRDefault="00746DD5" w:rsidP="001764D2">
      <w:pPr>
        <w:pStyle w:val="CH2"/>
        <w:tabs>
          <w:tab w:val="clear" w:pos="851"/>
          <w:tab w:val="left" w:pos="709"/>
        </w:tabs>
      </w:pPr>
      <w:r>
        <w:tab/>
      </w:r>
      <w:r w:rsidR="00F64297" w:rsidRPr="00746DD5">
        <w:t>Questions d</w:t>
      </w:r>
      <w:r w:rsidR="003D1F07">
        <w:t>’</w:t>
      </w:r>
      <w:r w:rsidR="00F64297" w:rsidRPr="00746DD5">
        <w:t>organisation</w:t>
      </w:r>
    </w:p>
    <w:p w:rsidR="00E851C1" w:rsidRDefault="00F64297" w:rsidP="00746DD5">
      <w:pPr>
        <w:pStyle w:val="Normalnumber"/>
      </w:pPr>
      <w:r>
        <w:t>Le Règlement intérieur</w:t>
      </w:r>
      <w:r w:rsidR="00E851C1">
        <w:t xml:space="preserve"> de la Plénière de la Plateforme</w:t>
      </w:r>
      <w:r>
        <w:t xml:space="preserve"> adopté </w:t>
      </w:r>
      <w:r w:rsidR="00E851C1">
        <w:t xml:space="preserve">par celle-ci </w:t>
      </w:r>
      <w:r>
        <w:t xml:space="preserve">à </w:t>
      </w:r>
      <w:r w:rsidR="00E851C1">
        <w:t>s</w:t>
      </w:r>
      <w:r>
        <w:t xml:space="preserve">a </w:t>
      </w:r>
      <w:r w:rsidR="00E851C1">
        <w:t>premièr</w:t>
      </w:r>
      <w:r>
        <w:t xml:space="preserve">e session </w:t>
      </w:r>
      <w:r w:rsidR="00E851C1">
        <w:t>tenue à Bonn (Allemagne) du 21 au 26 janvier 2013 régira le déroulement de la session.</w:t>
      </w:r>
    </w:p>
    <w:p w:rsidR="00DB07AB" w:rsidRPr="00DB07AB" w:rsidRDefault="00746DD5" w:rsidP="00746DD5">
      <w:pPr>
        <w:pStyle w:val="CH3"/>
      </w:pPr>
      <w:r>
        <w:tab/>
      </w:r>
      <w:r>
        <w:rPr>
          <w:lang w:val="fr-FR"/>
        </w:rPr>
        <w:t>a)</w:t>
      </w:r>
      <w:r>
        <w:rPr>
          <w:lang w:val="fr-FR"/>
        </w:rPr>
        <w:tab/>
      </w:r>
      <w:r w:rsidR="00DB07AB" w:rsidRPr="00DB07AB">
        <w:t>Adoption de l</w:t>
      </w:r>
      <w:r w:rsidR="003D1F07">
        <w:t>’</w:t>
      </w:r>
      <w:r w:rsidR="00DB07AB" w:rsidRPr="00DB07AB">
        <w:t>ordre du jour et organisation des travaux</w:t>
      </w:r>
    </w:p>
    <w:p w:rsidR="00B839DB" w:rsidRDefault="00B839DB" w:rsidP="00746DD5">
      <w:pPr>
        <w:pStyle w:val="Normalnumber"/>
      </w:pPr>
      <w:r>
        <w:t>La plénière souhaitera peut-être adopter son ordre du jour, modifié au besoin, en se basant sur l</w:t>
      </w:r>
      <w:r w:rsidR="003D1F07">
        <w:t>’</w:t>
      </w:r>
      <w:r>
        <w:t>ordre du jour provisoire (IPBES/2/1).</w:t>
      </w:r>
    </w:p>
    <w:p w:rsidR="00AB7A8E" w:rsidRDefault="00B839DB" w:rsidP="00746DD5">
      <w:pPr>
        <w:pStyle w:val="Normalnumber"/>
      </w:pPr>
      <w:r>
        <w:t xml:space="preserve">Il est suggéré que les délibérations se déroulent en séances plénières. Cependant, si elle le juge nécessaire, la Plénière pourra charger des groupes de travail plus restreints de débattre de certaines questions. Il est proposé que les séances plénières </w:t>
      </w:r>
      <w:r w:rsidR="001F6AEA">
        <w:t xml:space="preserve">aient lieu </w:t>
      </w:r>
      <w:r>
        <w:t xml:space="preserve">tous les jours de 10 heures à 13 heures et de 15 heures à 18 heures. </w:t>
      </w:r>
      <w:r w:rsidR="003851E2">
        <w:t>Un certain nombre de</w:t>
      </w:r>
      <w:r w:rsidR="00F64874">
        <w:t xml:space="preserve"> </w:t>
      </w:r>
      <w:r w:rsidR="00D57198">
        <w:t>séance</w:t>
      </w:r>
      <w:r w:rsidR="003851E2">
        <w:t>s</w:t>
      </w:r>
      <w:r w:rsidR="00F64874">
        <w:t xml:space="preserve"> plénière</w:t>
      </w:r>
      <w:r w:rsidR="003851E2">
        <w:t>s en soirée</w:t>
      </w:r>
      <w:r w:rsidR="00F64874">
        <w:t xml:space="preserve"> </w:t>
      </w:r>
      <w:r w:rsidR="001F6AEA">
        <w:t>peu</w:t>
      </w:r>
      <w:r w:rsidR="00F64874">
        <w:t>ven</w:t>
      </w:r>
      <w:r w:rsidR="001F6AEA">
        <w:t>t également être nécessaire</w:t>
      </w:r>
      <w:r w:rsidR="00F64874">
        <w:t>s</w:t>
      </w:r>
      <w:r w:rsidR="001F6AEA">
        <w:t xml:space="preserve"> </w:t>
      </w:r>
      <w:r w:rsidR="000A76E2">
        <w:t xml:space="preserve">pour </w:t>
      </w:r>
      <w:r w:rsidR="00F45D48">
        <w:t xml:space="preserve">faire en sorte que </w:t>
      </w:r>
      <w:r w:rsidR="003851E2">
        <w:t>l</w:t>
      </w:r>
      <w:r w:rsidR="000A76E2">
        <w:t xml:space="preserve">es points </w:t>
      </w:r>
      <w:r w:rsidR="00F22852">
        <w:t>inscrits à</w:t>
      </w:r>
      <w:r w:rsidR="000A76E2">
        <w:t xml:space="preserve"> l</w:t>
      </w:r>
      <w:r w:rsidR="003D1F07">
        <w:t>’</w:t>
      </w:r>
      <w:r w:rsidR="000A76E2">
        <w:t xml:space="preserve">ordre du </w:t>
      </w:r>
      <w:r w:rsidR="00F64874">
        <w:t>jour</w:t>
      </w:r>
      <w:r w:rsidR="00F45D48">
        <w:t xml:space="preserve"> soient </w:t>
      </w:r>
      <w:r w:rsidR="00AB7A8E">
        <w:t>intégral</w:t>
      </w:r>
      <w:r w:rsidR="00F45D48">
        <w:t xml:space="preserve">ement examinés dans la semaine. </w:t>
      </w:r>
      <w:r w:rsidR="00293A99">
        <w:t xml:space="preserve">La Plénière souhaitera peut-être </w:t>
      </w:r>
      <w:r w:rsidR="00F64874">
        <w:t>en tenir</w:t>
      </w:r>
      <w:r w:rsidR="00293A99">
        <w:t xml:space="preserve"> </w:t>
      </w:r>
      <w:r w:rsidR="00F22852">
        <w:t xml:space="preserve">le mardi, le jeudi et le vendredi </w:t>
      </w:r>
      <w:r w:rsidR="00ED65E6">
        <w:t xml:space="preserve">de 19 h 30 à 22 h 30, selon les besoins. </w:t>
      </w:r>
      <w:r>
        <w:t>Un calendrier provisoire figure en annexe au présent document. L</w:t>
      </w:r>
      <w:r w:rsidR="003D1F07">
        <w:t>’</w:t>
      </w:r>
      <w:r>
        <w:t>interprétation simultanée dans les six langues officielles des Nations Unies sera assurée pour toutes les réunions plénières.</w:t>
      </w:r>
    </w:p>
    <w:p w:rsidR="00813C06" w:rsidRDefault="00746DD5" w:rsidP="00746DD5">
      <w:pPr>
        <w:pStyle w:val="CH3"/>
      </w:pPr>
      <w:r>
        <w:tab/>
        <w:t>b)</w:t>
      </w:r>
      <w:r>
        <w:tab/>
      </w:r>
      <w:r w:rsidR="00F64297" w:rsidRPr="00AB7A8E">
        <w:t>Éta</w:t>
      </w:r>
      <w:r w:rsidR="00872B68">
        <w:t>t de la composition de la Plate</w:t>
      </w:r>
      <w:r w:rsidR="00F64297" w:rsidRPr="00AB7A8E">
        <w:t>forme</w:t>
      </w:r>
    </w:p>
    <w:p w:rsidR="00AB7A8E" w:rsidRDefault="00F64297" w:rsidP="00746DD5">
      <w:pPr>
        <w:pStyle w:val="Normalnumber"/>
      </w:pPr>
      <w:r>
        <w:t xml:space="preserve">Le </w:t>
      </w:r>
      <w:r w:rsidR="00ED65E6">
        <w:t xml:space="preserve">Secrétariat présentera des informations sur </w:t>
      </w:r>
      <w:r w:rsidR="00872B68">
        <w:t>la composition de la Plate</w:t>
      </w:r>
      <w:r>
        <w:t xml:space="preserve">forme. </w:t>
      </w:r>
      <w:r w:rsidR="00ED65E6">
        <w:t>Tout</w:t>
      </w:r>
      <w:r>
        <w:t xml:space="preserve"> État Membre </w:t>
      </w:r>
      <w:r w:rsidR="00ED65E6">
        <w:t>de l</w:t>
      </w:r>
      <w:r w:rsidR="003D1F07">
        <w:t>’</w:t>
      </w:r>
      <w:r w:rsidR="00ED65E6">
        <w:t xml:space="preserve">Organisation des Nations Unies </w:t>
      </w:r>
      <w:r>
        <w:t xml:space="preserve">qui </w:t>
      </w:r>
      <w:r w:rsidR="00ED65E6">
        <w:t>n</w:t>
      </w:r>
      <w:r w:rsidR="003D1F07">
        <w:t>’</w:t>
      </w:r>
      <w:r w:rsidR="00ED65E6">
        <w:t xml:space="preserve">est pas encore membre de la Plateforme </w:t>
      </w:r>
      <w:r>
        <w:t xml:space="preserve">mais </w:t>
      </w:r>
      <w:r w:rsidR="00ED65E6">
        <w:t>a l</w:t>
      </w:r>
      <w:r w:rsidR="003D1F07">
        <w:t>’</w:t>
      </w:r>
      <w:r w:rsidR="00ED65E6">
        <w:t>intention de le</w:t>
      </w:r>
      <w:r>
        <w:t xml:space="preserve"> devenir </w:t>
      </w:r>
      <w:r w:rsidR="00ED65E6">
        <w:t>est prié d</w:t>
      </w:r>
      <w:r w:rsidR="003D1F07">
        <w:t>’</w:t>
      </w:r>
      <w:r w:rsidR="00ED65E6">
        <w:t xml:space="preserve">en faire part </w:t>
      </w:r>
      <w:r>
        <w:t xml:space="preserve">au </w:t>
      </w:r>
      <w:r w:rsidR="00ED65E6">
        <w:t>Secrétariat dans</w:t>
      </w:r>
      <w:r>
        <w:t xml:space="preserve"> une lettre officielle </w:t>
      </w:r>
      <w:r w:rsidR="008A24D9">
        <w:t>émanant d</w:t>
      </w:r>
      <w:r w:rsidR="00ED65E6">
        <w:t>e l</w:t>
      </w:r>
      <w:r w:rsidR="003D1F07">
        <w:t>’</w:t>
      </w:r>
      <w:r w:rsidR="008A24D9">
        <w:t>autorité gouvernementale compétente</w:t>
      </w:r>
      <w:r w:rsidR="00ED65E6">
        <w:t>.</w:t>
      </w:r>
    </w:p>
    <w:p w:rsidR="00D57198" w:rsidRPr="00D57198" w:rsidRDefault="001764D2" w:rsidP="001764D2">
      <w:pPr>
        <w:pStyle w:val="CH3"/>
      </w:pPr>
      <w:r>
        <w:lastRenderedPageBreak/>
        <w:tab/>
        <w:t>c)</w:t>
      </w:r>
      <w:r>
        <w:tab/>
      </w:r>
      <w:r w:rsidR="00D57198" w:rsidRPr="00D57198">
        <w:t>Admission d</w:t>
      </w:r>
      <w:r w:rsidR="003D1F07">
        <w:t>’</w:t>
      </w:r>
      <w:r w:rsidR="00D57198" w:rsidRPr="00D57198">
        <w:t>observateurs à la deuxième session de la Plénière</w:t>
      </w:r>
      <w:r w:rsidR="00A35BB0">
        <w:t xml:space="preserve"> de la Plateforme</w:t>
      </w:r>
    </w:p>
    <w:p w:rsidR="00D57198" w:rsidRDefault="00E36FA3" w:rsidP="001764D2">
      <w:pPr>
        <w:pStyle w:val="Normalnumber"/>
      </w:pPr>
      <w:r>
        <w:t>Le Président de la Plateforme proposera, au nom du Bureau, la liste des observateurs admis à la session en cours conformément aux procédures</w:t>
      </w:r>
      <w:r w:rsidR="00872B68">
        <w:t xml:space="preserve"> convenues par la Plénière à sa première session</w:t>
      </w:r>
      <w:r w:rsidR="00872B68">
        <w:rPr>
          <w:rStyle w:val="FootnoteReference"/>
        </w:rPr>
        <w:footnoteReference w:id="1"/>
      </w:r>
      <w:r>
        <w:t>.</w:t>
      </w:r>
    </w:p>
    <w:p w:rsidR="001764D2" w:rsidRDefault="001764D2" w:rsidP="001764D2">
      <w:pPr>
        <w:pStyle w:val="CH2"/>
        <w:tabs>
          <w:tab w:val="clear" w:pos="851"/>
          <w:tab w:val="left" w:pos="709"/>
        </w:tabs>
      </w:pPr>
      <w:r>
        <w:tab/>
        <w:t>Point 3</w:t>
      </w:r>
    </w:p>
    <w:p w:rsidR="00AB7A8E" w:rsidRDefault="001764D2" w:rsidP="001764D2">
      <w:pPr>
        <w:pStyle w:val="CH2"/>
        <w:tabs>
          <w:tab w:val="clear" w:pos="851"/>
          <w:tab w:val="left" w:pos="709"/>
        </w:tabs>
      </w:pPr>
      <w:r>
        <w:tab/>
      </w:r>
      <w:r w:rsidR="00A35BB0">
        <w:t>Vérification des p</w:t>
      </w:r>
      <w:r w:rsidR="00F64297">
        <w:t>ouvoirs des représentants</w:t>
      </w:r>
    </w:p>
    <w:p w:rsidR="00813C06" w:rsidRDefault="00F64297" w:rsidP="001764D2">
      <w:pPr>
        <w:pStyle w:val="Normalnumber"/>
      </w:pPr>
      <w:r>
        <w:t>Tous les Éta</w:t>
      </w:r>
      <w:r w:rsidR="00872B68">
        <w:t>ts qui sont membres de la Plate</w:t>
      </w:r>
      <w:r>
        <w:t>forme sont invités à prendre part pleinement à cette session. Aux termes de l</w:t>
      </w:r>
      <w:r w:rsidR="003D1F07">
        <w:t>’</w:t>
      </w:r>
      <w:r>
        <w:t>article 1</w:t>
      </w:r>
      <w:r w:rsidR="00813C06">
        <w:t>1</w:t>
      </w:r>
      <w:r>
        <w:t xml:space="preserve"> du Règlement intérieur, chaque membre de la </w:t>
      </w:r>
      <w:r w:rsidR="005F5DEE">
        <w:t>Plateforme</w:t>
      </w:r>
      <w:r>
        <w:t xml:space="preserve"> est représenté par une délégation constituée d</w:t>
      </w:r>
      <w:r w:rsidR="003D1F07">
        <w:t>’</w:t>
      </w:r>
      <w:r>
        <w:t>un chef de délégation et autres représentants accrédités, de représentants suppléants et de conseillers, si nécessaire.</w:t>
      </w:r>
    </w:p>
    <w:p w:rsidR="00813C06" w:rsidRDefault="00F64297" w:rsidP="001764D2">
      <w:pPr>
        <w:pStyle w:val="Normalnumber"/>
      </w:pPr>
      <w:r>
        <w:t>Conformément à l</w:t>
      </w:r>
      <w:r w:rsidR="003D1F07">
        <w:t>’</w:t>
      </w:r>
      <w:r>
        <w:t>article 1</w:t>
      </w:r>
      <w:r w:rsidR="00813C06">
        <w:t>2</w:t>
      </w:r>
      <w:r>
        <w:t xml:space="preserve"> du Règlement intérieur, les représentants des Ét</w:t>
      </w:r>
      <w:r w:rsidR="00872B68">
        <w:t>ats membres de la Plate</w:t>
      </w:r>
      <w:r>
        <w:t xml:space="preserve">forme qui participent à la session doivent remettre au </w:t>
      </w:r>
      <w:r w:rsidR="00813C06">
        <w:t xml:space="preserve">Secrétariat </w:t>
      </w:r>
      <w:r>
        <w:t>leurs pouvoirs émanant de leur chef d</w:t>
      </w:r>
      <w:r w:rsidR="003D1F07">
        <w:t>’</w:t>
      </w:r>
      <w:r>
        <w:t>État ou de gouvernement ou de leur ministre des affaires étrangères, selon les politiques et lois de chaque pays, dans les 24 heures qui suivent l</w:t>
      </w:r>
      <w:r w:rsidR="003D1F07">
        <w:t>’</w:t>
      </w:r>
      <w:r>
        <w:t>ouverture de la session. Sans ces pouvoirs, les représentants ne pourront pas participer à la prise de décisions à la session.</w:t>
      </w:r>
    </w:p>
    <w:p w:rsidR="00813C06" w:rsidRDefault="00F64297" w:rsidP="001764D2">
      <w:pPr>
        <w:pStyle w:val="Normalnumber"/>
      </w:pPr>
      <w:r>
        <w:t>Aux termes de l</w:t>
      </w:r>
      <w:r w:rsidR="003D1F07">
        <w:t>’</w:t>
      </w:r>
      <w:r>
        <w:t>article 1</w:t>
      </w:r>
      <w:r w:rsidR="00813C06">
        <w:t>3</w:t>
      </w:r>
      <w:r>
        <w:t xml:space="preserve"> du Règlement intérieur, les pouvoirs des représ</w:t>
      </w:r>
      <w:r w:rsidR="00872B68">
        <w:t>entants des membres de la Plate</w:t>
      </w:r>
      <w:r>
        <w:t xml:space="preserve">forme sont examinés par le Bureau, qui fait rapport à la Plénière. Le Bureau soumettra son rapport le matin du samedi </w:t>
      </w:r>
      <w:r w:rsidR="00813C06">
        <w:t>14 décembre 2013</w:t>
      </w:r>
      <w:r>
        <w:t xml:space="preserve"> avant l</w:t>
      </w:r>
      <w:r w:rsidR="003D1F07">
        <w:t>’</w:t>
      </w:r>
      <w:r>
        <w:t>adoption de toute décision, recommandation ou résolution.</w:t>
      </w:r>
    </w:p>
    <w:p w:rsidR="001764D2" w:rsidRPr="001764D2" w:rsidRDefault="001764D2" w:rsidP="001764D2">
      <w:pPr>
        <w:pStyle w:val="CH2"/>
        <w:tabs>
          <w:tab w:val="clear" w:pos="851"/>
          <w:tab w:val="left" w:pos="709"/>
        </w:tabs>
      </w:pPr>
      <w:r>
        <w:tab/>
      </w:r>
      <w:r w:rsidRPr="001764D2">
        <w:t>Point 4</w:t>
      </w:r>
    </w:p>
    <w:p w:rsidR="00AB7A8E" w:rsidRPr="001764D2" w:rsidRDefault="001764D2" w:rsidP="001764D2">
      <w:pPr>
        <w:pStyle w:val="CH2"/>
        <w:tabs>
          <w:tab w:val="clear" w:pos="851"/>
          <w:tab w:val="left" w:pos="709"/>
        </w:tabs>
      </w:pPr>
      <w:r>
        <w:tab/>
      </w:r>
      <w:r w:rsidR="00AB5EC4" w:rsidRPr="001764D2">
        <w:t xml:space="preserve">Programme de travail initial </w:t>
      </w:r>
      <w:r w:rsidR="00872B68">
        <w:t>de la Plate</w:t>
      </w:r>
      <w:r w:rsidR="00F64297" w:rsidRPr="001764D2">
        <w:t>forme</w:t>
      </w:r>
    </w:p>
    <w:p w:rsidR="00AB7A8E" w:rsidRPr="001764D2" w:rsidRDefault="001764D2" w:rsidP="001764D2">
      <w:pPr>
        <w:pStyle w:val="CH3"/>
      </w:pPr>
      <w:r>
        <w:tab/>
        <w:t>a)</w:t>
      </w:r>
      <w:r>
        <w:tab/>
      </w:r>
      <w:r w:rsidR="00AB5EC4" w:rsidRPr="001764D2">
        <w:t>Programme de travail pour la période 2014-2018</w:t>
      </w:r>
    </w:p>
    <w:p w:rsidR="00813C06" w:rsidRDefault="0063663D" w:rsidP="001764D2">
      <w:pPr>
        <w:pStyle w:val="Normalnumber"/>
      </w:pPr>
      <w:r>
        <w:t xml:space="preserve">Comme demandé dans la décision IPBES/1/2 adoptée par la Plénière lors de sa première session, </w:t>
      </w:r>
      <w:r w:rsidR="00F46741">
        <w:t>le Groupe d</w:t>
      </w:r>
      <w:r w:rsidR="003D1F07">
        <w:t>’</w:t>
      </w:r>
      <w:r w:rsidR="00F46741">
        <w:t xml:space="preserve">experts multidisciplinaire et le Bureau ont </w:t>
      </w:r>
      <w:r w:rsidR="002B4AA0">
        <w:t>mis au point,</w:t>
      </w:r>
      <w:r w:rsidR="00F46741">
        <w:t xml:space="preserve"> pour examen par la Plénière à sa deuxième session, un </w:t>
      </w:r>
      <w:r w:rsidR="00F46741" w:rsidRPr="00F46741">
        <w:t>projet de programme de travail</w:t>
      </w:r>
      <w:r w:rsidR="00F46741">
        <w:t xml:space="preserve"> pour la période 2014-2018 (IPBES/2/2 et Add.1) comprenant des </w:t>
      </w:r>
      <w:r w:rsidR="00F46741" w:rsidRPr="00F46741">
        <w:t xml:space="preserve">estimations des coûts </w:t>
      </w:r>
      <w:r w:rsidR="00F46741">
        <w:t xml:space="preserve">et tenant compte des arrangements institutionnels proposés pour appuyer son exécution. </w:t>
      </w:r>
      <w:r w:rsidR="00FD556D">
        <w:t>L</w:t>
      </w:r>
      <w:r w:rsidR="003D1F07">
        <w:t>’</w:t>
      </w:r>
      <w:r w:rsidR="00FD556D">
        <w:t>élaboration de c</w:t>
      </w:r>
      <w:r w:rsidR="00F46741">
        <w:t xml:space="preserve">e projet de programme de travail </w:t>
      </w:r>
      <w:r w:rsidR="00FD556D">
        <w:t>s</w:t>
      </w:r>
      <w:r w:rsidR="003D1F07">
        <w:t>’</w:t>
      </w:r>
      <w:r w:rsidR="00FD556D">
        <w:t>est effectuée comme suit</w:t>
      </w:r>
      <w:r w:rsidR="00F46741">
        <w:t> :</w:t>
      </w:r>
    </w:p>
    <w:p w:rsidR="002B4AA0" w:rsidRDefault="002B4AA0" w:rsidP="001764D2">
      <w:pPr>
        <w:pStyle w:val="Normalnumber"/>
        <w:numPr>
          <w:ilvl w:val="1"/>
          <w:numId w:val="19"/>
        </w:numPr>
      </w:pPr>
      <w:r>
        <w:t>Le Groupe d</w:t>
      </w:r>
      <w:r w:rsidR="003D1F07">
        <w:t>’</w:t>
      </w:r>
      <w:r>
        <w:t xml:space="preserve">experts multidisciplinaire et le Bureau ont établi un </w:t>
      </w:r>
      <w:r w:rsidRPr="00F46741">
        <w:t>projet de programme de travail</w:t>
      </w:r>
      <w:r>
        <w:t xml:space="preserve"> pour la période 2014-2018 </w:t>
      </w:r>
      <w:r w:rsidR="00523686">
        <w:t>définiss</w:t>
      </w:r>
      <w:r w:rsidR="00A6699F">
        <w:t>ant</w:t>
      </w:r>
      <w:r>
        <w:t xml:space="preserve"> </w:t>
      </w:r>
      <w:r w:rsidRPr="001C28E2">
        <w:t>une série hiérarchisée d</w:t>
      </w:r>
      <w:r w:rsidR="003D1F07">
        <w:t>’</w:t>
      </w:r>
      <w:r w:rsidRPr="001C28E2">
        <w:t xml:space="preserve">objectifs, de produits à </w:t>
      </w:r>
      <w:r w:rsidR="00A6699F">
        <w:t>livrer</w:t>
      </w:r>
      <w:r w:rsidRPr="001C28E2">
        <w:t xml:space="preserve">, de mesures à prendre et de </w:t>
      </w:r>
      <w:r w:rsidR="00A6699F">
        <w:t xml:space="preserve">jalons dans </w:t>
      </w:r>
      <w:r w:rsidR="00F01887">
        <w:t>l</w:t>
      </w:r>
      <w:r w:rsidR="003D1F07">
        <w:t>’</w:t>
      </w:r>
      <w:r w:rsidR="00F01887">
        <w:t xml:space="preserve">accomplissement </w:t>
      </w:r>
      <w:r w:rsidR="00A6699F">
        <w:t>des</w:t>
      </w:r>
      <w:r w:rsidRPr="001C28E2">
        <w:t xml:space="preserve"> quatre fonctions de la Plateforme </w:t>
      </w:r>
      <w:r>
        <w:t>à des échelles appropriées</w:t>
      </w:r>
      <w:r w:rsidRPr="001C28E2">
        <w:t>, compte tenu des renseignements recueillis par le Secrétariat ainsi que des demandes, contributions et suggestions pertinentes présentées, en particulier par les accords multilatéraux sur l</w:t>
      </w:r>
      <w:r w:rsidR="003D1F07">
        <w:t>’</w:t>
      </w:r>
      <w:r w:rsidRPr="001C28E2">
        <w:t xml:space="preserve">environnement </w:t>
      </w:r>
      <w:r>
        <w:t xml:space="preserve">se rapportant </w:t>
      </w:r>
      <w:r w:rsidRPr="001C28E2">
        <w:t>à la biodiversité et aux services écosystémiques</w:t>
      </w:r>
      <w:r>
        <w:t>;</w:t>
      </w:r>
    </w:p>
    <w:p w:rsidR="002B4AA0" w:rsidRDefault="00FD556D" w:rsidP="001764D2">
      <w:pPr>
        <w:pStyle w:val="Normalnumber"/>
        <w:numPr>
          <w:ilvl w:val="1"/>
          <w:numId w:val="19"/>
        </w:numPr>
      </w:pPr>
      <w:r>
        <w:t>Cette étape a été suivie d</w:t>
      </w:r>
      <w:r w:rsidR="003D1F07">
        <w:t>’</w:t>
      </w:r>
      <w:r>
        <w:t>un examen en ligne, par les États membres et observateurs ainsi que par les autres parties prenantes, du projet de programme de travail pour la période 2014-2018 préparé par le Secrétariat en consultation avec le Bureau, dans lequel se trouvaient des estimations des coûts indicatifs;</w:t>
      </w:r>
    </w:p>
    <w:p w:rsidR="00FD556D" w:rsidRDefault="00FD556D" w:rsidP="001764D2">
      <w:pPr>
        <w:pStyle w:val="Normalnumber"/>
        <w:numPr>
          <w:ilvl w:val="1"/>
          <w:numId w:val="19"/>
        </w:numPr>
      </w:pPr>
      <w:r>
        <w:t xml:space="preserve">Le projet de programme de travail a alors été actualisé en tenant compte des observations et demandes reçues conformément au paragraphe 5 de la décision IPBES/1/2, des </w:t>
      </w:r>
      <w:r w:rsidR="0092508A">
        <w:t>résultats des ateliers d</w:t>
      </w:r>
      <w:r w:rsidR="003D1F07">
        <w:t>’</w:t>
      </w:r>
      <w:r w:rsidR="0092508A">
        <w:t xml:space="preserve">experts sur les systèmes de connaissances et le cadre conceptuel pour la Plateforme </w:t>
      </w:r>
      <w:r w:rsidR="0092508A" w:rsidRPr="00BC5987">
        <w:t xml:space="preserve">(IPBES/2/INF/1 </w:t>
      </w:r>
      <w:r w:rsidR="0092508A">
        <w:t>et</w:t>
      </w:r>
      <w:r w:rsidR="0092508A" w:rsidRPr="00BC5987">
        <w:t xml:space="preserve"> Add.1</w:t>
      </w:r>
      <w:r w:rsidR="0092508A">
        <w:t xml:space="preserve"> et</w:t>
      </w:r>
      <w:r w:rsidR="0092508A" w:rsidRPr="00BC5987">
        <w:t xml:space="preserve"> IPBES/2/INF/2 </w:t>
      </w:r>
      <w:r w:rsidR="0092508A">
        <w:t>et</w:t>
      </w:r>
      <w:r w:rsidR="0092508A" w:rsidRPr="00BC5987">
        <w:t xml:space="preserve"> Add.1)</w:t>
      </w:r>
      <w:r w:rsidR="0092508A">
        <w:t xml:space="preserve"> et des débats qui ont eu lieu </w:t>
      </w:r>
      <w:r w:rsidR="00560859">
        <w:t>lors</w:t>
      </w:r>
      <w:r w:rsidR="0092508A">
        <w:t xml:space="preserve"> des diverses consultations </w:t>
      </w:r>
      <w:r w:rsidR="00560859">
        <w:t>mené</w:t>
      </w:r>
      <w:r w:rsidR="0092508A">
        <w:t>es en 2013</w:t>
      </w:r>
      <w:r w:rsidR="00560859">
        <w:t xml:space="preserve"> (voir </w:t>
      </w:r>
      <w:r w:rsidR="00560859" w:rsidRPr="00560859">
        <w:t>IPBES/2/INF/4, IPBES/2/INF/6, IPBES/2/INF/7, IPBES/2/INF/8)</w:t>
      </w:r>
      <w:r w:rsidR="0092508A">
        <w:t xml:space="preserve">. Le document </w:t>
      </w:r>
      <w:r w:rsidR="00560859" w:rsidRPr="00E44600">
        <w:t>IPBES/2/INF/10</w:t>
      </w:r>
      <w:r w:rsidR="00560859">
        <w:t xml:space="preserve"> </w:t>
      </w:r>
      <w:r w:rsidR="0092508A">
        <w:t xml:space="preserve">présente également </w:t>
      </w:r>
      <w:r w:rsidR="001610BF">
        <w:t>des choix</w:t>
      </w:r>
      <w:r w:rsidR="0092508A">
        <w:t xml:space="preserve"> </w:t>
      </w:r>
      <w:r w:rsidR="001610BF">
        <w:t>d</w:t>
      </w:r>
      <w:r w:rsidR="003D1F07">
        <w:t>’</w:t>
      </w:r>
      <w:r w:rsidR="0092508A">
        <w:t xml:space="preserve">arrangements institutionnels </w:t>
      </w:r>
      <w:r w:rsidR="00560859">
        <w:t xml:space="preserve">envisageables </w:t>
      </w:r>
      <w:r w:rsidR="0092508A">
        <w:t>pour appuyer la mise en œuvre du programme de travail.</w:t>
      </w:r>
    </w:p>
    <w:p w:rsidR="005D30A2" w:rsidRDefault="005D30A2" w:rsidP="001764D2">
      <w:pPr>
        <w:pStyle w:val="Normalnumber"/>
      </w:pPr>
      <w:r>
        <w:t>En plus du projet de programme de travail, la Plénière a, dans la décision IPBES/1/2, prié le Groupe d</w:t>
      </w:r>
      <w:r w:rsidR="003D1F07">
        <w:t>’</w:t>
      </w:r>
      <w:r>
        <w:t xml:space="preserve">experts multidisciplinaire et le Bureau </w:t>
      </w:r>
      <w:r w:rsidRPr="001C28E2">
        <w:t>d</w:t>
      </w:r>
      <w:r w:rsidR="003D1F07">
        <w:t>’</w:t>
      </w:r>
      <w:r w:rsidRPr="001C28E2">
        <w:t>établir</w:t>
      </w:r>
      <w:r w:rsidR="00872B68">
        <w:t xml:space="preserve">, conformément </w:t>
      </w:r>
      <w:r w:rsidR="00872B68" w:rsidRPr="001C28E2">
        <w:t>aux procédures et directives</w:t>
      </w:r>
      <w:r w:rsidR="00485A22">
        <w:t xml:space="preserve"> convenues</w:t>
      </w:r>
      <w:r w:rsidR="00872B68" w:rsidRPr="001C28E2">
        <w:t xml:space="preserve"> </w:t>
      </w:r>
      <w:r w:rsidR="00485A22">
        <w:t>figurant</w:t>
      </w:r>
      <w:r w:rsidR="00872B68" w:rsidRPr="001C28E2">
        <w:t xml:space="preserve"> dans la décision IPBES/1/3</w:t>
      </w:r>
      <w:r w:rsidR="00872B68">
        <w:t>,</w:t>
      </w:r>
      <w:r w:rsidRPr="001C28E2">
        <w:t xml:space="preserve"> un rapport contenant une liste hiérarchisée des demandes, ainsi qu</w:t>
      </w:r>
      <w:r w:rsidR="003D1F07">
        <w:t>’</w:t>
      </w:r>
      <w:r w:rsidRPr="001C28E2">
        <w:t>une liste hiérarchisée des contributions et suggestions</w:t>
      </w:r>
      <w:r>
        <w:t xml:space="preserve"> reçues</w:t>
      </w:r>
      <w:r w:rsidR="00872B68">
        <w:t xml:space="preserve"> par la Plateforme</w:t>
      </w:r>
      <w:r>
        <w:t>.</w:t>
      </w:r>
      <w:r w:rsidRPr="001C28E2">
        <w:t xml:space="preserve"> </w:t>
      </w:r>
      <w:r>
        <w:t xml:space="preserve">La Plénière sera saisie du rapport </w:t>
      </w:r>
      <w:r w:rsidR="00CD7F3C">
        <w:t xml:space="preserve">élaboré par le Groupe et le Bureau </w:t>
      </w:r>
      <w:r w:rsidR="00CD7F3C" w:rsidRPr="00E44600">
        <w:t xml:space="preserve">(IPBES/2/3 </w:t>
      </w:r>
      <w:r w:rsidR="00CD7F3C">
        <w:t>et</w:t>
      </w:r>
      <w:r w:rsidR="00CD7F3C" w:rsidRPr="00E44600">
        <w:t xml:space="preserve"> IPBES/2/INF/9)</w:t>
      </w:r>
      <w:r w:rsidR="00CD7F3C">
        <w:t>, pour examen.</w:t>
      </w:r>
    </w:p>
    <w:p w:rsidR="00813C06" w:rsidRDefault="00CD7F3C" w:rsidP="001764D2">
      <w:pPr>
        <w:pStyle w:val="Normalnumber"/>
      </w:pPr>
      <w:r>
        <w:lastRenderedPageBreak/>
        <w:t>Dans le prolongement</w:t>
      </w:r>
      <w:r w:rsidR="001610BF">
        <w:t xml:space="preserve"> du projet de programme de travail pour la période 2014-2018 </w:t>
      </w:r>
      <w:r w:rsidR="001610BF" w:rsidRPr="00E44600">
        <w:t>(IPBES/2/2)</w:t>
      </w:r>
      <w:r w:rsidR="001610BF">
        <w:t xml:space="preserve"> et du rapport sur la hiérarchisation des demandes, contributions et suggestions présentées à la Plateforme </w:t>
      </w:r>
      <w:r w:rsidR="001610BF" w:rsidRPr="00E44600">
        <w:t>(IPBES/2/</w:t>
      </w:r>
      <w:r w:rsidR="001610BF">
        <w:t>3</w:t>
      </w:r>
      <w:r w:rsidR="001610BF" w:rsidRPr="00E44600">
        <w:t>)</w:t>
      </w:r>
      <w:r w:rsidR="001610BF">
        <w:t>, le Groupe d</w:t>
      </w:r>
      <w:r w:rsidR="003D1F07">
        <w:t>’</w:t>
      </w:r>
      <w:r w:rsidR="001610BF">
        <w:t xml:space="preserve">experts multidisciplinaire et le Bureau ont </w:t>
      </w:r>
      <w:r w:rsidR="005D30A2">
        <w:t>établi</w:t>
      </w:r>
      <w:r w:rsidR="001610BF">
        <w:t xml:space="preserve">, conformément au projet de procédures </w:t>
      </w:r>
      <w:r w:rsidR="001610BF" w:rsidRPr="001610BF">
        <w:t>pour l</w:t>
      </w:r>
      <w:r w:rsidR="003D1F07">
        <w:t>’</w:t>
      </w:r>
      <w:r w:rsidR="001610BF" w:rsidRPr="001610BF">
        <w:t>établissement des produits de la Plateforme</w:t>
      </w:r>
      <w:r w:rsidR="005D50CA">
        <w:t xml:space="preserve"> (IPBES/2/9), des documents initiaux de </w:t>
      </w:r>
      <w:r w:rsidR="005D30A2">
        <w:t>cadrage</w:t>
      </w:r>
      <w:r w:rsidR="005D50CA">
        <w:t xml:space="preserve"> des évaluations thématiques et méthodologiques (IPBES/2/16 et Add.1 à Add.8).</w:t>
      </w:r>
    </w:p>
    <w:p w:rsidR="005D30A2" w:rsidRDefault="00CD7F3C" w:rsidP="001764D2">
      <w:pPr>
        <w:pStyle w:val="Normalnumber"/>
      </w:pPr>
      <w:r>
        <w:t xml:space="preserve">La Plénière, prenant note du rapport du Bureau et du Groupe, souhaitera peut-être examiner les informations </w:t>
      </w:r>
      <w:r w:rsidR="0018073F">
        <w:t>contenu</w:t>
      </w:r>
      <w:r>
        <w:t xml:space="preserve">es dans les documents susmentionnés </w:t>
      </w:r>
      <w:r w:rsidR="00421822">
        <w:t>en vue</w:t>
      </w:r>
      <w:r w:rsidR="00A35BB0">
        <w:t xml:space="preserve"> de parvenir à un accord</w:t>
      </w:r>
      <w:r>
        <w:t xml:space="preserve"> sur le programme de travail de la Plateforme pour la période</w:t>
      </w:r>
      <w:r w:rsidR="00015378">
        <w:t> </w:t>
      </w:r>
      <w:r>
        <w:t>2014-2018.</w:t>
      </w:r>
    </w:p>
    <w:p w:rsidR="00AB7A8E" w:rsidRPr="00AB5EC4" w:rsidRDefault="001764D2" w:rsidP="001764D2">
      <w:pPr>
        <w:pStyle w:val="CH3"/>
      </w:pPr>
      <w:r>
        <w:tab/>
        <w:t>b)</w:t>
      </w:r>
      <w:r>
        <w:tab/>
      </w:r>
      <w:r w:rsidR="005D30A2">
        <w:t>Cadre conceptuel</w:t>
      </w:r>
    </w:p>
    <w:p w:rsidR="00813C06" w:rsidRDefault="00CD7F3C" w:rsidP="001764D2">
      <w:pPr>
        <w:pStyle w:val="Normalnumber"/>
      </w:pPr>
      <w:r>
        <w:t>À sa première session, l</w:t>
      </w:r>
      <w:r w:rsidR="00F64297">
        <w:t xml:space="preserve">a </w:t>
      </w:r>
      <w:r>
        <w:t>Plénière, dans sa décision IPBES/1/2, a prié le Groupe d</w:t>
      </w:r>
      <w:r w:rsidR="003D1F07">
        <w:t>’</w:t>
      </w:r>
      <w:r>
        <w:t>experts multidisciplinaire de recommander</w:t>
      </w:r>
      <w:r w:rsidR="00015378" w:rsidRPr="001C28E2">
        <w:t>, pour adoption par la Plénière à sa deuxième session, un cadre conceptuel qui prenne effectivement en compte l</w:t>
      </w:r>
      <w:r w:rsidR="003D1F07">
        <w:t>’</w:t>
      </w:r>
      <w:r w:rsidR="00015378" w:rsidRPr="001C28E2">
        <w:t xml:space="preserve">objectif, les fonctions et les principes opérationnels </w:t>
      </w:r>
      <w:r w:rsidR="00015378">
        <w:t xml:space="preserve">pertinents </w:t>
      </w:r>
      <w:r w:rsidR="00015378" w:rsidRPr="001C28E2">
        <w:t xml:space="preserve">de la Plateforme ainsi que les relations entre ceux-ci, en tirant parti de diverses sources et activités, notamment des contributions </w:t>
      </w:r>
      <w:r w:rsidR="00086408">
        <w:t>proven</w:t>
      </w:r>
      <w:r w:rsidR="00015378" w:rsidRPr="001C28E2">
        <w:t xml:space="preserve">ant des ateliers </w:t>
      </w:r>
      <w:r w:rsidR="00015378">
        <w:t>d</w:t>
      </w:r>
      <w:r w:rsidR="003D1F07">
        <w:t>’</w:t>
      </w:r>
      <w:r w:rsidR="00015378">
        <w:t xml:space="preserve">experts </w:t>
      </w:r>
      <w:r w:rsidR="00015378" w:rsidRPr="001C28E2">
        <w:t xml:space="preserve">sur </w:t>
      </w:r>
      <w:r w:rsidR="00086408">
        <w:t xml:space="preserve">le cadre conceptuel et </w:t>
      </w:r>
      <w:r w:rsidR="00015378" w:rsidRPr="001C28E2">
        <w:t xml:space="preserve">les systèmes de connaissances </w:t>
      </w:r>
      <w:r w:rsidR="00086408">
        <w:t>pour la Plateforme. La Plénière sera saisie d</w:t>
      </w:r>
      <w:r w:rsidR="003D1F07">
        <w:t>’</w:t>
      </w:r>
      <w:r w:rsidR="00086408">
        <w:t>un projet de cadre conceptuel (IPBES/2/4) établi par le Groupe comme suite à la décision IPBES/1/2.</w:t>
      </w:r>
    </w:p>
    <w:p w:rsidR="00AB7A8E" w:rsidRDefault="00086408" w:rsidP="001764D2">
      <w:pPr>
        <w:pStyle w:val="Normalnumber"/>
      </w:pPr>
      <w:r>
        <w:t>Pour établir ce projet de cadre conceptuel, le Groupe a, entre autres mesures, organisé un atelier multidisciplinaire rassemblant un mélange régionalement équilibré d</w:t>
      </w:r>
      <w:r w:rsidR="003D1F07">
        <w:t>’</w:t>
      </w:r>
      <w:r>
        <w:t>experts et de parties prenantes. Cet atelier, qui s</w:t>
      </w:r>
      <w:r w:rsidR="003D1F07">
        <w:t>’</w:t>
      </w:r>
      <w:r>
        <w:t xml:space="preserve">est tenu les 25 et 26 août 2013 au Cap (Afrique du Sud) avec le généreux concours des Gouvernements sud-africain, britannique et japonais, a pris en compte les discussions </w:t>
      </w:r>
      <w:r w:rsidR="0018073F">
        <w:t xml:space="preserve">sur le projet de cadre conceptuel </w:t>
      </w:r>
      <w:r>
        <w:t>qui ont lieu</w:t>
      </w:r>
      <w:r w:rsidR="0018073F">
        <w:t xml:space="preserve"> lors de diverses réunions consultatives régionales. Le rapport de l</w:t>
      </w:r>
      <w:r w:rsidR="003D1F07">
        <w:t>’</w:t>
      </w:r>
      <w:r w:rsidR="0018073F">
        <w:t>atelier figure dans le document IPBES/2/INF/2.</w:t>
      </w:r>
    </w:p>
    <w:p w:rsidR="0018073F" w:rsidRDefault="0018073F" w:rsidP="001764D2">
      <w:pPr>
        <w:pStyle w:val="Normalnumber"/>
      </w:pPr>
      <w:r>
        <w:t xml:space="preserve">La Plénière souhaitera peut-être examiner les informations contenues dans les documents susmentionnés </w:t>
      </w:r>
      <w:r w:rsidR="00421822">
        <w:t>en vue</w:t>
      </w:r>
      <w:r w:rsidR="00A35BB0">
        <w:t xml:space="preserve"> </w:t>
      </w:r>
      <w:r>
        <w:t>d</w:t>
      </w:r>
      <w:r w:rsidR="003D1F07">
        <w:t>’</w:t>
      </w:r>
      <w:r>
        <w:t>adopter un cadre conceptuel pour la Plateforme.</w:t>
      </w:r>
    </w:p>
    <w:p w:rsidR="001764D2" w:rsidRDefault="001764D2" w:rsidP="001764D2">
      <w:pPr>
        <w:pStyle w:val="CH2"/>
        <w:tabs>
          <w:tab w:val="clear" w:pos="851"/>
          <w:tab w:val="left" w:pos="709"/>
        </w:tabs>
      </w:pPr>
      <w:r>
        <w:tab/>
        <w:t>Point 5</w:t>
      </w:r>
    </w:p>
    <w:p w:rsidR="00AB7A8E" w:rsidRDefault="001764D2" w:rsidP="001764D2">
      <w:pPr>
        <w:pStyle w:val="CH2"/>
        <w:tabs>
          <w:tab w:val="clear" w:pos="851"/>
          <w:tab w:val="left" w:pos="709"/>
        </w:tabs>
      </w:pPr>
      <w:r>
        <w:tab/>
      </w:r>
      <w:r w:rsidR="0018073F">
        <w:t>Arrangements financie</w:t>
      </w:r>
      <w:r w:rsidR="00872B68">
        <w:t>rs et budgétaires pour la Plate</w:t>
      </w:r>
      <w:r w:rsidR="0018073F">
        <w:t>forme</w:t>
      </w:r>
    </w:p>
    <w:p w:rsidR="00AB7A8E" w:rsidRPr="0018073F" w:rsidRDefault="001764D2" w:rsidP="001764D2">
      <w:pPr>
        <w:pStyle w:val="CH3"/>
      </w:pPr>
      <w:r>
        <w:tab/>
        <w:t>a)</w:t>
      </w:r>
      <w:r>
        <w:tab/>
      </w:r>
      <w:r w:rsidR="0018073F" w:rsidRPr="0018073F">
        <w:t xml:space="preserve">Budget </w:t>
      </w:r>
      <w:r w:rsidR="008D24CC" w:rsidRPr="008D24CC">
        <w:t>pour l</w:t>
      </w:r>
      <w:r w:rsidR="003D1F07">
        <w:t>’</w:t>
      </w:r>
      <w:r w:rsidR="008D24CC" w:rsidRPr="008D24CC">
        <w:t>exercice quadriennal</w:t>
      </w:r>
      <w:r w:rsidR="008D24CC">
        <w:t xml:space="preserve"> </w:t>
      </w:r>
      <w:r w:rsidR="0018073F" w:rsidRPr="0018073F">
        <w:t>2014-2018</w:t>
      </w:r>
    </w:p>
    <w:p w:rsidR="00F64297" w:rsidRDefault="00C7202F" w:rsidP="001764D2">
      <w:pPr>
        <w:pStyle w:val="Normalnumber"/>
      </w:pPr>
      <w:r>
        <w:t>Comme demandé par</w:t>
      </w:r>
      <w:r w:rsidR="00F64297">
        <w:t xml:space="preserve"> la Plénière </w:t>
      </w:r>
      <w:r>
        <w:t>lors de sa première session, le secrétariat a établi, sous la supervision du Bureau, un rapport (IPBES/2/5) sur les dépenses prévues pour 2013 et le budget envisagé pour la période 2014-2018. La proposition de budget tient compte aussi bien des coûts administratifs que de la mise en œuvre du programme de travail initial.</w:t>
      </w:r>
    </w:p>
    <w:p w:rsidR="00C7202F" w:rsidRDefault="00C7202F" w:rsidP="001764D2">
      <w:pPr>
        <w:pStyle w:val="Normalnumber"/>
      </w:pPr>
      <w:r>
        <w:t xml:space="preserve">La Plénière souhaitera peut-être examiner les informations contenues dans le rapport du secrétariat </w:t>
      </w:r>
      <w:r w:rsidR="00421822">
        <w:t>en vue</w:t>
      </w:r>
      <w:r>
        <w:t xml:space="preserve"> d</w:t>
      </w:r>
      <w:r w:rsidR="003D1F07">
        <w:t>’</w:t>
      </w:r>
      <w:r>
        <w:t>approuver un budget pour la période 2014-2015 et un budget indicatif pour la période 2015-2018.</w:t>
      </w:r>
      <w:r w:rsidR="00405D71">
        <w:t xml:space="preserve"> Par ailleurs, la Plénière pourrait souhaiter se pencher sur les effectifs nécessaires pour assurer une mise en œuvre effective et efficace du programme de travail</w:t>
      </w:r>
      <w:r w:rsidR="00F019EA">
        <w:t xml:space="preserve"> de la Plateforme</w:t>
      </w:r>
      <w:r w:rsidR="00405D71">
        <w:t>.</w:t>
      </w:r>
    </w:p>
    <w:p w:rsidR="00AB7A8E" w:rsidRPr="008D24CC" w:rsidRDefault="001764D2" w:rsidP="001764D2">
      <w:pPr>
        <w:pStyle w:val="CH3"/>
      </w:pPr>
      <w:r>
        <w:tab/>
        <w:t>b)</w:t>
      </w:r>
      <w:r>
        <w:tab/>
      </w:r>
      <w:r w:rsidR="008D24CC" w:rsidRPr="008D24CC">
        <w:t>Options possibles pour le Fonds d</w:t>
      </w:r>
      <w:r w:rsidR="003D1F07">
        <w:t>’</w:t>
      </w:r>
      <w:r w:rsidR="008D24CC" w:rsidRPr="008D24CC">
        <w:t>affectation spéciale</w:t>
      </w:r>
    </w:p>
    <w:p w:rsidR="00813C06" w:rsidRDefault="008D24CC" w:rsidP="001764D2">
      <w:pPr>
        <w:pStyle w:val="Normalnumber"/>
      </w:pPr>
      <w:r>
        <w:t>À sa première session, la Plénière a demandé aux membres de la Plateforme de présenter au secrétariat, au plus tard fin juin 2013, des questions sur les options envisageables pour administrer le Fonds d</w:t>
      </w:r>
      <w:r w:rsidR="003D1F07">
        <w:t>’</w:t>
      </w:r>
      <w:r>
        <w:t>affectation spéciale de la Plateforme. À partir de ces questions, le secrétariat a établi une note (IPBES/2/6) présentant des informations sur l</w:t>
      </w:r>
      <w:r w:rsidR="003D1F07">
        <w:t>’</w:t>
      </w:r>
      <w:r>
        <w:t>administration du Fonds d</w:t>
      </w:r>
      <w:r w:rsidR="003D1F07">
        <w:t>’</w:t>
      </w:r>
      <w:r>
        <w:t xml:space="preserve">affectation spéciale par le </w:t>
      </w:r>
      <w:r w:rsidRPr="001C28E2">
        <w:t>Bureau des Fonds d</w:t>
      </w:r>
      <w:r w:rsidR="003D1F07">
        <w:t>’</w:t>
      </w:r>
      <w:r w:rsidRPr="001C28E2">
        <w:t>affectation spéciale pluripartenaires</w:t>
      </w:r>
      <w:r>
        <w:t xml:space="preserve"> de l</w:t>
      </w:r>
      <w:r w:rsidR="003D1F07">
        <w:t>’</w:t>
      </w:r>
      <w:r>
        <w:t>ONU ou par le PNUE.</w:t>
      </w:r>
    </w:p>
    <w:p w:rsidR="008D24CC" w:rsidRDefault="008D24CC" w:rsidP="001764D2">
      <w:pPr>
        <w:pStyle w:val="Normalnumber"/>
      </w:pPr>
      <w:r>
        <w:t xml:space="preserve">La Plénière souhaitera peut-être examiner les informations contenues dans la note du secrétariat </w:t>
      </w:r>
      <w:r w:rsidR="00421822">
        <w:t>en vue</w:t>
      </w:r>
      <w:r w:rsidR="00A35BB0">
        <w:t xml:space="preserve"> de parvenir à un accord sur l</w:t>
      </w:r>
      <w:r w:rsidR="001061A5">
        <w:t>a solu</w:t>
      </w:r>
      <w:r w:rsidR="00A35BB0">
        <w:t>tion préférée pour l</w:t>
      </w:r>
      <w:r w:rsidR="003D1F07">
        <w:t>’</w:t>
      </w:r>
      <w:r w:rsidR="00A35BB0">
        <w:t>administration du Fonds d</w:t>
      </w:r>
      <w:r w:rsidR="003D1F07">
        <w:t>’</w:t>
      </w:r>
      <w:r w:rsidR="00A35BB0">
        <w:t>affectation spéciale de la Plateforme.</w:t>
      </w:r>
    </w:p>
    <w:p w:rsidR="00AB7A8E" w:rsidRPr="001061A5" w:rsidRDefault="001764D2" w:rsidP="001764D2">
      <w:pPr>
        <w:pStyle w:val="CH3"/>
      </w:pPr>
      <w:r>
        <w:tab/>
        <w:t>c)</w:t>
      </w:r>
      <w:r>
        <w:tab/>
      </w:r>
      <w:r w:rsidR="008D24CC" w:rsidRPr="001061A5">
        <w:t>Procédures financières</w:t>
      </w:r>
    </w:p>
    <w:p w:rsidR="00F64297" w:rsidRDefault="001061A5" w:rsidP="001764D2">
      <w:pPr>
        <w:pStyle w:val="Normalnumber"/>
      </w:pPr>
      <w:r>
        <w:t xml:space="preserve">À la première session de la Plénière, </w:t>
      </w:r>
      <w:r w:rsidR="00F92733">
        <w:t>d</w:t>
      </w:r>
      <w:r>
        <w:t xml:space="preserve">es représentants </w:t>
      </w:r>
      <w:r w:rsidR="00F92733">
        <w:t xml:space="preserve">ont </w:t>
      </w:r>
      <w:r w:rsidR="007C6DFE">
        <w:t>évoqué la nécessité de faire en sorte</w:t>
      </w:r>
      <w:r w:rsidR="00F92733">
        <w:t xml:space="preserve"> que les procédures financières de la Plateforme devaient </w:t>
      </w:r>
      <w:r w:rsidR="007C6DFE">
        <w:t>soient</w:t>
      </w:r>
      <w:r w:rsidR="00F92733">
        <w:t xml:space="preserve"> pleinement conformes aux Normes internationales de comptabilité publique</w:t>
      </w:r>
      <w:r w:rsidR="007C6DFE">
        <w:t>, de</w:t>
      </w:r>
      <w:r w:rsidR="00F92733">
        <w:t xml:space="preserve"> convenir d</w:t>
      </w:r>
      <w:r w:rsidR="003D1F07">
        <w:t>’</w:t>
      </w:r>
      <w:r w:rsidR="00F92733">
        <w:t xml:space="preserve">un </w:t>
      </w:r>
      <w:r w:rsidR="00F92733" w:rsidRPr="001C28E2">
        <w:t xml:space="preserve">montant </w:t>
      </w:r>
      <w:r w:rsidR="00F92733">
        <w:t>pour</w:t>
      </w:r>
      <w:r w:rsidR="00F92733" w:rsidRPr="001C28E2">
        <w:t xml:space="preserve"> la réserve opérationnelle </w:t>
      </w:r>
      <w:r w:rsidR="00495505">
        <w:t xml:space="preserve">et </w:t>
      </w:r>
      <w:r w:rsidR="007C6DFE">
        <w:t xml:space="preserve">de </w:t>
      </w:r>
      <w:r w:rsidR="00495505">
        <w:t>fixer</w:t>
      </w:r>
      <w:r w:rsidR="00F92733" w:rsidRPr="001C28E2">
        <w:t xml:space="preserve"> </w:t>
      </w:r>
      <w:r w:rsidR="00F92733">
        <w:t>le</w:t>
      </w:r>
      <w:r w:rsidR="00F92733" w:rsidRPr="001C28E2">
        <w:t xml:space="preserve"> pourcentage de crédit </w:t>
      </w:r>
      <w:r w:rsidR="00495505">
        <w:t xml:space="preserve">budgétaire par rubrique </w:t>
      </w:r>
      <w:r w:rsidR="00F92733" w:rsidRPr="001C28E2">
        <w:t xml:space="preserve">que le </w:t>
      </w:r>
      <w:r w:rsidR="007C6DFE">
        <w:t xml:space="preserve">secrétariat </w:t>
      </w:r>
      <w:r w:rsidR="00F92733" w:rsidRPr="001C28E2">
        <w:t>serait autorisé à réaffecter en cas de besoin</w:t>
      </w:r>
      <w:r w:rsidR="007C6DFE">
        <w:t>. Il a été reconnu qu</w:t>
      </w:r>
      <w:r w:rsidR="003D1F07">
        <w:t>’</w:t>
      </w:r>
      <w:r w:rsidR="007C6DFE">
        <w:t>il fallait faire cadrer les procédures financières avec la solution retenue pour l</w:t>
      </w:r>
      <w:r w:rsidR="003D1F07">
        <w:t>’</w:t>
      </w:r>
      <w:r w:rsidR="007C6DFE">
        <w:t>administration du Fonds d</w:t>
      </w:r>
      <w:r w:rsidR="003D1F07">
        <w:t>’</w:t>
      </w:r>
      <w:r w:rsidR="007C6DFE">
        <w:t>affectation spéciale de la Plateforme.</w:t>
      </w:r>
    </w:p>
    <w:p w:rsidR="007C6DFE" w:rsidRDefault="00623F35" w:rsidP="001764D2">
      <w:pPr>
        <w:pStyle w:val="Normalnumber"/>
      </w:pPr>
      <w:r>
        <w:lastRenderedPageBreak/>
        <w:t xml:space="preserve">En conséquence, </w:t>
      </w:r>
      <w:r w:rsidR="007C6DFE">
        <w:t xml:space="preserve">la Plénière souhaitera peut-être examiner le projet actualisé de procédures financières figurant dans le document IPBES/2/7 </w:t>
      </w:r>
      <w:r w:rsidR="00421822">
        <w:t>en vue</w:t>
      </w:r>
      <w:r w:rsidR="007C6DFE">
        <w:t xml:space="preserve"> </w:t>
      </w:r>
      <w:r w:rsidR="00B86E4B">
        <w:t>de l</w:t>
      </w:r>
      <w:r w:rsidR="003D1F07">
        <w:t>’</w:t>
      </w:r>
      <w:r w:rsidR="00B86E4B">
        <w:t>adopter après y avoir apporté toutes les modifications nécessaires, compte tenu de l</w:t>
      </w:r>
      <w:r w:rsidR="003D1F07">
        <w:t>’</w:t>
      </w:r>
      <w:r w:rsidR="00B86E4B">
        <w:t>option choisie pour le Fonds d</w:t>
      </w:r>
      <w:r w:rsidR="003D1F07">
        <w:t>’</w:t>
      </w:r>
      <w:r w:rsidR="00B86E4B">
        <w:t>affectation spéciale de la Plateforme.</w:t>
      </w:r>
    </w:p>
    <w:p w:rsidR="001764D2" w:rsidRPr="00A4524A" w:rsidRDefault="001764D2" w:rsidP="001764D2">
      <w:pPr>
        <w:pStyle w:val="CH2"/>
        <w:tabs>
          <w:tab w:val="clear" w:pos="851"/>
          <w:tab w:val="left" w:pos="709"/>
        </w:tabs>
        <w:rPr>
          <w:lang w:val="fr-FR"/>
        </w:rPr>
      </w:pPr>
      <w:r>
        <w:tab/>
      </w:r>
      <w:r w:rsidRPr="00A4524A">
        <w:rPr>
          <w:lang w:val="fr-FR"/>
        </w:rPr>
        <w:t>Point 6</w:t>
      </w:r>
    </w:p>
    <w:p w:rsidR="00AB7A8E" w:rsidRDefault="001764D2" w:rsidP="001764D2">
      <w:pPr>
        <w:pStyle w:val="CH2"/>
        <w:tabs>
          <w:tab w:val="clear" w:pos="851"/>
          <w:tab w:val="left" w:pos="709"/>
        </w:tabs>
      </w:pPr>
      <w:r>
        <w:tab/>
      </w:r>
      <w:r w:rsidR="00623F35">
        <w:t>Règles et procédures régissant le fonctionnement de la Plateforme</w:t>
      </w:r>
    </w:p>
    <w:p w:rsidR="00623F35" w:rsidRPr="00623F35" w:rsidRDefault="001764D2" w:rsidP="001764D2">
      <w:pPr>
        <w:pStyle w:val="CH3"/>
      </w:pPr>
      <w:r>
        <w:tab/>
        <w:t>a)</w:t>
      </w:r>
      <w:r>
        <w:tab/>
      </w:r>
      <w:r w:rsidR="00623F35" w:rsidRPr="00623F35">
        <w:t>Structure régionale du Groupe d</w:t>
      </w:r>
      <w:r w:rsidR="003D1F07">
        <w:t>’</w:t>
      </w:r>
      <w:r w:rsidR="00623F35" w:rsidRPr="00623F35">
        <w:t>experts multidisciplinaire</w:t>
      </w:r>
    </w:p>
    <w:p w:rsidR="00F64297" w:rsidRDefault="00623F35" w:rsidP="001764D2">
      <w:pPr>
        <w:pStyle w:val="Normalnumber"/>
      </w:pPr>
      <w:r>
        <w:t xml:space="preserve">À sa première session, la Plénière a prié </w:t>
      </w:r>
      <w:r w:rsidRPr="001C28E2">
        <w:t>le Groupe d</w:t>
      </w:r>
      <w:r w:rsidR="003D1F07">
        <w:t>’</w:t>
      </w:r>
      <w:r w:rsidRPr="001C28E2">
        <w:t xml:space="preserve">experts multidisciplinaire, en </w:t>
      </w:r>
      <w:r w:rsidRPr="001764D2">
        <w:t>collaboration</w:t>
      </w:r>
      <w:r w:rsidRPr="001C28E2">
        <w:t xml:space="preserve"> avec le Bureau, de </w:t>
      </w:r>
      <w:r>
        <w:t xml:space="preserve">faire une </w:t>
      </w:r>
      <w:r w:rsidRPr="001C28E2">
        <w:t>recommand</w:t>
      </w:r>
      <w:r>
        <w:t xml:space="preserve">ation sur </w:t>
      </w:r>
      <w:r w:rsidRPr="001C28E2">
        <w:t>la structure régionale et la composition futur</w:t>
      </w:r>
      <w:r>
        <w:t>es du</w:t>
      </w:r>
      <w:r w:rsidRPr="001C28E2">
        <w:t xml:space="preserve"> Groupe</w:t>
      </w:r>
      <w:r>
        <w:t xml:space="preserve">. Le Groupe et le Bureau ont établi </w:t>
      </w:r>
      <w:r w:rsidR="002871FD">
        <w:t>la</w:t>
      </w:r>
      <w:r>
        <w:t xml:space="preserve"> recommandation demand</w:t>
      </w:r>
      <w:r w:rsidR="002871FD">
        <w:t>ée (IPBES/2/8)</w:t>
      </w:r>
      <w:r w:rsidR="00EF1155">
        <w:t>.</w:t>
      </w:r>
    </w:p>
    <w:p w:rsidR="00AB7A8E" w:rsidRDefault="002871FD" w:rsidP="001764D2">
      <w:pPr>
        <w:pStyle w:val="Normalnumber"/>
      </w:pPr>
      <w:r>
        <w:t xml:space="preserve">La Plénière souhaitera peut-être examiner la recommmandation du Groupe et du Bureau </w:t>
      </w:r>
      <w:r w:rsidR="00421822">
        <w:t>en vue</w:t>
      </w:r>
      <w:r>
        <w:t xml:space="preserve"> de parvenir à un accord sur la structure régionale et la composition futures du Groupe.</w:t>
      </w:r>
    </w:p>
    <w:p w:rsidR="002871FD" w:rsidRPr="002871FD" w:rsidRDefault="001764D2" w:rsidP="001764D2">
      <w:pPr>
        <w:pStyle w:val="CH3"/>
      </w:pPr>
      <w:r>
        <w:tab/>
        <w:t>b)</w:t>
      </w:r>
      <w:r>
        <w:tab/>
      </w:r>
      <w:r w:rsidR="002871FD" w:rsidRPr="002871FD">
        <w:t>Examen des procédures administratives régissant la sélection des membres du Groupe d</w:t>
      </w:r>
      <w:r w:rsidR="003D1F07">
        <w:t>’</w:t>
      </w:r>
      <w:r w:rsidR="002871FD" w:rsidRPr="002871FD">
        <w:t>experts multidisciplinaire</w:t>
      </w:r>
    </w:p>
    <w:p w:rsidR="002871FD" w:rsidRDefault="002871FD" w:rsidP="001764D2">
      <w:pPr>
        <w:pStyle w:val="Normalnumber"/>
      </w:pPr>
      <w:r>
        <w:t xml:space="preserve">À sa première session, la Plénière a également demandé </w:t>
      </w:r>
      <w:r w:rsidR="0024099D">
        <w:t xml:space="preserve">au Bureau </w:t>
      </w:r>
      <w:r w:rsidR="003A0C78" w:rsidRPr="001C28E2">
        <w:t>de revoir la procédure administrative suivie pour sélectionner les membres du Groupe d</w:t>
      </w:r>
      <w:r w:rsidR="003D1F07">
        <w:t>’</w:t>
      </w:r>
      <w:r w:rsidR="003A0C78" w:rsidRPr="001C28E2">
        <w:t>experts multidisciplinaire provisoire</w:t>
      </w:r>
      <w:r w:rsidR="00E43313">
        <w:t xml:space="preserve"> </w:t>
      </w:r>
      <w:r w:rsidR="003A0C78" w:rsidRPr="001C28E2">
        <w:t>et de formuler des recommandations sur la procédure de sélection des futurs membres du Groupe</w:t>
      </w:r>
      <w:r w:rsidR="00E43313">
        <w:t>.</w:t>
      </w:r>
      <w:r w:rsidR="00F53497">
        <w:t xml:space="preserve"> </w:t>
      </w:r>
      <w:r w:rsidR="00357E21">
        <w:t>La version préliminaire d</w:t>
      </w:r>
      <w:r w:rsidR="00CA2D68">
        <w:t>e ce</w:t>
      </w:r>
      <w:r w:rsidR="00357E21">
        <w:t xml:space="preserve"> document a été mise à disposition en accès libre pour examen par les gouvernements et autres parties prenantes du 17 juin au 28 juillet 2013.</w:t>
      </w:r>
    </w:p>
    <w:p w:rsidR="00F53497" w:rsidRDefault="00357E21" w:rsidP="001764D2">
      <w:pPr>
        <w:pStyle w:val="Normalnumber"/>
      </w:pPr>
      <w:r>
        <w:t xml:space="preserve">Comme demandé par la Plénière, le Bureau a élaboré une recommandation (IPBES/2/8), que la Plénière souhaitera peut-être examiner </w:t>
      </w:r>
      <w:r w:rsidR="00421822">
        <w:t>en vue</w:t>
      </w:r>
      <w:r>
        <w:t xml:space="preserve"> de parvenir à un accord sur la procédure de sélection des futurs membres du Groupe d</w:t>
      </w:r>
      <w:r w:rsidR="003D1F07">
        <w:t>’</w:t>
      </w:r>
      <w:r>
        <w:t>experts multidisciplinaire.</w:t>
      </w:r>
    </w:p>
    <w:p w:rsidR="002871FD" w:rsidRPr="002871FD" w:rsidRDefault="001764D2" w:rsidP="001764D2">
      <w:pPr>
        <w:pStyle w:val="CH3"/>
      </w:pPr>
      <w:r>
        <w:tab/>
        <w:t>c)</w:t>
      </w:r>
      <w:r>
        <w:tab/>
      </w:r>
      <w:r w:rsidR="002871FD" w:rsidRPr="002871FD">
        <w:t>Procédures pour l</w:t>
      </w:r>
      <w:r w:rsidR="003D1F07">
        <w:t>’</w:t>
      </w:r>
      <w:r w:rsidR="002871FD" w:rsidRPr="002871FD">
        <w:t>établissement, l</w:t>
      </w:r>
      <w:r w:rsidR="003D1F07">
        <w:t>’</w:t>
      </w:r>
      <w:r w:rsidR="002871FD" w:rsidRPr="002871FD">
        <w:t>examen, l</w:t>
      </w:r>
      <w:r w:rsidR="003D1F07">
        <w:t>’</w:t>
      </w:r>
      <w:r w:rsidR="002871FD" w:rsidRPr="002871FD">
        <w:t>acceptation, l</w:t>
      </w:r>
      <w:r w:rsidR="003D1F07">
        <w:t>’</w:t>
      </w:r>
      <w:r w:rsidR="002871FD" w:rsidRPr="002871FD">
        <w:t>adoption, l</w:t>
      </w:r>
      <w:r w:rsidR="003D1F07">
        <w:t>’</w:t>
      </w:r>
      <w:r w:rsidR="002871FD" w:rsidRPr="002871FD">
        <w:t>approbation et la publication des rapports d</w:t>
      </w:r>
      <w:r w:rsidR="003D1F07">
        <w:t>’</w:t>
      </w:r>
      <w:r w:rsidR="002871FD" w:rsidRPr="002871FD">
        <w:t>évaluation et d</w:t>
      </w:r>
      <w:r w:rsidR="003D1F07">
        <w:t>’</w:t>
      </w:r>
      <w:r w:rsidR="002871FD" w:rsidRPr="002871FD">
        <w:t>autres produits de la Plateforme</w:t>
      </w:r>
    </w:p>
    <w:p w:rsidR="002871FD" w:rsidRDefault="00495D09" w:rsidP="001764D2">
      <w:pPr>
        <w:pStyle w:val="Normalnumber"/>
      </w:pPr>
      <w:r>
        <w:t>À</w:t>
      </w:r>
      <w:r w:rsidR="00357E21">
        <w:t xml:space="preserve"> sa première session, la Plénière a prié </w:t>
      </w:r>
      <w:r>
        <w:t>le Groupe d</w:t>
      </w:r>
      <w:r w:rsidR="003D1F07">
        <w:t>’</w:t>
      </w:r>
      <w:r>
        <w:t>experts multidisciplinaire de recommander une série de procédures pour l</w:t>
      </w:r>
      <w:r w:rsidR="003D1F07">
        <w:t>’</w:t>
      </w:r>
      <w:r>
        <w:t>établissement des rapports et autres produits de la Plateforme. Le Groupe a, en conséquence, élaboré un projet de procédures pour l</w:t>
      </w:r>
      <w:r w:rsidR="003D1F07">
        <w:t>’</w:t>
      </w:r>
      <w:r>
        <w:t>établissement des produits de la Plateforme en tenant compte des discussions sur le processus de cadrage qui ont eu lieu au cours de la première session de la Plénière. La version préliminaire d</w:t>
      </w:r>
      <w:r w:rsidR="00CA2D68">
        <w:t>e ce</w:t>
      </w:r>
      <w:r>
        <w:t xml:space="preserve"> document a également été mise à disposition en accès libre pour examen par les gouvernements et autres parties prenantes du 17 juin au 28 juillet 2013. Le projet de procédures est communiqué à la Plénière dans le document IPBES/2/9, pour examen.</w:t>
      </w:r>
    </w:p>
    <w:p w:rsidR="00495D09" w:rsidRDefault="00495D09" w:rsidP="001764D2">
      <w:pPr>
        <w:pStyle w:val="Normalnumber"/>
      </w:pPr>
      <w:r>
        <w:t xml:space="preserve">La Plénière souhaitera peut-être examiner le projet de procédures </w:t>
      </w:r>
      <w:r w:rsidR="00421822">
        <w:t>en vue</w:t>
      </w:r>
      <w:r>
        <w:t xml:space="preserve"> de l</w:t>
      </w:r>
      <w:r w:rsidR="003D1F07">
        <w:t>’</w:t>
      </w:r>
      <w:r>
        <w:t xml:space="preserve">adopter après y avoir apporté toutes les modifications </w:t>
      </w:r>
      <w:r w:rsidR="00DA13D0">
        <w:t xml:space="preserve">jugées </w:t>
      </w:r>
      <w:r>
        <w:t>nécessaires.</w:t>
      </w:r>
    </w:p>
    <w:p w:rsidR="002871FD" w:rsidRPr="002871FD" w:rsidRDefault="001764D2" w:rsidP="001764D2">
      <w:pPr>
        <w:pStyle w:val="CH3"/>
      </w:pPr>
      <w:r>
        <w:tab/>
        <w:t>d)</w:t>
      </w:r>
      <w:r>
        <w:tab/>
      </w:r>
      <w:r w:rsidR="002871FD" w:rsidRPr="002871FD">
        <w:t>Politique et procédures d</w:t>
      </w:r>
      <w:r w:rsidR="003D1F07">
        <w:t>’</w:t>
      </w:r>
      <w:r w:rsidR="002871FD" w:rsidRPr="002871FD">
        <w:t>admission des observateurs</w:t>
      </w:r>
    </w:p>
    <w:p w:rsidR="002871FD" w:rsidRDefault="00DA13D0" w:rsidP="001764D2">
      <w:pPr>
        <w:pStyle w:val="Normalnumber"/>
      </w:pPr>
      <w:r>
        <w:t>Lors de l</w:t>
      </w:r>
      <w:r w:rsidR="003D1F07">
        <w:t>’</w:t>
      </w:r>
      <w:r>
        <w:t>adoption de son règlement intérieur à sa première session, la Plénière a placé le paragraphe 3 de l</w:t>
      </w:r>
      <w:r w:rsidR="003D1F07">
        <w:t>’</w:t>
      </w:r>
      <w:r>
        <w:t>article 6 ainsi que l</w:t>
      </w:r>
      <w:r w:rsidR="003D1F07">
        <w:t>’</w:t>
      </w:r>
      <w:r>
        <w:t>annexe I</w:t>
      </w:r>
      <w:r w:rsidR="00D963AF">
        <w:t>, qui</w:t>
      </w:r>
      <w:r>
        <w:t xml:space="preserve"> </w:t>
      </w:r>
      <w:r w:rsidR="00D963AF">
        <w:t>définissent</w:t>
      </w:r>
      <w:r>
        <w:t xml:space="preserve"> la politique et les procédures </w:t>
      </w:r>
      <w:r w:rsidR="00D963AF">
        <w:t>d</w:t>
      </w:r>
      <w:r w:rsidR="003D1F07">
        <w:t>’</w:t>
      </w:r>
      <w:r>
        <w:t>admission d</w:t>
      </w:r>
      <w:r w:rsidR="003D1F07">
        <w:t>’</w:t>
      </w:r>
      <w:r>
        <w:t>observateurs aux sessions de la Plénière</w:t>
      </w:r>
      <w:r w:rsidR="00D963AF">
        <w:t>,</w:t>
      </w:r>
      <w:r>
        <w:t xml:space="preserve"> entre crochets </w:t>
      </w:r>
      <w:r w:rsidR="00D963AF">
        <w:t>pour indiquer qu</w:t>
      </w:r>
      <w:r w:rsidR="003D1F07">
        <w:t>’</w:t>
      </w:r>
      <w:r w:rsidR="00D963AF">
        <w:t>elle n</w:t>
      </w:r>
      <w:r w:rsidR="003D1F07">
        <w:t>’</w:t>
      </w:r>
      <w:r w:rsidR="00D963AF">
        <w:t xml:space="preserve">était pas parvenue à un consensus à leur sujet et ne les avait donc pas adoptés. </w:t>
      </w:r>
      <w:r w:rsidR="00A72093">
        <w:t>C</w:t>
      </w:r>
      <w:r w:rsidR="009C15BD">
        <w:t xml:space="preserve">omme </w:t>
      </w:r>
      <w:r w:rsidR="00872B68">
        <w:t>mis en évidence lors de l’examen du point </w:t>
      </w:r>
      <w:r w:rsidR="009C15BD">
        <w:t xml:space="preserve">2 c) </w:t>
      </w:r>
      <w:r w:rsidR="00A72093">
        <w:t>plus haut</w:t>
      </w:r>
      <w:r w:rsidR="009C15BD">
        <w:t>,</w:t>
      </w:r>
      <w:r w:rsidR="00D963AF">
        <w:t xml:space="preserve"> </w:t>
      </w:r>
      <w:r w:rsidR="00A72093">
        <w:t>elle s</w:t>
      </w:r>
      <w:r w:rsidR="003D1F07">
        <w:t>’</w:t>
      </w:r>
      <w:r w:rsidR="00A72093">
        <w:t xml:space="preserve">est toutefois accordée </w:t>
      </w:r>
      <w:r w:rsidR="00D963AF">
        <w:t xml:space="preserve">sur </w:t>
      </w:r>
      <w:r w:rsidR="009C15BD">
        <w:t>une</w:t>
      </w:r>
      <w:r w:rsidR="00D963AF">
        <w:t xml:space="preserve"> procédure </w:t>
      </w:r>
      <w:r w:rsidR="001200E6">
        <w:t>(</w:t>
      </w:r>
      <w:r w:rsidR="009C15BD">
        <w:t>figur</w:t>
      </w:r>
      <w:r w:rsidR="001200E6">
        <w:t>ant</w:t>
      </w:r>
      <w:r w:rsidR="009C15BD">
        <w:t xml:space="preserve"> au paragraphe 22 du rapport de la première session de la Plénière</w:t>
      </w:r>
      <w:r w:rsidR="001200E6">
        <w:t>)</w:t>
      </w:r>
      <w:r w:rsidR="00A72093">
        <w:t xml:space="preserve"> </w:t>
      </w:r>
      <w:r w:rsidR="001200E6">
        <w:t>pour l</w:t>
      </w:r>
      <w:r w:rsidR="003D1F07">
        <w:t>’</w:t>
      </w:r>
      <w:r w:rsidR="001200E6">
        <w:t>admission d</w:t>
      </w:r>
      <w:r w:rsidR="003D1F07">
        <w:t>’</w:t>
      </w:r>
      <w:r w:rsidR="001200E6">
        <w:t>observateurs à la session en cours seulement</w:t>
      </w:r>
      <w:r w:rsidR="009C15BD">
        <w:t>.</w:t>
      </w:r>
    </w:p>
    <w:p w:rsidR="001200E6" w:rsidRDefault="00785157" w:rsidP="001764D2">
      <w:pPr>
        <w:pStyle w:val="Normalnumber"/>
      </w:pPr>
      <w:r>
        <w:t>La Plénière souhaitera peut-être se pencher de manière plus approfondie sur la politique et les procédures d</w:t>
      </w:r>
      <w:r w:rsidR="003D1F07">
        <w:t>’</w:t>
      </w:r>
      <w:r>
        <w:t xml:space="preserve">admission des observateurs (IPBES/2/10) </w:t>
      </w:r>
      <w:r w:rsidR="00421822">
        <w:t>en vue</w:t>
      </w:r>
      <w:r>
        <w:t xml:space="preserve"> de les adopter, après y avoir apporté toutes les modifications jugées nécessaires, pour les sessions ultérieures de la Plénières.</w:t>
      </w:r>
    </w:p>
    <w:p w:rsidR="002871FD" w:rsidRPr="002871FD" w:rsidRDefault="001764D2" w:rsidP="001764D2">
      <w:pPr>
        <w:pStyle w:val="CH3"/>
      </w:pPr>
      <w:r>
        <w:tab/>
        <w:t>e)</w:t>
      </w:r>
      <w:r>
        <w:tab/>
      </w:r>
      <w:r w:rsidR="002871FD" w:rsidRPr="002871FD">
        <w:t>Politique en matière de conflits d</w:t>
      </w:r>
      <w:r w:rsidR="003D1F07">
        <w:t>’</w:t>
      </w:r>
      <w:r w:rsidR="002871FD" w:rsidRPr="002871FD">
        <w:t>intérêt</w:t>
      </w:r>
    </w:p>
    <w:p w:rsidR="002871FD" w:rsidRDefault="001B1B74" w:rsidP="001764D2">
      <w:pPr>
        <w:pStyle w:val="Normalnumber"/>
      </w:pPr>
      <w:r>
        <w:t>E</w:t>
      </w:r>
      <w:r w:rsidR="00785157">
        <w:t>n consultation avec le Groupe d</w:t>
      </w:r>
      <w:r w:rsidR="003D1F07">
        <w:t>’</w:t>
      </w:r>
      <w:r w:rsidR="00785157">
        <w:t xml:space="preserve">experts multidisciplinaire et le Bureau, </w:t>
      </w:r>
      <w:r>
        <w:t>et sur la base des observations reçues des gouvernements et autres parties prenantes au cours de la période intersessions 2012 (à savoir la période comprise entre la deuxième session de la réunion p</w:t>
      </w:r>
      <w:r w:rsidRPr="001C28E2">
        <w:t>lénière visant à déterminer les modalités et les mécanismes institutionnels d</w:t>
      </w:r>
      <w:r w:rsidR="003D1F07">
        <w:t>’</w:t>
      </w:r>
      <w:r w:rsidRPr="001C28E2">
        <w:t xml:space="preserve">une plateforme intergouvernementale scientifique et politique sur la biodiversité et les services écosystémiques, tenue </w:t>
      </w:r>
      <w:r>
        <w:t xml:space="preserve">en avril 2012 </w:t>
      </w:r>
      <w:r w:rsidRPr="001C28E2">
        <w:t>à Panama,</w:t>
      </w:r>
      <w:r>
        <w:t xml:space="preserve"> et la première session de la Plénière de la Plateforme à Bonn (Allemagne) en janvier 2013), le secrétariat </w:t>
      </w:r>
      <w:r w:rsidR="00785157">
        <w:t>a établi</w:t>
      </w:r>
      <w:r>
        <w:t xml:space="preserve"> un projet de politique en matière de conflits d</w:t>
      </w:r>
      <w:r w:rsidR="003D1F07">
        <w:t>’</w:t>
      </w:r>
      <w:r>
        <w:t xml:space="preserve">intérêt (IPBES/2/11), que la Plénière souhaitera </w:t>
      </w:r>
      <w:r>
        <w:lastRenderedPageBreak/>
        <w:t xml:space="preserve">peut-être examiner </w:t>
      </w:r>
      <w:r w:rsidR="00421822">
        <w:t>en vue de l</w:t>
      </w:r>
      <w:r w:rsidR="003D1F07">
        <w:t>’</w:t>
      </w:r>
      <w:r>
        <w:t>adopt</w:t>
      </w:r>
      <w:r w:rsidR="00421822">
        <w:t>er</w:t>
      </w:r>
      <w:r>
        <w:t xml:space="preserve"> après y avoir apporté toutes les modifications jugées nécessaires.</w:t>
      </w:r>
    </w:p>
    <w:p w:rsidR="001764D2" w:rsidRDefault="001764D2" w:rsidP="001764D2">
      <w:pPr>
        <w:pStyle w:val="CH2"/>
        <w:tabs>
          <w:tab w:val="clear" w:pos="851"/>
          <w:tab w:val="left" w:pos="709"/>
        </w:tabs>
      </w:pPr>
      <w:r>
        <w:tab/>
        <w:t>Point 7</w:t>
      </w:r>
    </w:p>
    <w:p w:rsidR="00AB7A8E" w:rsidRDefault="001764D2" w:rsidP="001764D2">
      <w:pPr>
        <w:pStyle w:val="CH2"/>
        <w:tabs>
          <w:tab w:val="clear" w:pos="851"/>
          <w:tab w:val="left" w:pos="709"/>
        </w:tabs>
      </w:pPr>
      <w:r>
        <w:tab/>
      </w:r>
      <w:r w:rsidR="00E43313">
        <w:t>Stratégies de communication et d</w:t>
      </w:r>
      <w:r w:rsidR="003D1F07">
        <w:t>’</w:t>
      </w:r>
      <w:r w:rsidR="00E43313">
        <w:t>association des parties prenantes</w:t>
      </w:r>
    </w:p>
    <w:p w:rsidR="00AB7A8E" w:rsidRPr="00E43313" w:rsidRDefault="001764D2" w:rsidP="001764D2">
      <w:pPr>
        <w:pStyle w:val="CH3"/>
      </w:pPr>
      <w:r>
        <w:tab/>
      </w:r>
      <w:r>
        <w:rPr>
          <w:lang w:val="fr-FR"/>
        </w:rPr>
        <w:t>a)</w:t>
      </w:r>
      <w:r>
        <w:rPr>
          <w:lang w:val="fr-FR"/>
        </w:rPr>
        <w:tab/>
      </w:r>
      <w:r w:rsidR="00E43313" w:rsidRPr="00E43313">
        <w:t>Stratégie de communication et de sensibilisation</w:t>
      </w:r>
    </w:p>
    <w:p w:rsidR="00F64297" w:rsidRDefault="00421822" w:rsidP="001764D2">
      <w:pPr>
        <w:pStyle w:val="Normalnumber"/>
      </w:pPr>
      <w:r>
        <w:t>Eu égard à l</w:t>
      </w:r>
      <w:r w:rsidR="003D1F07">
        <w:t>’</w:t>
      </w:r>
      <w:r>
        <w:t xml:space="preserve">importance de la communication et de la sensibilisation pour la Plateforme, le secrétariat, en consultation avec le Bureau de la Plénière, a préparé une note présentant quelques considérations initiales sur le projet de stratégie de communication et de sensibilisation de la Plateforme (IPBES/2/12), que la Plénière souhaitera peut-être examiner </w:t>
      </w:r>
      <w:r w:rsidR="00CA2D68">
        <w:t xml:space="preserve">les informations contenues dans cette note </w:t>
      </w:r>
      <w:r>
        <w:t>en vue de déterminer le meilleur moyen de procéder en ce qui concerne la stratégie, compte tenu du programme de travail de la Plateforme pour la période 2014-2018.</w:t>
      </w:r>
    </w:p>
    <w:p w:rsidR="00AB7A8E" w:rsidRPr="00E43313" w:rsidRDefault="001764D2" w:rsidP="001764D2">
      <w:pPr>
        <w:pStyle w:val="CH3"/>
      </w:pPr>
      <w:r>
        <w:tab/>
        <w:t>b)</w:t>
      </w:r>
      <w:r>
        <w:tab/>
      </w:r>
      <w:r w:rsidR="00E43313" w:rsidRPr="001764D2">
        <w:t>Stratégie</w:t>
      </w:r>
      <w:r w:rsidR="00E43313" w:rsidRPr="00E43313">
        <w:t xml:space="preserve"> d</w:t>
      </w:r>
      <w:r w:rsidR="003D1F07">
        <w:t>’</w:t>
      </w:r>
      <w:r w:rsidR="00E43313" w:rsidRPr="00E43313">
        <w:t>association des parties prenantes</w:t>
      </w:r>
    </w:p>
    <w:p w:rsidR="00AB7A8E" w:rsidRDefault="00421822" w:rsidP="001764D2">
      <w:pPr>
        <w:pStyle w:val="Normalnumber"/>
      </w:pPr>
      <w:r>
        <w:t xml:space="preserve">À sa première session, la Plénière a </w:t>
      </w:r>
      <w:r w:rsidR="007C1524">
        <w:t>invit</w:t>
      </w:r>
      <w:r>
        <w:t>é l</w:t>
      </w:r>
      <w:r w:rsidR="003D1F07">
        <w:t>’</w:t>
      </w:r>
      <w:r>
        <w:t xml:space="preserve">Union internationale pour la conservation de la nature et le </w:t>
      </w:r>
      <w:r w:rsidR="007C1524" w:rsidRPr="001C28E2">
        <w:t xml:space="preserve">Conseil international pour la science à collaborer avec les parties prenantes, y compris les peuples autochtones, les communautés locales et le secteur privé, </w:t>
      </w:r>
      <w:r w:rsidR="00BE5A6F">
        <w:t>ainsi qu</w:t>
      </w:r>
      <w:r w:rsidR="003D1F07">
        <w:t>’</w:t>
      </w:r>
      <w:r w:rsidR="007C1524" w:rsidRPr="001C28E2">
        <w:t>avec le secrétariat</w:t>
      </w:r>
      <w:r w:rsidR="00BE5A6F">
        <w:t>,</w:t>
      </w:r>
      <w:r w:rsidR="007C1524" w:rsidRPr="001C28E2">
        <w:t xml:space="preserve"> pour établir, en consultation avec le Bureau et le Groupe d</w:t>
      </w:r>
      <w:r w:rsidR="003D1F07">
        <w:t>’</w:t>
      </w:r>
      <w:r w:rsidR="007C1524" w:rsidRPr="001C28E2">
        <w:t xml:space="preserve">experts multidisciplinaire, un projet de stratégie de mobilisation des parties prenantes </w:t>
      </w:r>
      <w:r w:rsidR="00CA2D68">
        <w:t>visant à appuyer</w:t>
      </w:r>
      <w:r w:rsidR="007C1524" w:rsidRPr="001C28E2">
        <w:t xml:space="preserve"> la mise en œuvre du programme de travail</w:t>
      </w:r>
      <w:r w:rsidR="00BE5A6F">
        <w:t xml:space="preserve"> de la Plateforme</w:t>
      </w:r>
      <w:r w:rsidR="00CA2D68">
        <w:t>. La version préliminaire de ce document a été mise à disposition en accès libre pour examen par les gouvernements et autres parties prenantes du 17 juin au 28 juillet 2013. Un projet de stratégie préparé dans le cadre du processus susmentionné figure dans une note du secrétariat (IPBES/2/3).</w:t>
      </w:r>
    </w:p>
    <w:p w:rsidR="00CA2D68" w:rsidRDefault="00CA2D68" w:rsidP="001764D2">
      <w:pPr>
        <w:pStyle w:val="Normalnumber"/>
      </w:pPr>
      <w:r>
        <w:t>La Plénière souhaitera peut-être examiner le projet de stratégie en vue de l</w:t>
      </w:r>
      <w:r w:rsidR="003D1F07">
        <w:t>’</w:t>
      </w:r>
      <w:r>
        <w:t>adopter après y avoir apporté toutes les modifications jugées nécessaires.</w:t>
      </w:r>
    </w:p>
    <w:p w:rsidR="00E43313" w:rsidRPr="00E43313" w:rsidRDefault="001764D2" w:rsidP="001764D2">
      <w:pPr>
        <w:pStyle w:val="CH3"/>
      </w:pPr>
      <w:r>
        <w:tab/>
        <w:t>c)</w:t>
      </w:r>
      <w:r>
        <w:tab/>
      </w:r>
      <w:r w:rsidR="00E43313" w:rsidRPr="00E43313">
        <w:t xml:space="preserve">Orientations </w:t>
      </w:r>
      <w:r w:rsidR="00E43313" w:rsidRPr="001764D2">
        <w:t>concernant</w:t>
      </w:r>
      <w:r w:rsidR="00E43313" w:rsidRPr="00E43313">
        <w:t xml:space="preserve"> les partenariats stratégiques </w:t>
      </w:r>
    </w:p>
    <w:p w:rsidR="00E43313" w:rsidRPr="00CA2D68" w:rsidRDefault="00CA2D68" w:rsidP="001764D2">
      <w:pPr>
        <w:pStyle w:val="Normalnumber"/>
      </w:pPr>
      <w:r>
        <w:t xml:space="preserve">À sa première session, la Plénière a prié le Bureau </w:t>
      </w:r>
      <w:r w:rsidRPr="001C28E2">
        <w:t>d</w:t>
      </w:r>
      <w:r w:rsidR="003D1F07">
        <w:t>’</w:t>
      </w:r>
      <w:r w:rsidRPr="001C28E2">
        <w:t>établir, en consultation avec le Groupe d</w:t>
      </w:r>
      <w:r w:rsidR="003D1F07">
        <w:t>’</w:t>
      </w:r>
      <w:r w:rsidRPr="001C28E2">
        <w:t xml:space="preserve">experts multidisciplinaire et avec le concours du secrétariat, des </w:t>
      </w:r>
      <w:r>
        <w:t xml:space="preserve">orientations </w:t>
      </w:r>
      <w:r w:rsidRPr="001C28E2">
        <w:t>pour l</w:t>
      </w:r>
      <w:r w:rsidR="003D1F07">
        <w:t>’</w:t>
      </w:r>
      <w:r w:rsidRPr="001C28E2">
        <w:t>établissement de partenariats stratégiques avec différents partenaires, notamment les accords multilatéraux sur l</w:t>
      </w:r>
      <w:r w:rsidR="003D1F07">
        <w:t>’</w:t>
      </w:r>
      <w:r w:rsidRPr="001C28E2">
        <w:t>environnement, les institutions universitaires et scientifiques et les organismes des Nations Unies, en vue de la mise en œuvre du programme de travail</w:t>
      </w:r>
      <w:r>
        <w:t xml:space="preserve">. La version préliminaire de ce document a été mise à disposition en accès libre pour examen par les gouvernements et autres parties prenantes du 17 juin au 28 juillet 2013. La Plénière est saisie du projet </w:t>
      </w:r>
      <w:r>
        <w:rPr>
          <w:lang w:val="fr-FR"/>
        </w:rPr>
        <w:t>d</w:t>
      </w:r>
      <w:r w:rsidR="003D1F07">
        <w:rPr>
          <w:lang w:val="fr-FR"/>
        </w:rPr>
        <w:t>’</w:t>
      </w:r>
      <w:r>
        <w:rPr>
          <w:lang w:val="fr-FR"/>
        </w:rPr>
        <w:t>o</w:t>
      </w:r>
      <w:r w:rsidRPr="00056A19">
        <w:rPr>
          <w:lang w:val="fr-FR"/>
        </w:rPr>
        <w:t>rientations concernant l</w:t>
      </w:r>
      <w:r w:rsidR="003D1F07">
        <w:rPr>
          <w:lang w:val="fr-FR"/>
        </w:rPr>
        <w:t>’</w:t>
      </w:r>
      <w:r w:rsidRPr="00056A19">
        <w:rPr>
          <w:lang w:val="fr-FR"/>
        </w:rPr>
        <w:t>établissement de partenariats stratégiques</w:t>
      </w:r>
      <w:r>
        <w:rPr>
          <w:lang w:val="fr-FR"/>
        </w:rPr>
        <w:t xml:space="preserve"> (IPBES/2/14) élaboré par le Bureau comme suite à cette demande.</w:t>
      </w:r>
    </w:p>
    <w:p w:rsidR="00CA2D68" w:rsidRDefault="00DF3B80" w:rsidP="001764D2">
      <w:pPr>
        <w:pStyle w:val="Normalnumber"/>
      </w:pPr>
      <w:r>
        <w:t>La Plénière souhaitera peut-être examiner le projet d</w:t>
      </w:r>
      <w:r w:rsidR="003D1F07">
        <w:t>’</w:t>
      </w:r>
      <w:r>
        <w:t>orientations en vue de l</w:t>
      </w:r>
      <w:r w:rsidR="003D1F07">
        <w:t>’</w:t>
      </w:r>
      <w:r>
        <w:t>adopter après y avoir apporté toutes les modifications jugées nécessaires.</w:t>
      </w:r>
    </w:p>
    <w:p w:rsidR="001764D2" w:rsidRDefault="001764D2" w:rsidP="001764D2">
      <w:pPr>
        <w:pStyle w:val="CH2"/>
        <w:tabs>
          <w:tab w:val="clear" w:pos="851"/>
          <w:tab w:val="left" w:pos="709"/>
        </w:tabs>
      </w:pPr>
      <w:r>
        <w:tab/>
        <w:t>Point 8</w:t>
      </w:r>
    </w:p>
    <w:p w:rsidR="00AB7A8E" w:rsidRDefault="001764D2" w:rsidP="001764D2">
      <w:pPr>
        <w:pStyle w:val="CH2"/>
        <w:tabs>
          <w:tab w:val="clear" w:pos="851"/>
          <w:tab w:val="left" w:pos="709"/>
        </w:tabs>
        <w:ind w:left="680" w:hanging="680"/>
      </w:pPr>
      <w:r>
        <w:tab/>
      </w:r>
      <w:r w:rsidR="00E43313">
        <w:t xml:space="preserve">Arrangements institutionnels : arrangements </w:t>
      </w:r>
      <w:r w:rsidR="00E43313" w:rsidRPr="009C7FD9">
        <w:t>concernant</w:t>
      </w:r>
      <w:r w:rsidR="00E43313">
        <w:t xml:space="preserve"> les partenariats de collaboration des Nations Unies pour les travaux de la Plateforme et de son secrétariat</w:t>
      </w:r>
    </w:p>
    <w:p w:rsidR="00AB7A8E" w:rsidRDefault="00DF3B80" w:rsidP="001764D2">
      <w:pPr>
        <w:pStyle w:val="Normalnumber"/>
      </w:pPr>
      <w:r>
        <w:t xml:space="preserve">À sa première session, la Plénière a prié </w:t>
      </w:r>
      <w:r w:rsidRPr="001C28E2">
        <w:t>le PNUE, l</w:t>
      </w:r>
      <w:r w:rsidR="003D1F07">
        <w:t>’</w:t>
      </w:r>
      <w:r>
        <w:t>Organisation des Nations Unies pour l</w:t>
      </w:r>
      <w:r w:rsidR="003D1F07">
        <w:t>’</w:t>
      </w:r>
      <w:r>
        <w:t>éducation, la science et la culture (</w:t>
      </w:r>
      <w:r w:rsidRPr="001C28E2">
        <w:t>UNESCO</w:t>
      </w:r>
      <w:r>
        <w:t>)</w:t>
      </w:r>
      <w:r w:rsidRPr="001C28E2">
        <w:t>, l</w:t>
      </w:r>
      <w:r w:rsidR="003D1F07">
        <w:t>’</w:t>
      </w:r>
      <w:r>
        <w:t>Organisation des Nations Unies pour l</w:t>
      </w:r>
      <w:r w:rsidR="003D1F07">
        <w:t>’</w:t>
      </w:r>
      <w:r>
        <w:t>alimentation et l</w:t>
      </w:r>
      <w:r w:rsidR="003D1F07">
        <w:t>’</w:t>
      </w:r>
      <w:r>
        <w:t>agriculture (</w:t>
      </w:r>
      <w:r w:rsidRPr="001C28E2">
        <w:t>FAO</w:t>
      </w:r>
      <w:r>
        <w:t>)</w:t>
      </w:r>
      <w:r w:rsidRPr="001C28E2">
        <w:t xml:space="preserve"> et le </w:t>
      </w:r>
      <w:r>
        <w:t>Programme des Nations Unies pour le développement (</w:t>
      </w:r>
      <w:r w:rsidRPr="001C28E2">
        <w:t>PNUD</w:t>
      </w:r>
      <w:r>
        <w:t>)</w:t>
      </w:r>
      <w:r w:rsidRPr="001C28E2">
        <w:t xml:space="preserve"> d</w:t>
      </w:r>
      <w:r w:rsidR="003D1F07">
        <w:t>’</w:t>
      </w:r>
      <w:r w:rsidRPr="001C28E2">
        <w:t>établir un lien institutionnel avec la Plateforme en instituant un système de collaboration aux activités de la Plateforme et de son secrétariat</w:t>
      </w:r>
      <w:r>
        <w:t>.</w:t>
      </w:r>
    </w:p>
    <w:p w:rsidR="00DF3B80" w:rsidRDefault="00DF3B80" w:rsidP="001764D2">
      <w:pPr>
        <w:pStyle w:val="Normalnumber"/>
      </w:pPr>
      <w:r>
        <w:t>Comme suite à cette demande, les quatre organismes précités ont préparé une note sur les arrangements possibles en matière de partenariats de collaboration pour les travaux de la Plateforme et de son secrétariat (</w:t>
      </w:r>
      <w:r w:rsidRPr="00E44600">
        <w:t xml:space="preserve">IPBES/2/15 </w:t>
      </w:r>
      <w:r>
        <w:t>et</w:t>
      </w:r>
      <w:r w:rsidRPr="00E44600">
        <w:t xml:space="preserve"> IPBES/2/INF/3</w:t>
      </w:r>
      <w:r>
        <w:t>). La plénière souhaitera peut-être examiner cette note en vue de parvenir à un accord sur le rôle de ces organismes des Nations Unies dans les travaux de la Plateforme et de son secrétariat.</w:t>
      </w:r>
    </w:p>
    <w:p w:rsidR="001764D2" w:rsidRDefault="001764D2" w:rsidP="001764D2">
      <w:pPr>
        <w:pStyle w:val="CH2"/>
        <w:tabs>
          <w:tab w:val="clear" w:pos="851"/>
          <w:tab w:val="left" w:pos="709"/>
        </w:tabs>
      </w:pPr>
      <w:r>
        <w:lastRenderedPageBreak/>
        <w:tab/>
        <w:t>Point 9</w:t>
      </w:r>
    </w:p>
    <w:p w:rsidR="00AB7A8E" w:rsidRDefault="001764D2" w:rsidP="001764D2">
      <w:pPr>
        <w:pStyle w:val="CH2"/>
        <w:tabs>
          <w:tab w:val="clear" w:pos="851"/>
          <w:tab w:val="left" w:pos="709"/>
        </w:tabs>
      </w:pPr>
      <w:r>
        <w:tab/>
      </w:r>
      <w:r w:rsidR="00F64297">
        <w:t>Ordre du jour provisoire, date et lieu des futures</w:t>
      </w:r>
      <w:r w:rsidR="00E43313">
        <w:t xml:space="preserve"> </w:t>
      </w:r>
      <w:r w:rsidR="00F64297">
        <w:t>sessions de la Plénière</w:t>
      </w:r>
    </w:p>
    <w:p w:rsidR="00AB7A8E" w:rsidRDefault="00F64297" w:rsidP="001764D2">
      <w:pPr>
        <w:pStyle w:val="Normalnumber"/>
      </w:pPr>
      <w:r>
        <w:t xml:space="preserve">La plénière souhaitera peut-être examiner </w:t>
      </w:r>
      <w:r w:rsidR="00DF3B80">
        <w:t>l</w:t>
      </w:r>
      <w:r w:rsidR="003D1F07">
        <w:t>’</w:t>
      </w:r>
      <w:r>
        <w:t xml:space="preserve">ordre du jour provisoire </w:t>
      </w:r>
      <w:r w:rsidR="00D00E8F">
        <w:t xml:space="preserve">ainsi que </w:t>
      </w:r>
      <w:r>
        <w:t xml:space="preserve">la date et le lieu de sa </w:t>
      </w:r>
      <w:r w:rsidR="00DF3B80">
        <w:t>trois</w:t>
      </w:r>
      <w:r>
        <w:t>ième session. Les représentants des gouvernements qui s</w:t>
      </w:r>
      <w:r w:rsidR="00DF3B80">
        <w:t>ouhaitent</w:t>
      </w:r>
      <w:r>
        <w:t xml:space="preserve"> accueillir cette </w:t>
      </w:r>
      <w:r w:rsidR="00DF3B80">
        <w:t>trois</w:t>
      </w:r>
      <w:r>
        <w:t>ième session sont invités à en informer directement le secrétariat avant ou pendant la session en cours.</w:t>
      </w:r>
    </w:p>
    <w:p w:rsidR="001764D2" w:rsidRDefault="001764D2" w:rsidP="001764D2">
      <w:pPr>
        <w:pStyle w:val="CH2"/>
        <w:tabs>
          <w:tab w:val="clear" w:pos="851"/>
          <w:tab w:val="left" w:pos="709"/>
        </w:tabs>
      </w:pPr>
      <w:r>
        <w:tab/>
        <w:t>Point 10</w:t>
      </w:r>
    </w:p>
    <w:p w:rsidR="00AB7A8E" w:rsidRDefault="001764D2" w:rsidP="001764D2">
      <w:pPr>
        <w:pStyle w:val="CH2"/>
        <w:tabs>
          <w:tab w:val="clear" w:pos="851"/>
          <w:tab w:val="left" w:pos="709"/>
        </w:tabs>
      </w:pPr>
      <w:r>
        <w:tab/>
      </w:r>
      <w:r w:rsidR="00F64297">
        <w:t>Adoption des décisions et du rapport de la session</w:t>
      </w:r>
    </w:p>
    <w:p w:rsidR="00813C06" w:rsidRDefault="00F64297" w:rsidP="001764D2">
      <w:pPr>
        <w:pStyle w:val="Normalnumber"/>
      </w:pPr>
      <w:r>
        <w:t>Après avoir examiné les questions ci-dessus et reçu le rapport du Bureau sur les pouvoirs des représentants, la Plénière souhaitera peut-être envisager d</w:t>
      </w:r>
      <w:r w:rsidR="003D1F07">
        <w:t>’</w:t>
      </w:r>
      <w:r>
        <w:t>adopter des décisions, recommandations ou résolutions fondées sur les résultats des débats de la session</w:t>
      </w:r>
      <w:r w:rsidR="00857A84">
        <w:t>.</w:t>
      </w:r>
      <w:r>
        <w:t xml:space="preserve"> </w:t>
      </w:r>
      <w:r w:rsidR="00857A84">
        <w:t>Elle pourrait également adopter le</w:t>
      </w:r>
      <w:r>
        <w:t xml:space="preserve"> rapport sur </w:t>
      </w:r>
      <w:r w:rsidR="00857A84">
        <w:t>l</w:t>
      </w:r>
      <w:r>
        <w:t xml:space="preserve">es travaux </w:t>
      </w:r>
      <w:r w:rsidR="00857A84">
        <w:t>de la session, qui sera basé</w:t>
      </w:r>
      <w:r>
        <w:t xml:space="preserve"> sur le projet de rapport établi par le Rapporteur.</w:t>
      </w:r>
    </w:p>
    <w:p w:rsidR="001764D2" w:rsidRDefault="001764D2" w:rsidP="001764D2">
      <w:pPr>
        <w:pStyle w:val="CH2"/>
        <w:tabs>
          <w:tab w:val="clear" w:pos="851"/>
          <w:tab w:val="left" w:pos="709"/>
        </w:tabs>
      </w:pPr>
      <w:r>
        <w:tab/>
        <w:t>Point 11</w:t>
      </w:r>
    </w:p>
    <w:p w:rsidR="00AB7A8E" w:rsidRDefault="001764D2" w:rsidP="001764D2">
      <w:pPr>
        <w:pStyle w:val="CH2"/>
        <w:tabs>
          <w:tab w:val="clear" w:pos="851"/>
          <w:tab w:val="left" w:pos="709"/>
        </w:tabs>
      </w:pPr>
      <w:r>
        <w:tab/>
      </w:r>
      <w:r w:rsidR="00F64297">
        <w:t>Clôture de la session</w:t>
      </w:r>
    </w:p>
    <w:p w:rsidR="00F64297" w:rsidRDefault="00857A84" w:rsidP="001764D2">
      <w:pPr>
        <w:pStyle w:val="Normalnumber"/>
      </w:pPr>
      <w:r>
        <w:t>L</w:t>
      </w:r>
      <w:r w:rsidR="00F64297">
        <w:t xml:space="preserve">e Président </w:t>
      </w:r>
      <w:r>
        <w:t xml:space="preserve">devrait, en principe, prononcer la clôture de la session </w:t>
      </w:r>
      <w:r w:rsidR="00F64297">
        <w:t>à 18 heures le samedi</w:t>
      </w:r>
      <w:r w:rsidR="001764D2">
        <w:t> </w:t>
      </w:r>
      <w:r>
        <w:t>14</w:t>
      </w:r>
      <w:r w:rsidR="00F64297">
        <w:t> </w:t>
      </w:r>
      <w:r>
        <w:t>décembre</w:t>
      </w:r>
      <w:r w:rsidR="00F64297">
        <w:t xml:space="preserve"> 2013.</w:t>
      </w:r>
    </w:p>
    <w:p w:rsidR="00AB7A8E" w:rsidRDefault="00F64297" w:rsidP="001764D2">
      <w:pPr>
        <w:pStyle w:val="ZZAnxheader"/>
      </w:pPr>
      <w:r>
        <w:br w:type="page"/>
      </w:r>
      <w:r>
        <w:lastRenderedPageBreak/>
        <w:t>Annexe</w:t>
      </w:r>
    </w:p>
    <w:p w:rsidR="00AB7A8E" w:rsidRDefault="00F64297" w:rsidP="001764D2">
      <w:pPr>
        <w:pStyle w:val="ZZAnxtitle"/>
      </w:pPr>
      <w:r>
        <w:t xml:space="preserve">Calendrier </w:t>
      </w:r>
      <w:r w:rsidRPr="00FB6D7F">
        <w:t xml:space="preserve">provisoire de la </w:t>
      </w:r>
      <w:r w:rsidR="00857A84">
        <w:t>deuxièm</w:t>
      </w:r>
      <w:r w:rsidRPr="00FB6D7F">
        <w:t xml:space="preserve">e session de la Plénière </w:t>
      </w:r>
      <w:r w:rsidR="003A13DF">
        <w:t>et des activités préparatoires</w:t>
      </w:r>
    </w:p>
    <w:tbl>
      <w:tblPr>
        <w:tblW w:w="8379" w:type="dxa"/>
        <w:tblInd w:w="1260" w:type="dxa"/>
        <w:tblLayout w:type="fixed"/>
        <w:tblCellMar>
          <w:left w:w="0" w:type="dxa"/>
          <w:right w:w="0" w:type="dxa"/>
        </w:tblCellMar>
        <w:tblLook w:val="0000"/>
      </w:tblPr>
      <w:tblGrid>
        <w:gridCol w:w="2869"/>
        <w:gridCol w:w="5510"/>
      </w:tblGrid>
      <w:tr w:rsidR="00D00E8F" w:rsidRPr="00FB6D7F" w:rsidTr="00592E29">
        <w:tblPrEx>
          <w:tblCellMar>
            <w:top w:w="0" w:type="dxa"/>
            <w:bottom w:w="0" w:type="dxa"/>
          </w:tblCellMar>
        </w:tblPrEx>
        <w:tc>
          <w:tcPr>
            <w:tcW w:w="2869" w:type="dxa"/>
            <w:shd w:val="clear" w:color="auto" w:fill="auto"/>
          </w:tcPr>
          <w:p w:rsidR="00D00E8F" w:rsidRPr="00FB6D7F" w:rsidRDefault="00D00E8F" w:rsidP="00F5399E">
            <w:pPr>
              <w:keepNext/>
              <w:suppressAutoHyphens/>
              <w:spacing w:before="120" w:after="60"/>
              <w:ind w:right="113"/>
              <w:rPr>
                <w:b/>
              </w:rPr>
            </w:pPr>
            <w:r>
              <w:rPr>
                <w:b/>
              </w:rPr>
              <w:t xml:space="preserve">Samedi </w:t>
            </w:r>
            <w:r w:rsidR="003A13DF">
              <w:rPr>
                <w:b/>
              </w:rPr>
              <w:t>7 décembre</w:t>
            </w:r>
          </w:p>
        </w:tc>
        <w:tc>
          <w:tcPr>
            <w:tcW w:w="5510" w:type="dxa"/>
            <w:shd w:val="clear" w:color="auto" w:fill="auto"/>
          </w:tcPr>
          <w:p w:rsidR="00D00E8F" w:rsidRPr="00FB6D7F" w:rsidRDefault="00D00E8F" w:rsidP="00F5399E">
            <w:pPr>
              <w:keepNext/>
              <w:suppressAutoHyphens/>
              <w:spacing w:before="120" w:after="60"/>
              <w:ind w:right="113"/>
            </w:pPr>
          </w:p>
        </w:tc>
      </w:tr>
      <w:tr w:rsidR="008C0437" w:rsidRPr="008C0437" w:rsidTr="00592E29">
        <w:tblPrEx>
          <w:tblCellMar>
            <w:top w:w="0" w:type="dxa"/>
            <w:bottom w:w="0" w:type="dxa"/>
          </w:tblCellMar>
        </w:tblPrEx>
        <w:tc>
          <w:tcPr>
            <w:tcW w:w="2869" w:type="dxa"/>
            <w:shd w:val="clear" w:color="auto" w:fill="auto"/>
          </w:tcPr>
          <w:p w:rsidR="008C0437" w:rsidRPr="008C0437" w:rsidRDefault="008C0437" w:rsidP="00F5399E">
            <w:pPr>
              <w:keepNext/>
              <w:suppressAutoHyphens/>
              <w:spacing w:before="120" w:after="60"/>
              <w:ind w:right="113"/>
              <w:rPr>
                <w:b/>
              </w:rPr>
            </w:pPr>
            <w:r w:rsidRPr="008C0437">
              <w:rPr>
                <w:b/>
              </w:rPr>
              <w:t>Horaire</w:t>
            </w:r>
          </w:p>
        </w:tc>
        <w:tc>
          <w:tcPr>
            <w:tcW w:w="5510" w:type="dxa"/>
            <w:shd w:val="clear" w:color="auto" w:fill="auto"/>
          </w:tcPr>
          <w:p w:rsidR="008C0437" w:rsidRPr="008C0437" w:rsidRDefault="008C0437" w:rsidP="00F5399E">
            <w:pPr>
              <w:keepNext/>
              <w:suppressAutoHyphens/>
              <w:spacing w:before="120" w:after="60"/>
              <w:ind w:right="113"/>
              <w:rPr>
                <w:b/>
              </w:rPr>
            </w:pPr>
            <w:r w:rsidRPr="008C0437">
              <w:rPr>
                <w:b/>
              </w:rPr>
              <w:t>Activités</w:t>
            </w:r>
          </w:p>
        </w:tc>
      </w:tr>
      <w:tr w:rsidR="00D00E8F" w:rsidRPr="00FB6D7F" w:rsidTr="00592E29">
        <w:tblPrEx>
          <w:tblCellMar>
            <w:top w:w="0" w:type="dxa"/>
            <w:bottom w:w="0" w:type="dxa"/>
          </w:tblCellMar>
        </w:tblPrEx>
        <w:tc>
          <w:tcPr>
            <w:tcW w:w="2869" w:type="dxa"/>
            <w:shd w:val="clear" w:color="auto" w:fill="auto"/>
          </w:tcPr>
          <w:p w:rsidR="00D00E8F" w:rsidRPr="00FB6D7F" w:rsidRDefault="00D00E8F" w:rsidP="00F5399E">
            <w:pPr>
              <w:suppressAutoHyphens/>
              <w:spacing w:before="120" w:after="120"/>
              <w:ind w:right="113"/>
            </w:pPr>
            <w:r>
              <w:t>9</w:t>
            </w:r>
            <w:r w:rsidR="008C0437">
              <w:t xml:space="preserve"> heures – </w:t>
            </w:r>
            <w:r>
              <w:t>17</w:t>
            </w:r>
            <w:r w:rsidR="008C0437">
              <w:t> heures</w:t>
            </w:r>
          </w:p>
        </w:tc>
        <w:tc>
          <w:tcPr>
            <w:tcW w:w="5510" w:type="dxa"/>
            <w:shd w:val="clear" w:color="auto" w:fill="auto"/>
          </w:tcPr>
          <w:p w:rsidR="00D00E8F" w:rsidRPr="00FB6D7F" w:rsidRDefault="00D00E8F" w:rsidP="00F5399E">
            <w:pPr>
              <w:suppressAutoHyphens/>
              <w:spacing w:before="120" w:after="120"/>
              <w:ind w:right="113"/>
            </w:pPr>
            <w:r>
              <w:t>Consultation</w:t>
            </w:r>
            <w:r w:rsidR="003A13DF">
              <w:t>s</w:t>
            </w:r>
            <w:r>
              <w:t xml:space="preserve"> région</w:t>
            </w:r>
            <w:r w:rsidR="003A13DF">
              <w:t>ales</w:t>
            </w:r>
            <w:r>
              <w:t xml:space="preserve"> </w:t>
            </w:r>
            <w:r w:rsidR="003A13DF">
              <w:t>africaines</w:t>
            </w:r>
          </w:p>
        </w:tc>
      </w:tr>
      <w:tr w:rsidR="008C0437" w:rsidRPr="00FB6D7F" w:rsidTr="00592E29">
        <w:tblPrEx>
          <w:tblCellMar>
            <w:top w:w="0" w:type="dxa"/>
            <w:bottom w:w="0" w:type="dxa"/>
          </w:tblCellMar>
        </w:tblPrEx>
        <w:tc>
          <w:tcPr>
            <w:tcW w:w="2869" w:type="dxa"/>
            <w:shd w:val="clear" w:color="auto" w:fill="auto"/>
          </w:tcPr>
          <w:p w:rsidR="008C0437" w:rsidRDefault="008C0437" w:rsidP="00F5399E">
            <w:pPr>
              <w:suppressAutoHyphens/>
              <w:spacing w:before="120" w:after="120"/>
              <w:ind w:right="113"/>
            </w:pPr>
            <w:r>
              <w:t>9 heures – 17 h 30</w:t>
            </w:r>
          </w:p>
        </w:tc>
        <w:tc>
          <w:tcPr>
            <w:tcW w:w="5510" w:type="dxa"/>
            <w:shd w:val="clear" w:color="auto" w:fill="auto"/>
          </w:tcPr>
          <w:p w:rsidR="008C0437" w:rsidRDefault="008C0437" w:rsidP="00F5399E">
            <w:pPr>
              <w:suppressAutoHyphens/>
              <w:spacing w:before="120" w:after="120"/>
              <w:ind w:right="113"/>
            </w:pPr>
            <w:r>
              <w:t>Journée des parties prenantes</w:t>
            </w:r>
          </w:p>
        </w:tc>
      </w:tr>
      <w:tr w:rsidR="00D00E8F" w:rsidRPr="00F5399E" w:rsidTr="00592E29">
        <w:tblPrEx>
          <w:tblCellMar>
            <w:top w:w="0" w:type="dxa"/>
            <w:bottom w:w="0" w:type="dxa"/>
          </w:tblCellMar>
        </w:tblPrEx>
        <w:tc>
          <w:tcPr>
            <w:tcW w:w="2869" w:type="dxa"/>
            <w:shd w:val="clear" w:color="auto" w:fill="auto"/>
          </w:tcPr>
          <w:p w:rsidR="00D00E8F" w:rsidRPr="00FB6D7F" w:rsidRDefault="00D00E8F" w:rsidP="00291DCF">
            <w:pPr>
              <w:keepNext/>
              <w:suppressAutoHyphens/>
              <w:spacing w:before="120" w:after="60"/>
              <w:ind w:right="113"/>
              <w:rPr>
                <w:b/>
              </w:rPr>
            </w:pPr>
            <w:r>
              <w:rPr>
                <w:b/>
              </w:rPr>
              <w:t xml:space="preserve">Dimanche </w:t>
            </w:r>
            <w:r w:rsidR="003A13DF">
              <w:rPr>
                <w:b/>
              </w:rPr>
              <w:t>8 décembre</w:t>
            </w:r>
          </w:p>
        </w:tc>
        <w:tc>
          <w:tcPr>
            <w:tcW w:w="5510" w:type="dxa"/>
            <w:shd w:val="clear" w:color="auto" w:fill="auto"/>
          </w:tcPr>
          <w:p w:rsidR="00D00E8F" w:rsidRPr="00F5399E" w:rsidRDefault="00D00E8F" w:rsidP="00F5399E">
            <w:pPr>
              <w:keepNext/>
              <w:suppressAutoHyphens/>
              <w:spacing w:before="120" w:after="60"/>
              <w:ind w:right="113"/>
              <w:rPr>
                <w:b/>
              </w:rPr>
            </w:pPr>
          </w:p>
        </w:tc>
      </w:tr>
      <w:tr w:rsidR="008C0437" w:rsidRPr="008C0437" w:rsidTr="00592E29">
        <w:tblPrEx>
          <w:tblCellMar>
            <w:top w:w="0" w:type="dxa"/>
            <w:bottom w:w="0" w:type="dxa"/>
          </w:tblCellMar>
        </w:tblPrEx>
        <w:tc>
          <w:tcPr>
            <w:tcW w:w="2869" w:type="dxa"/>
            <w:shd w:val="clear" w:color="auto" w:fill="auto"/>
          </w:tcPr>
          <w:p w:rsidR="008C0437" w:rsidRPr="008C0437" w:rsidRDefault="008C0437" w:rsidP="00F5399E">
            <w:pPr>
              <w:keepNext/>
              <w:suppressAutoHyphens/>
              <w:spacing w:before="120" w:after="60"/>
              <w:ind w:right="113"/>
              <w:rPr>
                <w:b/>
              </w:rPr>
            </w:pPr>
            <w:r w:rsidRPr="008C0437">
              <w:rPr>
                <w:b/>
              </w:rPr>
              <w:t>Horaire</w:t>
            </w:r>
          </w:p>
        </w:tc>
        <w:tc>
          <w:tcPr>
            <w:tcW w:w="5510" w:type="dxa"/>
            <w:shd w:val="clear" w:color="auto" w:fill="auto"/>
          </w:tcPr>
          <w:p w:rsidR="008C0437" w:rsidRPr="008C0437" w:rsidRDefault="008C0437" w:rsidP="00F5399E">
            <w:pPr>
              <w:keepNext/>
              <w:suppressAutoHyphens/>
              <w:spacing w:before="120" w:after="60"/>
              <w:ind w:right="113"/>
              <w:rPr>
                <w:b/>
              </w:rPr>
            </w:pPr>
            <w:r w:rsidRPr="008C0437">
              <w:rPr>
                <w:b/>
              </w:rPr>
              <w:t>Activités</w:t>
            </w:r>
          </w:p>
        </w:tc>
      </w:tr>
      <w:tr w:rsidR="00D00E8F" w:rsidRPr="00FB6D7F" w:rsidTr="00592E29">
        <w:tblPrEx>
          <w:tblCellMar>
            <w:top w:w="0" w:type="dxa"/>
            <w:bottom w:w="0" w:type="dxa"/>
          </w:tblCellMar>
        </w:tblPrEx>
        <w:tc>
          <w:tcPr>
            <w:tcW w:w="2869" w:type="dxa"/>
            <w:shd w:val="clear" w:color="auto" w:fill="auto"/>
          </w:tcPr>
          <w:p w:rsidR="00D00E8F" w:rsidRPr="00FB6D7F" w:rsidRDefault="00D00E8F" w:rsidP="00F5399E">
            <w:pPr>
              <w:suppressAutoHyphens/>
              <w:spacing w:before="120" w:after="120"/>
              <w:ind w:right="113"/>
            </w:pPr>
            <w:r>
              <w:t>9</w:t>
            </w:r>
            <w:r w:rsidR="008C0437">
              <w:t> heures</w:t>
            </w:r>
            <w:r>
              <w:t>-17</w:t>
            </w:r>
            <w:r w:rsidR="008C0437">
              <w:t> heures</w:t>
            </w:r>
          </w:p>
        </w:tc>
        <w:tc>
          <w:tcPr>
            <w:tcW w:w="5510" w:type="dxa"/>
            <w:shd w:val="clear" w:color="auto" w:fill="auto"/>
          </w:tcPr>
          <w:p w:rsidR="00D00E8F" w:rsidRDefault="00A518C4" w:rsidP="0008134C">
            <w:pPr>
              <w:suppressAutoHyphens/>
              <w:spacing w:before="120" w:after="120"/>
              <w:ind w:right="113"/>
            </w:pPr>
            <w:r>
              <w:t>Consultation</w:t>
            </w:r>
            <w:r w:rsidR="008C0437">
              <w:t>s</w:t>
            </w:r>
            <w:r w:rsidR="00D00E8F">
              <w:t xml:space="preserve"> de tous les groupes régionaux des Nations Unies, y</w:t>
            </w:r>
            <w:r w:rsidR="0008134C">
              <w:t> </w:t>
            </w:r>
            <w:r w:rsidR="00D00E8F">
              <w:t xml:space="preserve">compris pour </w:t>
            </w:r>
            <w:r w:rsidR="008C0437">
              <w:t>examiner le programme de travail de la Plateforme pour la période 2014-2018</w:t>
            </w:r>
          </w:p>
        </w:tc>
      </w:tr>
      <w:tr w:rsidR="00D00E8F" w:rsidRPr="00FB6D7F" w:rsidTr="00592E29">
        <w:tblPrEx>
          <w:tblCellMar>
            <w:top w:w="0" w:type="dxa"/>
            <w:bottom w:w="0" w:type="dxa"/>
          </w:tblCellMar>
        </w:tblPrEx>
        <w:tc>
          <w:tcPr>
            <w:tcW w:w="2869" w:type="dxa"/>
            <w:shd w:val="clear" w:color="auto" w:fill="auto"/>
          </w:tcPr>
          <w:p w:rsidR="00D00E8F" w:rsidRPr="00FB6D7F" w:rsidRDefault="00D00E8F" w:rsidP="00F5399E">
            <w:pPr>
              <w:suppressAutoHyphens/>
              <w:spacing w:before="120" w:after="120"/>
              <w:ind w:right="113"/>
            </w:pPr>
            <w:r>
              <w:t>9</w:t>
            </w:r>
            <w:r w:rsidR="008C0437">
              <w:t> heures</w:t>
            </w:r>
            <w:r>
              <w:t>-17</w:t>
            </w:r>
            <w:r w:rsidR="008C0437">
              <w:t> h </w:t>
            </w:r>
            <w:r>
              <w:t>30</w:t>
            </w:r>
          </w:p>
        </w:tc>
        <w:tc>
          <w:tcPr>
            <w:tcW w:w="5510" w:type="dxa"/>
            <w:shd w:val="clear" w:color="auto" w:fill="auto"/>
          </w:tcPr>
          <w:p w:rsidR="00D00E8F" w:rsidRPr="00FB6D7F" w:rsidRDefault="00D00E8F" w:rsidP="00F5399E">
            <w:pPr>
              <w:suppressAutoHyphens/>
              <w:spacing w:before="120" w:after="120"/>
              <w:ind w:right="113"/>
            </w:pPr>
            <w:r>
              <w:t xml:space="preserve">Journée des </w:t>
            </w:r>
            <w:r w:rsidR="008C0437">
              <w:t>parties prenantes</w:t>
            </w:r>
          </w:p>
        </w:tc>
      </w:tr>
      <w:tr w:rsidR="00D00E8F" w:rsidRPr="00F5399E" w:rsidTr="00592E29">
        <w:tblPrEx>
          <w:tblCellMar>
            <w:top w:w="0" w:type="dxa"/>
            <w:bottom w:w="0" w:type="dxa"/>
          </w:tblCellMar>
        </w:tblPrEx>
        <w:tc>
          <w:tcPr>
            <w:tcW w:w="8379" w:type="dxa"/>
            <w:gridSpan w:val="2"/>
            <w:shd w:val="clear" w:color="auto" w:fill="auto"/>
          </w:tcPr>
          <w:p w:rsidR="00D00E8F" w:rsidRPr="00F5399E" w:rsidRDefault="003A13DF" w:rsidP="00291DCF">
            <w:pPr>
              <w:keepNext/>
              <w:suppressAutoHyphens/>
              <w:spacing w:before="120" w:after="60"/>
              <w:ind w:right="113"/>
              <w:rPr>
                <w:b/>
              </w:rPr>
            </w:pPr>
            <w:r>
              <w:rPr>
                <w:b/>
              </w:rPr>
              <w:t>L</w:t>
            </w:r>
            <w:r w:rsidR="00D00E8F">
              <w:rPr>
                <w:b/>
              </w:rPr>
              <w:t xml:space="preserve">undi </w:t>
            </w:r>
            <w:r>
              <w:rPr>
                <w:b/>
              </w:rPr>
              <w:t>9 décembre</w:t>
            </w:r>
          </w:p>
        </w:tc>
      </w:tr>
      <w:tr w:rsidR="008C0437" w:rsidRPr="008C0437" w:rsidTr="00592E29">
        <w:tblPrEx>
          <w:tblCellMar>
            <w:top w:w="0" w:type="dxa"/>
            <w:bottom w:w="0" w:type="dxa"/>
          </w:tblCellMar>
        </w:tblPrEx>
        <w:tc>
          <w:tcPr>
            <w:tcW w:w="2869" w:type="dxa"/>
            <w:shd w:val="clear" w:color="auto" w:fill="auto"/>
          </w:tcPr>
          <w:p w:rsidR="008C0437" w:rsidRPr="008C0437" w:rsidRDefault="008C0437" w:rsidP="00F5399E">
            <w:pPr>
              <w:keepNext/>
              <w:suppressAutoHyphens/>
              <w:spacing w:before="120" w:after="60"/>
              <w:ind w:right="113"/>
              <w:rPr>
                <w:b/>
              </w:rPr>
            </w:pPr>
            <w:r w:rsidRPr="008C0437">
              <w:rPr>
                <w:b/>
              </w:rPr>
              <w:t>Horaire</w:t>
            </w:r>
          </w:p>
        </w:tc>
        <w:tc>
          <w:tcPr>
            <w:tcW w:w="5510" w:type="dxa"/>
            <w:shd w:val="clear" w:color="auto" w:fill="auto"/>
          </w:tcPr>
          <w:p w:rsidR="008C0437" w:rsidRPr="008C0437" w:rsidRDefault="008C0437" w:rsidP="00F5399E">
            <w:pPr>
              <w:keepNext/>
              <w:suppressAutoHyphens/>
              <w:spacing w:before="120" w:after="60"/>
              <w:ind w:right="113"/>
              <w:rPr>
                <w:b/>
              </w:rPr>
            </w:pPr>
            <w:r>
              <w:rPr>
                <w:b/>
              </w:rPr>
              <w:t>Travaux</w:t>
            </w:r>
          </w:p>
        </w:tc>
      </w:tr>
      <w:tr w:rsidR="00592E29" w:rsidRPr="00FB6D7F" w:rsidTr="00361472">
        <w:tblPrEx>
          <w:tblCellMar>
            <w:top w:w="0" w:type="dxa"/>
            <w:bottom w:w="0" w:type="dxa"/>
          </w:tblCellMar>
        </w:tblPrEx>
        <w:trPr>
          <w:trHeight w:val="1840"/>
        </w:trPr>
        <w:tc>
          <w:tcPr>
            <w:tcW w:w="2869" w:type="dxa"/>
            <w:shd w:val="clear" w:color="auto" w:fill="auto"/>
          </w:tcPr>
          <w:p w:rsidR="00592E29" w:rsidRPr="00FB6D7F" w:rsidRDefault="00592E29" w:rsidP="00F5399E">
            <w:pPr>
              <w:suppressAutoHyphens/>
              <w:spacing w:before="120" w:after="120"/>
              <w:ind w:right="113"/>
            </w:pPr>
            <w:r>
              <w:t>10 heures-10 h 30</w:t>
            </w:r>
          </w:p>
        </w:tc>
        <w:tc>
          <w:tcPr>
            <w:tcW w:w="5510" w:type="dxa"/>
            <w:shd w:val="clear" w:color="auto" w:fill="auto"/>
          </w:tcPr>
          <w:p w:rsidR="00592E29" w:rsidRPr="00FB6D7F" w:rsidRDefault="00592E29" w:rsidP="00F5399E">
            <w:pPr>
              <w:suppressAutoHyphens/>
              <w:spacing w:before="120" w:after="120"/>
              <w:ind w:right="113"/>
            </w:pPr>
            <w:r>
              <w:t>Point 1 de l</w:t>
            </w:r>
            <w:r w:rsidR="003D1F07">
              <w:t>’</w:t>
            </w:r>
            <w:r>
              <w:t>ordre du jour : Ouverture de la session</w:t>
            </w:r>
          </w:p>
          <w:p w:rsidR="00592E29" w:rsidRPr="00FB6D7F" w:rsidRDefault="00592E29" w:rsidP="00141755">
            <w:pPr>
              <w:numPr>
                <w:ilvl w:val="0"/>
                <w:numId w:val="9"/>
              </w:numPr>
              <w:tabs>
                <w:tab w:val="left" w:pos="691"/>
              </w:tabs>
              <w:suppressAutoHyphens/>
              <w:ind w:left="692" w:right="113" w:hanging="335"/>
            </w:pPr>
            <w:r>
              <w:t>Allocution d</w:t>
            </w:r>
            <w:r w:rsidR="003D1F07">
              <w:t>’</w:t>
            </w:r>
            <w:r>
              <w:t>ouverture du Président de la Plénière</w:t>
            </w:r>
          </w:p>
          <w:p w:rsidR="00592E29" w:rsidRDefault="00592E29" w:rsidP="00141755">
            <w:pPr>
              <w:numPr>
                <w:ilvl w:val="0"/>
                <w:numId w:val="9"/>
              </w:numPr>
              <w:tabs>
                <w:tab w:val="left" w:pos="691"/>
              </w:tabs>
              <w:suppressAutoHyphens/>
              <w:ind w:left="692" w:right="113" w:hanging="335"/>
            </w:pPr>
            <w:r>
              <w:t>Allocution de bienvenue du représentant du Gouvernement turc</w:t>
            </w:r>
          </w:p>
          <w:p w:rsidR="00592E29" w:rsidRPr="00FB6D7F" w:rsidRDefault="00592E29" w:rsidP="00141755">
            <w:pPr>
              <w:numPr>
                <w:ilvl w:val="0"/>
                <w:numId w:val="9"/>
              </w:numPr>
              <w:tabs>
                <w:tab w:val="left" w:pos="691"/>
              </w:tabs>
              <w:suppressAutoHyphens/>
              <w:spacing w:after="60"/>
              <w:ind w:left="691" w:right="113" w:hanging="334"/>
            </w:pPr>
            <w:r>
              <w:t>Allocution du Directeur exécutif du PNUE ou de son représentant</w:t>
            </w:r>
          </w:p>
        </w:tc>
      </w:tr>
      <w:tr w:rsidR="00D00E8F" w:rsidRPr="00FB6D7F" w:rsidTr="00592E29">
        <w:tblPrEx>
          <w:tblCellMar>
            <w:top w:w="0" w:type="dxa"/>
            <w:bottom w:w="0" w:type="dxa"/>
          </w:tblCellMar>
        </w:tblPrEx>
        <w:tc>
          <w:tcPr>
            <w:tcW w:w="2869" w:type="dxa"/>
            <w:shd w:val="clear" w:color="auto" w:fill="auto"/>
          </w:tcPr>
          <w:p w:rsidR="00D00E8F" w:rsidRPr="00FB6D7F" w:rsidRDefault="00D00E8F" w:rsidP="00F5399E">
            <w:pPr>
              <w:suppressAutoHyphens/>
              <w:spacing w:before="120" w:after="120"/>
              <w:ind w:right="113"/>
            </w:pPr>
            <w:r>
              <w:t>10</w:t>
            </w:r>
            <w:r w:rsidR="008C0437">
              <w:t> h </w:t>
            </w:r>
            <w:r>
              <w:t>30-12</w:t>
            </w:r>
            <w:r w:rsidR="008C0437">
              <w:t> h </w:t>
            </w:r>
            <w:r>
              <w:t>30</w:t>
            </w:r>
          </w:p>
        </w:tc>
        <w:tc>
          <w:tcPr>
            <w:tcW w:w="5510" w:type="dxa"/>
            <w:shd w:val="clear" w:color="auto" w:fill="auto"/>
          </w:tcPr>
          <w:p w:rsidR="00D00E8F" w:rsidRDefault="00D00E8F" w:rsidP="00F5399E">
            <w:pPr>
              <w:suppressAutoHyphens/>
              <w:spacing w:before="120" w:after="120"/>
              <w:ind w:right="113"/>
            </w:pPr>
            <w:r>
              <w:t>Point 2 de l</w:t>
            </w:r>
            <w:r w:rsidR="003D1F07">
              <w:t>’</w:t>
            </w:r>
            <w:r>
              <w:t>ordre du jour</w:t>
            </w:r>
            <w:r w:rsidR="00A07ABA">
              <w:t> :</w:t>
            </w:r>
            <w:r>
              <w:t xml:space="preserve"> Questions d</w:t>
            </w:r>
            <w:r w:rsidR="003D1F07">
              <w:t>’</w:t>
            </w:r>
            <w:r>
              <w:t>organisation</w:t>
            </w:r>
          </w:p>
          <w:p w:rsidR="00592E29" w:rsidRDefault="00592E29" w:rsidP="00141755">
            <w:pPr>
              <w:numPr>
                <w:ilvl w:val="0"/>
                <w:numId w:val="9"/>
              </w:numPr>
              <w:tabs>
                <w:tab w:val="left" w:pos="691"/>
              </w:tabs>
              <w:suppressAutoHyphens/>
              <w:ind w:left="692" w:right="113" w:hanging="335"/>
            </w:pPr>
            <w:r>
              <w:t>Adoption de l</w:t>
            </w:r>
            <w:r w:rsidR="003D1F07">
              <w:t>’</w:t>
            </w:r>
            <w:r>
              <w:t>ordre du j</w:t>
            </w:r>
            <w:r w:rsidR="00505246">
              <w:t>our et organisation des travaux</w:t>
            </w:r>
          </w:p>
          <w:p w:rsidR="00592E29" w:rsidRDefault="00592E29" w:rsidP="00141755">
            <w:pPr>
              <w:numPr>
                <w:ilvl w:val="0"/>
                <w:numId w:val="9"/>
              </w:numPr>
              <w:tabs>
                <w:tab w:val="left" w:pos="691"/>
              </w:tabs>
              <w:suppressAutoHyphens/>
              <w:ind w:left="692" w:right="113" w:hanging="335"/>
            </w:pPr>
            <w:r>
              <w:t>État de la composition de la P</w:t>
            </w:r>
            <w:r w:rsidR="00505246">
              <w:t>lateforme</w:t>
            </w:r>
          </w:p>
          <w:p w:rsidR="00592E29" w:rsidRPr="00FB6D7F" w:rsidRDefault="00592E29" w:rsidP="00141755">
            <w:pPr>
              <w:numPr>
                <w:ilvl w:val="0"/>
                <w:numId w:val="9"/>
              </w:numPr>
              <w:tabs>
                <w:tab w:val="left" w:pos="691"/>
              </w:tabs>
              <w:suppressAutoHyphens/>
              <w:spacing w:after="60"/>
              <w:ind w:left="691" w:right="113" w:hanging="334"/>
            </w:pPr>
            <w:r>
              <w:t>Admission d</w:t>
            </w:r>
            <w:r w:rsidR="003D1F07">
              <w:t>’</w:t>
            </w:r>
            <w:r>
              <w:t>observateurs à la deuxième session de la Plénière de la Plateforme</w:t>
            </w:r>
          </w:p>
        </w:tc>
      </w:tr>
      <w:tr w:rsidR="00D00E8F" w:rsidRPr="00FB6D7F" w:rsidTr="00592E29">
        <w:tblPrEx>
          <w:tblCellMar>
            <w:top w:w="0" w:type="dxa"/>
            <w:bottom w:w="0" w:type="dxa"/>
          </w:tblCellMar>
        </w:tblPrEx>
        <w:tc>
          <w:tcPr>
            <w:tcW w:w="2869" w:type="dxa"/>
            <w:shd w:val="clear" w:color="auto" w:fill="auto"/>
          </w:tcPr>
          <w:p w:rsidR="00D00E8F" w:rsidRPr="00FB6D7F" w:rsidRDefault="00D00E8F" w:rsidP="00F5399E">
            <w:pPr>
              <w:suppressAutoHyphens/>
              <w:spacing w:before="120" w:after="120"/>
              <w:ind w:right="113"/>
            </w:pPr>
            <w:r>
              <w:t>12</w:t>
            </w:r>
            <w:r w:rsidR="008C0437">
              <w:t> h </w:t>
            </w:r>
            <w:r>
              <w:t>30-13</w:t>
            </w:r>
            <w:r w:rsidR="008C0437">
              <w:t> heures</w:t>
            </w:r>
          </w:p>
        </w:tc>
        <w:tc>
          <w:tcPr>
            <w:tcW w:w="5510" w:type="dxa"/>
            <w:shd w:val="clear" w:color="auto" w:fill="auto"/>
          </w:tcPr>
          <w:p w:rsidR="00D00E8F" w:rsidRPr="00FB6D7F" w:rsidRDefault="00D00E8F" w:rsidP="00F5399E">
            <w:pPr>
              <w:suppressAutoHyphens/>
              <w:spacing w:before="120" w:after="120"/>
              <w:ind w:right="113"/>
            </w:pPr>
            <w:r>
              <w:t>Point 3 de l</w:t>
            </w:r>
            <w:r w:rsidR="003D1F07">
              <w:t>’</w:t>
            </w:r>
            <w:r>
              <w:t>ordre du jour</w:t>
            </w:r>
            <w:r w:rsidR="00A07ABA">
              <w:t> :</w:t>
            </w:r>
            <w:r>
              <w:t xml:space="preserve"> </w:t>
            </w:r>
            <w:r w:rsidR="00592E29">
              <w:t>Vérification des p</w:t>
            </w:r>
            <w:r>
              <w:t>ouvoirs des représentants</w:t>
            </w:r>
          </w:p>
        </w:tc>
      </w:tr>
      <w:tr w:rsidR="00D00E8F" w:rsidRPr="00FB6D7F" w:rsidTr="00592E29">
        <w:tblPrEx>
          <w:tblCellMar>
            <w:top w:w="0" w:type="dxa"/>
            <w:bottom w:w="0" w:type="dxa"/>
          </w:tblCellMar>
        </w:tblPrEx>
        <w:tc>
          <w:tcPr>
            <w:tcW w:w="2869" w:type="dxa"/>
            <w:shd w:val="clear" w:color="auto" w:fill="auto"/>
          </w:tcPr>
          <w:p w:rsidR="00D00E8F" w:rsidRPr="00FB6D7F" w:rsidRDefault="00D00E8F" w:rsidP="00F5399E">
            <w:pPr>
              <w:suppressAutoHyphens/>
              <w:spacing w:before="120" w:after="120"/>
              <w:ind w:right="113"/>
            </w:pPr>
            <w:r>
              <w:t>15</w:t>
            </w:r>
            <w:r w:rsidR="008C0437">
              <w:t> heures</w:t>
            </w:r>
            <w:r>
              <w:t>-18</w:t>
            </w:r>
            <w:r w:rsidR="008C0437">
              <w:t> heures</w:t>
            </w:r>
          </w:p>
        </w:tc>
        <w:tc>
          <w:tcPr>
            <w:tcW w:w="5510" w:type="dxa"/>
            <w:shd w:val="clear" w:color="auto" w:fill="auto"/>
          </w:tcPr>
          <w:p w:rsidR="00D00E8F" w:rsidRPr="00FB6D7F" w:rsidRDefault="00D00E8F" w:rsidP="00F5399E">
            <w:pPr>
              <w:suppressAutoHyphens/>
              <w:spacing w:before="120" w:after="120"/>
              <w:ind w:right="113"/>
            </w:pPr>
            <w:r>
              <w:t>Point 4 de l</w:t>
            </w:r>
            <w:r w:rsidR="003D1F07">
              <w:t>’</w:t>
            </w:r>
            <w:r>
              <w:t>ordre du jour</w:t>
            </w:r>
            <w:r w:rsidR="00A07ABA">
              <w:t> :</w:t>
            </w:r>
            <w:r>
              <w:t xml:space="preserve"> </w:t>
            </w:r>
            <w:r w:rsidR="00592E29">
              <w:t>Programme de travail initial de la Plateforme : Programme de travail pour la période 2014-2018</w:t>
            </w:r>
          </w:p>
        </w:tc>
      </w:tr>
      <w:tr w:rsidR="00D00E8F" w:rsidRPr="00F5399E" w:rsidTr="00592E29">
        <w:tblPrEx>
          <w:tblCellMar>
            <w:top w:w="0" w:type="dxa"/>
            <w:bottom w:w="0" w:type="dxa"/>
          </w:tblCellMar>
        </w:tblPrEx>
        <w:tc>
          <w:tcPr>
            <w:tcW w:w="8379" w:type="dxa"/>
            <w:gridSpan w:val="2"/>
            <w:shd w:val="clear" w:color="auto" w:fill="auto"/>
          </w:tcPr>
          <w:p w:rsidR="00D00E8F" w:rsidRPr="00F5399E" w:rsidRDefault="003A13DF" w:rsidP="00291DCF">
            <w:pPr>
              <w:keepNext/>
              <w:suppressAutoHyphens/>
              <w:spacing w:before="120" w:after="60"/>
              <w:ind w:right="113"/>
              <w:rPr>
                <w:b/>
              </w:rPr>
            </w:pPr>
            <w:r>
              <w:rPr>
                <w:b/>
              </w:rPr>
              <w:t>M</w:t>
            </w:r>
            <w:r w:rsidR="00D00E8F">
              <w:rPr>
                <w:b/>
              </w:rPr>
              <w:t xml:space="preserve">ardi </w:t>
            </w:r>
            <w:r>
              <w:rPr>
                <w:b/>
              </w:rPr>
              <w:t>10 décembre</w:t>
            </w:r>
          </w:p>
        </w:tc>
      </w:tr>
      <w:tr w:rsidR="008C0437" w:rsidRPr="008C0437" w:rsidTr="00592E29">
        <w:tblPrEx>
          <w:tblCellMar>
            <w:top w:w="0" w:type="dxa"/>
            <w:bottom w:w="0" w:type="dxa"/>
          </w:tblCellMar>
        </w:tblPrEx>
        <w:tc>
          <w:tcPr>
            <w:tcW w:w="2869" w:type="dxa"/>
            <w:shd w:val="clear" w:color="auto" w:fill="auto"/>
          </w:tcPr>
          <w:p w:rsidR="008C0437" w:rsidRPr="008C0437" w:rsidRDefault="008C0437" w:rsidP="00F5399E">
            <w:pPr>
              <w:keepNext/>
              <w:suppressAutoHyphens/>
              <w:spacing w:before="120" w:after="60"/>
              <w:ind w:right="113"/>
              <w:rPr>
                <w:b/>
              </w:rPr>
            </w:pPr>
            <w:r w:rsidRPr="008C0437">
              <w:rPr>
                <w:b/>
              </w:rPr>
              <w:t>Horaire</w:t>
            </w:r>
          </w:p>
        </w:tc>
        <w:tc>
          <w:tcPr>
            <w:tcW w:w="5510" w:type="dxa"/>
            <w:shd w:val="clear" w:color="auto" w:fill="auto"/>
          </w:tcPr>
          <w:p w:rsidR="008C0437" w:rsidRPr="008C0437" w:rsidRDefault="008C0437" w:rsidP="00F5399E">
            <w:pPr>
              <w:keepNext/>
              <w:suppressAutoHyphens/>
              <w:spacing w:before="120" w:after="60"/>
              <w:ind w:right="113"/>
              <w:rPr>
                <w:b/>
              </w:rPr>
            </w:pPr>
            <w:r>
              <w:rPr>
                <w:b/>
              </w:rPr>
              <w:t>Travaux</w:t>
            </w:r>
          </w:p>
        </w:tc>
      </w:tr>
      <w:tr w:rsidR="00D00E8F" w:rsidRPr="00FB6D7F" w:rsidTr="00592E29">
        <w:tblPrEx>
          <w:tblCellMar>
            <w:top w:w="0" w:type="dxa"/>
            <w:bottom w:w="0" w:type="dxa"/>
          </w:tblCellMar>
        </w:tblPrEx>
        <w:tc>
          <w:tcPr>
            <w:tcW w:w="2869" w:type="dxa"/>
            <w:shd w:val="clear" w:color="auto" w:fill="auto"/>
          </w:tcPr>
          <w:p w:rsidR="00D00E8F" w:rsidRPr="00FB6D7F" w:rsidRDefault="00D00E8F" w:rsidP="00F5399E">
            <w:pPr>
              <w:suppressAutoHyphens/>
              <w:spacing w:before="120" w:after="120"/>
              <w:ind w:right="113"/>
            </w:pPr>
            <w:r>
              <w:t>10</w:t>
            </w:r>
            <w:r w:rsidR="008C0437">
              <w:t> heures</w:t>
            </w:r>
            <w:r>
              <w:t>-13</w:t>
            </w:r>
            <w:r w:rsidR="008C0437">
              <w:t> heures</w:t>
            </w:r>
          </w:p>
        </w:tc>
        <w:tc>
          <w:tcPr>
            <w:tcW w:w="5510" w:type="dxa"/>
            <w:shd w:val="clear" w:color="auto" w:fill="auto"/>
          </w:tcPr>
          <w:p w:rsidR="00D00E8F" w:rsidRPr="00DD5BF0" w:rsidRDefault="00592E29" w:rsidP="00F5399E">
            <w:pPr>
              <w:suppressAutoHyphens/>
              <w:spacing w:before="120" w:after="120"/>
              <w:ind w:right="113"/>
            </w:pPr>
            <w:r>
              <w:t>Point 4 de l</w:t>
            </w:r>
            <w:r w:rsidR="003D1F07">
              <w:t>’</w:t>
            </w:r>
            <w:r>
              <w:t>ordre du jour : Programme de travail initial de la Plateforme : Cadre conceptuel</w:t>
            </w:r>
          </w:p>
        </w:tc>
      </w:tr>
      <w:tr w:rsidR="00D00E8F" w:rsidRPr="00FB6D7F" w:rsidTr="00592E29">
        <w:tblPrEx>
          <w:tblCellMar>
            <w:top w:w="0" w:type="dxa"/>
            <w:bottom w:w="0" w:type="dxa"/>
          </w:tblCellMar>
        </w:tblPrEx>
        <w:tc>
          <w:tcPr>
            <w:tcW w:w="2869" w:type="dxa"/>
            <w:shd w:val="clear" w:color="auto" w:fill="auto"/>
          </w:tcPr>
          <w:p w:rsidR="00D00E8F" w:rsidRPr="00FB6D7F" w:rsidRDefault="00D00E8F" w:rsidP="00F5399E">
            <w:pPr>
              <w:suppressAutoHyphens/>
              <w:spacing w:before="120" w:after="120"/>
              <w:ind w:right="115"/>
            </w:pPr>
            <w:r>
              <w:t>15</w:t>
            </w:r>
            <w:r w:rsidR="008C0437">
              <w:t> heures</w:t>
            </w:r>
            <w:r>
              <w:t>-18</w:t>
            </w:r>
            <w:r w:rsidR="008C0437">
              <w:t> heures</w:t>
            </w:r>
          </w:p>
        </w:tc>
        <w:tc>
          <w:tcPr>
            <w:tcW w:w="5510" w:type="dxa"/>
            <w:shd w:val="clear" w:color="auto" w:fill="auto"/>
          </w:tcPr>
          <w:p w:rsidR="00505246" w:rsidRDefault="00505246" w:rsidP="00F5399E">
            <w:pPr>
              <w:suppressAutoHyphens/>
              <w:spacing w:before="120" w:after="120"/>
              <w:ind w:right="115"/>
            </w:pPr>
            <w:r w:rsidRPr="009B0F4D">
              <w:t>Point 5 de l</w:t>
            </w:r>
            <w:r w:rsidR="003D1F07">
              <w:t>’</w:t>
            </w:r>
            <w:r w:rsidRPr="009B0F4D">
              <w:t>ordre du jour</w:t>
            </w:r>
            <w:r>
              <w:t> :</w:t>
            </w:r>
            <w:r w:rsidRPr="009B0F4D">
              <w:t xml:space="preserve"> </w:t>
            </w:r>
            <w:r>
              <w:t>Arrangements financiers et budgétaires pour la Plateforme</w:t>
            </w:r>
          </w:p>
          <w:p w:rsidR="00505246" w:rsidRDefault="00505246" w:rsidP="00141755">
            <w:pPr>
              <w:numPr>
                <w:ilvl w:val="0"/>
                <w:numId w:val="9"/>
              </w:numPr>
              <w:tabs>
                <w:tab w:val="left" w:pos="691"/>
              </w:tabs>
              <w:suppressAutoHyphens/>
              <w:ind w:left="692" w:right="113" w:hanging="335"/>
            </w:pPr>
            <w:r>
              <w:t>Budget pour l</w:t>
            </w:r>
            <w:r w:rsidR="003D1F07">
              <w:t>’</w:t>
            </w:r>
            <w:r>
              <w:t>exercice quadriennal 2014-2018</w:t>
            </w:r>
          </w:p>
          <w:p w:rsidR="00505246" w:rsidRDefault="00505246" w:rsidP="00141755">
            <w:pPr>
              <w:numPr>
                <w:ilvl w:val="0"/>
                <w:numId w:val="9"/>
              </w:numPr>
              <w:tabs>
                <w:tab w:val="left" w:pos="691"/>
              </w:tabs>
              <w:suppressAutoHyphens/>
              <w:ind w:left="692" w:right="113" w:hanging="335"/>
            </w:pPr>
            <w:r>
              <w:t>Options possibles pour le Fonds d</w:t>
            </w:r>
            <w:r w:rsidR="003D1F07">
              <w:t>’</w:t>
            </w:r>
            <w:r>
              <w:t>affectation spéciale</w:t>
            </w:r>
          </w:p>
          <w:p w:rsidR="00D00E8F" w:rsidRPr="009B0F4D" w:rsidRDefault="00505246" w:rsidP="00141755">
            <w:pPr>
              <w:numPr>
                <w:ilvl w:val="0"/>
                <w:numId w:val="9"/>
              </w:numPr>
              <w:tabs>
                <w:tab w:val="left" w:pos="691"/>
              </w:tabs>
              <w:suppressAutoHyphens/>
              <w:ind w:left="692" w:right="113" w:hanging="335"/>
            </w:pPr>
            <w:r>
              <w:t>Procédures financières.</w:t>
            </w:r>
          </w:p>
        </w:tc>
      </w:tr>
      <w:tr w:rsidR="00505246" w:rsidRPr="00FB6D7F" w:rsidTr="00361472">
        <w:tblPrEx>
          <w:tblCellMar>
            <w:top w:w="0" w:type="dxa"/>
            <w:bottom w:w="0" w:type="dxa"/>
          </w:tblCellMar>
        </w:tblPrEx>
        <w:tc>
          <w:tcPr>
            <w:tcW w:w="2869" w:type="dxa"/>
            <w:shd w:val="clear" w:color="auto" w:fill="auto"/>
          </w:tcPr>
          <w:p w:rsidR="00505246" w:rsidRDefault="00505246" w:rsidP="00F5399E">
            <w:pPr>
              <w:suppressAutoHyphens/>
              <w:spacing w:before="120" w:after="120"/>
              <w:ind w:right="115"/>
            </w:pPr>
            <w:r>
              <w:t>19 h 30-22 h 30</w:t>
            </w:r>
          </w:p>
        </w:tc>
        <w:tc>
          <w:tcPr>
            <w:tcW w:w="5510" w:type="dxa"/>
            <w:shd w:val="clear" w:color="auto" w:fill="auto"/>
          </w:tcPr>
          <w:p w:rsidR="00505246" w:rsidRDefault="00505246" w:rsidP="00F5399E">
            <w:pPr>
              <w:suppressAutoHyphens/>
              <w:spacing w:before="120" w:after="120"/>
              <w:ind w:right="115"/>
            </w:pPr>
            <w:r>
              <w:t>Réunion du soir (si nécessaire)</w:t>
            </w:r>
          </w:p>
        </w:tc>
      </w:tr>
      <w:tr w:rsidR="00D00E8F" w:rsidRPr="00F5399E" w:rsidTr="00592E29">
        <w:tblPrEx>
          <w:tblCellMar>
            <w:top w:w="0" w:type="dxa"/>
            <w:bottom w:w="0" w:type="dxa"/>
          </w:tblCellMar>
        </w:tblPrEx>
        <w:tc>
          <w:tcPr>
            <w:tcW w:w="8379" w:type="dxa"/>
            <w:gridSpan w:val="2"/>
            <w:shd w:val="clear" w:color="auto" w:fill="auto"/>
          </w:tcPr>
          <w:p w:rsidR="00D00E8F" w:rsidRPr="009B0F4D" w:rsidRDefault="003A13DF" w:rsidP="00291DCF">
            <w:pPr>
              <w:keepNext/>
              <w:suppressAutoHyphens/>
              <w:spacing w:before="120" w:after="60"/>
              <w:ind w:right="113"/>
              <w:rPr>
                <w:b/>
              </w:rPr>
            </w:pPr>
            <w:r>
              <w:rPr>
                <w:b/>
              </w:rPr>
              <w:lastRenderedPageBreak/>
              <w:t>M</w:t>
            </w:r>
            <w:r w:rsidR="00D00E8F" w:rsidRPr="009B0F4D">
              <w:rPr>
                <w:b/>
              </w:rPr>
              <w:t xml:space="preserve">ercredi </w:t>
            </w:r>
            <w:r>
              <w:rPr>
                <w:b/>
              </w:rPr>
              <w:t>11 décembre</w:t>
            </w:r>
          </w:p>
        </w:tc>
      </w:tr>
      <w:tr w:rsidR="008C0437" w:rsidRPr="008C0437" w:rsidTr="00592E29">
        <w:tblPrEx>
          <w:tblCellMar>
            <w:top w:w="0" w:type="dxa"/>
            <w:bottom w:w="0" w:type="dxa"/>
          </w:tblCellMar>
        </w:tblPrEx>
        <w:tc>
          <w:tcPr>
            <w:tcW w:w="2869" w:type="dxa"/>
            <w:shd w:val="clear" w:color="auto" w:fill="auto"/>
          </w:tcPr>
          <w:p w:rsidR="008C0437" w:rsidRPr="008C0437" w:rsidRDefault="008C0437" w:rsidP="00F5399E">
            <w:pPr>
              <w:keepNext/>
              <w:suppressAutoHyphens/>
              <w:spacing w:before="120" w:after="60"/>
              <w:ind w:right="113"/>
              <w:rPr>
                <w:b/>
              </w:rPr>
            </w:pPr>
            <w:r w:rsidRPr="008C0437">
              <w:rPr>
                <w:b/>
              </w:rPr>
              <w:t>Horaire</w:t>
            </w:r>
          </w:p>
        </w:tc>
        <w:tc>
          <w:tcPr>
            <w:tcW w:w="5510" w:type="dxa"/>
            <w:shd w:val="clear" w:color="auto" w:fill="auto"/>
          </w:tcPr>
          <w:p w:rsidR="008C0437" w:rsidRPr="008C0437" w:rsidRDefault="008C0437" w:rsidP="00F5399E">
            <w:pPr>
              <w:keepNext/>
              <w:suppressAutoHyphens/>
              <w:spacing w:before="120" w:after="60"/>
              <w:ind w:right="113"/>
              <w:rPr>
                <w:b/>
              </w:rPr>
            </w:pPr>
            <w:r>
              <w:rPr>
                <w:b/>
              </w:rPr>
              <w:t>Travaux</w:t>
            </w:r>
          </w:p>
        </w:tc>
      </w:tr>
      <w:tr w:rsidR="00D00E8F" w:rsidRPr="00FB6D7F" w:rsidTr="00592E29">
        <w:tblPrEx>
          <w:tblCellMar>
            <w:top w:w="0" w:type="dxa"/>
            <w:bottom w:w="0" w:type="dxa"/>
          </w:tblCellMar>
        </w:tblPrEx>
        <w:tc>
          <w:tcPr>
            <w:tcW w:w="2869" w:type="dxa"/>
            <w:shd w:val="clear" w:color="auto" w:fill="auto"/>
          </w:tcPr>
          <w:p w:rsidR="00D00E8F" w:rsidRPr="00FB6D7F" w:rsidRDefault="00D00E8F" w:rsidP="00F5399E">
            <w:pPr>
              <w:suppressAutoHyphens/>
              <w:spacing w:before="120" w:after="120"/>
              <w:ind w:right="115"/>
            </w:pPr>
            <w:r>
              <w:t>10</w:t>
            </w:r>
            <w:r w:rsidR="008C0437">
              <w:t> heures</w:t>
            </w:r>
            <w:r>
              <w:t>-13</w:t>
            </w:r>
            <w:r w:rsidR="008C0437">
              <w:t> heures</w:t>
            </w:r>
          </w:p>
        </w:tc>
        <w:tc>
          <w:tcPr>
            <w:tcW w:w="5510" w:type="dxa"/>
            <w:shd w:val="clear" w:color="auto" w:fill="auto"/>
          </w:tcPr>
          <w:p w:rsidR="00D00E8F" w:rsidRDefault="00D00E8F" w:rsidP="00F5399E">
            <w:pPr>
              <w:suppressAutoHyphens/>
              <w:spacing w:before="120" w:after="120"/>
              <w:ind w:right="115"/>
            </w:pPr>
            <w:r w:rsidRPr="009B0F4D">
              <w:t xml:space="preserve">Point </w:t>
            </w:r>
            <w:r w:rsidR="00505246">
              <w:t>6</w:t>
            </w:r>
            <w:r w:rsidRPr="009B0F4D">
              <w:t xml:space="preserve"> de l</w:t>
            </w:r>
            <w:r w:rsidR="003D1F07">
              <w:t>’</w:t>
            </w:r>
            <w:r w:rsidRPr="009B0F4D">
              <w:t>ordre du jour</w:t>
            </w:r>
            <w:r w:rsidR="00A07ABA">
              <w:t> :</w:t>
            </w:r>
            <w:r w:rsidRPr="009B0F4D">
              <w:t xml:space="preserve"> </w:t>
            </w:r>
            <w:r w:rsidR="00505246">
              <w:t>Règles et procédures régissant le fonctionnement de la Plateforme</w:t>
            </w:r>
          </w:p>
          <w:p w:rsidR="00505246" w:rsidRDefault="00505246" w:rsidP="00141755">
            <w:pPr>
              <w:numPr>
                <w:ilvl w:val="0"/>
                <w:numId w:val="9"/>
              </w:numPr>
              <w:tabs>
                <w:tab w:val="left" w:pos="691"/>
              </w:tabs>
              <w:suppressAutoHyphens/>
              <w:ind w:left="692" w:right="113" w:hanging="335"/>
            </w:pPr>
            <w:r>
              <w:t>Structure régionale du Groupe d</w:t>
            </w:r>
            <w:r w:rsidR="003D1F07">
              <w:t>’</w:t>
            </w:r>
            <w:r>
              <w:t>experts multidisciplinaire</w:t>
            </w:r>
          </w:p>
          <w:p w:rsidR="00505246" w:rsidRDefault="00505246" w:rsidP="00141755">
            <w:pPr>
              <w:numPr>
                <w:ilvl w:val="0"/>
                <w:numId w:val="9"/>
              </w:numPr>
              <w:tabs>
                <w:tab w:val="left" w:pos="691"/>
              </w:tabs>
              <w:suppressAutoHyphens/>
              <w:ind w:left="692" w:right="113" w:hanging="335"/>
            </w:pPr>
            <w:r>
              <w:t>Examen des procédures administratives régissant la sélection des membres du Groupe d</w:t>
            </w:r>
            <w:r w:rsidR="003D1F07">
              <w:t>’</w:t>
            </w:r>
            <w:r>
              <w:t>experts multidisciplinaire</w:t>
            </w:r>
          </w:p>
          <w:p w:rsidR="00505246" w:rsidRDefault="00505246" w:rsidP="00141755">
            <w:pPr>
              <w:numPr>
                <w:ilvl w:val="0"/>
                <w:numId w:val="9"/>
              </w:numPr>
              <w:tabs>
                <w:tab w:val="left" w:pos="691"/>
              </w:tabs>
              <w:suppressAutoHyphens/>
              <w:ind w:left="692" w:right="113" w:hanging="335"/>
            </w:pPr>
            <w:r>
              <w:t>Procédures pour l</w:t>
            </w:r>
            <w:r w:rsidR="003D1F07">
              <w:t>’</w:t>
            </w:r>
            <w:r>
              <w:t>établissement, l</w:t>
            </w:r>
            <w:r w:rsidR="003D1F07">
              <w:t>’</w:t>
            </w:r>
            <w:r>
              <w:t>examen, l</w:t>
            </w:r>
            <w:r w:rsidR="003D1F07">
              <w:t>’</w:t>
            </w:r>
            <w:r>
              <w:t>acceptation, l</w:t>
            </w:r>
            <w:r w:rsidR="003D1F07">
              <w:t>’</w:t>
            </w:r>
            <w:r>
              <w:t>adoption, l</w:t>
            </w:r>
            <w:r w:rsidR="003D1F07">
              <w:t>’</w:t>
            </w:r>
            <w:r>
              <w:t>approbation et la publication des rapports d</w:t>
            </w:r>
            <w:r w:rsidR="003D1F07">
              <w:t>’</w:t>
            </w:r>
            <w:r>
              <w:t>évaluation et d</w:t>
            </w:r>
            <w:r w:rsidR="003D1F07">
              <w:t>’</w:t>
            </w:r>
            <w:r>
              <w:t>autres produits de la Plateforme</w:t>
            </w:r>
          </w:p>
          <w:p w:rsidR="00505246" w:rsidRDefault="00505246" w:rsidP="00141755">
            <w:pPr>
              <w:numPr>
                <w:ilvl w:val="0"/>
                <w:numId w:val="9"/>
              </w:numPr>
              <w:tabs>
                <w:tab w:val="left" w:pos="691"/>
              </w:tabs>
              <w:suppressAutoHyphens/>
              <w:ind w:left="692" w:right="113" w:hanging="335"/>
            </w:pPr>
            <w:r>
              <w:t>Politique et procédures d</w:t>
            </w:r>
            <w:r w:rsidR="003D1F07">
              <w:t>’</w:t>
            </w:r>
            <w:r>
              <w:t>admission des observateurs</w:t>
            </w:r>
          </w:p>
          <w:p w:rsidR="00505246" w:rsidRPr="009B0F4D" w:rsidRDefault="00505246" w:rsidP="00141755">
            <w:pPr>
              <w:numPr>
                <w:ilvl w:val="0"/>
                <w:numId w:val="9"/>
              </w:numPr>
              <w:tabs>
                <w:tab w:val="left" w:pos="691"/>
              </w:tabs>
              <w:suppressAutoHyphens/>
              <w:spacing w:after="60"/>
              <w:ind w:left="691" w:right="113" w:hanging="334"/>
            </w:pPr>
            <w:r>
              <w:t>Politique en matière de conflits d</w:t>
            </w:r>
            <w:r w:rsidR="003D1F07">
              <w:t>’</w:t>
            </w:r>
            <w:r>
              <w:t>intérêt</w:t>
            </w:r>
          </w:p>
        </w:tc>
      </w:tr>
      <w:tr w:rsidR="00D00E8F" w:rsidRPr="00FB6D7F" w:rsidTr="00592E29">
        <w:tblPrEx>
          <w:tblCellMar>
            <w:top w:w="0" w:type="dxa"/>
            <w:bottom w:w="0" w:type="dxa"/>
          </w:tblCellMar>
        </w:tblPrEx>
        <w:tc>
          <w:tcPr>
            <w:tcW w:w="2869" w:type="dxa"/>
            <w:shd w:val="clear" w:color="auto" w:fill="auto"/>
          </w:tcPr>
          <w:p w:rsidR="00D00E8F" w:rsidRPr="00FB6D7F" w:rsidRDefault="00D00E8F" w:rsidP="00F5399E">
            <w:pPr>
              <w:suppressAutoHyphens/>
              <w:spacing w:before="120" w:after="120"/>
              <w:ind w:right="115"/>
            </w:pPr>
            <w:r>
              <w:t>15</w:t>
            </w:r>
            <w:r w:rsidR="008C0437">
              <w:t> heures</w:t>
            </w:r>
            <w:r>
              <w:t>-18</w:t>
            </w:r>
            <w:r w:rsidR="008C0437">
              <w:t> heures</w:t>
            </w:r>
          </w:p>
        </w:tc>
        <w:tc>
          <w:tcPr>
            <w:tcW w:w="5510" w:type="dxa"/>
            <w:shd w:val="clear" w:color="auto" w:fill="auto"/>
          </w:tcPr>
          <w:p w:rsidR="00592E29" w:rsidRDefault="00505246" w:rsidP="00F5399E">
            <w:pPr>
              <w:pStyle w:val="Normalnumber"/>
              <w:numPr>
                <w:ilvl w:val="0"/>
                <w:numId w:val="0"/>
              </w:numPr>
              <w:tabs>
                <w:tab w:val="clear" w:pos="1247"/>
                <w:tab w:val="clear" w:pos="1814"/>
                <w:tab w:val="clear" w:pos="2381"/>
                <w:tab w:val="clear" w:pos="2948"/>
                <w:tab w:val="clear" w:pos="3515"/>
                <w:tab w:val="clear" w:pos="4082"/>
              </w:tabs>
              <w:spacing w:before="120"/>
            </w:pPr>
            <w:r>
              <w:t>Point 7 de l</w:t>
            </w:r>
            <w:r w:rsidR="003D1F07">
              <w:t>’</w:t>
            </w:r>
            <w:r>
              <w:t>ordre du jour : Stratégies de communication et d</w:t>
            </w:r>
            <w:r w:rsidR="003D1F07">
              <w:t>’</w:t>
            </w:r>
            <w:r>
              <w:t>association des parties prenantes</w:t>
            </w:r>
          </w:p>
          <w:p w:rsidR="00505246" w:rsidRDefault="00505246" w:rsidP="00141755">
            <w:pPr>
              <w:numPr>
                <w:ilvl w:val="0"/>
                <w:numId w:val="9"/>
              </w:numPr>
              <w:tabs>
                <w:tab w:val="left" w:pos="691"/>
              </w:tabs>
              <w:suppressAutoHyphens/>
              <w:ind w:left="692" w:right="113" w:hanging="335"/>
            </w:pPr>
            <w:r>
              <w:t>Stratégie de communication et de sensibilisation</w:t>
            </w:r>
          </w:p>
          <w:p w:rsidR="00505246" w:rsidRDefault="00505246" w:rsidP="00141755">
            <w:pPr>
              <w:numPr>
                <w:ilvl w:val="0"/>
                <w:numId w:val="9"/>
              </w:numPr>
              <w:tabs>
                <w:tab w:val="left" w:pos="691"/>
              </w:tabs>
              <w:suppressAutoHyphens/>
              <w:ind w:left="692" w:right="113" w:hanging="335"/>
            </w:pPr>
            <w:r>
              <w:t>Stratégie d</w:t>
            </w:r>
            <w:r w:rsidR="003D1F07">
              <w:t>’</w:t>
            </w:r>
            <w:r>
              <w:t>association des parties prenantes</w:t>
            </w:r>
          </w:p>
          <w:p w:rsidR="00505246" w:rsidRPr="009B0F4D" w:rsidRDefault="00505246" w:rsidP="00141755">
            <w:pPr>
              <w:numPr>
                <w:ilvl w:val="0"/>
                <w:numId w:val="9"/>
              </w:numPr>
              <w:tabs>
                <w:tab w:val="left" w:pos="691"/>
              </w:tabs>
              <w:suppressAutoHyphens/>
              <w:spacing w:after="60"/>
              <w:ind w:left="691" w:right="113" w:hanging="334"/>
            </w:pPr>
            <w:r>
              <w:t>Orientations concernant les partenariats stratégiques</w:t>
            </w:r>
          </w:p>
        </w:tc>
      </w:tr>
      <w:tr w:rsidR="00D00E8F" w:rsidRPr="00F5399E" w:rsidTr="00592E29">
        <w:tblPrEx>
          <w:tblCellMar>
            <w:top w:w="0" w:type="dxa"/>
            <w:bottom w:w="0" w:type="dxa"/>
          </w:tblCellMar>
        </w:tblPrEx>
        <w:tc>
          <w:tcPr>
            <w:tcW w:w="8379" w:type="dxa"/>
            <w:gridSpan w:val="2"/>
            <w:shd w:val="clear" w:color="auto" w:fill="auto"/>
          </w:tcPr>
          <w:p w:rsidR="00D00E8F" w:rsidRPr="009B0F4D" w:rsidRDefault="003A13DF" w:rsidP="00291DCF">
            <w:pPr>
              <w:keepNext/>
              <w:suppressAutoHyphens/>
              <w:spacing w:before="120" w:after="60"/>
              <w:ind w:right="113"/>
              <w:rPr>
                <w:b/>
              </w:rPr>
            </w:pPr>
            <w:r>
              <w:rPr>
                <w:b/>
              </w:rPr>
              <w:t>J</w:t>
            </w:r>
            <w:r w:rsidR="00D00E8F">
              <w:rPr>
                <w:b/>
              </w:rPr>
              <w:t>eudi</w:t>
            </w:r>
            <w:r w:rsidR="00D00E8F" w:rsidRPr="009B0F4D">
              <w:rPr>
                <w:b/>
              </w:rPr>
              <w:t xml:space="preserve"> </w:t>
            </w:r>
            <w:r>
              <w:rPr>
                <w:b/>
              </w:rPr>
              <w:t>12 décembre</w:t>
            </w:r>
          </w:p>
        </w:tc>
      </w:tr>
      <w:tr w:rsidR="008C0437" w:rsidRPr="008C0437" w:rsidTr="00592E29">
        <w:tblPrEx>
          <w:tblCellMar>
            <w:top w:w="0" w:type="dxa"/>
            <w:bottom w:w="0" w:type="dxa"/>
          </w:tblCellMar>
        </w:tblPrEx>
        <w:tc>
          <w:tcPr>
            <w:tcW w:w="2869" w:type="dxa"/>
            <w:shd w:val="clear" w:color="auto" w:fill="auto"/>
          </w:tcPr>
          <w:p w:rsidR="008C0437" w:rsidRPr="008C0437" w:rsidRDefault="008C0437" w:rsidP="00F5399E">
            <w:pPr>
              <w:keepNext/>
              <w:suppressAutoHyphens/>
              <w:spacing w:before="120" w:after="60"/>
              <w:ind w:right="113"/>
              <w:rPr>
                <w:b/>
              </w:rPr>
            </w:pPr>
            <w:r w:rsidRPr="008C0437">
              <w:rPr>
                <w:b/>
              </w:rPr>
              <w:t>Horaire</w:t>
            </w:r>
          </w:p>
        </w:tc>
        <w:tc>
          <w:tcPr>
            <w:tcW w:w="5510" w:type="dxa"/>
            <w:shd w:val="clear" w:color="auto" w:fill="auto"/>
          </w:tcPr>
          <w:p w:rsidR="008C0437" w:rsidRPr="008C0437" w:rsidRDefault="008C0437" w:rsidP="00F5399E">
            <w:pPr>
              <w:keepNext/>
              <w:suppressAutoHyphens/>
              <w:spacing w:before="120" w:after="60"/>
              <w:ind w:right="113"/>
              <w:rPr>
                <w:b/>
              </w:rPr>
            </w:pPr>
            <w:r>
              <w:rPr>
                <w:b/>
              </w:rPr>
              <w:t>Travaux</w:t>
            </w:r>
          </w:p>
        </w:tc>
      </w:tr>
      <w:tr w:rsidR="00D00E8F" w:rsidRPr="00FB6D7F" w:rsidTr="00592E29">
        <w:tblPrEx>
          <w:tblCellMar>
            <w:top w:w="0" w:type="dxa"/>
            <w:bottom w:w="0" w:type="dxa"/>
          </w:tblCellMar>
        </w:tblPrEx>
        <w:tc>
          <w:tcPr>
            <w:tcW w:w="2869" w:type="dxa"/>
            <w:shd w:val="clear" w:color="auto" w:fill="auto"/>
          </w:tcPr>
          <w:p w:rsidR="00D00E8F" w:rsidRPr="00FB6D7F" w:rsidRDefault="00D00E8F" w:rsidP="00F5399E">
            <w:pPr>
              <w:suppressAutoHyphens/>
              <w:spacing w:before="120" w:after="120"/>
              <w:ind w:right="115"/>
            </w:pPr>
            <w:r>
              <w:t>10</w:t>
            </w:r>
            <w:r w:rsidR="008C0437">
              <w:t> heures</w:t>
            </w:r>
            <w:r>
              <w:t>-13</w:t>
            </w:r>
            <w:r w:rsidR="008C0437">
              <w:t> heures</w:t>
            </w:r>
          </w:p>
        </w:tc>
        <w:tc>
          <w:tcPr>
            <w:tcW w:w="5510" w:type="dxa"/>
            <w:shd w:val="clear" w:color="auto" w:fill="auto"/>
          </w:tcPr>
          <w:p w:rsidR="00D00E8F" w:rsidRPr="00B6614F" w:rsidRDefault="00D00E8F" w:rsidP="00F5399E">
            <w:pPr>
              <w:suppressAutoHyphens/>
              <w:spacing w:before="120" w:after="120"/>
              <w:ind w:right="115"/>
            </w:pPr>
            <w:r w:rsidRPr="00B6614F">
              <w:t xml:space="preserve">Point </w:t>
            </w:r>
            <w:r w:rsidR="00505246">
              <w:t>8</w:t>
            </w:r>
            <w:r w:rsidRPr="00B6614F">
              <w:t xml:space="preserve"> de l</w:t>
            </w:r>
            <w:r w:rsidR="003D1F07">
              <w:t>’</w:t>
            </w:r>
            <w:r w:rsidRPr="00B6614F">
              <w:t>ordre du jour</w:t>
            </w:r>
            <w:r w:rsidR="00A07ABA">
              <w:t> :</w:t>
            </w:r>
            <w:r w:rsidRPr="00B6614F">
              <w:t xml:space="preserve"> </w:t>
            </w:r>
            <w:r w:rsidR="00505246">
              <w:t xml:space="preserve">Arrangements institutionnels : arrangements </w:t>
            </w:r>
            <w:r w:rsidR="00505246" w:rsidRPr="009C7FD9">
              <w:t>concernant</w:t>
            </w:r>
            <w:r w:rsidR="00505246">
              <w:t xml:space="preserve"> les partenariats de collaboration des Nations Unies pour les travaux de la Plateforme et de son secrétariat</w:t>
            </w:r>
          </w:p>
        </w:tc>
      </w:tr>
      <w:tr w:rsidR="00D00E8F" w:rsidRPr="00FB6D7F" w:rsidTr="00592E29">
        <w:tblPrEx>
          <w:tblCellMar>
            <w:top w:w="0" w:type="dxa"/>
            <w:bottom w:w="0" w:type="dxa"/>
          </w:tblCellMar>
        </w:tblPrEx>
        <w:tc>
          <w:tcPr>
            <w:tcW w:w="2869" w:type="dxa"/>
            <w:shd w:val="clear" w:color="auto" w:fill="auto"/>
          </w:tcPr>
          <w:p w:rsidR="00D00E8F" w:rsidRPr="00FB6D7F" w:rsidRDefault="00D00E8F" w:rsidP="00F5399E">
            <w:pPr>
              <w:suppressAutoHyphens/>
              <w:spacing w:before="120" w:after="120"/>
              <w:ind w:right="115"/>
            </w:pPr>
            <w:r>
              <w:t>15</w:t>
            </w:r>
            <w:r w:rsidR="008C0437">
              <w:t> heures</w:t>
            </w:r>
            <w:r>
              <w:t>-18</w:t>
            </w:r>
            <w:r w:rsidR="008C0437">
              <w:t> heures</w:t>
            </w:r>
          </w:p>
        </w:tc>
        <w:tc>
          <w:tcPr>
            <w:tcW w:w="5510" w:type="dxa"/>
            <w:shd w:val="clear" w:color="auto" w:fill="auto"/>
          </w:tcPr>
          <w:p w:rsidR="00D00E8F" w:rsidRPr="00B6614F" w:rsidRDefault="00442DF6" w:rsidP="00F5399E">
            <w:pPr>
              <w:suppressAutoHyphens/>
              <w:spacing w:before="120" w:after="120"/>
              <w:ind w:right="115"/>
            </w:pPr>
            <w:r w:rsidRPr="00B6614F">
              <w:t>Examen de tous les points de l</w:t>
            </w:r>
            <w:r w:rsidR="003D1F07">
              <w:t>’</w:t>
            </w:r>
            <w:r w:rsidRPr="00B6614F">
              <w:t>ordre du jour en suspens</w:t>
            </w:r>
          </w:p>
        </w:tc>
      </w:tr>
      <w:tr w:rsidR="00505246" w:rsidRPr="00FB6D7F" w:rsidTr="00361472">
        <w:tblPrEx>
          <w:tblCellMar>
            <w:top w:w="0" w:type="dxa"/>
            <w:bottom w:w="0" w:type="dxa"/>
          </w:tblCellMar>
        </w:tblPrEx>
        <w:tc>
          <w:tcPr>
            <w:tcW w:w="2869" w:type="dxa"/>
            <w:shd w:val="clear" w:color="auto" w:fill="auto"/>
          </w:tcPr>
          <w:p w:rsidR="00505246" w:rsidRDefault="00505246" w:rsidP="00F5399E">
            <w:pPr>
              <w:suppressAutoHyphens/>
              <w:spacing w:before="120" w:after="120"/>
              <w:ind w:right="115"/>
            </w:pPr>
            <w:r>
              <w:t>19 h 30-22 h 30</w:t>
            </w:r>
          </w:p>
        </w:tc>
        <w:tc>
          <w:tcPr>
            <w:tcW w:w="5510" w:type="dxa"/>
            <w:shd w:val="clear" w:color="auto" w:fill="auto"/>
          </w:tcPr>
          <w:p w:rsidR="00505246" w:rsidRDefault="00505246" w:rsidP="00F5399E">
            <w:pPr>
              <w:suppressAutoHyphens/>
              <w:spacing w:before="120" w:after="120"/>
              <w:ind w:right="115"/>
            </w:pPr>
            <w:r>
              <w:t>Réunion du soir (si nécessaire)</w:t>
            </w:r>
          </w:p>
        </w:tc>
      </w:tr>
      <w:tr w:rsidR="00D00E8F" w:rsidRPr="00F5399E" w:rsidTr="00592E29">
        <w:tblPrEx>
          <w:tblCellMar>
            <w:top w:w="0" w:type="dxa"/>
            <w:bottom w:w="0" w:type="dxa"/>
          </w:tblCellMar>
        </w:tblPrEx>
        <w:tc>
          <w:tcPr>
            <w:tcW w:w="8379" w:type="dxa"/>
            <w:gridSpan w:val="2"/>
            <w:shd w:val="clear" w:color="auto" w:fill="auto"/>
          </w:tcPr>
          <w:p w:rsidR="00D00E8F" w:rsidRPr="00B6614F" w:rsidRDefault="003A13DF" w:rsidP="00291DCF">
            <w:pPr>
              <w:keepNext/>
              <w:suppressAutoHyphens/>
              <w:spacing w:before="120" w:after="60"/>
              <w:ind w:right="113"/>
              <w:rPr>
                <w:b/>
              </w:rPr>
            </w:pPr>
            <w:r>
              <w:rPr>
                <w:b/>
              </w:rPr>
              <w:t>V</w:t>
            </w:r>
            <w:r w:rsidR="00D00E8F" w:rsidRPr="00B6614F">
              <w:rPr>
                <w:b/>
              </w:rPr>
              <w:t xml:space="preserve">endredi </w:t>
            </w:r>
            <w:r>
              <w:rPr>
                <w:b/>
              </w:rPr>
              <w:t>13 décembre</w:t>
            </w:r>
          </w:p>
        </w:tc>
      </w:tr>
      <w:tr w:rsidR="008C0437" w:rsidRPr="008C0437" w:rsidTr="00592E29">
        <w:tblPrEx>
          <w:tblCellMar>
            <w:top w:w="0" w:type="dxa"/>
            <w:bottom w:w="0" w:type="dxa"/>
          </w:tblCellMar>
        </w:tblPrEx>
        <w:tc>
          <w:tcPr>
            <w:tcW w:w="2869" w:type="dxa"/>
            <w:shd w:val="clear" w:color="auto" w:fill="auto"/>
          </w:tcPr>
          <w:p w:rsidR="008C0437" w:rsidRPr="008C0437" w:rsidRDefault="008C0437" w:rsidP="00F5399E">
            <w:pPr>
              <w:keepNext/>
              <w:suppressAutoHyphens/>
              <w:spacing w:before="120" w:after="60"/>
              <w:ind w:right="113"/>
              <w:rPr>
                <w:b/>
              </w:rPr>
            </w:pPr>
            <w:r w:rsidRPr="008C0437">
              <w:rPr>
                <w:b/>
              </w:rPr>
              <w:t>Horaire</w:t>
            </w:r>
          </w:p>
        </w:tc>
        <w:tc>
          <w:tcPr>
            <w:tcW w:w="5510" w:type="dxa"/>
            <w:shd w:val="clear" w:color="auto" w:fill="auto"/>
          </w:tcPr>
          <w:p w:rsidR="008C0437" w:rsidRPr="008C0437" w:rsidRDefault="008C0437" w:rsidP="00F5399E">
            <w:pPr>
              <w:keepNext/>
              <w:suppressAutoHyphens/>
              <w:spacing w:before="120" w:after="60"/>
              <w:ind w:right="113"/>
              <w:rPr>
                <w:b/>
              </w:rPr>
            </w:pPr>
            <w:r>
              <w:rPr>
                <w:b/>
              </w:rPr>
              <w:t>Travaux</w:t>
            </w:r>
          </w:p>
        </w:tc>
      </w:tr>
      <w:tr w:rsidR="00D00E8F" w:rsidRPr="00FB6D7F" w:rsidTr="00592E29">
        <w:tblPrEx>
          <w:tblCellMar>
            <w:top w:w="0" w:type="dxa"/>
            <w:bottom w:w="0" w:type="dxa"/>
          </w:tblCellMar>
        </w:tblPrEx>
        <w:tc>
          <w:tcPr>
            <w:tcW w:w="2869" w:type="dxa"/>
            <w:shd w:val="clear" w:color="auto" w:fill="auto"/>
          </w:tcPr>
          <w:p w:rsidR="00D00E8F" w:rsidRPr="00FB6D7F" w:rsidRDefault="00D00E8F" w:rsidP="00F5399E">
            <w:pPr>
              <w:suppressAutoHyphens/>
              <w:spacing w:before="120" w:after="120"/>
              <w:ind w:right="113"/>
            </w:pPr>
            <w:r>
              <w:t>10</w:t>
            </w:r>
            <w:r w:rsidR="008C0437">
              <w:t> heures</w:t>
            </w:r>
            <w:r>
              <w:t>-13</w:t>
            </w:r>
            <w:r w:rsidR="008C0437">
              <w:t> heures</w:t>
            </w:r>
          </w:p>
        </w:tc>
        <w:tc>
          <w:tcPr>
            <w:tcW w:w="5510" w:type="dxa"/>
            <w:shd w:val="clear" w:color="auto" w:fill="auto"/>
          </w:tcPr>
          <w:p w:rsidR="00D00E8F" w:rsidRPr="00B6614F" w:rsidRDefault="00442DF6" w:rsidP="00F5399E">
            <w:pPr>
              <w:suppressAutoHyphens/>
              <w:spacing w:before="120" w:after="120"/>
              <w:ind w:right="113"/>
            </w:pPr>
            <w:r w:rsidRPr="00B6614F">
              <w:t>Examen de tous les points de l</w:t>
            </w:r>
            <w:r w:rsidR="003D1F07">
              <w:t>’</w:t>
            </w:r>
            <w:r w:rsidRPr="00B6614F">
              <w:t>ordre du jour en suspens</w:t>
            </w:r>
          </w:p>
        </w:tc>
      </w:tr>
      <w:tr w:rsidR="00D00E8F" w:rsidRPr="00FB6D7F" w:rsidTr="00592E29">
        <w:tblPrEx>
          <w:tblCellMar>
            <w:top w:w="0" w:type="dxa"/>
            <w:bottom w:w="0" w:type="dxa"/>
          </w:tblCellMar>
        </w:tblPrEx>
        <w:tc>
          <w:tcPr>
            <w:tcW w:w="2869" w:type="dxa"/>
            <w:shd w:val="clear" w:color="auto" w:fill="auto"/>
          </w:tcPr>
          <w:p w:rsidR="00D00E8F" w:rsidRPr="00FB6D7F" w:rsidRDefault="00D00E8F" w:rsidP="00F5399E">
            <w:pPr>
              <w:keepNext/>
              <w:keepLines/>
              <w:suppressAutoHyphens/>
              <w:spacing w:before="120" w:after="120"/>
              <w:ind w:right="113"/>
            </w:pPr>
            <w:r>
              <w:t>15</w:t>
            </w:r>
            <w:r w:rsidR="008C0437">
              <w:t> heures</w:t>
            </w:r>
            <w:r>
              <w:t>-18</w:t>
            </w:r>
            <w:r w:rsidR="008C0437">
              <w:t> heures</w:t>
            </w:r>
          </w:p>
        </w:tc>
        <w:tc>
          <w:tcPr>
            <w:tcW w:w="5510" w:type="dxa"/>
            <w:shd w:val="clear" w:color="auto" w:fill="auto"/>
          </w:tcPr>
          <w:p w:rsidR="00D00E8F" w:rsidRPr="00B6614F" w:rsidRDefault="00442DF6" w:rsidP="00F5399E">
            <w:pPr>
              <w:keepNext/>
              <w:keepLines/>
              <w:suppressAutoHyphens/>
              <w:spacing w:before="120" w:after="120"/>
              <w:ind w:right="113"/>
            </w:pPr>
            <w:r w:rsidRPr="00B6614F">
              <w:t>Examen de tous les points de l</w:t>
            </w:r>
            <w:r w:rsidR="003D1F07">
              <w:t>’</w:t>
            </w:r>
            <w:r w:rsidRPr="00B6614F">
              <w:t>ordre du jour en suspens</w:t>
            </w:r>
          </w:p>
        </w:tc>
      </w:tr>
      <w:tr w:rsidR="00D00E8F" w:rsidRPr="00FB6D7F" w:rsidTr="00592E29">
        <w:tblPrEx>
          <w:tblCellMar>
            <w:top w:w="0" w:type="dxa"/>
            <w:bottom w:w="0" w:type="dxa"/>
          </w:tblCellMar>
        </w:tblPrEx>
        <w:tc>
          <w:tcPr>
            <w:tcW w:w="2869" w:type="dxa"/>
            <w:shd w:val="clear" w:color="auto" w:fill="auto"/>
          </w:tcPr>
          <w:p w:rsidR="00D00E8F" w:rsidRPr="00FB6D7F" w:rsidRDefault="00D00E8F" w:rsidP="00F5399E">
            <w:pPr>
              <w:suppressAutoHyphens/>
              <w:spacing w:before="120" w:after="120"/>
              <w:ind w:right="115"/>
            </w:pPr>
            <w:r>
              <w:t>19</w:t>
            </w:r>
            <w:r w:rsidR="008C0437">
              <w:t> h </w:t>
            </w:r>
            <w:r w:rsidR="009A3091">
              <w:t>30</w:t>
            </w:r>
            <w:r>
              <w:t>-22</w:t>
            </w:r>
            <w:r w:rsidR="008C0437">
              <w:t> h </w:t>
            </w:r>
            <w:r w:rsidR="009A3091">
              <w:t>30</w:t>
            </w:r>
          </w:p>
        </w:tc>
        <w:tc>
          <w:tcPr>
            <w:tcW w:w="5510" w:type="dxa"/>
            <w:shd w:val="clear" w:color="auto" w:fill="auto"/>
          </w:tcPr>
          <w:p w:rsidR="00D00E8F" w:rsidRPr="00FB6D7F" w:rsidRDefault="00D00E8F" w:rsidP="00F5399E">
            <w:pPr>
              <w:suppressAutoHyphens/>
              <w:spacing w:before="120" w:after="120"/>
              <w:ind w:right="115"/>
            </w:pPr>
            <w:r>
              <w:t>Réunion du soir (si nécessaire)</w:t>
            </w:r>
          </w:p>
        </w:tc>
      </w:tr>
      <w:tr w:rsidR="00D00E8F" w:rsidRPr="00F5399E" w:rsidTr="00592E29">
        <w:tblPrEx>
          <w:tblCellMar>
            <w:top w:w="0" w:type="dxa"/>
            <w:bottom w:w="0" w:type="dxa"/>
          </w:tblCellMar>
        </w:tblPrEx>
        <w:tc>
          <w:tcPr>
            <w:tcW w:w="8379" w:type="dxa"/>
            <w:gridSpan w:val="2"/>
            <w:shd w:val="clear" w:color="auto" w:fill="auto"/>
          </w:tcPr>
          <w:p w:rsidR="00D00E8F" w:rsidRPr="00B6614F" w:rsidRDefault="003A13DF" w:rsidP="00291DCF">
            <w:pPr>
              <w:keepNext/>
              <w:suppressAutoHyphens/>
              <w:spacing w:before="120" w:after="60"/>
              <w:ind w:right="113"/>
              <w:rPr>
                <w:b/>
              </w:rPr>
            </w:pPr>
            <w:r>
              <w:rPr>
                <w:b/>
              </w:rPr>
              <w:t>S</w:t>
            </w:r>
            <w:r w:rsidR="00D00E8F" w:rsidRPr="00B6614F">
              <w:rPr>
                <w:b/>
              </w:rPr>
              <w:t xml:space="preserve">amedi </w:t>
            </w:r>
            <w:r>
              <w:rPr>
                <w:b/>
              </w:rPr>
              <w:t>14 décembre</w:t>
            </w:r>
          </w:p>
        </w:tc>
      </w:tr>
      <w:tr w:rsidR="008C0437" w:rsidRPr="008C0437" w:rsidTr="00592E29">
        <w:tblPrEx>
          <w:tblCellMar>
            <w:top w:w="0" w:type="dxa"/>
            <w:bottom w:w="0" w:type="dxa"/>
          </w:tblCellMar>
        </w:tblPrEx>
        <w:tc>
          <w:tcPr>
            <w:tcW w:w="2869" w:type="dxa"/>
            <w:shd w:val="clear" w:color="auto" w:fill="auto"/>
          </w:tcPr>
          <w:p w:rsidR="008C0437" w:rsidRPr="008C0437" w:rsidRDefault="008C0437" w:rsidP="00F5399E">
            <w:pPr>
              <w:keepNext/>
              <w:suppressAutoHyphens/>
              <w:spacing w:before="120" w:after="60"/>
              <w:ind w:right="113"/>
              <w:rPr>
                <w:b/>
              </w:rPr>
            </w:pPr>
            <w:r w:rsidRPr="008C0437">
              <w:rPr>
                <w:b/>
              </w:rPr>
              <w:t>Horaire</w:t>
            </w:r>
          </w:p>
        </w:tc>
        <w:tc>
          <w:tcPr>
            <w:tcW w:w="5510" w:type="dxa"/>
            <w:shd w:val="clear" w:color="auto" w:fill="auto"/>
          </w:tcPr>
          <w:p w:rsidR="008C0437" w:rsidRPr="008C0437" w:rsidRDefault="008C0437" w:rsidP="00F5399E">
            <w:pPr>
              <w:keepNext/>
              <w:suppressAutoHyphens/>
              <w:spacing w:before="120" w:after="60"/>
              <w:ind w:right="113"/>
              <w:rPr>
                <w:b/>
              </w:rPr>
            </w:pPr>
            <w:r>
              <w:rPr>
                <w:b/>
              </w:rPr>
              <w:t>Travaux</w:t>
            </w:r>
          </w:p>
        </w:tc>
      </w:tr>
      <w:tr w:rsidR="00D00E8F" w:rsidRPr="00FB6D7F" w:rsidTr="00592E29">
        <w:tblPrEx>
          <w:tblCellMar>
            <w:top w:w="0" w:type="dxa"/>
            <w:bottom w:w="0" w:type="dxa"/>
          </w:tblCellMar>
        </w:tblPrEx>
        <w:tc>
          <w:tcPr>
            <w:tcW w:w="2869" w:type="dxa"/>
            <w:shd w:val="clear" w:color="auto" w:fill="auto"/>
          </w:tcPr>
          <w:p w:rsidR="00D00E8F" w:rsidRPr="00FB6D7F" w:rsidRDefault="00D00E8F" w:rsidP="00F5399E">
            <w:pPr>
              <w:keepNext/>
              <w:suppressAutoHyphens/>
              <w:spacing w:before="120" w:after="120"/>
              <w:ind w:right="113"/>
            </w:pPr>
            <w:r>
              <w:t>10</w:t>
            </w:r>
            <w:r w:rsidR="008C0437">
              <w:t> heures</w:t>
            </w:r>
            <w:r>
              <w:t>-13</w:t>
            </w:r>
            <w:r w:rsidR="008C0437">
              <w:t> heures</w:t>
            </w:r>
          </w:p>
        </w:tc>
        <w:tc>
          <w:tcPr>
            <w:tcW w:w="5510" w:type="dxa"/>
            <w:shd w:val="clear" w:color="auto" w:fill="auto"/>
          </w:tcPr>
          <w:p w:rsidR="00D00E8F" w:rsidRPr="00B6614F" w:rsidRDefault="00D00E8F" w:rsidP="00F5399E">
            <w:pPr>
              <w:keepNext/>
              <w:suppressAutoHyphens/>
              <w:spacing w:before="120" w:after="120"/>
              <w:ind w:right="113"/>
            </w:pPr>
            <w:r w:rsidRPr="00B6614F">
              <w:t>Examen de tous les points de l</w:t>
            </w:r>
            <w:r w:rsidR="003D1F07">
              <w:t>’</w:t>
            </w:r>
            <w:r w:rsidRPr="00B6614F">
              <w:t>ordre du jour en suspens</w:t>
            </w:r>
          </w:p>
        </w:tc>
      </w:tr>
      <w:tr w:rsidR="00D00E8F" w:rsidRPr="00FB6D7F" w:rsidTr="00592E29">
        <w:tblPrEx>
          <w:tblCellMar>
            <w:top w:w="0" w:type="dxa"/>
            <w:bottom w:w="0" w:type="dxa"/>
          </w:tblCellMar>
        </w:tblPrEx>
        <w:tc>
          <w:tcPr>
            <w:tcW w:w="2869" w:type="dxa"/>
            <w:shd w:val="clear" w:color="auto" w:fill="auto"/>
          </w:tcPr>
          <w:p w:rsidR="00D00E8F" w:rsidRPr="00FB6D7F" w:rsidRDefault="00D00E8F" w:rsidP="00F5399E">
            <w:pPr>
              <w:suppressAutoHyphens/>
              <w:spacing w:before="120" w:after="120"/>
              <w:ind w:right="115"/>
            </w:pPr>
            <w:r>
              <w:t>15</w:t>
            </w:r>
            <w:r w:rsidR="008C0437">
              <w:t> heures</w:t>
            </w:r>
            <w:r>
              <w:t>-16</w:t>
            </w:r>
            <w:r w:rsidR="008C0437">
              <w:t> h </w:t>
            </w:r>
            <w:r>
              <w:t>30</w:t>
            </w:r>
          </w:p>
        </w:tc>
        <w:tc>
          <w:tcPr>
            <w:tcW w:w="5510" w:type="dxa"/>
            <w:shd w:val="clear" w:color="auto" w:fill="auto"/>
          </w:tcPr>
          <w:p w:rsidR="00D00E8F" w:rsidRPr="00B6614F" w:rsidRDefault="00D00E8F" w:rsidP="00F5399E">
            <w:pPr>
              <w:suppressAutoHyphens/>
              <w:spacing w:before="120" w:after="120"/>
              <w:ind w:right="115"/>
            </w:pPr>
            <w:r w:rsidRPr="00B6614F">
              <w:t>Point 9 de l</w:t>
            </w:r>
            <w:r w:rsidR="003D1F07">
              <w:t>’</w:t>
            </w:r>
            <w:r w:rsidRPr="00B6614F">
              <w:t>ordre du jour</w:t>
            </w:r>
            <w:r w:rsidR="00A07ABA">
              <w:t> :</w:t>
            </w:r>
            <w:r w:rsidRPr="00B6614F">
              <w:t xml:space="preserve"> Ordre du jour provisoire, dates et lieu des futures sessions de la Plénière</w:t>
            </w:r>
          </w:p>
        </w:tc>
      </w:tr>
      <w:tr w:rsidR="00D00E8F" w:rsidRPr="00FB6D7F" w:rsidTr="00592E29">
        <w:tblPrEx>
          <w:tblCellMar>
            <w:top w:w="0" w:type="dxa"/>
            <w:bottom w:w="0" w:type="dxa"/>
          </w:tblCellMar>
        </w:tblPrEx>
        <w:tc>
          <w:tcPr>
            <w:tcW w:w="2869" w:type="dxa"/>
            <w:shd w:val="clear" w:color="auto" w:fill="auto"/>
          </w:tcPr>
          <w:p w:rsidR="00D00E8F" w:rsidRPr="00FB6D7F" w:rsidRDefault="00D00E8F" w:rsidP="00F5399E">
            <w:pPr>
              <w:suppressAutoHyphens/>
              <w:spacing w:before="120" w:after="120"/>
              <w:ind w:right="115"/>
            </w:pPr>
            <w:r>
              <w:t>16</w:t>
            </w:r>
            <w:r w:rsidR="008C0437">
              <w:t> heures</w:t>
            </w:r>
            <w:r>
              <w:t>-17</w:t>
            </w:r>
            <w:r w:rsidR="008C0437">
              <w:t> h </w:t>
            </w:r>
            <w:r>
              <w:t>30</w:t>
            </w:r>
          </w:p>
        </w:tc>
        <w:tc>
          <w:tcPr>
            <w:tcW w:w="5510" w:type="dxa"/>
            <w:shd w:val="clear" w:color="auto" w:fill="auto"/>
          </w:tcPr>
          <w:p w:rsidR="00D00E8F" w:rsidRPr="005B46AC" w:rsidRDefault="00D00E8F" w:rsidP="00F5399E">
            <w:pPr>
              <w:suppressAutoHyphens/>
              <w:spacing w:before="120" w:after="120"/>
              <w:ind w:right="115"/>
            </w:pPr>
            <w:r w:rsidRPr="005B46AC">
              <w:t>Point 10 de l</w:t>
            </w:r>
            <w:r w:rsidR="003D1F07">
              <w:t>’</w:t>
            </w:r>
            <w:r w:rsidRPr="005B46AC">
              <w:t>ordre du jour</w:t>
            </w:r>
            <w:r w:rsidR="00A07ABA">
              <w:t> :</w:t>
            </w:r>
            <w:r w:rsidRPr="005B46AC">
              <w:t xml:space="preserve"> Adoption des décisions et du rapport de la session</w:t>
            </w:r>
          </w:p>
        </w:tc>
      </w:tr>
      <w:tr w:rsidR="00D00E8F" w:rsidRPr="00FB6D7F" w:rsidTr="00592E29">
        <w:tblPrEx>
          <w:tblCellMar>
            <w:top w:w="0" w:type="dxa"/>
            <w:bottom w:w="0" w:type="dxa"/>
          </w:tblCellMar>
        </w:tblPrEx>
        <w:tc>
          <w:tcPr>
            <w:tcW w:w="2869" w:type="dxa"/>
            <w:shd w:val="clear" w:color="auto" w:fill="auto"/>
          </w:tcPr>
          <w:p w:rsidR="00D00E8F" w:rsidRPr="00FB6D7F" w:rsidRDefault="00D00E8F" w:rsidP="00F5399E">
            <w:pPr>
              <w:suppressAutoHyphens/>
              <w:spacing w:before="120" w:after="120"/>
              <w:ind w:right="115"/>
            </w:pPr>
            <w:r>
              <w:t>17</w:t>
            </w:r>
            <w:r w:rsidR="008C0437">
              <w:t> h </w:t>
            </w:r>
            <w:r>
              <w:t>30-18</w:t>
            </w:r>
            <w:r w:rsidR="008C0437">
              <w:t> heures</w:t>
            </w:r>
          </w:p>
        </w:tc>
        <w:tc>
          <w:tcPr>
            <w:tcW w:w="5510" w:type="dxa"/>
            <w:shd w:val="clear" w:color="auto" w:fill="auto"/>
          </w:tcPr>
          <w:p w:rsidR="00D00E8F" w:rsidRPr="00FB6D7F" w:rsidRDefault="00D00E8F" w:rsidP="00F5399E">
            <w:pPr>
              <w:suppressAutoHyphens/>
              <w:spacing w:before="120" w:after="120"/>
              <w:ind w:right="115"/>
            </w:pPr>
            <w:r>
              <w:t>Point 11 de l</w:t>
            </w:r>
            <w:r w:rsidR="003D1F07">
              <w:t>’</w:t>
            </w:r>
            <w:r>
              <w:t>ordre du jour</w:t>
            </w:r>
            <w:r w:rsidR="00A07ABA">
              <w:t> :</w:t>
            </w:r>
            <w:r>
              <w:t xml:space="preserve"> Clôture de la session</w:t>
            </w:r>
          </w:p>
        </w:tc>
      </w:tr>
      <w:tr w:rsidR="00D00E8F" w:rsidRPr="00FB6D7F" w:rsidTr="00592E29">
        <w:tblPrEx>
          <w:tblCellMar>
            <w:top w:w="0" w:type="dxa"/>
            <w:bottom w:w="0" w:type="dxa"/>
          </w:tblCellMar>
        </w:tblPrEx>
        <w:tc>
          <w:tcPr>
            <w:tcW w:w="2869" w:type="dxa"/>
            <w:shd w:val="clear" w:color="auto" w:fill="auto"/>
          </w:tcPr>
          <w:p w:rsidR="00D00E8F" w:rsidRPr="00FB6D7F" w:rsidRDefault="00D00E8F" w:rsidP="00F5399E">
            <w:pPr>
              <w:suppressAutoHyphens/>
              <w:spacing w:before="120" w:after="120"/>
              <w:ind w:right="115"/>
            </w:pPr>
          </w:p>
        </w:tc>
        <w:tc>
          <w:tcPr>
            <w:tcW w:w="5510" w:type="dxa"/>
            <w:shd w:val="clear" w:color="auto" w:fill="auto"/>
          </w:tcPr>
          <w:p w:rsidR="00D00E8F" w:rsidRPr="00FB6D7F" w:rsidRDefault="00D00E8F" w:rsidP="00291DCF">
            <w:pPr>
              <w:suppressAutoHyphens/>
              <w:spacing w:before="120" w:after="120"/>
              <w:ind w:right="115"/>
            </w:pPr>
            <w:r>
              <w:t>Discours de clôture du Président</w:t>
            </w:r>
            <w:r w:rsidR="00442DF6">
              <w:t xml:space="preserve"> de la Plénière</w:t>
            </w:r>
          </w:p>
        </w:tc>
      </w:tr>
    </w:tbl>
    <w:p w:rsidR="00F64297" w:rsidRPr="005B46AC" w:rsidRDefault="00F64297" w:rsidP="002B4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sz w:val="10"/>
        </w:rPr>
      </w:pPr>
    </w:p>
    <w:p w:rsidR="00E36601" w:rsidRDefault="00F64297" w:rsidP="0014175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pPr>
      <w:r>
        <w:rPr>
          <w:noProof/>
          <w:lang w:eastAsia="fr-FR"/>
        </w:rPr>
        <w:pict>
          <v:line id="_x0000_s1027" style="position:absolute;left:0;text-align:left;z-index:251657728;mso-position-horizontal-relative:page" from="270pt,24pt" to="342pt,24pt" strokeweight=".25pt">
            <w10:wrap anchorx="page"/>
          </v:line>
        </w:pict>
      </w:r>
    </w:p>
    <w:sectPr w:rsidR="00E36601" w:rsidSect="00746DD5">
      <w:headerReference w:type="even" r:id="rId11"/>
      <w:headerReference w:type="default" r:id="rId12"/>
      <w:footerReference w:type="even" r:id="rId13"/>
      <w:footerReference w:type="default" r:id="rId14"/>
      <w:footerReference w:type="first" r:id="rId15"/>
      <w:pgSz w:w="11907" w:h="16840" w:code="9"/>
      <w:pgMar w:top="907" w:right="992" w:bottom="1418" w:left="1418" w:header="539" w:footer="975"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6FA" w:rsidRPr="00D61C98" w:rsidRDefault="006626FA" w:rsidP="00E12344">
      <w:pPr>
        <w:rPr>
          <w:sz w:val="14"/>
        </w:rPr>
      </w:pPr>
      <w:r>
        <w:separator/>
      </w:r>
    </w:p>
  </w:endnote>
  <w:endnote w:type="continuationSeparator" w:id="0">
    <w:p w:rsidR="006626FA" w:rsidRPr="00D61C98" w:rsidRDefault="006626FA" w:rsidP="00E12344">
      <w:pPr>
        <w:rPr>
          <w:sz w:val="1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437" w:rsidRPr="001764D2" w:rsidRDefault="001764D2" w:rsidP="001764D2">
    <w:pPr>
      <w:pStyle w:val="Footer-pool"/>
    </w:pPr>
    <w:fldSimple w:instr=" PAGE   \* MERGEFORMAT ">
      <w:r w:rsidR="00FC05BA">
        <w:rPr>
          <w:noProof/>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437" w:rsidRPr="001764D2" w:rsidRDefault="001764D2" w:rsidP="001764D2">
    <w:pPr>
      <w:pStyle w:val="Footer-pool"/>
      <w:jc w:val="right"/>
    </w:pPr>
    <w:fldSimple w:instr=" PAGE   \* MERGEFORMAT ">
      <w:r w:rsidR="00FC05BA">
        <w:rPr>
          <w:noProof/>
        </w:rPr>
        <w:t>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437" w:rsidRPr="001764D2" w:rsidRDefault="001764D2" w:rsidP="001764D2">
    <w:pPr>
      <w:pStyle w:val="Normal-pool"/>
      <w:rPr>
        <w:lang w:val="fr-FR"/>
      </w:rPr>
    </w:pPr>
    <w:r>
      <w:rPr>
        <w:lang w:val="fr-FR"/>
      </w:rPr>
      <w:t>K1353186</w:t>
    </w:r>
    <w:r>
      <w:rPr>
        <w:lang w:val="fr-FR"/>
      </w:rPr>
      <w:tab/>
    </w:r>
    <w:r w:rsidR="00293FB9">
      <w:rPr>
        <w:lang w:val="fr-FR"/>
      </w:rPr>
      <w:t>0611</w:t>
    </w:r>
    <w:r>
      <w:rPr>
        <w:lang w:val="fr-FR"/>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6FA" w:rsidRPr="00D61C98" w:rsidRDefault="006626FA" w:rsidP="00E12344">
      <w:pPr>
        <w:rPr>
          <w:sz w:val="14"/>
        </w:rPr>
      </w:pPr>
      <w:r>
        <w:separator/>
      </w:r>
    </w:p>
  </w:footnote>
  <w:footnote w:type="continuationSeparator" w:id="0">
    <w:p w:rsidR="006626FA" w:rsidRPr="00D61C98" w:rsidRDefault="006626FA" w:rsidP="00E12344">
      <w:pPr>
        <w:rPr>
          <w:sz w:val="14"/>
        </w:rPr>
      </w:pPr>
      <w:r>
        <w:continuationSeparator/>
      </w:r>
    </w:p>
  </w:footnote>
  <w:footnote w:id="1">
    <w:p w:rsidR="00872B68" w:rsidRPr="00872B68" w:rsidRDefault="00872B68">
      <w:pPr>
        <w:pStyle w:val="FootnoteText"/>
        <w:rPr>
          <w:lang w:val="en-US"/>
        </w:rPr>
      </w:pPr>
      <w:r>
        <w:rPr>
          <w:rStyle w:val="FootnoteReference"/>
        </w:rPr>
        <w:footnoteRef/>
      </w:r>
      <w:r>
        <w:t xml:space="preserve"> </w:t>
      </w:r>
      <w:r>
        <w:rPr>
          <w:lang w:val="en-US"/>
        </w:rPr>
        <w:t>Voir IPBES/1/12, par. 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437" w:rsidRPr="00746DD5" w:rsidRDefault="00746DD5" w:rsidP="00746DD5">
    <w:pPr>
      <w:pStyle w:val="Header-pool"/>
      <w:rPr>
        <w:lang w:val="fr-FR"/>
      </w:rPr>
    </w:pPr>
    <w:r>
      <w:rPr>
        <w:lang w:val="fr-FR"/>
      </w:rPr>
      <w:t>IPBES/2/1/Add.1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437" w:rsidRPr="001764D2" w:rsidRDefault="001764D2" w:rsidP="001764D2">
    <w:pPr>
      <w:pStyle w:val="Header-pool"/>
      <w:jc w:val="right"/>
      <w:rPr>
        <w:lang w:val="fr-FR"/>
      </w:rPr>
    </w:pPr>
    <w:r>
      <w:rPr>
        <w:lang w:val="fr-FR"/>
      </w:rPr>
      <w:t>IPBES/2/1/Add.1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51EB"/>
    <w:multiLevelType w:val="hybridMultilevel"/>
    <w:tmpl w:val="B842673A"/>
    <w:lvl w:ilvl="0" w:tplc="7B36577C">
      <w:start w:val="1"/>
      <w:numFmt w:val="lowerLetter"/>
      <w:lvlText w:val="%1)"/>
      <w:lvlJc w:val="left"/>
      <w:pPr>
        <w:ind w:left="3117" w:hanging="1245"/>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
    <w:nsid w:val="14390874"/>
    <w:multiLevelType w:val="hybridMultilevel"/>
    <w:tmpl w:val="FE5C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E2676"/>
    <w:multiLevelType w:val="hybridMultilevel"/>
    <w:tmpl w:val="90C4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nsid w:val="1E0D223B"/>
    <w:multiLevelType w:val="hybridMultilevel"/>
    <w:tmpl w:val="D4708A04"/>
    <w:lvl w:ilvl="0" w:tplc="04090001">
      <w:start w:val="1"/>
      <w:numFmt w:val="bullet"/>
      <w:lvlText w:val=""/>
      <w:lvlJc w:val="left"/>
      <w:pPr>
        <w:ind w:left="1627" w:hanging="360"/>
      </w:pPr>
      <w:rPr>
        <w:rFonts w:ascii="Symbol" w:hAnsi="Symbol"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23397EA0"/>
    <w:multiLevelType w:val="singleLevel"/>
    <w:tmpl w:val="1CEAA264"/>
    <w:lvl w:ilvl="0">
      <w:start w:val="1"/>
      <w:numFmt w:val="decimal"/>
      <w:lvlRestart w:val="0"/>
      <w:lvlText w:val="%1."/>
      <w:lvlJc w:val="left"/>
      <w:pPr>
        <w:tabs>
          <w:tab w:val="num" w:pos="475"/>
        </w:tabs>
        <w:ind w:left="0" w:firstLine="0"/>
      </w:pPr>
      <w:rPr>
        <w:rFonts w:hint="default"/>
        <w:w w:val="100"/>
      </w:rPr>
    </w:lvl>
  </w:abstractNum>
  <w:abstractNum w:abstractNumId="6">
    <w:nsid w:val="28207CFD"/>
    <w:multiLevelType w:val="hybridMultilevel"/>
    <w:tmpl w:val="0FE4EF78"/>
    <w:lvl w:ilvl="0" w:tplc="11D0ADD0">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nsid w:val="2FD11895"/>
    <w:multiLevelType w:val="hybridMultilevel"/>
    <w:tmpl w:val="8040AD8E"/>
    <w:lvl w:ilvl="0" w:tplc="11D0ADD0">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nsid w:val="4B757E1C"/>
    <w:multiLevelType w:val="hybridMultilevel"/>
    <w:tmpl w:val="8040AD8E"/>
    <w:lvl w:ilvl="0" w:tplc="11D0ADD0">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nsid w:val="59E9022D"/>
    <w:multiLevelType w:val="hybridMultilevel"/>
    <w:tmpl w:val="8040AD8E"/>
    <w:lvl w:ilvl="0" w:tplc="11D0ADD0">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
    <w:nsid w:val="62291BF8"/>
    <w:multiLevelType w:val="multilevel"/>
    <w:tmpl w:val="F4ACF36E"/>
    <w:numStyleLink w:val="Normallist"/>
  </w:abstractNum>
  <w:abstractNum w:abstractNumId="13">
    <w:nsid w:val="6EDB06AE"/>
    <w:multiLevelType w:val="hybridMultilevel"/>
    <w:tmpl w:val="8040AD8E"/>
    <w:lvl w:ilvl="0" w:tplc="11D0ADD0">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nsid w:val="71F647CE"/>
    <w:multiLevelType w:val="singleLevel"/>
    <w:tmpl w:val="A17EDF30"/>
    <w:lvl w:ilvl="0">
      <w:start w:val="1"/>
      <w:numFmt w:val="decimal"/>
      <w:lvlRestart w:val="0"/>
      <w:lvlText w:val="Point %1"/>
      <w:lvlJc w:val="left"/>
      <w:pPr>
        <w:tabs>
          <w:tab w:val="num" w:pos="475"/>
        </w:tabs>
        <w:ind w:left="0" w:firstLine="0"/>
      </w:pPr>
      <w:rPr>
        <w:rFonts w:hint="default"/>
        <w:w w:val="100"/>
      </w:rPr>
    </w:lvl>
  </w:abstractNum>
  <w:num w:numId="1">
    <w:abstractNumId w:val="14"/>
  </w:num>
  <w:num w:numId="2">
    <w:abstractNumId w:val="9"/>
  </w:num>
  <w:num w:numId="3">
    <w:abstractNumId w:val="5"/>
  </w:num>
  <w:num w:numId="4">
    <w:abstractNumId w:val="7"/>
  </w:num>
  <w:num w:numId="5">
    <w:abstractNumId w:val="0"/>
  </w:num>
  <w:num w:numId="6">
    <w:abstractNumId w:val="13"/>
  </w:num>
  <w:num w:numId="7">
    <w:abstractNumId w:val="11"/>
  </w:num>
  <w:num w:numId="8">
    <w:abstractNumId w:val="6"/>
  </w:num>
  <w:num w:numId="9">
    <w:abstractNumId w:val="1"/>
  </w:num>
  <w:num w:numId="10">
    <w:abstractNumId w:val="10"/>
  </w:num>
  <w:num w:numId="11">
    <w:abstractNumId w:val="12"/>
  </w:num>
  <w:num w:numId="12">
    <w:abstractNumId w:val="4"/>
  </w:num>
  <w:num w:numId="13">
    <w:abstractNumId w:val="2"/>
  </w:num>
  <w:num w:numId="14">
    <w:abstractNumId w:val="12"/>
  </w:num>
  <w:num w:numId="15">
    <w:abstractNumId w:val="12"/>
  </w:num>
  <w:num w:numId="16">
    <w:abstractNumId w:val="3"/>
  </w:num>
  <w:num w:numId="17">
    <w:abstractNumId w:val="8"/>
  </w:num>
  <w:num w:numId="18">
    <w:abstractNumId w:val="10"/>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624"/>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docVars>
    <w:docVar w:name="Barcode" w:val="*1254306*"/>
    <w:docVar w:name="CreationDt" w:val="24/10/2012 23:28:32"/>
    <w:docVar w:name="DocCategory" w:val="Doc"/>
    <w:docVar w:name="DocType" w:val="Final"/>
    <w:docVar w:name="FooterJN" w:val="12-54306"/>
    <w:docVar w:name="jobn" w:val="12-54306 (F)"/>
    <w:docVar w:name="jobnDT" w:val="12-54306 (F)   241012"/>
    <w:docVar w:name="jobnDTDT" w:val="12-54306 (F)   241012   241012"/>
    <w:docVar w:name="JobNo" w:val="1254306F"/>
    <w:docVar w:name="OandT" w:val="CGE"/>
    <w:docVar w:name="sss1" w:val="IPBES/1/1/Add.1"/>
    <w:docVar w:name="sss2" w:val="-"/>
    <w:docVar w:name="Symbol1" w:val="IPBES/1/1/Add.1"/>
    <w:docVar w:name="Symbol2" w:val="-"/>
  </w:docVars>
  <w:rsids>
    <w:rsidRoot w:val="000B651E"/>
    <w:rsid w:val="00015378"/>
    <w:rsid w:val="000159D2"/>
    <w:rsid w:val="0008134C"/>
    <w:rsid w:val="00086408"/>
    <w:rsid w:val="000A76E2"/>
    <w:rsid w:val="000B651E"/>
    <w:rsid w:val="000C74C9"/>
    <w:rsid w:val="000D0590"/>
    <w:rsid w:val="001061A5"/>
    <w:rsid w:val="001200E6"/>
    <w:rsid w:val="00141755"/>
    <w:rsid w:val="001610BF"/>
    <w:rsid w:val="0017075A"/>
    <w:rsid w:val="00175263"/>
    <w:rsid w:val="001764D2"/>
    <w:rsid w:val="0018073F"/>
    <w:rsid w:val="001A6D63"/>
    <w:rsid w:val="001B1B74"/>
    <w:rsid w:val="001B685B"/>
    <w:rsid w:val="001F6AEA"/>
    <w:rsid w:val="00204C50"/>
    <w:rsid w:val="0024099D"/>
    <w:rsid w:val="002871FD"/>
    <w:rsid w:val="00291DCF"/>
    <w:rsid w:val="00293A99"/>
    <w:rsid w:val="00293FB9"/>
    <w:rsid w:val="002B4AA0"/>
    <w:rsid w:val="002B78CB"/>
    <w:rsid w:val="00325EDC"/>
    <w:rsid w:val="00337665"/>
    <w:rsid w:val="00357E21"/>
    <w:rsid w:val="00360870"/>
    <w:rsid w:val="00361472"/>
    <w:rsid w:val="003851E2"/>
    <w:rsid w:val="00390461"/>
    <w:rsid w:val="003A0C78"/>
    <w:rsid w:val="003A13DF"/>
    <w:rsid w:val="003A1E7C"/>
    <w:rsid w:val="003D03F4"/>
    <w:rsid w:val="003D1F07"/>
    <w:rsid w:val="003E1F47"/>
    <w:rsid w:val="00405D71"/>
    <w:rsid w:val="00415EC3"/>
    <w:rsid w:val="00421822"/>
    <w:rsid w:val="00442DF6"/>
    <w:rsid w:val="00485A22"/>
    <w:rsid w:val="00485BEE"/>
    <w:rsid w:val="00495505"/>
    <w:rsid w:val="00495D09"/>
    <w:rsid w:val="00505246"/>
    <w:rsid w:val="00523686"/>
    <w:rsid w:val="00560859"/>
    <w:rsid w:val="00592E29"/>
    <w:rsid w:val="005D30A2"/>
    <w:rsid w:val="005D50CA"/>
    <w:rsid w:val="005F5DEE"/>
    <w:rsid w:val="00623F35"/>
    <w:rsid w:val="0063663D"/>
    <w:rsid w:val="006401CE"/>
    <w:rsid w:val="00641B9E"/>
    <w:rsid w:val="00661CD8"/>
    <w:rsid w:val="006626FA"/>
    <w:rsid w:val="0072389C"/>
    <w:rsid w:val="007306DB"/>
    <w:rsid w:val="00746DD5"/>
    <w:rsid w:val="00785157"/>
    <w:rsid w:val="00791D28"/>
    <w:rsid w:val="007C1524"/>
    <w:rsid w:val="007C6DFE"/>
    <w:rsid w:val="00813C06"/>
    <w:rsid w:val="00830995"/>
    <w:rsid w:val="00857A84"/>
    <w:rsid w:val="00872B68"/>
    <w:rsid w:val="008A24D9"/>
    <w:rsid w:val="008C0437"/>
    <w:rsid w:val="008C300D"/>
    <w:rsid w:val="008C45FF"/>
    <w:rsid w:val="008D24CC"/>
    <w:rsid w:val="0092508A"/>
    <w:rsid w:val="009A290D"/>
    <w:rsid w:val="009A3091"/>
    <w:rsid w:val="009C15BD"/>
    <w:rsid w:val="009C3810"/>
    <w:rsid w:val="009E2F7F"/>
    <w:rsid w:val="009E7A63"/>
    <w:rsid w:val="009F1BEE"/>
    <w:rsid w:val="00A07ABA"/>
    <w:rsid w:val="00A35BB0"/>
    <w:rsid w:val="00A4188C"/>
    <w:rsid w:val="00A4524A"/>
    <w:rsid w:val="00A518C4"/>
    <w:rsid w:val="00A6699F"/>
    <w:rsid w:val="00A715BC"/>
    <w:rsid w:val="00A71687"/>
    <w:rsid w:val="00A72093"/>
    <w:rsid w:val="00AB0F36"/>
    <w:rsid w:val="00AB396F"/>
    <w:rsid w:val="00AB5EC4"/>
    <w:rsid w:val="00AB7A8E"/>
    <w:rsid w:val="00B05E03"/>
    <w:rsid w:val="00B32FD2"/>
    <w:rsid w:val="00B761AE"/>
    <w:rsid w:val="00B839DB"/>
    <w:rsid w:val="00B86E4B"/>
    <w:rsid w:val="00B87F69"/>
    <w:rsid w:val="00BE5A6F"/>
    <w:rsid w:val="00C7202F"/>
    <w:rsid w:val="00CA2D68"/>
    <w:rsid w:val="00CD7F3C"/>
    <w:rsid w:val="00D00E8F"/>
    <w:rsid w:val="00D5703A"/>
    <w:rsid w:val="00D57198"/>
    <w:rsid w:val="00D85BCF"/>
    <w:rsid w:val="00D963AF"/>
    <w:rsid w:val="00DA13D0"/>
    <w:rsid w:val="00DB07AB"/>
    <w:rsid w:val="00DF3B80"/>
    <w:rsid w:val="00E12344"/>
    <w:rsid w:val="00E23336"/>
    <w:rsid w:val="00E36601"/>
    <w:rsid w:val="00E36849"/>
    <w:rsid w:val="00E36FA3"/>
    <w:rsid w:val="00E43313"/>
    <w:rsid w:val="00E851C1"/>
    <w:rsid w:val="00EC4D85"/>
    <w:rsid w:val="00ED65E6"/>
    <w:rsid w:val="00EF1155"/>
    <w:rsid w:val="00F01887"/>
    <w:rsid w:val="00F019EA"/>
    <w:rsid w:val="00F22852"/>
    <w:rsid w:val="00F45D48"/>
    <w:rsid w:val="00F46741"/>
    <w:rsid w:val="00F53497"/>
    <w:rsid w:val="00F5399E"/>
    <w:rsid w:val="00F64297"/>
    <w:rsid w:val="00F64874"/>
    <w:rsid w:val="00F92733"/>
    <w:rsid w:val="00F97B1C"/>
    <w:rsid w:val="00FC05BA"/>
    <w:rsid w:val="00FD5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DD5"/>
    <w:pPr>
      <w:tabs>
        <w:tab w:val="left" w:pos="1247"/>
        <w:tab w:val="left" w:pos="1814"/>
        <w:tab w:val="left" w:pos="2381"/>
        <w:tab w:val="left" w:pos="2948"/>
        <w:tab w:val="left" w:pos="3515"/>
      </w:tabs>
    </w:pPr>
    <w:rPr>
      <w:lang w:val="fr-FR"/>
    </w:rPr>
  </w:style>
  <w:style w:type="paragraph" w:styleId="Heading1">
    <w:name w:val="heading 1"/>
    <w:basedOn w:val="Normal"/>
    <w:next w:val="Normalnumber"/>
    <w:link w:val="Heading1Char"/>
    <w:qFormat/>
    <w:rsid w:val="00746DD5"/>
    <w:pPr>
      <w:keepNext/>
      <w:spacing w:before="240" w:after="120"/>
      <w:ind w:left="1247" w:hanging="680"/>
      <w:outlineLvl w:val="0"/>
    </w:pPr>
    <w:rPr>
      <w:b/>
      <w:sz w:val="28"/>
    </w:rPr>
  </w:style>
  <w:style w:type="paragraph" w:styleId="Heading2">
    <w:name w:val="heading 2"/>
    <w:basedOn w:val="Normal"/>
    <w:next w:val="Normalnumber"/>
    <w:link w:val="Heading2Char"/>
    <w:qFormat/>
    <w:rsid w:val="00746DD5"/>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746DD5"/>
    <w:pPr>
      <w:spacing w:after="120"/>
      <w:ind w:left="1247" w:hanging="680"/>
      <w:outlineLvl w:val="2"/>
    </w:pPr>
    <w:rPr>
      <w:b/>
    </w:rPr>
  </w:style>
  <w:style w:type="paragraph" w:styleId="Heading4">
    <w:name w:val="heading 4"/>
    <w:basedOn w:val="Heading3"/>
    <w:next w:val="Normalnumber"/>
    <w:link w:val="Heading4Char"/>
    <w:qFormat/>
    <w:rsid w:val="00746DD5"/>
    <w:pPr>
      <w:keepNext/>
      <w:outlineLvl w:val="3"/>
    </w:pPr>
  </w:style>
  <w:style w:type="paragraph" w:styleId="Heading5">
    <w:name w:val="heading 5"/>
    <w:basedOn w:val="Normal"/>
    <w:next w:val="Normal"/>
    <w:link w:val="Heading5Char"/>
    <w:qFormat/>
    <w:rsid w:val="00746DD5"/>
    <w:pPr>
      <w:keepNext/>
      <w:outlineLvl w:val="4"/>
    </w:pPr>
    <w:rPr>
      <w:rFonts w:ascii="Univers" w:hAnsi="Univers"/>
      <w:b/>
      <w:sz w:val="24"/>
    </w:rPr>
  </w:style>
  <w:style w:type="paragraph" w:styleId="Heading6">
    <w:name w:val="heading 6"/>
    <w:basedOn w:val="Normal"/>
    <w:next w:val="Normal"/>
    <w:link w:val="Heading6Char"/>
    <w:qFormat/>
    <w:rsid w:val="00746DD5"/>
    <w:pPr>
      <w:keepNext/>
      <w:ind w:left="578"/>
      <w:outlineLvl w:val="5"/>
    </w:pPr>
    <w:rPr>
      <w:b/>
      <w:bCs/>
      <w:sz w:val="24"/>
    </w:rPr>
  </w:style>
  <w:style w:type="paragraph" w:styleId="Heading7">
    <w:name w:val="heading 7"/>
    <w:basedOn w:val="Normal"/>
    <w:next w:val="Normal"/>
    <w:link w:val="Heading7Char"/>
    <w:qFormat/>
    <w:rsid w:val="00746DD5"/>
    <w:pPr>
      <w:keepNext/>
      <w:widowControl w:val="0"/>
      <w:jc w:val="center"/>
      <w:outlineLvl w:val="6"/>
    </w:pPr>
    <w:rPr>
      <w:snapToGrid w:val="0"/>
      <w:u w:val="single"/>
      <w:lang w:val="en-US"/>
    </w:rPr>
  </w:style>
  <w:style w:type="paragraph" w:styleId="Heading8">
    <w:name w:val="heading 8"/>
    <w:basedOn w:val="Normal"/>
    <w:next w:val="Normal"/>
    <w:link w:val="Heading8Char"/>
    <w:qFormat/>
    <w:rsid w:val="00746DD5"/>
    <w:pPr>
      <w:keepNext/>
      <w:widowControl w:val="0"/>
      <w:numPr>
        <w:numId w:val="16"/>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746DD5"/>
    <w:pPr>
      <w:keepNext/>
      <w:widowControl w:val="0"/>
      <w:numPr>
        <w:numId w:val="17"/>
      </w:numPr>
      <w:suppressAutoHyphens/>
      <w:jc w:val="center"/>
      <w:outlineLvl w:val="8"/>
    </w:pPr>
    <w:rPr>
      <w:snapToGrid w:val="0"/>
      <w:u w:val="single"/>
      <w:lang w:val="en-US"/>
    </w:rPr>
  </w:style>
  <w:style w:type="character" w:default="1" w:styleId="DefaultParagraphFont">
    <w:name w:val="Default Paragraph Font"/>
    <w:uiPriority w:val="1"/>
    <w:semiHidden/>
    <w:unhideWhenUsed/>
    <w:rsid w:val="00746DD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746DD5"/>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clear" w:pos="2381"/>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clear" w:pos="1247"/>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rPr>
      <w:sz w:val="6"/>
    </w:rPr>
  </w:style>
  <w:style w:type="character" w:styleId="FootnoteReference">
    <w:name w:val="footnote reference"/>
    <w:uiPriority w:val="99"/>
    <w:semiHidden/>
    <w:rsid w:val="00746DD5"/>
    <w:rPr>
      <w:rFonts w:ascii="Times New Roman" w:hAnsi="Times New Roman"/>
      <w:color w:val="auto"/>
      <w:sz w:val="20"/>
      <w:szCs w:val="18"/>
      <w:vertAlign w:val="superscript"/>
    </w:rPr>
  </w:style>
  <w:style w:type="character" w:styleId="EndnoteReference">
    <w:name w:val="endnote reference"/>
    <w:basedOn w:val="FootnoteReference"/>
    <w:semiHidden/>
  </w:style>
  <w:style w:type="paragraph" w:styleId="FootnoteText">
    <w:name w:val="footnote text"/>
    <w:basedOn w:val="Normalpool"/>
    <w:link w:val="FootnoteTextChar"/>
    <w:uiPriority w:val="99"/>
    <w:semiHidden/>
    <w:rsid w:val="00746DD5"/>
    <w:pPr>
      <w:spacing w:before="20" w:after="40"/>
      <w:ind w:left="1247"/>
    </w:pPr>
    <w:rPr>
      <w:sz w:val="18"/>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basedOn w:val="Normal"/>
    <w:rsid w:val="00746DD5"/>
    <w:pPr>
      <w:tabs>
        <w:tab w:val="center" w:pos="4320"/>
        <w:tab w:val="right" w:pos="8640"/>
      </w:tabs>
      <w:spacing w:before="60" w:after="120"/>
    </w:pPr>
    <w:rPr>
      <w:sz w:val="18"/>
    </w:rPr>
  </w:style>
  <w:style w:type="paragraph" w:styleId="Header">
    <w:name w:val="header"/>
    <w:basedOn w:val="Normal"/>
    <w:rsid w:val="00746DD5"/>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rsid w:val="00E12344"/>
  </w:style>
  <w:style w:type="paragraph" w:styleId="CommentSubject">
    <w:name w:val="annotation subject"/>
    <w:basedOn w:val="CommentText"/>
    <w:next w:val="CommentText"/>
    <w:semiHidden/>
    <w:rsid w:val="00E12344"/>
    <w:rPr>
      <w:b/>
      <w:bCs/>
    </w:rPr>
  </w:style>
  <w:style w:type="paragraph" w:styleId="BalloonText">
    <w:name w:val="Balloon Text"/>
    <w:basedOn w:val="Normal"/>
    <w:semiHidden/>
    <w:rsid w:val="000D0590"/>
    <w:rPr>
      <w:rFonts w:ascii="Tahoma" w:hAnsi="Tahoma" w:cs="Tahoma"/>
      <w:sz w:val="16"/>
      <w:szCs w:val="16"/>
    </w:rPr>
  </w:style>
  <w:style w:type="character" w:styleId="Hyperlink">
    <w:name w:val="Hyperlink"/>
    <w:rsid w:val="00746DD5"/>
    <w:rPr>
      <w:rFonts w:ascii="Times New Roman" w:hAnsi="Times New Roman"/>
      <w:color w:val="auto"/>
      <w:sz w:val="20"/>
      <w:szCs w:val="20"/>
      <w:u w:val="none"/>
      <w:lang w:val="fr-FR"/>
    </w:rPr>
  </w:style>
  <w:style w:type="numbering" w:customStyle="1" w:styleId="Normallist">
    <w:name w:val="Normal_list"/>
    <w:basedOn w:val="NoList"/>
    <w:semiHidden/>
    <w:rsid w:val="00746DD5"/>
    <w:pPr>
      <w:numPr>
        <w:numId w:val="18"/>
      </w:numPr>
    </w:pPr>
  </w:style>
  <w:style w:type="paragraph" w:customStyle="1" w:styleId="Normalnumber">
    <w:name w:val="Normal_number"/>
    <w:basedOn w:val="Normalpool"/>
    <w:rsid w:val="00746DD5"/>
    <w:pPr>
      <w:numPr>
        <w:numId w:val="19"/>
      </w:numPr>
      <w:spacing w:after="120"/>
    </w:pPr>
  </w:style>
  <w:style w:type="table" w:customStyle="1" w:styleId="AATable">
    <w:name w:val="AA_Table"/>
    <w:basedOn w:val="TableNormal"/>
    <w:semiHidden/>
    <w:rsid w:val="00746DD5"/>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Normalpool">
    <w:name w:val="Normal_pool"/>
    <w:autoRedefine/>
    <w:semiHidden/>
    <w:rsid w:val="00746DD5"/>
    <w:pPr>
      <w:tabs>
        <w:tab w:val="left" w:pos="1247"/>
        <w:tab w:val="left" w:pos="1814"/>
        <w:tab w:val="left" w:pos="2381"/>
        <w:tab w:val="left" w:pos="2948"/>
        <w:tab w:val="left" w:pos="3515"/>
        <w:tab w:val="left" w:pos="4082"/>
      </w:tabs>
    </w:pPr>
    <w:rPr>
      <w:lang w:val="fr-CA"/>
    </w:rPr>
  </w:style>
  <w:style w:type="paragraph" w:customStyle="1" w:styleId="AATitle">
    <w:name w:val="AA_Title"/>
    <w:basedOn w:val="Normalpool"/>
    <w:rsid w:val="00746DD5"/>
    <w:pPr>
      <w:keepNext/>
      <w:keepLines/>
      <w:suppressAutoHyphens/>
      <w:ind w:right="5103"/>
    </w:pPr>
    <w:rPr>
      <w:b/>
    </w:rPr>
  </w:style>
  <w:style w:type="paragraph" w:customStyle="1" w:styleId="AATitle2">
    <w:name w:val="AA_Title2"/>
    <w:basedOn w:val="AATitle"/>
    <w:rsid w:val="00746DD5"/>
    <w:pPr>
      <w:tabs>
        <w:tab w:val="clear" w:pos="4082"/>
      </w:tabs>
      <w:spacing w:before="120" w:after="120"/>
      <w:ind w:right="4536"/>
    </w:pPr>
  </w:style>
  <w:style w:type="paragraph" w:customStyle="1" w:styleId="BBTitle">
    <w:name w:val="BB_Title"/>
    <w:basedOn w:val="Normalpool"/>
    <w:rsid w:val="00746DD5"/>
    <w:pPr>
      <w:keepNext/>
      <w:keepLines/>
      <w:suppressAutoHyphens/>
      <w:spacing w:before="320" w:after="240"/>
      <w:ind w:left="1247" w:right="567"/>
    </w:pPr>
    <w:rPr>
      <w:b/>
      <w:sz w:val="28"/>
      <w:szCs w:val="28"/>
    </w:rPr>
  </w:style>
  <w:style w:type="paragraph" w:customStyle="1" w:styleId="CH1">
    <w:name w:val="CH1"/>
    <w:basedOn w:val="Normalpool"/>
    <w:next w:val="Normal"/>
    <w:rsid w:val="00746DD5"/>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746DD5"/>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746DD5"/>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746DD5"/>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746DD5"/>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746DD5"/>
    <w:pPr>
      <w:tabs>
        <w:tab w:val="left" w:pos="4321"/>
        <w:tab w:val="right" w:pos="8641"/>
      </w:tabs>
      <w:spacing w:before="60" w:after="120"/>
    </w:pPr>
    <w:rPr>
      <w:b/>
      <w:sz w:val="18"/>
    </w:rPr>
  </w:style>
  <w:style w:type="table" w:customStyle="1" w:styleId="Footertable">
    <w:name w:val="Footer_table"/>
    <w:basedOn w:val="TableNormal"/>
    <w:semiHidden/>
    <w:rsid w:val="00746DD5"/>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rsid w:val="00746DD5"/>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746DD5"/>
    <w:pPr>
      <w:tabs>
        <w:tab w:val="left" w:pos="4321"/>
        <w:tab w:val="right" w:pos="8641"/>
      </w:tabs>
      <w:spacing w:before="60" w:after="120"/>
    </w:pPr>
    <w:rPr>
      <w:b/>
      <w:sz w:val="18"/>
    </w:rPr>
  </w:style>
  <w:style w:type="paragraph" w:customStyle="1" w:styleId="Headerpool">
    <w:name w:val="Header_pool"/>
    <w:basedOn w:val="Normal"/>
    <w:next w:val="Normal"/>
    <w:semiHidden/>
    <w:rsid w:val="00746DD5"/>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Header-pool">
    <w:name w:val="Header-pool"/>
    <w:basedOn w:val="Normal-pool"/>
    <w:next w:val="Normal-pool"/>
    <w:rsid w:val="00746DD5"/>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rsid w:val="00746DD5"/>
    <w:rPr>
      <w:b/>
      <w:sz w:val="28"/>
      <w:lang w:eastAsia="en-US"/>
    </w:rPr>
  </w:style>
  <w:style w:type="character" w:customStyle="1" w:styleId="Heading2Char">
    <w:name w:val="Heading 2 Char"/>
    <w:link w:val="Heading2"/>
    <w:rsid w:val="00746DD5"/>
    <w:rPr>
      <w:b/>
      <w:sz w:val="24"/>
      <w:szCs w:val="24"/>
      <w:lang w:eastAsia="en-US"/>
    </w:rPr>
  </w:style>
  <w:style w:type="character" w:customStyle="1" w:styleId="Heading3Char">
    <w:name w:val="Heading 3 Char"/>
    <w:link w:val="Heading3"/>
    <w:rsid w:val="00746DD5"/>
    <w:rPr>
      <w:b/>
      <w:lang w:eastAsia="en-US"/>
    </w:rPr>
  </w:style>
  <w:style w:type="character" w:customStyle="1" w:styleId="Heading4Char">
    <w:name w:val="Heading 4 Char"/>
    <w:link w:val="Heading4"/>
    <w:rsid w:val="00746DD5"/>
    <w:rPr>
      <w:b/>
      <w:lang w:eastAsia="en-US"/>
    </w:rPr>
  </w:style>
  <w:style w:type="character" w:customStyle="1" w:styleId="Heading5Char">
    <w:name w:val="Heading 5 Char"/>
    <w:link w:val="Heading5"/>
    <w:rsid w:val="00746DD5"/>
    <w:rPr>
      <w:rFonts w:ascii="Univers" w:hAnsi="Univers"/>
      <w:b/>
      <w:sz w:val="24"/>
      <w:lang w:eastAsia="en-US"/>
    </w:rPr>
  </w:style>
  <w:style w:type="character" w:customStyle="1" w:styleId="Heading6Char">
    <w:name w:val="Heading 6 Char"/>
    <w:link w:val="Heading6"/>
    <w:rsid w:val="00746DD5"/>
    <w:rPr>
      <w:b/>
      <w:bCs/>
      <w:sz w:val="24"/>
      <w:lang w:eastAsia="en-US"/>
    </w:rPr>
  </w:style>
  <w:style w:type="character" w:customStyle="1" w:styleId="Heading7Char">
    <w:name w:val="Heading 7 Char"/>
    <w:link w:val="Heading7"/>
    <w:rsid w:val="00746DD5"/>
    <w:rPr>
      <w:snapToGrid/>
      <w:u w:val="single"/>
      <w:lang w:val="en-US" w:eastAsia="en-US"/>
    </w:rPr>
  </w:style>
  <w:style w:type="character" w:customStyle="1" w:styleId="Heading8Char">
    <w:name w:val="Heading 8 Char"/>
    <w:link w:val="Heading8"/>
    <w:rsid w:val="00746DD5"/>
    <w:rPr>
      <w:snapToGrid/>
      <w:u w:val="single"/>
      <w:lang w:val="en-US" w:eastAsia="en-US"/>
    </w:rPr>
  </w:style>
  <w:style w:type="character" w:customStyle="1" w:styleId="Heading9Char">
    <w:name w:val="Heading 9 Char"/>
    <w:link w:val="Heading9"/>
    <w:rsid w:val="00746DD5"/>
    <w:rPr>
      <w:snapToGrid/>
      <w:u w:val="single"/>
      <w:lang w:val="en-US" w:eastAsia="en-US"/>
    </w:rPr>
  </w:style>
  <w:style w:type="paragraph" w:customStyle="1" w:styleId="NormalNonumber">
    <w:name w:val="Normal_No_number"/>
    <w:basedOn w:val="Normalpool"/>
    <w:rsid w:val="00746DD5"/>
    <w:pPr>
      <w:spacing w:after="120"/>
      <w:ind w:left="1247"/>
    </w:pPr>
  </w:style>
  <w:style w:type="character" w:styleId="PageNumber">
    <w:name w:val="page number"/>
    <w:rsid w:val="00746DD5"/>
    <w:rPr>
      <w:rFonts w:ascii="Times New Roman" w:hAnsi="Times New Roman"/>
      <w:b/>
      <w:sz w:val="18"/>
    </w:rPr>
  </w:style>
  <w:style w:type="paragraph" w:styleId="TableofFigures">
    <w:name w:val="table of figures"/>
    <w:basedOn w:val="Normal"/>
    <w:next w:val="Normal"/>
    <w:autoRedefine/>
    <w:rsid w:val="00746DD5"/>
    <w:pPr>
      <w:tabs>
        <w:tab w:val="clear" w:pos="1814"/>
        <w:tab w:val="clear" w:pos="2381"/>
        <w:tab w:val="clear" w:pos="2948"/>
        <w:tab w:val="clear" w:pos="3515"/>
      </w:tabs>
      <w:ind w:left="1814" w:hanging="567"/>
    </w:pPr>
  </w:style>
  <w:style w:type="table" w:customStyle="1" w:styleId="Tabledocright">
    <w:name w:val="Table_doc_right"/>
    <w:basedOn w:val="TableNormal"/>
    <w:rsid w:val="00746DD5"/>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746DD5"/>
    <w:pPr>
      <w:keepNext/>
      <w:keepLines/>
      <w:suppressAutoHyphens/>
      <w:spacing w:after="60"/>
      <w:ind w:left="1247"/>
    </w:pPr>
    <w:rPr>
      <w:b/>
      <w:bCs/>
    </w:rPr>
  </w:style>
  <w:style w:type="paragraph" w:customStyle="1" w:styleId="Titlefigure">
    <w:name w:val="Title_figure"/>
    <w:basedOn w:val="Titletable"/>
    <w:next w:val="NormalNonumber"/>
    <w:rsid w:val="00746DD5"/>
    <w:rPr>
      <w:bCs w:val="0"/>
    </w:rPr>
  </w:style>
  <w:style w:type="paragraph" w:styleId="TOC1">
    <w:name w:val="toc 1"/>
    <w:basedOn w:val="Normalpool"/>
    <w:next w:val="Normalpool"/>
    <w:rsid w:val="00746DD5"/>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746DD5"/>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746DD5"/>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746DD5"/>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rsid w:val="00746DD5"/>
    <w:pPr>
      <w:tabs>
        <w:tab w:val="clear" w:pos="1814"/>
        <w:tab w:val="clear" w:pos="2381"/>
        <w:tab w:val="clear" w:pos="2948"/>
        <w:tab w:val="clear" w:pos="3515"/>
      </w:tabs>
      <w:ind w:left="800"/>
    </w:pPr>
    <w:rPr>
      <w:sz w:val="18"/>
      <w:szCs w:val="18"/>
    </w:rPr>
  </w:style>
  <w:style w:type="paragraph" w:styleId="TOC6">
    <w:name w:val="toc 6"/>
    <w:basedOn w:val="Normal"/>
    <w:next w:val="Normal"/>
    <w:autoRedefine/>
    <w:rsid w:val="00746DD5"/>
    <w:pPr>
      <w:tabs>
        <w:tab w:val="clear" w:pos="1814"/>
        <w:tab w:val="clear" w:pos="2381"/>
        <w:tab w:val="clear" w:pos="2948"/>
        <w:tab w:val="clear" w:pos="3515"/>
      </w:tabs>
      <w:ind w:left="1000"/>
    </w:pPr>
    <w:rPr>
      <w:sz w:val="18"/>
      <w:szCs w:val="18"/>
    </w:rPr>
  </w:style>
  <w:style w:type="paragraph" w:styleId="TOC7">
    <w:name w:val="toc 7"/>
    <w:basedOn w:val="Normal"/>
    <w:next w:val="Normal"/>
    <w:autoRedefine/>
    <w:rsid w:val="00746DD5"/>
    <w:pPr>
      <w:tabs>
        <w:tab w:val="clear" w:pos="1814"/>
        <w:tab w:val="clear" w:pos="2381"/>
        <w:tab w:val="clear" w:pos="2948"/>
        <w:tab w:val="clear" w:pos="3515"/>
      </w:tabs>
      <w:ind w:left="1200"/>
    </w:pPr>
    <w:rPr>
      <w:sz w:val="18"/>
      <w:szCs w:val="18"/>
    </w:rPr>
  </w:style>
  <w:style w:type="paragraph" w:styleId="TOC8">
    <w:name w:val="toc 8"/>
    <w:basedOn w:val="Normal"/>
    <w:next w:val="Normal"/>
    <w:autoRedefine/>
    <w:rsid w:val="00746DD5"/>
    <w:pPr>
      <w:tabs>
        <w:tab w:val="clear" w:pos="1814"/>
        <w:tab w:val="clear" w:pos="2381"/>
        <w:tab w:val="clear" w:pos="2948"/>
        <w:tab w:val="clear" w:pos="3515"/>
      </w:tabs>
      <w:ind w:left="1400"/>
    </w:pPr>
    <w:rPr>
      <w:sz w:val="18"/>
      <w:szCs w:val="18"/>
    </w:rPr>
  </w:style>
  <w:style w:type="paragraph" w:styleId="TOC9">
    <w:name w:val="toc 9"/>
    <w:basedOn w:val="Normal"/>
    <w:next w:val="Normal"/>
    <w:autoRedefine/>
    <w:rsid w:val="00746DD5"/>
    <w:pPr>
      <w:tabs>
        <w:tab w:val="clear" w:pos="1814"/>
        <w:tab w:val="clear" w:pos="2381"/>
        <w:tab w:val="clear" w:pos="2948"/>
        <w:tab w:val="clear" w:pos="3515"/>
      </w:tabs>
      <w:ind w:left="1600"/>
    </w:pPr>
    <w:rPr>
      <w:sz w:val="18"/>
      <w:szCs w:val="18"/>
    </w:rPr>
  </w:style>
  <w:style w:type="paragraph" w:customStyle="1" w:styleId="ZZAnxheader">
    <w:name w:val="ZZ_Anx_header"/>
    <w:basedOn w:val="Normalpool"/>
    <w:rsid w:val="00746DD5"/>
    <w:rPr>
      <w:b/>
      <w:bCs/>
      <w:sz w:val="28"/>
      <w:szCs w:val="22"/>
    </w:rPr>
  </w:style>
  <w:style w:type="paragraph" w:customStyle="1" w:styleId="ZZAnxtitle">
    <w:name w:val="ZZ_Anx_title"/>
    <w:basedOn w:val="Normalpool"/>
    <w:rsid w:val="00746DD5"/>
    <w:pPr>
      <w:spacing w:before="360" w:after="120"/>
      <w:ind w:left="1247"/>
    </w:pPr>
    <w:rPr>
      <w:b/>
      <w:bCs/>
      <w:sz w:val="28"/>
      <w:szCs w:val="26"/>
    </w:rPr>
  </w:style>
  <w:style w:type="character" w:customStyle="1" w:styleId="FootnoteTextChar">
    <w:name w:val="Footnote Text Char"/>
    <w:link w:val="FootnoteText"/>
    <w:uiPriority w:val="99"/>
    <w:semiHidden/>
    <w:rsid w:val="00746DD5"/>
    <w:rPr>
      <w:sz w:val="18"/>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7A023-0E66-4EE0-AA22-022EF50F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3588</Words>
  <Characters>20455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creator>Catherine Gentil</dc:creator>
  <cp:lastModifiedBy>Rohan</cp:lastModifiedBy>
  <cp:revision>2</cp:revision>
  <cp:lastPrinted>2012-11-05T11:34:00Z</cp:lastPrinted>
  <dcterms:created xsi:type="dcterms:W3CDTF">2013-11-13T18:11:00Z</dcterms:created>
  <dcterms:modified xsi:type="dcterms:W3CDTF">2013-11-13T18:11:00Z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1254306</vt:lpwstr>
  </property>
  <property fmtid="{D5CDD505-2E9C-101B-9397-08002B2CF9AE}" pid="3" name="Symbol1">
    <vt:lpwstr>IPBES/1/1/Add.1</vt:lpwstr>
  </property>
  <property fmtid="{D5CDD505-2E9C-101B-9397-08002B2CF9AE}" pid="4" name="Symbol2">
    <vt:lpwstr/>
  </property>
  <property fmtid="{D5CDD505-2E9C-101B-9397-08002B2CF9AE}" pid="5" name="Translator">
    <vt:lpwstr/>
  </property>
  <property fmtid="{D5CDD505-2E9C-101B-9397-08002B2CF9AE}" pid="6" name="Comment">
    <vt:lpwstr>Nouveau tirage : JTE/CGE</vt:lpwstr>
  </property>
  <property fmtid="{D5CDD505-2E9C-101B-9397-08002B2CF9AE}" pid="7" name="DraftPages">
    <vt:lpwstr>10</vt:lpwstr>
  </property>
  <property fmtid="{D5CDD505-2E9C-101B-9397-08002B2CF9AE}" pid="8" name="Operator">
    <vt:lpwstr>ETU/CGE</vt:lpwstr>
  </property>
</Properties>
</file>