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60"/>
        <w:gridCol w:w="5387"/>
        <w:gridCol w:w="2833"/>
      </w:tblGrid>
      <w:tr w:rsidR="00FE0DD8" w:rsidRPr="001A1175" w:rsidTr="005D7CC3">
        <w:trPr>
          <w:cantSplit/>
          <w:trHeight w:val="850"/>
        </w:trPr>
        <w:tc>
          <w:tcPr>
            <w:tcW w:w="1560" w:type="dxa"/>
          </w:tcPr>
          <w:p w:rsidR="00FE0DD8" w:rsidRPr="001A1175" w:rsidRDefault="00BE23D0" w:rsidP="005D7CC3">
            <w:pPr>
              <w:spacing w:after="0" w:line="240" w:lineRule="auto"/>
              <w:rPr>
                <w:rFonts w:ascii="Univers" w:eastAsia="MS Mincho" w:hAnsi="Univers"/>
                <w:b/>
                <w:noProof/>
                <w:sz w:val="27"/>
                <w:szCs w:val="27"/>
                <w:lang w:val="en-GB"/>
              </w:rPr>
            </w:pPr>
            <w:r>
              <w:rPr>
                <w:rFonts w:ascii="Univers" w:eastAsia="MS Mincho" w:hAnsi="Univers"/>
                <w:b/>
                <w:noProof/>
                <w:sz w:val="27"/>
                <w:szCs w:val="27"/>
                <w:lang w:val="en-GB"/>
              </w:rPr>
              <w:t>NATIONS</w:t>
            </w:r>
            <w:r>
              <w:rPr>
                <w:rFonts w:ascii="Univers" w:eastAsia="MS Mincho" w:hAnsi="Univers"/>
                <w:b/>
                <w:noProof/>
                <w:sz w:val="27"/>
                <w:szCs w:val="27"/>
                <w:lang w:val="en-GB"/>
              </w:rPr>
              <w:br/>
              <w:t>UNIES</w:t>
            </w:r>
          </w:p>
        </w:tc>
        <w:tc>
          <w:tcPr>
            <w:tcW w:w="5387" w:type="dxa"/>
          </w:tcPr>
          <w:p w:rsidR="00FE0DD8" w:rsidRPr="001A1175" w:rsidRDefault="00FE0DD8" w:rsidP="005D7CC3">
            <w:pPr>
              <w:spacing w:after="0" w:line="240" w:lineRule="auto"/>
              <w:rPr>
                <w:rFonts w:ascii="Univers" w:eastAsia="MS Mincho" w:hAnsi="Univers"/>
                <w:b/>
                <w:sz w:val="27"/>
                <w:szCs w:val="27"/>
                <w:lang w:val="en-GB"/>
              </w:rPr>
            </w:pPr>
          </w:p>
        </w:tc>
        <w:tc>
          <w:tcPr>
            <w:tcW w:w="2833" w:type="dxa"/>
          </w:tcPr>
          <w:p w:rsidR="00FE0DD8" w:rsidRPr="001A1175" w:rsidRDefault="00FE0DD8" w:rsidP="005D7CC3">
            <w:pPr>
              <w:spacing w:after="0" w:line="240" w:lineRule="auto"/>
              <w:jc w:val="right"/>
              <w:rPr>
                <w:rFonts w:ascii="Univers" w:eastAsia="MS Mincho" w:hAnsi="Univers"/>
                <w:b/>
                <w:sz w:val="72"/>
                <w:szCs w:val="72"/>
                <w:lang w:val="en-GB"/>
              </w:rPr>
            </w:pPr>
            <w:r w:rsidRPr="001A1175">
              <w:rPr>
                <w:rFonts w:ascii="Univers" w:eastAsia="MS Mincho" w:hAnsi="Univers"/>
                <w:b/>
                <w:sz w:val="72"/>
                <w:szCs w:val="72"/>
                <w:lang w:val="en-GB"/>
              </w:rPr>
              <w:t>EP</w:t>
            </w:r>
          </w:p>
        </w:tc>
      </w:tr>
      <w:tr w:rsidR="00FE0DD8" w:rsidRPr="001A1175" w:rsidTr="005D7CC3"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FE0DD8" w:rsidRPr="001A1175" w:rsidRDefault="00FE0DD8" w:rsidP="005D7CC3">
            <w:pPr>
              <w:spacing w:after="0" w:line="240" w:lineRule="auto"/>
              <w:rPr>
                <w:rFonts w:ascii="Times New Roman" w:eastAsia="MS Mincho" w:hAnsi="Times New Roman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E0DD8" w:rsidRPr="001A1175" w:rsidRDefault="00FE0DD8" w:rsidP="005D7CC3">
            <w:pPr>
              <w:spacing w:after="0" w:line="240" w:lineRule="auto"/>
              <w:rPr>
                <w:rFonts w:ascii="Univers" w:eastAsia="MS Mincho" w:hAnsi="Univers"/>
                <w:b/>
                <w:sz w:val="18"/>
                <w:szCs w:val="18"/>
                <w:lang w:val="en-GB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E0DD8" w:rsidRPr="001A1175" w:rsidRDefault="00FE0DD8" w:rsidP="00FE0DD8">
            <w:pPr>
              <w:spacing w:after="0" w:line="240" w:lineRule="auto"/>
              <w:rPr>
                <w:rFonts w:ascii="Times New Roman" w:eastAsia="MS Mincho" w:hAnsi="Times New Roman"/>
                <w:noProof/>
                <w:sz w:val="18"/>
                <w:szCs w:val="18"/>
                <w:lang w:val="en-GB" w:eastAsia="ja-JP"/>
              </w:rPr>
            </w:pPr>
            <w:r w:rsidRPr="001A1175">
              <w:rPr>
                <w:rFonts w:ascii="Times New Roman" w:eastAsia="MS Mincho" w:hAnsi="Times New Roman"/>
                <w:b/>
                <w:sz w:val="24"/>
                <w:szCs w:val="24"/>
                <w:lang w:val="en-GB"/>
              </w:rPr>
              <w:t>IPBES</w:t>
            </w:r>
            <w:r w:rsidRPr="001A1175">
              <w:rPr>
                <w:rFonts w:ascii="Times New Roman" w:eastAsia="MS Mincho" w:hAnsi="Times New Roman"/>
                <w:sz w:val="20"/>
                <w:szCs w:val="20"/>
                <w:lang w:val="en-GB" w:eastAsia="ja-JP"/>
              </w:rPr>
              <w:t>/2/16/Add.3</w:t>
            </w:r>
          </w:p>
        </w:tc>
      </w:tr>
      <w:tr w:rsidR="00FE0DD8" w:rsidRPr="00F439CC" w:rsidTr="005D7CC3"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FE0DD8" w:rsidRPr="00F439CC" w:rsidRDefault="00141293" w:rsidP="005D7CC3">
            <w:pPr>
              <w:spacing w:after="0" w:line="240" w:lineRule="auto"/>
              <w:rPr>
                <w:rFonts w:ascii="Times New Roman" w:eastAsia="MS Mincho" w:hAnsi="Times New Roman"/>
                <w:noProof/>
                <w:sz w:val="20"/>
                <w:szCs w:val="20"/>
                <w:lang w:val="fr-CA"/>
              </w:rPr>
            </w:pPr>
            <w:r>
              <w:rPr>
                <w:rFonts w:ascii="Times New Roman" w:eastAsia="MS Mincho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31850" cy="774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S Mincho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23900" cy="762000"/>
                  <wp:effectExtent l="19050" t="0" r="0" b="0"/>
                  <wp:docPr id="2" name="Picture 1" descr="Description: 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24" w:space="0" w:color="auto"/>
            </w:tcBorders>
          </w:tcPr>
          <w:p w:rsidR="00FE0DD8" w:rsidRPr="00F439CC" w:rsidRDefault="00BE23D0" w:rsidP="00D11A48">
            <w:pPr>
              <w:spacing w:before="1080" w:after="0" w:line="240" w:lineRule="auto"/>
              <w:rPr>
                <w:rFonts w:ascii="Univers" w:eastAsia="MS Mincho" w:hAnsi="Univers"/>
                <w:b/>
                <w:sz w:val="28"/>
                <w:szCs w:val="20"/>
                <w:lang w:val="fr-CA"/>
              </w:rPr>
            </w:pPr>
            <w:r w:rsidRPr="00F439CC">
              <w:rPr>
                <w:rFonts w:ascii="Arial" w:eastAsia="MS Mincho" w:hAnsi="Arial" w:cs="Arial"/>
                <w:b/>
                <w:sz w:val="32"/>
                <w:szCs w:val="32"/>
                <w:lang w:val="fr-CA"/>
              </w:rPr>
              <w:t xml:space="preserve">Programme </w:t>
            </w:r>
            <w:r w:rsidR="00D11A48">
              <w:rPr>
                <w:rFonts w:ascii="Arial" w:eastAsia="MS Mincho" w:hAnsi="Arial" w:cs="Arial"/>
                <w:b/>
                <w:sz w:val="32"/>
                <w:szCs w:val="32"/>
                <w:lang w:val="fr-CA"/>
              </w:rPr>
              <w:br/>
            </w:r>
            <w:r w:rsidRPr="00F439CC">
              <w:rPr>
                <w:rFonts w:ascii="Arial" w:eastAsia="MS Mincho" w:hAnsi="Arial" w:cs="Arial"/>
                <w:b/>
                <w:sz w:val="32"/>
                <w:szCs w:val="32"/>
                <w:lang w:val="fr-CA"/>
              </w:rPr>
              <w:t xml:space="preserve">des </w:t>
            </w:r>
            <w:r w:rsidR="00FE0DD8" w:rsidRPr="00F439CC">
              <w:rPr>
                <w:rFonts w:ascii="Arial" w:eastAsia="MS Mincho" w:hAnsi="Arial" w:cs="Arial"/>
                <w:b/>
                <w:sz w:val="32"/>
                <w:szCs w:val="32"/>
                <w:lang w:val="fr-CA"/>
              </w:rPr>
              <w:t>Nations</w:t>
            </w:r>
            <w:r w:rsidRPr="00F439CC">
              <w:rPr>
                <w:rFonts w:ascii="Arial" w:eastAsia="MS Mincho" w:hAnsi="Arial" w:cs="Arial"/>
                <w:b/>
                <w:sz w:val="32"/>
                <w:szCs w:val="32"/>
                <w:lang w:val="fr-CA"/>
              </w:rPr>
              <w:t xml:space="preserve"> Unies </w:t>
            </w:r>
            <w:r w:rsidR="00D11A48">
              <w:rPr>
                <w:rFonts w:ascii="Arial" w:eastAsia="MS Mincho" w:hAnsi="Arial" w:cs="Arial"/>
                <w:b/>
                <w:sz w:val="32"/>
                <w:szCs w:val="32"/>
                <w:lang w:val="fr-CA"/>
              </w:rPr>
              <w:br/>
            </w:r>
            <w:r w:rsidRPr="00F439CC">
              <w:rPr>
                <w:rFonts w:ascii="Arial" w:eastAsia="MS Mincho" w:hAnsi="Arial" w:cs="Arial"/>
                <w:b/>
                <w:sz w:val="32"/>
                <w:szCs w:val="32"/>
                <w:lang w:val="fr-CA"/>
              </w:rPr>
              <w:t>pour l’en</w:t>
            </w:r>
            <w:r w:rsidR="00F439CC" w:rsidRPr="00F439CC">
              <w:rPr>
                <w:rFonts w:ascii="Arial" w:eastAsia="MS Mincho" w:hAnsi="Arial" w:cs="Arial"/>
                <w:b/>
                <w:sz w:val="32"/>
                <w:szCs w:val="32"/>
                <w:lang w:val="fr-CA"/>
              </w:rPr>
              <w:t>v</w:t>
            </w:r>
            <w:r w:rsidRPr="00F439CC">
              <w:rPr>
                <w:rFonts w:ascii="Arial" w:eastAsia="MS Mincho" w:hAnsi="Arial" w:cs="Arial"/>
                <w:b/>
                <w:sz w:val="32"/>
                <w:szCs w:val="32"/>
                <w:lang w:val="fr-CA"/>
              </w:rPr>
              <w:t>i</w:t>
            </w:r>
            <w:r w:rsidR="00F439CC" w:rsidRPr="00F439CC">
              <w:rPr>
                <w:rFonts w:ascii="Arial" w:eastAsia="MS Mincho" w:hAnsi="Arial" w:cs="Arial"/>
                <w:b/>
                <w:sz w:val="32"/>
                <w:szCs w:val="32"/>
                <w:lang w:val="fr-CA"/>
              </w:rPr>
              <w:t>r</w:t>
            </w:r>
            <w:r w:rsidRPr="00F439CC">
              <w:rPr>
                <w:rFonts w:ascii="Arial" w:eastAsia="MS Mincho" w:hAnsi="Arial" w:cs="Arial"/>
                <w:b/>
                <w:sz w:val="32"/>
                <w:szCs w:val="32"/>
                <w:lang w:val="fr-CA"/>
              </w:rPr>
              <w:t>onnement</w:t>
            </w:r>
            <w:r w:rsidR="00FE0DD8" w:rsidRPr="00F439CC">
              <w:rPr>
                <w:rFonts w:ascii="Arial" w:eastAsia="MS Mincho" w:hAnsi="Arial" w:cs="Arial"/>
                <w:b/>
                <w:sz w:val="32"/>
                <w:szCs w:val="32"/>
                <w:lang w:val="fr-CA"/>
              </w:rPr>
              <w:br/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</w:tcBorders>
          </w:tcPr>
          <w:p w:rsidR="00FE0DD8" w:rsidRPr="00F439CC" w:rsidRDefault="00FE0DD8" w:rsidP="00E4118C">
            <w:pPr>
              <w:spacing w:before="120" w:after="0" w:line="240" w:lineRule="auto"/>
              <w:rPr>
                <w:rFonts w:ascii="Times New Roman" w:eastAsia="MS Mincho" w:hAnsi="Times New Roman"/>
                <w:sz w:val="20"/>
                <w:szCs w:val="20"/>
                <w:lang w:val="fr-CA"/>
              </w:rPr>
            </w:pPr>
            <w:r w:rsidRPr="00F439C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>Distr.</w:t>
            </w:r>
            <w:r w:rsidR="00BE23D0" w:rsidRPr="00F439C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> </w:t>
            </w:r>
            <w:r w:rsidR="00F439CC" w:rsidRPr="00F439C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>: g</w:t>
            </w:r>
            <w:r w:rsidR="00BE23D0" w:rsidRPr="00F439C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>énérale</w:t>
            </w:r>
            <w:r w:rsidR="00E9220E" w:rsidRPr="00F439C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br/>
            </w:r>
            <w:r w:rsidR="006A626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>2 octobre </w:t>
            </w:r>
            <w:r w:rsidRPr="00F439C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>2013</w:t>
            </w:r>
          </w:p>
          <w:p w:rsidR="00BE23D0" w:rsidRPr="00F439CC" w:rsidRDefault="00BE23D0" w:rsidP="00E4118C">
            <w:pPr>
              <w:spacing w:before="120" w:after="0" w:line="240" w:lineRule="auto"/>
              <w:rPr>
                <w:rFonts w:ascii="Times New Roman" w:eastAsia="MS Mincho" w:hAnsi="Times New Roman"/>
                <w:sz w:val="20"/>
                <w:szCs w:val="20"/>
                <w:lang w:val="fr-CA"/>
              </w:rPr>
            </w:pPr>
          </w:p>
          <w:p w:rsidR="00BE23D0" w:rsidRPr="00F439CC" w:rsidRDefault="00BE23D0" w:rsidP="00BE23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fr-CA"/>
              </w:rPr>
            </w:pPr>
            <w:r w:rsidRPr="00F439C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>Français</w:t>
            </w:r>
          </w:p>
          <w:p w:rsidR="00FE0DD8" w:rsidRPr="00F439CC" w:rsidRDefault="00FE0DD8" w:rsidP="00126BB9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fr-CA"/>
              </w:rPr>
            </w:pPr>
            <w:r w:rsidRPr="00F439C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>Original</w:t>
            </w:r>
            <w:r w:rsidR="00BE23D0" w:rsidRPr="00F439C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> </w:t>
            </w:r>
            <w:r w:rsidRPr="00F439C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 xml:space="preserve">: </w:t>
            </w:r>
            <w:r w:rsidR="00126BB9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>a</w:t>
            </w:r>
            <w:r w:rsidR="00BE23D0" w:rsidRPr="00F439C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>nglais</w:t>
            </w:r>
            <w:r w:rsidRPr="00F439CC">
              <w:rPr>
                <w:rFonts w:ascii="Times New Roman" w:eastAsia="MS Mincho" w:hAnsi="Times New Roman"/>
                <w:sz w:val="20"/>
                <w:szCs w:val="20"/>
                <w:lang w:val="fr-CA"/>
              </w:rPr>
              <w:t xml:space="preserve"> </w:t>
            </w:r>
          </w:p>
        </w:tc>
      </w:tr>
    </w:tbl>
    <w:p w:rsidR="0012321A" w:rsidRDefault="003703E7" w:rsidP="00FE0DD8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Times New Roman" w:hAnsi="Times New Roman"/>
          <w:b/>
          <w:sz w:val="20"/>
          <w:szCs w:val="20"/>
          <w:lang w:val="fr-CA"/>
        </w:rPr>
      </w:pPr>
      <w:r w:rsidRPr="00BA7E00">
        <w:rPr>
          <w:rFonts w:ascii="Times New Roman" w:hAnsi="Times New Roman"/>
          <w:b/>
          <w:sz w:val="20"/>
          <w:szCs w:val="20"/>
          <w:lang w:val="fr-CA"/>
        </w:rPr>
        <w:t xml:space="preserve">Plénière de </w:t>
      </w:r>
      <w:smartTag w:uri="urn:schemas-microsoft-com:office:smarttags" w:element="PersonName">
        <w:smartTagPr>
          <w:attr w:name="ProductID" w:val="la Plateforme"/>
        </w:smartTagPr>
        <w:r w:rsidRPr="00BA7E00">
          <w:rPr>
            <w:rFonts w:ascii="Times New Roman" w:hAnsi="Times New Roman"/>
            <w:b/>
            <w:sz w:val="20"/>
            <w:szCs w:val="20"/>
            <w:lang w:val="fr-CA"/>
          </w:rPr>
          <w:t>la Plateforme</w:t>
        </w:r>
      </w:smartTag>
      <w:r w:rsidRPr="00BA7E00">
        <w:rPr>
          <w:rFonts w:ascii="Times New Roman" w:hAnsi="Times New Roman"/>
          <w:b/>
          <w:sz w:val="20"/>
          <w:szCs w:val="20"/>
          <w:lang w:val="fr-CA"/>
        </w:rPr>
        <w:t xml:space="preserve"> intergouvernementale scientifique et politique sur la biodiversité et les services écosystémiques</w:t>
      </w:r>
    </w:p>
    <w:p w:rsidR="00FE0DD8" w:rsidRPr="00BA7E00" w:rsidRDefault="00BA7E00" w:rsidP="00FE0DD8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Times New Roman" w:hAnsi="Times New Roman"/>
          <w:b/>
          <w:sz w:val="20"/>
          <w:szCs w:val="20"/>
          <w:lang w:val="fr-CA"/>
        </w:rPr>
      </w:pPr>
      <w:r w:rsidRPr="00BA7E00">
        <w:rPr>
          <w:rFonts w:ascii="Times New Roman" w:hAnsi="Times New Roman"/>
          <w:b/>
          <w:sz w:val="20"/>
          <w:szCs w:val="20"/>
          <w:lang w:val="fr-CA"/>
        </w:rPr>
        <w:t>Deuxième session</w:t>
      </w:r>
    </w:p>
    <w:p w:rsidR="00FE0DD8" w:rsidRPr="00BA7E00" w:rsidRDefault="00FE0DD8" w:rsidP="00FE0DD8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Times New Roman" w:hAnsi="Times New Roman"/>
          <w:sz w:val="20"/>
          <w:szCs w:val="20"/>
          <w:lang w:val="fr-CA" w:eastAsia="ja-JP"/>
        </w:rPr>
      </w:pPr>
      <w:r w:rsidRPr="00BA7E00">
        <w:rPr>
          <w:rFonts w:ascii="Times New Roman" w:hAnsi="Times New Roman"/>
          <w:sz w:val="20"/>
          <w:szCs w:val="20"/>
          <w:lang w:val="fr-CA" w:eastAsia="ja-JP"/>
        </w:rPr>
        <w:t>Antalya, Tur</w:t>
      </w:r>
      <w:r w:rsidR="003703E7" w:rsidRPr="00BA7E00">
        <w:rPr>
          <w:rFonts w:ascii="Times New Roman" w:hAnsi="Times New Roman"/>
          <w:sz w:val="20"/>
          <w:szCs w:val="20"/>
          <w:lang w:val="fr-CA" w:eastAsia="ja-JP"/>
        </w:rPr>
        <w:t>quie</w:t>
      </w:r>
      <w:r w:rsidRPr="00BA7E00">
        <w:rPr>
          <w:rFonts w:ascii="Times New Roman" w:hAnsi="Times New Roman"/>
          <w:sz w:val="20"/>
          <w:szCs w:val="20"/>
          <w:lang w:val="fr-CA" w:eastAsia="ja-JP"/>
        </w:rPr>
        <w:t xml:space="preserve">, </w:t>
      </w:r>
      <w:r w:rsidR="006A626C">
        <w:rPr>
          <w:rFonts w:ascii="Times New Roman" w:hAnsi="Times New Roman"/>
          <w:sz w:val="20"/>
          <w:szCs w:val="20"/>
          <w:lang w:val="fr-CA" w:eastAsia="ja-JP"/>
        </w:rPr>
        <w:t>9–14 décembre </w:t>
      </w:r>
      <w:r w:rsidRPr="00BA7E00">
        <w:rPr>
          <w:rFonts w:ascii="Times New Roman" w:hAnsi="Times New Roman"/>
          <w:sz w:val="20"/>
          <w:szCs w:val="20"/>
          <w:lang w:val="fr-CA" w:eastAsia="ja-JP"/>
        </w:rPr>
        <w:t>2013</w:t>
      </w:r>
    </w:p>
    <w:p w:rsidR="0012321A" w:rsidRDefault="003703E7" w:rsidP="00FE0DD8">
      <w:pPr>
        <w:pStyle w:val="AATitle"/>
        <w:rPr>
          <w:b w:val="0"/>
          <w:lang w:eastAsia="ja-JP"/>
        </w:rPr>
      </w:pPr>
      <w:r w:rsidRPr="00BA7E00">
        <w:rPr>
          <w:b w:val="0"/>
          <w:lang w:eastAsia="ja-JP"/>
        </w:rPr>
        <w:t>Point</w:t>
      </w:r>
      <w:r w:rsidR="00BA7E00" w:rsidRPr="00BA7E00">
        <w:rPr>
          <w:b w:val="0"/>
          <w:lang w:eastAsia="ja-JP"/>
        </w:rPr>
        <w:t> </w:t>
      </w:r>
      <w:r w:rsidR="00FE0DD8" w:rsidRPr="00BA7E00">
        <w:rPr>
          <w:b w:val="0"/>
          <w:lang w:eastAsia="ja-JP"/>
        </w:rPr>
        <w:t>4</w:t>
      </w:r>
      <w:r w:rsidRPr="00BA7E00">
        <w:rPr>
          <w:b w:val="0"/>
          <w:lang w:eastAsia="ja-JP"/>
        </w:rPr>
        <w:t> </w:t>
      </w:r>
      <w:r w:rsidR="00FE0DD8" w:rsidRPr="00BA7E00">
        <w:rPr>
          <w:b w:val="0"/>
          <w:lang w:eastAsia="ja-JP"/>
        </w:rPr>
        <w:t xml:space="preserve">a) </w:t>
      </w:r>
      <w:r w:rsidR="00F87EA0" w:rsidRPr="00BA7E00">
        <w:rPr>
          <w:b w:val="0"/>
          <w:lang w:eastAsia="ja-JP"/>
        </w:rPr>
        <w:t>de l’ordre du jour provisoire</w:t>
      </w:r>
      <w:r w:rsidR="00FE0DD8" w:rsidRPr="00BA7E00">
        <w:rPr>
          <w:rStyle w:val="FootnoteReference"/>
          <w:b w:val="0"/>
          <w:lang w:eastAsia="ja-JP"/>
        </w:rPr>
        <w:footnoteReference w:customMarkFollows="1" w:id="1"/>
        <w:sym w:font="Symbol" w:char="F02A"/>
      </w:r>
    </w:p>
    <w:p w:rsidR="00FE0DD8" w:rsidRPr="00BA7E00" w:rsidRDefault="00F87EA0" w:rsidP="00FE0DD8">
      <w:pPr>
        <w:pStyle w:val="AATitle2"/>
        <w:spacing w:before="60"/>
      </w:pPr>
      <w:r w:rsidRPr="00BA7E00">
        <w:t xml:space="preserve">Programme de travail initial de </w:t>
      </w:r>
      <w:smartTag w:uri="urn:schemas-microsoft-com:office:smarttags" w:element="PersonName">
        <w:smartTagPr>
          <w:attr w:name="ProductID" w:val="la Plateforme"/>
        </w:smartTagPr>
        <w:r w:rsidRPr="00BA7E00">
          <w:t xml:space="preserve">la </w:t>
        </w:r>
        <w:r w:rsidR="006748D8">
          <w:t>P</w:t>
        </w:r>
        <w:r w:rsidR="00BA7E00" w:rsidRPr="00BA7E00">
          <w:t>lateforme</w:t>
        </w:r>
      </w:smartTag>
      <w:r w:rsidR="00BA7E00" w:rsidRPr="00BA7E00">
        <w:t> </w:t>
      </w:r>
      <w:r w:rsidR="003F68A2" w:rsidRPr="00BA7E00">
        <w:t>:</w:t>
      </w:r>
      <w:r w:rsidRPr="00BA7E00">
        <w:t xml:space="preserve"> </w:t>
      </w:r>
      <w:r w:rsidR="00FE0DD8" w:rsidRPr="00BA7E00">
        <w:br/>
      </w:r>
      <w:r w:rsidRPr="00BA7E00">
        <w:t xml:space="preserve">programme de travail pour la </w:t>
      </w:r>
      <w:r w:rsidR="006A626C">
        <w:t>période </w:t>
      </w:r>
      <w:r w:rsidRPr="00BA7E00">
        <w:t>2014-2018</w:t>
      </w:r>
    </w:p>
    <w:p w:rsidR="007142D5" w:rsidRPr="00BA7E00" w:rsidRDefault="00F87EA0" w:rsidP="005D7CC3">
      <w:pPr>
        <w:pStyle w:val="BBTitle"/>
        <w:tabs>
          <w:tab w:val="left" w:pos="4082"/>
        </w:tabs>
        <w:rPr>
          <w:lang w:val="fr-CA"/>
        </w:rPr>
      </w:pPr>
      <w:r w:rsidRPr="00BA7E00">
        <w:rPr>
          <w:lang w:val="fr-CA"/>
        </w:rPr>
        <w:t>Étude de cadrage initial</w:t>
      </w:r>
      <w:r w:rsidR="00BA7E00">
        <w:rPr>
          <w:lang w:val="fr-CA"/>
        </w:rPr>
        <w:t>e</w:t>
      </w:r>
      <w:r w:rsidRPr="00BA7E00">
        <w:rPr>
          <w:lang w:val="fr-CA"/>
        </w:rPr>
        <w:t xml:space="preserve"> pour l’évaluation thématique des espèces exotiques envahissantes et </w:t>
      </w:r>
      <w:r w:rsidR="009B381A">
        <w:rPr>
          <w:lang w:val="fr-CA"/>
        </w:rPr>
        <w:t>de la lutte contre leur prolifération</w:t>
      </w:r>
    </w:p>
    <w:p w:rsidR="002F4179" w:rsidRPr="00BA7E00" w:rsidRDefault="00EB5D22" w:rsidP="00EB5D22">
      <w:pPr>
        <w:pStyle w:val="CH2"/>
      </w:pPr>
      <w:r w:rsidRPr="00BA7E00">
        <w:tab/>
      </w:r>
      <w:r w:rsidRPr="00BA7E00">
        <w:tab/>
      </w:r>
      <w:r w:rsidR="00456C17" w:rsidRPr="00BA7E00">
        <w:t xml:space="preserve">Note </w:t>
      </w:r>
      <w:r w:rsidR="00BA7E00">
        <w:t>du secrétariat</w:t>
      </w:r>
    </w:p>
    <w:p w:rsidR="0012321A" w:rsidRDefault="00EB5D22" w:rsidP="00E9220E">
      <w:pPr>
        <w:pStyle w:val="CH1"/>
      </w:pPr>
      <w:r w:rsidRPr="00BA7E00">
        <w:tab/>
        <w:t>I.</w:t>
      </w:r>
      <w:r w:rsidRPr="00BA7E00">
        <w:tab/>
      </w:r>
      <w:r w:rsidR="00077E48" w:rsidRPr="00BA7E00">
        <w:t>Introduction</w:t>
      </w:r>
    </w:p>
    <w:p w:rsidR="003D24F7" w:rsidRPr="00BA7E00" w:rsidRDefault="009B381A" w:rsidP="00E9220E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C9391E">
        <w:t xml:space="preserve">Reconnaissant la nécessité de </w:t>
      </w:r>
      <w:r>
        <w:t>faire avancer le</w:t>
      </w:r>
      <w:r w:rsidRPr="00C9391E">
        <w:t xml:space="preserve"> programme de travail pour la période 2014–2018 une fois ce</w:t>
      </w:r>
      <w:r>
        <w:t>lui-ci</w:t>
      </w:r>
      <w:r w:rsidRPr="00C9391E">
        <w:t xml:space="preserve"> approuvé par la Plénière de la Plateforme intergouvernementale scientifique et politique sur la biodiversité et les services écosystémiques à sa deuxième session, le Bureau et le Groupe d’experts multidisciplinaire ont convenu d’é</w:t>
      </w:r>
      <w:r>
        <w:t>tablir</w:t>
      </w:r>
      <w:r w:rsidRPr="00C9391E">
        <w:t>, pour examen à ladite session, un certain nombre de documents de cadrage initial</w:t>
      </w:r>
      <w:r>
        <w:t xml:space="preserve"> tenant compte de</w:t>
      </w:r>
      <w:r w:rsidRPr="00C9391E">
        <w:t xml:space="preserve"> la hiérarchisation des demandes, suggestions et contributions présentées à la Plateforme et </w:t>
      </w:r>
      <w:r>
        <w:t>des</w:t>
      </w:r>
      <w:r w:rsidRPr="00C9391E">
        <w:t xml:space="preserve"> produits </w:t>
      </w:r>
      <w:r>
        <w:t xml:space="preserve">définis dans le </w:t>
      </w:r>
      <w:r w:rsidRPr="00C9391E">
        <w:t>projet de programme de travail (IPBES/2/2).</w:t>
      </w:r>
      <w:r w:rsidR="0089570F" w:rsidRPr="00BA7E00">
        <w:t xml:space="preserve"> On trouvera dans la présente note l’étude </w:t>
      </w:r>
      <w:r w:rsidR="006748D8">
        <w:t xml:space="preserve">de cadrage </w:t>
      </w:r>
      <w:r w:rsidR="0089570F" w:rsidRPr="00BA7E00">
        <w:t xml:space="preserve">initiale pour la proposition d’évaluation thématique des espèces exotiques envahissantes et </w:t>
      </w:r>
      <w:r>
        <w:t>de la lutte contre leur prolifération</w:t>
      </w:r>
      <w:r w:rsidR="0089570F" w:rsidRPr="00BA7E00">
        <w:t xml:space="preserve">. </w:t>
      </w:r>
      <w:r>
        <w:t xml:space="preserve">Elle </w:t>
      </w:r>
      <w:r w:rsidRPr="00C9391E">
        <w:t xml:space="preserve">a été </w:t>
      </w:r>
      <w:r>
        <w:t xml:space="preserve">réalisée conformément au </w:t>
      </w:r>
      <w:r w:rsidR="0089570F" w:rsidRPr="00C801E7">
        <w:t>projet de procédure</w:t>
      </w:r>
      <w:r w:rsidR="00C801E7" w:rsidRPr="00C801E7">
        <w:t>s</w:t>
      </w:r>
      <w:r w:rsidR="0089570F" w:rsidRPr="00C801E7">
        <w:t xml:space="preserve"> pour l’établissement des produits de </w:t>
      </w:r>
      <w:smartTag w:uri="urn:schemas-microsoft-com:office:smarttags" w:element="PersonName">
        <w:smartTagPr>
          <w:attr w:name="ProductID" w:val="la Plateforme"/>
        </w:smartTagPr>
        <w:r w:rsidR="0089570F" w:rsidRPr="00C801E7">
          <w:t xml:space="preserve">la </w:t>
        </w:r>
        <w:r w:rsidR="00126BB9" w:rsidRPr="00C801E7">
          <w:t>Plateforme</w:t>
        </w:r>
      </w:smartTag>
      <w:r w:rsidR="00B33FA6" w:rsidRPr="00BA7E00">
        <w:t xml:space="preserve"> (IPBES/2/9).</w:t>
      </w:r>
    </w:p>
    <w:p w:rsidR="0012321A" w:rsidRDefault="005D7CC3" w:rsidP="00E9220E">
      <w:pPr>
        <w:pStyle w:val="CH1"/>
      </w:pPr>
      <w:r w:rsidRPr="00BA7E00">
        <w:tab/>
      </w:r>
      <w:r w:rsidR="00077E48" w:rsidRPr="00BA7E00">
        <w:t>I</w:t>
      </w:r>
      <w:r w:rsidR="00E73882" w:rsidRPr="00BA7E00">
        <w:t>I</w:t>
      </w:r>
      <w:r w:rsidR="00316B33" w:rsidRPr="00BA7E00">
        <w:t>.</w:t>
      </w:r>
      <w:r w:rsidR="000F47EE" w:rsidRPr="00BA7E00">
        <w:tab/>
      </w:r>
      <w:r w:rsidR="0089570F" w:rsidRPr="00BA7E00">
        <w:t>Portée, bien</w:t>
      </w:r>
      <w:r w:rsidR="00C801E7">
        <w:t>-</w:t>
      </w:r>
      <w:r w:rsidR="0089570F" w:rsidRPr="00BA7E00">
        <w:t>fondé, utilité et hypothèses</w:t>
      </w:r>
    </w:p>
    <w:p w:rsidR="00E73882" w:rsidRPr="00BA7E00" w:rsidRDefault="00C801E7" w:rsidP="00E9220E">
      <w:pPr>
        <w:pStyle w:val="CH2"/>
        <w:numPr>
          <w:ilvl w:val="0"/>
          <w:numId w:val="17"/>
        </w:numPr>
      </w:pPr>
      <w:r>
        <w:t>Portée</w:t>
      </w:r>
    </w:p>
    <w:p w:rsidR="0012321A" w:rsidRDefault="0089570F" w:rsidP="005D7CC3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BA7E00">
        <w:t xml:space="preserve">L’objectif de la proposition d’évaluation thématique des espèces exotiques envahissantes </w:t>
      </w:r>
      <w:r w:rsidR="009D7AC0" w:rsidRPr="00BA7E00">
        <w:t xml:space="preserve">et </w:t>
      </w:r>
      <w:r w:rsidR="009B381A">
        <w:t>de la lutte contre leur prolifération</w:t>
      </w:r>
      <w:r w:rsidR="00664C30">
        <w:t xml:space="preserve"> </w:t>
      </w:r>
      <w:r w:rsidR="000F7176">
        <w:t>est d’</w:t>
      </w:r>
      <w:r w:rsidR="009D7AC0" w:rsidRPr="00BA7E00">
        <w:t xml:space="preserve">évaluer la diversité </w:t>
      </w:r>
      <w:r w:rsidR="007E69D2">
        <w:t xml:space="preserve">à l’échelle </w:t>
      </w:r>
      <w:r w:rsidR="009D7AC0" w:rsidRPr="00BA7E00">
        <w:t>mondiale des espèces exotiques envahissantes qui influent sur la biodiversité et les services écosystémiques</w:t>
      </w:r>
      <w:r w:rsidR="00400EDB">
        <w:t>;</w:t>
      </w:r>
      <w:r w:rsidR="009D7AC0" w:rsidRPr="00BA7E00">
        <w:t xml:space="preserve"> l’étendue de la menace que posent ces espèces pour les divers</w:t>
      </w:r>
      <w:r w:rsidR="00664C30">
        <w:t>es</w:t>
      </w:r>
      <w:r w:rsidR="009D7AC0" w:rsidRPr="00BA7E00">
        <w:t xml:space="preserve"> </w:t>
      </w:r>
      <w:r w:rsidR="00664C30">
        <w:t xml:space="preserve">composantes </w:t>
      </w:r>
      <w:r w:rsidR="009D7AC0" w:rsidRPr="00BA7E00">
        <w:t xml:space="preserve">de </w:t>
      </w:r>
      <w:r w:rsidR="00664C30">
        <w:t xml:space="preserve">la </w:t>
      </w:r>
      <w:r w:rsidR="009D7AC0" w:rsidRPr="00BA7E00">
        <w:t>biodiversité et de</w:t>
      </w:r>
      <w:r w:rsidR="00664C30">
        <w:t>s</w:t>
      </w:r>
      <w:r w:rsidR="009D7AC0" w:rsidRPr="00BA7E00">
        <w:t xml:space="preserve"> services écosystémiques, y compris les répercussions sur l’agrobiodiversité</w:t>
      </w:r>
      <w:r w:rsidR="006748D8">
        <w:t xml:space="preserve">, </w:t>
      </w:r>
      <w:r w:rsidR="009D7AC0" w:rsidRPr="00BA7E00">
        <w:t>la sécurité alimentaire</w:t>
      </w:r>
      <w:r w:rsidR="006748D8">
        <w:t xml:space="preserve"> et</w:t>
      </w:r>
      <w:r w:rsidR="009D7AC0" w:rsidRPr="00BA7E00">
        <w:t xml:space="preserve"> sanitaire et </w:t>
      </w:r>
      <w:r w:rsidR="006748D8">
        <w:t xml:space="preserve">la </w:t>
      </w:r>
      <w:r w:rsidR="009C4FA7">
        <w:t>préservation</w:t>
      </w:r>
      <w:r w:rsidR="006748D8">
        <w:t xml:space="preserve"> </w:t>
      </w:r>
      <w:r w:rsidR="009D7AC0" w:rsidRPr="00BA7E00">
        <w:t>des moyens de subsistance</w:t>
      </w:r>
      <w:r w:rsidR="003F68A2" w:rsidRPr="00BA7E00">
        <w:t>;</w:t>
      </w:r>
      <w:r w:rsidR="009D7AC0" w:rsidRPr="00BA7E00">
        <w:t xml:space="preserve"> les principaux moteurs et voi</w:t>
      </w:r>
      <w:r w:rsidR="000F7176">
        <w:t>es</w:t>
      </w:r>
      <w:r w:rsidR="009D7AC0" w:rsidRPr="00BA7E00">
        <w:t xml:space="preserve"> d’introduction et de propagation des espèces exotiques envahissantes, d’un pays à l’autre et à l’intérieur des pays</w:t>
      </w:r>
      <w:r w:rsidR="003F68A2" w:rsidRPr="00BA7E00">
        <w:t>;</w:t>
      </w:r>
      <w:r w:rsidR="009D7AC0" w:rsidRPr="00BA7E00">
        <w:t xml:space="preserve"> l’</w:t>
      </w:r>
      <w:r w:rsidR="000F7176">
        <w:t>é</w:t>
      </w:r>
      <w:r w:rsidR="009D7AC0" w:rsidRPr="00BA7E00">
        <w:t>tat et les tendances à l’échelle mondiale des impacts d</w:t>
      </w:r>
      <w:r w:rsidR="00F92817">
        <w:t>u phénomène</w:t>
      </w:r>
      <w:r w:rsidR="009D7AC0" w:rsidRPr="00BA7E00">
        <w:t xml:space="preserve"> </w:t>
      </w:r>
      <w:r w:rsidR="00E934E6" w:rsidRPr="00BA7E00">
        <w:t xml:space="preserve">ainsi que des </w:t>
      </w:r>
      <w:r w:rsidR="00F92817">
        <w:t>mesures</w:t>
      </w:r>
      <w:r w:rsidR="00E934E6" w:rsidRPr="00BA7E00">
        <w:t xml:space="preserve"> de gestion </w:t>
      </w:r>
      <w:r w:rsidR="00F92817">
        <w:t>prises</w:t>
      </w:r>
      <w:r w:rsidR="006748D8">
        <w:t xml:space="preserve"> </w:t>
      </w:r>
      <w:r w:rsidR="00E934E6" w:rsidRPr="00BA7E00">
        <w:t>par les régions et les sous-régions</w:t>
      </w:r>
      <w:r w:rsidR="000F7176">
        <w:t>,</w:t>
      </w:r>
      <w:r w:rsidR="00E934E6" w:rsidRPr="00BA7E00">
        <w:t xml:space="preserve"> compte tenu de divers systèmes de connaissance</w:t>
      </w:r>
      <w:r w:rsidR="006748D8">
        <w:t>s</w:t>
      </w:r>
      <w:r w:rsidR="00E934E6" w:rsidRPr="00BA7E00">
        <w:t xml:space="preserve"> et de valeur</w:t>
      </w:r>
      <w:r w:rsidR="006748D8">
        <w:t>s</w:t>
      </w:r>
      <w:r w:rsidR="003F68A2" w:rsidRPr="00BA7E00">
        <w:t>;</w:t>
      </w:r>
      <w:r w:rsidR="00E934E6" w:rsidRPr="00BA7E00">
        <w:t xml:space="preserve"> </w:t>
      </w:r>
      <w:r w:rsidR="00664C30">
        <w:t>et</w:t>
      </w:r>
      <w:r w:rsidR="00E934E6" w:rsidRPr="00BA7E00">
        <w:t xml:space="preserve"> </w:t>
      </w:r>
      <w:r w:rsidR="00F92817">
        <w:t>le degré de</w:t>
      </w:r>
      <w:r w:rsidR="00E934E6" w:rsidRPr="00BA7E00">
        <w:t xml:space="preserve"> sensibilisation à </w:t>
      </w:r>
      <w:r w:rsidR="00E934E6" w:rsidRPr="00BA7E00">
        <w:lastRenderedPageBreak/>
        <w:t xml:space="preserve">l’étendue </w:t>
      </w:r>
      <w:r w:rsidR="00522D59">
        <w:t>du problème</w:t>
      </w:r>
      <w:r w:rsidR="00B3433B">
        <w:t xml:space="preserve"> </w:t>
      </w:r>
      <w:r w:rsidR="00E934E6" w:rsidRPr="00BA7E00">
        <w:t xml:space="preserve">des espèces exotiques envahissantes et </w:t>
      </w:r>
      <w:r w:rsidR="00522D59">
        <w:t>de</w:t>
      </w:r>
      <w:r w:rsidR="00E934E6" w:rsidRPr="00BA7E00">
        <w:t xml:space="preserve"> leur</w:t>
      </w:r>
      <w:r w:rsidR="00522D59">
        <w:t>s</w:t>
      </w:r>
      <w:r w:rsidR="00E934E6" w:rsidRPr="00BA7E00">
        <w:t xml:space="preserve"> </w:t>
      </w:r>
      <w:r w:rsidR="00522D59">
        <w:t>impacts</w:t>
      </w:r>
      <w:r w:rsidR="00B3433B">
        <w:t xml:space="preserve">, ainsi que l’efficacité des </w:t>
      </w:r>
      <w:r w:rsidR="00E934E6" w:rsidRPr="00BA7E00">
        <w:t xml:space="preserve">mesures actuellement prises en matière de biosécurité et de contrôle à l’échelle internationale, nationale et infranationale et </w:t>
      </w:r>
      <w:r w:rsidR="00B3433B">
        <w:t>d</w:t>
      </w:r>
      <w:r w:rsidR="00E934E6" w:rsidRPr="00BA7E00">
        <w:t>es options politiques associées qui pourraient être adoptées pour prévenir</w:t>
      </w:r>
      <w:r w:rsidR="00664C30">
        <w:t>, éradiquer et contrôler</w:t>
      </w:r>
      <w:r w:rsidR="00E934E6" w:rsidRPr="00BA7E00">
        <w:t xml:space="preserve"> la propagation des espèces exotiques envahissantes.</w:t>
      </w:r>
    </w:p>
    <w:p w:rsidR="006C7370" w:rsidRPr="00BA7E00" w:rsidRDefault="00BE0521" w:rsidP="00E9220E">
      <w:pPr>
        <w:pStyle w:val="CH2"/>
      </w:pPr>
      <w:r w:rsidRPr="00BA7E00">
        <w:tab/>
      </w:r>
      <w:r w:rsidR="006C7370" w:rsidRPr="00BA7E00">
        <w:t>B.</w:t>
      </w:r>
      <w:r w:rsidR="006C7370" w:rsidRPr="00BA7E00">
        <w:tab/>
      </w:r>
      <w:r w:rsidR="00E934E6" w:rsidRPr="00BA7E00">
        <w:t>Bien-fondé</w:t>
      </w:r>
    </w:p>
    <w:p w:rsidR="000F47EE" w:rsidRPr="00BA7E00" w:rsidRDefault="006E2D70" w:rsidP="00883B24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BA7E00">
        <w:t>La proposition d’évaluation répond directement à l’objectif</w:t>
      </w:r>
      <w:r w:rsidR="00522D59">
        <w:t> 9</w:t>
      </w:r>
      <w:r w:rsidRPr="00BA7E00">
        <w:t xml:space="preserve"> d’Aichi </w:t>
      </w:r>
      <w:r w:rsidR="00522D59">
        <w:t>pour</w:t>
      </w:r>
      <w:r w:rsidRPr="00BA7E00">
        <w:t xml:space="preserve"> la diversité biologique</w:t>
      </w:r>
      <w:r w:rsidR="003F68A2" w:rsidRPr="00BA7E00">
        <w:t> :</w:t>
      </w:r>
      <w:r w:rsidRPr="00BA7E00">
        <w:t xml:space="preserve"> </w:t>
      </w:r>
      <w:r w:rsidR="003F68A2" w:rsidRPr="00BA7E00">
        <w:t>« </w:t>
      </w:r>
      <w:r w:rsidR="004A7781">
        <w:t>D</w:t>
      </w:r>
      <w:r w:rsidRPr="00BA7E00">
        <w:t xml:space="preserve">’ici à 2020, les espèces exotiques envahissantes et les voies d’introduction sont identifiées et classées en ordre de priorité, les espèces prioritaires sont contrôlées </w:t>
      </w:r>
      <w:r w:rsidR="00F54BCA">
        <w:t>ou éradiquées</w:t>
      </w:r>
      <w:r w:rsidRPr="00BA7E00">
        <w:t xml:space="preserve"> et des mesures sont en place pour gérer les voies de pénétration afin d’empêcher l’introduction et l’établissement de ces espèces</w:t>
      </w:r>
      <w:r w:rsidR="003F68A2" w:rsidRPr="00BA7E00">
        <w:t> »</w:t>
      </w:r>
      <w:r w:rsidRPr="00BA7E00">
        <w:t>. Elle contribuera également à la réalisation des objectifs 5, 11, 12 et 17</w:t>
      </w:r>
      <w:r w:rsidR="00522D59">
        <w:t xml:space="preserve"> d’Aichi</w:t>
      </w:r>
      <w:r w:rsidRPr="00BA7E00">
        <w:rPr>
          <w:rStyle w:val="FootnoteReference"/>
        </w:rPr>
        <w:footnoteReference w:id="2"/>
      </w:r>
      <w:r w:rsidRPr="00BA7E00">
        <w:t xml:space="preserve">. </w:t>
      </w:r>
      <w:r w:rsidR="0091603B" w:rsidRPr="00BA7E00">
        <w:t>Les espèces exotiques envahissantes sont considérées comme des facteurs déterminants d’extinction d’espèces à l’échelle mondiale</w:t>
      </w:r>
      <w:r w:rsidR="003F68A2" w:rsidRPr="00BA7E00">
        <w:t>;</w:t>
      </w:r>
      <w:r w:rsidR="0091603B" w:rsidRPr="00BA7E00">
        <w:t xml:space="preserve"> elle</w:t>
      </w:r>
      <w:r w:rsidR="006A626C">
        <w:t>s</w:t>
      </w:r>
      <w:r w:rsidR="0091603B" w:rsidRPr="00BA7E00">
        <w:t xml:space="preserve"> s</w:t>
      </w:r>
      <w:r w:rsidR="00F54BCA">
        <w:t>o</w:t>
      </w:r>
      <w:r w:rsidR="0091603B" w:rsidRPr="00BA7E00">
        <w:t>nt responsable</w:t>
      </w:r>
      <w:r w:rsidR="006A626C">
        <w:t>s</w:t>
      </w:r>
      <w:r w:rsidR="0091603B" w:rsidRPr="00BA7E00">
        <w:t xml:space="preserve"> de la dégradation d</w:t>
      </w:r>
      <w:r w:rsidR="00EA2E33">
        <w:t>’</w:t>
      </w:r>
      <w:r w:rsidR="0091603B" w:rsidRPr="00BA7E00">
        <w:t xml:space="preserve">habitats et ont de graves répercussions sur les aires </w:t>
      </w:r>
      <w:r w:rsidR="00522D59">
        <w:t>protégées dans le monde entier.</w:t>
      </w:r>
    </w:p>
    <w:p w:rsidR="0012321A" w:rsidRDefault="0091603B" w:rsidP="00883B24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BA7E00">
        <w:t xml:space="preserve">Les espèces exotiques envahissantes, qui </w:t>
      </w:r>
      <w:r w:rsidR="001A05FB">
        <w:t>regroup</w:t>
      </w:r>
      <w:r w:rsidR="007358DA">
        <w:t xml:space="preserve">ent </w:t>
      </w:r>
      <w:r w:rsidRPr="00BA7E00">
        <w:t>un éventail</w:t>
      </w:r>
      <w:r w:rsidR="007358DA">
        <w:t xml:space="preserve"> </w:t>
      </w:r>
      <w:r w:rsidR="001A05FB">
        <w:t>déjà étendu,</w:t>
      </w:r>
      <w:r w:rsidR="00E13B75" w:rsidRPr="00BA7E00">
        <w:t xml:space="preserve"> </w:t>
      </w:r>
      <w:r w:rsidR="00E13B75">
        <w:t xml:space="preserve">et </w:t>
      </w:r>
      <w:r w:rsidR="001A05FB">
        <w:t xml:space="preserve">s’élargissant </w:t>
      </w:r>
      <w:r w:rsidR="00E13B75">
        <w:t>rapidement</w:t>
      </w:r>
      <w:r w:rsidR="001A05FB">
        <w:t>,</w:t>
      </w:r>
      <w:r w:rsidR="00E13B75">
        <w:t xml:space="preserve"> </w:t>
      </w:r>
      <w:r w:rsidRPr="00BA7E00">
        <w:t>de vertébrés, d’invertébrés, de végétaux et d’organismes pathogènes</w:t>
      </w:r>
      <w:r w:rsidR="007358DA">
        <w:t xml:space="preserve"> </w:t>
      </w:r>
      <w:r w:rsidR="00E13B75">
        <w:t xml:space="preserve">terrestres, d’eau douce et marins </w:t>
      </w:r>
      <w:r w:rsidR="001A05FB">
        <w:t>souv</w:t>
      </w:r>
      <w:r w:rsidR="007358DA">
        <w:t>ent non indigènes</w:t>
      </w:r>
      <w:r w:rsidRPr="00BA7E00">
        <w:t xml:space="preserve">, </w:t>
      </w:r>
      <w:r w:rsidR="003F68A2" w:rsidRPr="00BA7E00">
        <w:t>constituent</w:t>
      </w:r>
      <w:r w:rsidRPr="00BA7E00">
        <w:t xml:space="preserve"> pour la diversité biologique, les services écosystémiques</w:t>
      </w:r>
      <w:r w:rsidR="00B30F89">
        <w:t xml:space="preserve">, </w:t>
      </w:r>
      <w:r w:rsidRPr="00BA7E00">
        <w:t>la sécurité alimentaire et sanitaire</w:t>
      </w:r>
      <w:r w:rsidR="007358DA">
        <w:t xml:space="preserve"> et la préservation des </w:t>
      </w:r>
      <w:r w:rsidRPr="00BA7E00">
        <w:t xml:space="preserve">moyens </w:t>
      </w:r>
      <w:r w:rsidR="007358DA">
        <w:t xml:space="preserve">de subsistance </w:t>
      </w:r>
      <w:r w:rsidR="001A05FB" w:rsidRPr="00BA7E00">
        <w:t>une des menaces</w:t>
      </w:r>
      <w:r w:rsidR="00B30F89">
        <w:t xml:space="preserve"> </w:t>
      </w:r>
      <w:r w:rsidR="00B30F89" w:rsidRPr="00BA7E00">
        <w:t xml:space="preserve">les plus graves, </w:t>
      </w:r>
      <w:r w:rsidR="001A05FB">
        <w:t xml:space="preserve">les plus rapidement croissantes et </w:t>
      </w:r>
      <w:r w:rsidR="00B30F89" w:rsidRPr="00BA7E00">
        <w:t xml:space="preserve">les plus difficiles à gérer </w:t>
      </w:r>
      <w:r w:rsidR="001A05FB">
        <w:t>qui soient</w:t>
      </w:r>
      <w:r w:rsidRPr="00BA7E00">
        <w:t xml:space="preserve">. Dans de nombreux pays, </w:t>
      </w:r>
      <w:r w:rsidR="007062B5">
        <w:t xml:space="preserve">elles sont </w:t>
      </w:r>
      <w:r w:rsidR="00EA2E33">
        <w:t>considéré</w:t>
      </w:r>
      <w:r w:rsidR="007062B5">
        <w:t>es</w:t>
      </w:r>
      <w:r w:rsidR="00EA2E33">
        <w:t xml:space="preserve"> </w:t>
      </w:r>
      <w:r w:rsidR="00A35CB8" w:rsidRPr="00BA7E00">
        <w:t>plus dangereu</w:t>
      </w:r>
      <w:r w:rsidR="007062B5">
        <w:t>ses</w:t>
      </w:r>
      <w:r w:rsidR="00A35CB8" w:rsidRPr="00BA7E00">
        <w:t xml:space="preserve"> que les changements climatiques. </w:t>
      </w:r>
      <w:r w:rsidR="007062B5">
        <w:t>Elles</w:t>
      </w:r>
      <w:r w:rsidR="00A35CB8" w:rsidRPr="00BA7E00">
        <w:t xml:space="preserve"> sont responsables de</w:t>
      </w:r>
      <w:r w:rsidR="00524B4A">
        <w:t xml:space="preserve"> nombreux </w:t>
      </w:r>
      <w:r w:rsidR="007358DA">
        <w:t>effets :</w:t>
      </w:r>
      <w:r w:rsidR="00A35CB8" w:rsidRPr="00BA7E00">
        <w:t xml:space="preserve"> extinction d’animaux et </w:t>
      </w:r>
      <w:r w:rsidR="001A05FB">
        <w:t xml:space="preserve">de </w:t>
      </w:r>
      <w:r w:rsidR="00A35CB8" w:rsidRPr="00BA7E00">
        <w:t xml:space="preserve">végétaux indigènes, dégradation </w:t>
      </w:r>
      <w:r w:rsidR="00CA5790">
        <w:t>d’écosystèmes</w:t>
      </w:r>
      <w:r w:rsidR="00A35CB8" w:rsidRPr="00BA7E00">
        <w:t xml:space="preserve"> et de communauté</w:t>
      </w:r>
      <w:r w:rsidR="00CA5790">
        <w:t>s</w:t>
      </w:r>
      <w:r w:rsidR="00A35CB8" w:rsidRPr="00BA7E00">
        <w:t xml:space="preserve"> écologique</w:t>
      </w:r>
      <w:r w:rsidR="00CA5790">
        <w:t>s</w:t>
      </w:r>
      <w:r w:rsidR="00A35CB8" w:rsidRPr="00BA7E00">
        <w:t xml:space="preserve"> rare</w:t>
      </w:r>
      <w:r w:rsidR="00CA5790">
        <w:t>s</w:t>
      </w:r>
      <w:r w:rsidR="00A35CB8" w:rsidRPr="00BA7E00">
        <w:t xml:space="preserve"> et menacé</w:t>
      </w:r>
      <w:r w:rsidR="00CA5790">
        <w:t>s</w:t>
      </w:r>
      <w:r w:rsidR="00A35CB8" w:rsidRPr="00BA7E00">
        <w:t xml:space="preserve">, mauvaises récoltes et diminution de la productivité agricole, appauvrissement de la diversité </w:t>
      </w:r>
      <w:r w:rsidR="007062B5" w:rsidRPr="00BA7E00">
        <w:t xml:space="preserve">de cultivars </w:t>
      </w:r>
      <w:r w:rsidR="007062B5">
        <w:t xml:space="preserve">et </w:t>
      </w:r>
      <w:r w:rsidR="00A35CB8" w:rsidRPr="00BA7E00">
        <w:t>d</w:t>
      </w:r>
      <w:r w:rsidR="007062B5">
        <w:t>e ra</w:t>
      </w:r>
      <w:r w:rsidR="007358DA">
        <w:t>ces</w:t>
      </w:r>
      <w:r w:rsidR="00A35CB8" w:rsidRPr="00BA7E00">
        <w:t xml:space="preserve"> animales, </w:t>
      </w:r>
      <w:r w:rsidR="002706E8">
        <w:t>dégâts</w:t>
      </w:r>
      <w:r w:rsidR="00A35CB8" w:rsidRPr="00BA7E00">
        <w:t xml:space="preserve"> matériels et </w:t>
      </w:r>
      <w:r w:rsidR="002706E8">
        <w:t xml:space="preserve">dommages </w:t>
      </w:r>
      <w:r w:rsidR="00A35CB8" w:rsidRPr="00BA7E00">
        <w:t>aux infrastructures</w:t>
      </w:r>
      <w:r w:rsidR="002706E8">
        <w:t>,</w:t>
      </w:r>
      <w:r w:rsidR="00A35CB8" w:rsidRPr="00BA7E00">
        <w:t xml:space="preserve"> </w:t>
      </w:r>
      <w:r w:rsidR="001A05FB">
        <w:t xml:space="preserve">et </w:t>
      </w:r>
      <w:r w:rsidR="00A35CB8" w:rsidRPr="00BA7E00">
        <w:t>déclin de</w:t>
      </w:r>
      <w:r w:rsidR="007062B5">
        <w:t>s ressources halieutiques</w:t>
      </w:r>
      <w:r w:rsidR="00A35CB8" w:rsidRPr="00BA7E00">
        <w:t xml:space="preserve"> indigènes, du tourisme et des activités récréatives en plein air</w:t>
      </w:r>
      <w:r w:rsidR="00524B4A">
        <w:t>, entre autres exemples</w:t>
      </w:r>
      <w:r w:rsidR="00A35CB8" w:rsidRPr="00BA7E00">
        <w:t xml:space="preserve">. Les </w:t>
      </w:r>
      <w:r w:rsidR="008A5A0A">
        <w:t xml:space="preserve">répercussions néfastes que peuvent avoir </w:t>
      </w:r>
      <w:r w:rsidR="00A35CB8" w:rsidRPr="00BA7E00">
        <w:t xml:space="preserve">les espèces envahissantes marines, par voie d’introduction </w:t>
      </w:r>
      <w:r w:rsidR="00E21EC5" w:rsidRPr="00BA7E00">
        <w:t>volontaire ou accidentelle (</w:t>
      </w:r>
      <w:r w:rsidR="00C3599F">
        <w:t>p. </w:t>
      </w:r>
      <w:r w:rsidR="00E21EC5" w:rsidRPr="00BA7E00">
        <w:t xml:space="preserve">ex. </w:t>
      </w:r>
      <w:r w:rsidR="00C3599F">
        <w:t xml:space="preserve">eaux </w:t>
      </w:r>
      <w:r w:rsidR="00E21EC5" w:rsidRPr="00BA7E00">
        <w:t>de ballast contaminé</w:t>
      </w:r>
      <w:r w:rsidR="00C3599F">
        <w:t>e</w:t>
      </w:r>
      <w:r w:rsidR="00E21EC5" w:rsidRPr="00BA7E00">
        <w:t>s ou organismes incrustés sur la coque des navires)</w:t>
      </w:r>
      <w:r w:rsidR="008A5A0A">
        <w:t xml:space="preserve"> sur la diversité des espèces indigènes</w:t>
      </w:r>
      <w:r w:rsidR="00E21EC5" w:rsidRPr="00BA7E00">
        <w:t xml:space="preserve">, sont de plus en plus </w:t>
      </w:r>
      <w:r w:rsidR="008A5A0A">
        <w:t>inquiétantes</w:t>
      </w:r>
      <w:r w:rsidR="00E21EC5" w:rsidRPr="00BA7E00">
        <w:t xml:space="preserve"> et très peu comprises.</w:t>
      </w:r>
    </w:p>
    <w:p w:rsidR="0012321A" w:rsidRDefault="00193C85" w:rsidP="00883B24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>
        <w:t>À</w:t>
      </w:r>
      <w:r w:rsidR="00C3599F">
        <w:t xml:space="preserve"> l</w:t>
      </w:r>
      <w:r w:rsidR="00E21EC5" w:rsidRPr="00BA7E00">
        <w:t xml:space="preserve">’échelle mondiale et locale, un pourcentage élevé des espèces et écosystèmes menacés le sont </w:t>
      </w:r>
      <w:r w:rsidR="00057B42">
        <w:t>en raison</w:t>
      </w:r>
      <w:r w:rsidR="00EA2E33">
        <w:t xml:space="preserve"> de </w:t>
      </w:r>
      <w:r w:rsidR="009D5C31">
        <w:t xml:space="preserve">la </w:t>
      </w:r>
      <w:r w:rsidR="00EA2E33">
        <w:t>prédation</w:t>
      </w:r>
      <w:r w:rsidR="009D5C31">
        <w:t>, de la concurrence</w:t>
      </w:r>
      <w:r w:rsidR="00E21EC5" w:rsidRPr="00BA7E00">
        <w:t xml:space="preserve"> </w:t>
      </w:r>
      <w:r w:rsidR="009D5C31">
        <w:t>ou des infections auxquelles</w:t>
      </w:r>
      <w:r w:rsidR="00E21EC5" w:rsidRPr="00BA7E00">
        <w:t xml:space="preserve"> </w:t>
      </w:r>
      <w:r w:rsidR="00057B42">
        <w:t xml:space="preserve">ils sont exposés par la faute des </w:t>
      </w:r>
      <w:r w:rsidR="00E21EC5" w:rsidRPr="00BA7E00">
        <w:t>espèces exotiques envahissantes</w:t>
      </w:r>
      <w:r w:rsidR="00215B44">
        <w:t>. A</w:t>
      </w:r>
      <w:r w:rsidR="00E21EC5" w:rsidRPr="00BA7E00">
        <w:t xml:space="preserve">lors </w:t>
      </w:r>
      <w:r w:rsidR="001B4EBA">
        <w:t>qu</w:t>
      </w:r>
      <w:r w:rsidR="00EF3023">
        <w:t xml:space="preserve">’on peut directement </w:t>
      </w:r>
      <w:r w:rsidR="0010331C">
        <w:t>réduire</w:t>
      </w:r>
      <w:r w:rsidR="00E21EC5" w:rsidRPr="00BA7E00">
        <w:t xml:space="preserve"> la pollution et la dégradation des terres, la plupart des espèces exotiques envahissantes constituent une </w:t>
      </w:r>
      <w:r w:rsidR="003F68A2" w:rsidRPr="00BA7E00">
        <w:t>« </w:t>
      </w:r>
      <w:r w:rsidR="00E21EC5" w:rsidRPr="00BA7E00">
        <w:t>pollution vivante</w:t>
      </w:r>
      <w:r w:rsidR="003F68A2" w:rsidRPr="00BA7E00">
        <w:t> »</w:t>
      </w:r>
      <w:r w:rsidR="00E21EC5" w:rsidRPr="00BA7E00">
        <w:t xml:space="preserve"> qui ne fait que s’aggraver progressivement lorsqu’aucune mesure adéquate n’est prise. Il est difficile de mesurer les coûts de l’app</w:t>
      </w:r>
      <w:r w:rsidR="00215B44">
        <w:t>auvr</w:t>
      </w:r>
      <w:r w:rsidR="00E21EC5" w:rsidRPr="00BA7E00">
        <w:t xml:space="preserve">issement de la diversité biologique et du bien-être </w:t>
      </w:r>
      <w:r w:rsidR="003F68A2" w:rsidRPr="00BA7E00">
        <w:t xml:space="preserve">humain </w:t>
      </w:r>
      <w:r w:rsidR="00057B42">
        <w:t xml:space="preserve">causé par ces </w:t>
      </w:r>
      <w:r w:rsidR="003F68A2" w:rsidRPr="00BA7E00">
        <w:t xml:space="preserve">mammifères, oiseaux, reptiles, amphibiens, poissons, crabes, mollusques, insectes, échinodermes, </w:t>
      </w:r>
      <w:r w:rsidR="00057B42">
        <w:t>plant</w:t>
      </w:r>
      <w:r w:rsidR="003F68A2" w:rsidRPr="00BA7E00">
        <w:t>es terrestres et aquatiques</w:t>
      </w:r>
      <w:r w:rsidR="00057B42">
        <w:t xml:space="preserve"> nuisibles</w:t>
      </w:r>
      <w:r w:rsidR="005D639F">
        <w:t xml:space="preserve"> et</w:t>
      </w:r>
      <w:r w:rsidR="003F68A2" w:rsidRPr="00BA7E00">
        <w:t xml:space="preserve"> algues marines </w:t>
      </w:r>
      <w:r w:rsidR="005D639F">
        <w:t xml:space="preserve">allogènes ainsi que par la </w:t>
      </w:r>
      <w:r w:rsidR="003F68A2" w:rsidRPr="00BA7E00">
        <w:t xml:space="preserve">vaste gamme de maladies infectieuses végétales et animales et de maladies </w:t>
      </w:r>
      <w:r w:rsidR="003F68A2" w:rsidRPr="00B52CC4">
        <w:t>zoon</w:t>
      </w:r>
      <w:r w:rsidR="00003E2C" w:rsidRPr="00B52CC4">
        <w:t>o</w:t>
      </w:r>
      <w:r w:rsidR="003F68A2" w:rsidRPr="00B52CC4">
        <w:t>tiques</w:t>
      </w:r>
      <w:r w:rsidR="005D639F">
        <w:t xml:space="preserve"> qu’ils peuvent véhiculer</w:t>
      </w:r>
      <w:r w:rsidR="003F68A2" w:rsidRPr="00B52CC4">
        <w:t>.</w:t>
      </w:r>
      <w:r w:rsidR="000F47EE" w:rsidRPr="00BA7E00">
        <w:t xml:space="preserve"> </w:t>
      </w:r>
      <w:r w:rsidR="0010331C">
        <w:t>Selon les estimations, l</w:t>
      </w:r>
      <w:r w:rsidR="00D46DCF" w:rsidRPr="00D46DCF">
        <w:t xml:space="preserve">e coût des dommages causés </w:t>
      </w:r>
      <w:r w:rsidR="0010331C">
        <w:t xml:space="preserve">dans le monde </w:t>
      </w:r>
      <w:r w:rsidR="00D46DCF" w:rsidRPr="00D46DCF">
        <w:t xml:space="preserve">par les espèces exotiques envahissantes </w:t>
      </w:r>
      <w:r w:rsidR="0010331C">
        <w:t>est supérieur à 1 400 milliards</w:t>
      </w:r>
      <w:r w:rsidR="00D46DCF" w:rsidRPr="00D46DCF">
        <w:t xml:space="preserve"> de dollars, soit </w:t>
      </w:r>
      <w:r w:rsidR="00B52CC4">
        <w:t>5 </w:t>
      </w:r>
      <w:r w:rsidR="0010331C">
        <w:t>%</w:t>
      </w:r>
      <w:r w:rsidR="00D46DCF" w:rsidRPr="00D46DCF">
        <w:t xml:space="preserve"> de l’économie mondiale</w:t>
      </w:r>
      <w:r w:rsidR="001718CA">
        <w:t>;</w:t>
      </w:r>
      <w:r w:rsidR="00D46DCF" w:rsidRPr="00D46DCF">
        <w:t xml:space="preserve"> </w:t>
      </w:r>
      <w:r w:rsidR="0010331C">
        <w:t>rien qu’</w:t>
      </w:r>
      <w:r w:rsidR="00B52CC4">
        <w:t>aux États</w:t>
      </w:r>
      <w:r w:rsidR="00B52CC4">
        <w:noBreakHyphen/>
      </w:r>
      <w:r w:rsidR="00D46DCF" w:rsidRPr="00D46DCF">
        <w:t xml:space="preserve">Unis d’Amérique, </w:t>
      </w:r>
      <w:r w:rsidR="0010331C">
        <w:t xml:space="preserve">il est </w:t>
      </w:r>
      <w:r w:rsidR="00D46DCF" w:rsidRPr="00D46DCF">
        <w:t>estim</w:t>
      </w:r>
      <w:r w:rsidR="0010331C">
        <w:t>é à</w:t>
      </w:r>
      <w:r w:rsidR="00D46DCF" w:rsidRPr="00D46DCF">
        <w:t xml:space="preserve"> 120</w:t>
      </w:r>
      <w:r w:rsidR="00B52CC4">
        <w:t> </w:t>
      </w:r>
      <w:r w:rsidR="00D46DCF" w:rsidRPr="00D46DCF">
        <w:t xml:space="preserve">milliards de dollars, </w:t>
      </w:r>
      <w:r w:rsidR="00E04AC0">
        <w:t xml:space="preserve">avec </w:t>
      </w:r>
      <w:r w:rsidR="00B960F4">
        <w:t xml:space="preserve">plus de </w:t>
      </w:r>
      <w:r w:rsidR="00D46DCF" w:rsidRPr="00D46DCF">
        <w:t>100</w:t>
      </w:r>
      <w:r w:rsidR="00B52CC4">
        <w:t> </w:t>
      </w:r>
      <w:r w:rsidR="00D46DCF" w:rsidRPr="00D46DCF">
        <w:t>millions d’</w:t>
      </w:r>
      <w:r w:rsidR="00B52CC4">
        <w:t xml:space="preserve">acres </w:t>
      </w:r>
      <w:r w:rsidR="00D46DCF" w:rsidRPr="00D46DCF">
        <w:t xml:space="preserve">touchés, </w:t>
      </w:r>
      <w:r w:rsidR="0072150B">
        <w:t xml:space="preserve">soit </w:t>
      </w:r>
      <w:r w:rsidR="00D46DCF">
        <w:t xml:space="preserve">la superficie de </w:t>
      </w:r>
      <w:smartTag w:uri="urn:schemas-microsoft-com:office:smarttags" w:element="PersonName">
        <w:smartTagPr>
          <w:attr w:name="ProductID" w:val="la Californie"/>
        </w:smartTagPr>
        <w:r w:rsidR="00D46DCF">
          <w:t>la Californie</w:t>
        </w:r>
      </w:smartTag>
      <w:r w:rsidR="00D46DCF">
        <w:t xml:space="preserve">, alors qu’en Europe, les pertes économiques </w:t>
      </w:r>
      <w:r w:rsidR="00B52CC4">
        <w:t>ont été évaluées à plus de 12,5 </w:t>
      </w:r>
      <w:r w:rsidR="00D46DCF">
        <w:t xml:space="preserve">milliards d’euros par année. </w:t>
      </w:r>
      <w:r w:rsidR="00D46DCF" w:rsidRPr="000C4463">
        <w:t xml:space="preserve">Les répercussions sur les îles océaniques sont encore plus graves, la majorité des extinctions de mammifères, oiseaux, amphibiens, reptiles, crabes, escargots </w:t>
      </w:r>
      <w:r w:rsidR="000C4463" w:rsidRPr="000C4463">
        <w:t>et insectes étant directement ou indirectement lié</w:t>
      </w:r>
      <w:r w:rsidR="00A107AD">
        <w:t>e</w:t>
      </w:r>
      <w:r w:rsidR="000C4463" w:rsidRPr="000C4463">
        <w:t xml:space="preserve">s aux espèces exotiques envahissantes. Les coûts économiques, environnementaux et sociaux </w:t>
      </w:r>
      <w:r w:rsidR="006A626C">
        <w:t>dus</w:t>
      </w:r>
      <w:r w:rsidR="00A107AD">
        <w:t xml:space="preserve"> au</w:t>
      </w:r>
      <w:r w:rsidR="000C4463" w:rsidRPr="000C4463">
        <w:t xml:space="preserve"> recours à des pesticides pour lutter contre ce</w:t>
      </w:r>
      <w:r w:rsidR="0072150B">
        <w:t xml:space="preserve"> fléau</w:t>
      </w:r>
      <w:r w:rsidR="000C4463" w:rsidRPr="000C4463">
        <w:t xml:space="preserve"> constituent par ailleurs un facteur déterminant d’appauvrissement de la diversité biologique et de pollution de l’environnement ainsi qu’une menace pour la santé humaine.</w:t>
      </w:r>
    </w:p>
    <w:p w:rsidR="0012321A" w:rsidRDefault="006C7370" w:rsidP="00E9220E">
      <w:pPr>
        <w:pStyle w:val="CH2"/>
      </w:pPr>
      <w:r w:rsidRPr="00BA7E00">
        <w:tab/>
        <w:t>C</w:t>
      </w:r>
      <w:r w:rsidR="00BD295C" w:rsidRPr="00BA7E00">
        <w:t>.</w:t>
      </w:r>
      <w:r w:rsidR="00BD295C" w:rsidRPr="00BA7E00">
        <w:tab/>
      </w:r>
      <w:r w:rsidR="000C4463">
        <w:t>Utilité</w:t>
      </w:r>
    </w:p>
    <w:p w:rsidR="0012321A" w:rsidRDefault="000C4463" w:rsidP="00883B24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0C4463">
        <w:t xml:space="preserve">Le danger </w:t>
      </w:r>
      <w:r w:rsidR="00B960F4">
        <w:t>rapidement croissant</w:t>
      </w:r>
      <w:r w:rsidRPr="000C4463">
        <w:t xml:space="preserve"> </w:t>
      </w:r>
      <w:r w:rsidR="0072150B">
        <w:t>que représentent</w:t>
      </w:r>
      <w:r w:rsidR="00A107AD">
        <w:t xml:space="preserve"> l</w:t>
      </w:r>
      <w:r w:rsidRPr="000C4463">
        <w:t xml:space="preserve">es espèces exotiques envahissantes pour la diversité biologique, le développement durable et le bien-être </w:t>
      </w:r>
      <w:r>
        <w:t xml:space="preserve">humain </w:t>
      </w:r>
      <w:r w:rsidR="0072150B">
        <w:t>est</w:t>
      </w:r>
      <w:r>
        <w:t xml:space="preserve"> généralement mal quantifié et mal compris par les décideurs. </w:t>
      </w:r>
      <w:r w:rsidRPr="00A64805">
        <w:t xml:space="preserve">L’évaluation proposée, si elle est </w:t>
      </w:r>
      <w:r w:rsidR="00B960F4">
        <w:t>entreprise</w:t>
      </w:r>
      <w:r w:rsidRPr="00A64805">
        <w:t xml:space="preserve">, permettra d’accroître la </w:t>
      </w:r>
      <w:r w:rsidR="00D7323E">
        <w:t>prise de conscience de</w:t>
      </w:r>
      <w:r w:rsidRPr="00A64805">
        <w:t xml:space="preserve"> la nature et </w:t>
      </w:r>
      <w:r w:rsidR="00D7323E">
        <w:t>de</w:t>
      </w:r>
      <w:r w:rsidRPr="00A64805">
        <w:t xml:space="preserve"> la gravité </w:t>
      </w:r>
      <w:r w:rsidR="00A64805" w:rsidRPr="00A64805">
        <w:t xml:space="preserve">des problèmes causés par </w:t>
      </w:r>
      <w:r w:rsidR="0072150B">
        <w:t>ce</w:t>
      </w:r>
      <w:r w:rsidR="00D7323E">
        <w:t>s espèces</w:t>
      </w:r>
      <w:r w:rsidR="00460E55">
        <w:t xml:space="preserve"> et</w:t>
      </w:r>
      <w:r w:rsidR="00A64805" w:rsidRPr="00A64805">
        <w:t xml:space="preserve"> </w:t>
      </w:r>
      <w:r w:rsidR="0072150B">
        <w:t>de déterminer</w:t>
      </w:r>
      <w:r w:rsidR="00A64805" w:rsidRPr="00A64805">
        <w:t xml:space="preserve"> les politiques </w:t>
      </w:r>
      <w:r w:rsidR="00460E55">
        <w:t>nécessaires</w:t>
      </w:r>
      <w:r w:rsidR="00A64805" w:rsidRPr="00A64805">
        <w:t xml:space="preserve"> à l’échelon international et </w:t>
      </w:r>
      <w:r w:rsidR="00460E55">
        <w:t>de la part d</w:t>
      </w:r>
      <w:r w:rsidR="00A64805" w:rsidRPr="00A64805">
        <w:t xml:space="preserve">es gouvernements, </w:t>
      </w:r>
      <w:r w:rsidR="00460E55">
        <w:t>du</w:t>
      </w:r>
      <w:r w:rsidR="00A64805" w:rsidRPr="00A64805">
        <w:t xml:space="preserve"> secteur privé et </w:t>
      </w:r>
      <w:r w:rsidR="00460E55">
        <w:t xml:space="preserve">de </w:t>
      </w:r>
      <w:r w:rsidR="00A64805" w:rsidRPr="00A64805">
        <w:t xml:space="preserve">la société civile </w:t>
      </w:r>
      <w:r w:rsidR="00D7323E">
        <w:t xml:space="preserve">pour </w:t>
      </w:r>
      <w:r w:rsidR="00A64805">
        <w:t xml:space="preserve">aider à </w:t>
      </w:r>
      <w:r w:rsidR="00D7323E">
        <w:t>enrayer</w:t>
      </w:r>
      <w:r w:rsidR="00A64805">
        <w:t xml:space="preserve"> </w:t>
      </w:r>
      <w:r w:rsidR="00286E0E">
        <w:t>l</w:t>
      </w:r>
      <w:r w:rsidR="00D7323E">
        <w:t>eur</w:t>
      </w:r>
      <w:r w:rsidR="00286E0E">
        <w:t xml:space="preserve"> propagation et </w:t>
      </w:r>
      <w:r w:rsidR="00A64805">
        <w:t xml:space="preserve">éradiquer ou </w:t>
      </w:r>
      <w:r w:rsidR="00460E55">
        <w:t>réduire</w:t>
      </w:r>
      <w:r w:rsidR="00286E0E">
        <w:t xml:space="preserve"> leurs effets</w:t>
      </w:r>
      <w:r w:rsidR="00460E55">
        <w:t>,</w:t>
      </w:r>
      <w:r w:rsidR="00A64805">
        <w:t xml:space="preserve"> et constituera </w:t>
      </w:r>
      <w:r w:rsidR="00286E0E">
        <w:t>l’</w:t>
      </w:r>
      <w:r w:rsidR="00A64805">
        <w:t xml:space="preserve">un </w:t>
      </w:r>
      <w:r w:rsidR="00A64805">
        <w:lastRenderedPageBreak/>
        <w:t xml:space="preserve">des premiers produits de </w:t>
      </w:r>
      <w:smartTag w:uri="urn:schemas-microsoft-com:office:smarttags" w:element="PersonName">
        <w:smartTagPr>
          <w:attr w:name="ProductID" w:val="la Plateforme"/>
        </w:smartTagPr>
        <w:r w:rsidR="00A64805">
          <w:t>la Plateforme</w:t>
        </w:r>
      </w:smartTag>
      <w:r w:rsidR="00A64805">
        <w:t xml:space="preserve"> illustrant comment celle-ci peut valoriser la formulation de politiques visant à gérer la crise de la diversité biologique.</w:t>
      </w:r>
    </w:p>
    <w:p w:rsidR="0012321A" w:rsidRDefault="00BE0521" w:rsidP="00E9220E">
      <w:pPr>
        <w:pStyle w:val="CH2"/>
        <w:rPr>
          <w:lang w:val="en-GB"/>
        </w:rPr>
      </w:pPr>
      <w:r w:rsidRPr="00355AE8">
        <w:tab/>
      </w:r>
      <w:r w:rsidRPr="001A1175">
        <w:rPr>
          <w:lang w:val="en-GB"/>
        </w:rPr>
        <w:t>D.</w:t>
      </w:r>
      <w:r w:rsidRPr="00355AE8">
        <w:tab/>
      </w:r>
      <w:r w:rsidR="00A64805" w:rsidRPr="00355AE8">
        <w:t>Hypothèse</w:t>
      </w:r>
      <w:r w:rsidR="0072150B">
        <w:t>s</w:t>
      </w:r>
    </w:p>
    <w:p w:rsidR="0012321A" w:rsidRDefault="00A64805" w:rsidP="00883B24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B22911">
        <w:t xml:space="preserve">L’évaluation </w:t>
      </w:r>
      <w:r w:rsidR="00460E55">
        <w:t>envisag</w:t>
      </w:r>
      <w:r w:rsidRPr="00B22911">
        <w:t xml:space="preserve">ée </w:t>
      </w:r>
      <w:r w:rsidR="00460E55">
        <w:t>partira d</w:t>
      </w:r>
      <w:r w:rsidRPr="00B22911">
        <w:t xml:space="preserve">es évaluations nationales et ouvrages scientifiques existants et s’appuiera sur les activités menées par des institutions et réseaux </w:t>
      </w:r>
      <w:r w:rsidR="003A490A">
        <w:t>déjà en place</w:t>
      </w:r>
      <w:r w:rsidR="00286E0E">
        <w:t>, notamment le G</w:t>
      </w:r>
      <w:r w:rsidR="00B22911" w:rsidRPr="00B22911">
        <w:t xml:space="preserve">roupe de spécialistes des espèces envahissantes </w:t>
      </w:r>
      <w:r w:rsidR="00355AE8">
        <w:t>d</w:t>
      </w:r>
      <w:r w:rsidR="00B22911" w:rsidRPr="00B22911">
        <w:t>e l’Union internationale pour la conservation de la nature/Commission de la sauvegarde des espèces (CS</w:t>
      </w:r>
      <w:r w:rsidR="00355AE8">
        <w:t>E</w:t>
      </w:r>
      <w:r w:rsidR="00460E55">
        <w:t>/UICN</w:t>
      </w:r>
      <w:r w:rsidR="00B22911" w:rsidRPr="00B22911">
        <w:t>), l’</w:t>
      </w:r>
      <w:r w:rsidR="003A490A">
        <w:t>I</w:t>
      </w:r>
      <w:r w:rsidR="00B22911" w:rsidRPr="00B22911">
        <w:t xml:space="preserve">nitiative relative aux espèces envahissantes </w:t>
      </w:r>
      <w:r w:rsidR="00355AE8">
        <w:t>d</w:t>
      </w:r>
      <w:r w:rsidR="00B22911" w:rsidRPr="00B22911">
        <w:t xml:space="preserve">e l’UICN, le programme des espèces exotiques envahissantes de BirdLife International, CAB International, le Partenariat mondial d’information sur les espèces exotiques envahissantes (initiative appuyée par le secrétariat de </w:t>
      </w:r>
      <w:smartTag w:uri="urn:schemas-microsoft-com:office:smarttags" w:element="PersonName">
        <w:smartTagPr>
          <w:attr w:name="ProductID" w:val="la Convention"/>
        </w:smartTagPr>
        <w:r w:rsidR="00B22911" w:rsidRPr="00B22911">
          <w:t>la Convention</w:t>
        </w:r>
      </w:smartTag>
      <w:r w:rsidR="00B22911" w:rsidRPr="00B22911">
        <w:t xml:space="preserve"> sur la diversité biologique), l’Organisation des Nations Unies pour l’alimentation et l’agriculture, en particulier </w:t>
      </w:r>
      <w:r w:rsidR="00B22911">
        <w:t xml:space="preserve">ses divisions </w:t>
      </w:r>
      <w:r w:rsidR="001718CA">
        <w:t xml:space="preserve">de l’agriculture, de l’aquaculture et des forêts, et d’autres groupes d’experts internationaux et régionaux. </w:t>
      </w:r>
      <w:r w:rsidR="001718CA" w:rsidRPr="001718CA">
        <w:t xml:space="preserve">Elle tentera également </w:t>
      </w:r>
      <w:r w:rsidR="003A490A">
        <w:t>d’</w:t>
      </w:r>
      <w:r w:rsidR="00102BFD">
        <w:t>évalu</w:t>
      </w:r>
      <w:r w:rsidR="003A490A">
        <w:t>er</w:t>
      </w:r>
      <w:r w:rsidR="001718CA" w:rsidRPr="001718CA">
        <w:t xml:space="preserve"> </w:t>
      </w:r>
      <w:r w:rsidR="00C36AD7">
        <w:t>la situation</w:t>
      </w:r>
      <w:r w:rsidR="001718CA" w:rsidRPr="001718CA">
        <w:t xml:space="preserve"> des espèces exotiques envahissantes à l’échelon régional en instaurant des synergies avec les réseaux de connaissances autochtones et locaux, étant donné que les communautés locales d’agriculteurs, de chasseurs, de pêcheurs </w:t>
      </w:r>
      <w:r w:rsidR="001718CA">
        <w:t xml:space="preserve">et d’autres experts disposent sans doute du savoir le plus </w:t>
      </w:r>
      <w:r w:rsidR="003A490A">
        <w:t xml:space="preserve">ancien </w:t>
      </w:r>
      <w:r w:rsidR="001718CA">
        <w:t xml:space="preserve">concernant l’historique, </w:t>
      </w:r>
      <w:r w:rsidR="003A490A">
        <w:t xml:space="preserve">les voies d’introduction et de propagation et </w:t>
      </w:r>
      <w:r w:rsidR="001718CA">
        <w:t xml:space="preserve">l’évolution des impacts </w:t>
      </w:r>
      <w:r w:rsidR="003A490A">
        <w:t xml:space="preserve">des espèces exotiques envahissantes </w:t>
      </w:r>
      <w:r w:rsidR="001718CA">
        <w:t xml:space="preserve">et l’efficacité des efforts visant </w:t>
      </w:r>
      <w:r w:rsidR="002E268B">
        <w:t xml:space="preserve">à </w:t>
      </w:r>
      <w:r w:rsidR="003A490A">
        <w:t xml:space="preserve">les </w:t>
      </w:r>
      <w:r w:rsidR="002E268B">
        <w:t>gérer</w:t>
      </w:r>
      <w:r w:rsidR="00C36AD7">
        <w:t>.</w:t>
      </w:r>
    </w:p>
    <w:p w:rsidR="000F47EE" w:rsidRPr="00B8773B" w:rsidRDefault="00F812BE" w:rsidP="00E9220E">
      <w:pPr>
        <w:pStyle w:val="CH1"/>
      </w:pPr>
      <w:r w:rsidRPr="00B90739">
        <w:tab/>
      </w:r>
      <w:r w:rsidR="00DB76E8" w:rsidRPr="001A1175">
        <w:rPr>
          <w:lang w:val="en-GB"/>
        </w:rPr>
        <w:t>III</w:t>
      </w:r>
      <w:r w:rsidR="00316B33" w:rsidRPr="001A1175">
        <w:rPr>
          <w:lang w:val="en-GB"/>
        </w:rPr>
        <w:t>.</w:t>
      </w:r>
      <w:r w:rsidRPr="001A1175">
        <w:rPr>
          <w:lang w:val="en-GB"/>
        </w:rPr>
        <w:tab/>
      </w:r>
      <w:r w:rsidR="00102BFD">
        <w:t>Plan</w:t>
      </w:r>
      <w:r w:rsidR="00B8773B" w:rsidRPr="00B8773B">
        <w:t xml:space="preserve"> des chapitres</w:t>
      </w:r>
    </w:p>
    <w:p w:rsidR="0012321A" w:rsidRDefault="00102BFD" w:rsidP="00971587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>
        <w:t xml:space="preserve">Il est </w:t>
      </w:r>
      <w:r w:rsidR="00B90739" w:rsidRPr="00B8773B">
        <w:t>envisag</w:t>
      </w:r>
      <w:r>
        <w:t>é</w:t>
      </w:r>
      <w:r w:rsidR="00B90739" w:rsidRPr="00B8773B">
        <w:t xml:space="preserve"> de présenter les résultats de</w:t>
      </w:r>
      <w:r w:rsidR="00704F74">
        <w:t xml:space="preserve"> l’</w:t>
      </w:r>
      <w:r w:rsidR="00B90739" w:rsidRPr="00B8773B">
        <w:t>évaluation thématique dans un rapport comp</w:t>
      </w:r>
      <w:r>
        <w:t>renant</w:t>
      </w:r>
      <w:r w:rsidR="00B90739" w:rsidRPr="00B8773B">
        <w:t xml:space="preserve"> </w:t>
      </w:r>
      <w:r w:rsidR="00704F74">
        <w:t>six</w:t>
      </w:r>
      <w:r w:rsidR="00B90739" w:rsidRPr="00B8773B">
        <w:t xml:space="preserve"> chapitres </w:t>
      </w:r>
      <w:r w:rsidR="003A490A">
        <w:t>structuré</w:t>
      </w:r>
      <w:r w:rsidR="00927A63">
        <w:t>s</w:t>
      </w:r>
      <w:r w:rsidR="003A490A">
        <w:t xml:space="preserve"> </w:t>
      </w:r>
      <w:r w:rsidR="00B90739" w:rsidRPr="00B8773B">
        <w:t xml:space="preserve">comme </w:t>
      </w:r>
      <w:r>
        <w:t>suit</w:t>
      </w:r>
      <w:r w:rsidR="00B25386" w:rsidRPr="00B8773B">
        <w:t> :</w:t>
      </w:r>
    </w:p>
    <w:p w:rsidR="0012321A" w:rsidRDefault="00B90739" w:rsidP="00971587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B8773B">
        <w:t>Chapitre </w:t>
      </w:r>
      <w:r w:rsidR="000F47EE" w:rsidRPr="00B8773B">
        <w:t>1</w:t>
      </w:r>
      <w:r w:rsidR="000A34C4" w:rsidRPr="00B8773B">
        <w:t>.</w:t>
      </w:r>
      <w:r w:rsidR="000F47EE" w:rsidRPr="00B8773B">
        <w:t xml:space="preserve"> </w:t>
      </w:r>
      <w:r w:rsidRPr="00B8773B">
        <w:t xml:space="preserve">Présentation des concepts liés aux espèces exotiques envahissantes, </w:t>
      </w:r>
      <w:r w:rsidR="001350CC">
        <w:t>dont les éléments suivants</w:t>
      </w:r>
      <w:r w:rsidR="00B25386" w:rsidRPr="00B8773B">
        <w:t> :</w:t>
      </w:r>
    </w:p>
    <w:p w:rsidR="0012321A" w:rsidRDefault="00F74389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a</w:t>
      </w:r>
      <w:r w:rsidR="00C716D2" w:rsidRPr="00B8773B">
        <w:rPr>
          <w:rFonts w:ascii="Times New Roman" w:hAnsi="Times New Roman"/>
          <w:sz w:val="20"/>
          <w:szCs w:val="20"/>
          <w:lang w:val="fr-CA"/>
        </w:rPr>
        <w:t>)</w:t>
      </w:r>
      <w:r w:rsidR="00C716D2" w:rsidRPr="00B8773B">
        <w:rPr>
          <w:rFonts w:ascii="Times New Roman" w:hAnsi="Times New Roman"/>
          <w:sz w:val="20"/>
          <w:szCs w:val="20"/>
          <w:lang w:val="fr-CA"/>
        </w:rPr>
        <w:tab/>
      </w:r>
      <w:r w:rsidR="00B90739" w:rsidRPr="00B8773B">
        <w:rPr>
          <w:rFonts w:ascii="Times New Roman" w:hAnsi="Times New Roman"/>
          <w:sz w:val="20"/>
          <w:szCs w:val="20"/>
          <w:lang w:val="fr-CA"/>
        </w:rPr>
        <w:t xml:space="preserve">Risques </w:t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actuels</w:t>
      </w:r>
      <w:r w:rsidR="00B90739" w:rsidRPr="00B8773B">
        <w:rPr>
          <w:rFonts w:ascii="Times New Roman" w:hAnsi="Times New Roman"/>
          <w:sz w:val="20"/>
          <w:szCs w:val="20"/>
          <w:lang w:val="fr-CA"/>
        </w:rPr>
        <w:t xml:space="preserve"> et </w:t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futurs;</w:t>
      </w:r>
    </w:p>
    <w:p w:rsidR="0012321A" w:rsidRDefault="00F74389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b</w:t>
      </w:r>
      <w:r w:rsidR="00C716D2" w:rsidRPr="00B8773B">
        <w:rPr>
          <w:rFonts w:ascii="Times New Roman" w:hAnsi="Times New Roman"/>
          <w:sz w:val="20"/>
          <w:szCs w:val="20"/>
          <w:lang w:val="fr-CA"/>
        </w:rPr>
        <w:t>)</w:t>
      </w:r>
      <w:r w:rsidR="00C716D2" w:rsidRPr="00B8773B">
        <w:rPr>
          <w:rFonts w:ascii="Times New Roman" w:hAnsi="Times New Roman"/>
          <w:sz w:val="20"/>
          <w:szCs w:val="20"/>
          <w:lang w:val="fr-CA"/>
        </w:rPr>
        <w:tab/>
      </w:r>
      <w:r w:rsidR="00B90739" w:rsidRPr="00B8773B">
        <w:rPr>
          <w:rFonts w:ascii="Times New Roman" w:hAnsi="Times New Roman"/>
          <w:sz w:val="20"/>
          <w:szCs w:val="20"/>
          <w:lang w:val="fr-CA"/>
        </w:rPr>
        <w:t>Diversité, origine</w:t>
      </w:r>
      <w:r w:rsidR="00704F74">
        <w:rPr>
          <w:rFonts w:ascii="Times New Roman" w:hAnsi="Times New Roman"/>
          <w:sz w:val="20"/>
          <w:szCs w:val="20"/>
          <w:lang w:val="fr-CA"/>
        </w:rPr>
        <w:t>s</w:t>
      </w:r>
      <w:r w:rsidR="00B90739" w:rsidRPr="00B8773B">
        <w:rPr>
          <w:rFonts w:ascii="Times New Roman" w:hAnsi="Times New Roman"/>
          <w:sz w:val="20"/>
          <w:szCs w:val="20"/>
          <w:lang w:val="fr-CA"/>
        </w:rPr>
        <w:t xml:space="preserve">, </w:t>
      </w:r>
      <w:r w:rsidR="001350CC">
        <w:rPr>
          <w:rFonts w:ascii="Times New Roman" w:hAnsi="Times New Roman"/>
          <w:sz w:val="20"/>
          <w:szCs w:val="20"/>
          <w:lang w:val="fr-CA"/>
        </w:rPr>
        <w:t xml:space="preserve">moyens et </w:t>
      </w:r>
      <w:r w:rsidR="00B90739" w:rsidRPr="00B8773B">
        <w:rPr>
          <w:rFonts w:ascii="Times New Roman" w:hAnsi="Times New Roman"/>
          <w:sz w:val="20"/>
          <w:szCs w:val="20"/>
          <w:lang w:val="fr-CA"/>
        </w:rPr>
        <w:t>voie</w:t>
      </w:r>
      <w:r w:rsidR="00704F74">
        <w:rPr>
          <w:rFonts w:ascii="Times New Roman" w:hAnsi="Times New Roman"/>
          <w:sz w:val="20"/>
          <w:szCs w:val="20"/>
          <w:lang w:val="fr-CA"/>
        </w:rPr>
        <w:t>s</w:t>
      </w:r>
      <w:r w:rsidR="00B90739" w:rsidRPr="00B8773B">
        <w:rPr>
          <w:rFonts w:ascii="Times New Roman" w:hAnsi="Times New Roman"/>
          <w:sz w:val="20"/>
          <w:szCs w:val="20"/>
          <w:lang w:val="fr-CA"/>
        </w:rPr>
        <w:t xml:space="preserve"> d’introduction et de propagation, écologie, gravité des répercussions</w:t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;</w:t>
      </w:r>
    </w:p>
    <w:p w:rsidR="0012321A" w:rsidRDefault="00F74389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c</w:t>
      </w:r>
      <w:r w:rsidR="00C716D2" w:rsidRPr="00B8773B">
        <w:rPr>
          <w:rFonts w:ascii="Times New Roman" w:hAnsi="Times New Roman"/>
          <w:sz w:val="20"/>
          <w:szCs w:val="20"/>
          <w:lang w:val="fr-CA"/>
        </w:rPr>
        <w:t>)</w:t>
      </w:r>
      <w:r w:rsidR="00C716D2" w:rsidRPr="00B8773B">
        <w:rPr>
          <w:rFonts w:ascii="Times New Roman" w:hAnsi="Times New Roman"/>
          <w:sz w:val="20"/>
          <w:szCs w:val="20"/>
          <w:lang w:val="fr-CA"/>
        </w:rPr>
        <w:tab/>
      </w:r>
      <w:r w:rsidR="00B90739" w:rsidRPr="00B8773B">
        <w:rPr>
          <w:rFonts w:ascii="Times New Roman" w:hAnsi="Times New Roman"/>
          <w:sz w:val="20"/>
          <w:szCs w:val="20"/>
          <w:lang w:val="fr-CA"/>
        </w:rPr>
        <w:t>Besoins de sensibilisation et de politique</w:t>
      </w:r>
      <w:r w:rsidR="00704F74">
        <w:rPr>
          <w:rFonts w:ascii="Times New Roman" w:hAnsi="Times New Roman"/>
          <w:sz w:val="20"/>
          <w:szCs w:val="20"/>
          <w:lang w:val="fr-CA"/>
        </w:rPr>
        <w:t>s</w:t>
      </w:r>
      <w:r w:rsidR="00B90739" w:rsidRPr="00B8773B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>pré et post</w:t>
      </w:r>
      <w:r w:rsidR="00704F74">
        <w:rPr>
          <w:rFonts w:ascii="Times New Roman" w:hAnsi="Times New Roman"/>
          <w:sz w:val="20"/>
          <w:szCs w:val="20"/>
          <w:lang w:val="fr-CA"/>
        </w:rPr>
        <w:noBreakHyphen/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>frontalière</w:t>
      </w:r>
      <w:r w:rsidR="00704F74">
        <w:rPr>
          <w:rFonts w:ascii="Times New Roman" w:hAnsi="Times New Roman"/>
          <w:sz w:val="20"/>
          <w:szCs w:val="20"/>
          <w:lang w:val="fr-CA"/>
        </w:rPr>
        <w:t>s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102BFD">
        <w:rPr>
          <w:rFonts w:ascii="Times New Roman" w:hAnsi="Times New Roman"/>
          <w:sz w:val="20"/>
          <w:szCs w:val="20"/>
          <w:lang w:val="fr-CA"/>
        </w:rPr>
        <w:t>appropriées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102BFD">
        <w:rPr>
          <w:rFonts w:ascii="Times New Roman" w:hAnsi="Times New Roman"/>
          <w:sz w:val="20"/>
          <w:szCs w:val="20"/>
          <w:lang w:val="fr-CA"/>
        </w:rPr>
        <w:t xml:space="preserve">en matière </w:t>
      </w:r>
      <w:r w:rsidR="00102BFD" w:rsidRPr="00B8773B">
        <w:rPr>
          <w:rFonts w:ascii="Times New Roman" w:hAnsi="Times New Roman"/>
          <w:sz w:val="20"/>
          <w:szCs w:val="20"/>
          <w:lang w:val="fr-CA"/>
        </w:rPr>
        <w:t xml:space="preserve">de biosécurité </w:t>
      </w:r>
      <w:r w:rsidR="00102BFD">
        <w:rPr>
          <w:rFonts w:ascii="Times New Roman" w:hAnsi="Times New Roman"/>
          <w:sz w:val="20"/>
          <w:szCs w:val="20"/>
          <w:lang w:val="fr-CA"/>
        </w:rPr>
        <w:t xml:space="preserve">pour répondre </w:t>
      </w:r>
      <w:r w:rsidR="006C489E">
        <w:rPr>
          <w:rFonts w:ascii="Times New Roman" w:hAnsi="Times New Roman"/>
          <w:sz w:val="20"/>
          <w:szCs w:val="20"/>
          <w:lang w:val="fr-CA"/>
        </w:rPr>
        <w:t>aux</w:t>
      </w:r>
      <w:r w:rsidR="00102BFD">
        <w:rPr>
          <w:rFonts w:ascii="Times New Roman" w:hAnsi="Times New Roman"/>
          <w:sz w:val="20"/>
          <w:szCs w:val="20"/>
          <w:lang w:val="fr-CA"/>
        </w:rPr>
        <w:t xml:space="preserve"> impacts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 xml:space="preserve"> et </w:t>
      </w:r>
      <w:r w:rsidR="00102BFD">
        <w:rPr>
          <w:rFonts w:ascii="Times New Roman" w:hAnsi="Times New Roman"/>
          <w:sz w:val="20"/>
          <w:szCs w:val="20"/>
          <w:lang w:val="fr-CA"/>
        </w:rPr>
        <w:t xml:space="preserve">à </w:t>
      </w:r>
      <w:r w:rsidR="006C489E">
        <w:rPr>
          <w:rFonts w:ascii="Times New Roman" w:hAnsi="Times New Roman"/>
          <w:sz w:val="20"/>
          <w:szCs w:val="20"/>
          <w:lang w:val="fr-CA"/>
        </w:rPr>
        <w:t xml:space="preserve">la 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>propagation</w:t>
      </w:r>
      <w:r w:rsidR="006C489E">
        <w:rPr>
          <w:rFonts w:ascii="Times New Roman" w:hAnsi="Times New Roman"/>
          <w:sz w:val="20"/>
          <w:szCs w:val="20"/>
          <w:lang w:val="fr-CA"/>
        </w:rPr>
        <w:t xml:space="preserve"> des </w:t>
      </w:r>
      <w:r w:rsidR="006C489E" w:rsidRPr="006C489E">
        <w:rPr>
          <w:rFonts w:ascii="Times New Roman" w:hAnsi="Times New Roman"/>
          <w:sz w:val="20"/>
          <w:szCs w:val="20"/>
          <w:lang w:val="fr-CA"/>
        </w:rPr>
        <w:t>espèces exotiques envahissantes</w:t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;</w:t>
      </w:r>
    </w:p>
    <w:p w:rsidR="000F47EE" w:rsidRPr="00B8773B" w:rsidRDefault="00F74389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d</w:t>
      </w:r>
      <w:r w:rsidR="00C716D2" w:rsidRPr="00B8773B">
        <w:rPr>
          <w:rFonts w:ascii="Times New Roman" w:hAnsi="Times New Roman"/>
          <w:sz w:val="20"/>
          <w:szCs w:val="20"/>
          <w:lang w:val="fr-CA"/>
        </w:rPr>
        <w:t>)</w:t>
      </w:r>
      <w:r w:rsidR="00C716D2" w:rsidRPr="00B8773B">
        <w:rPr>
          <w:rFonts w:ascii="Times New Roman" w:hAnsi="Times New Roman"/>
          <w:sz w:val="20"/>
          <w:szCs w:val="20"/>
          <w:lang w:val="fr-CA"/>
        </w:rPr>
        <w:tab/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>Méthodologie</w:t>
      </w:r>
      <w:r w:rsidR="00704F74">
        <w:rPr>
          <w:rFonts w:ascii="Times New Roman" w:hAnsi="Times New Roman"/>
          <w:sz w:val="20"/>
          <w:szCs w:val="20"/>
          <w:lang w:val="fr-CA"/>
        </w:rPr>
        <w:t>s et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 xml:space="preserve"> systèmes d’information </w:t>
      </w:r>
      <w:r w:rsidR="006C489E">
        <w:rPr>
          <w:rFonts w:ascii="Times New Roman" w:hAnsi="Times New Roman"/>
          <w:sz w:val="20"/>
          <w:szCs w:val="20"/>
          <w:lang w:val="fr-CA"/>
        </w:rPr>
        <w:t>pour le suivi de l’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 xml:space="preserve">étendue, </w:t>
      </w:r>
      <w:r w:rsidR="006C489E">
        <w:rPr>
          <w:rFonts w:ascii="Times New Roman" w:hAnsi="Times New Roman"/>
          <w:sz w:val="20"/>
          <w:szCs w:val="20"/>
          <w:lang w:val="fr-CA"/>
        </w:rPr>
        <w:t xml:space="preserve">de la 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 xml:space="preserve">propagation et </w:t>
      </w:r>
      <w:r w:rsidR="006C489E">
        <w:rPr>
          <w:rFonts w:ascii="Times New Roman" w:hAnsi="Times New Roman"/>
          <w:sz w:val="20"/>
          <w:szCs w:val="20"/>
          <w:lang w:val="fr-CA"/>
        </w:rPr>
        <w:t xml:space="preserve">des 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>impacts</w:t>
      </w:r>
      <w:r w:rsidR="006C489E">
        <w:rPr>
          <w:rFonts w:ascii="Times New Roman" w:hAnsi="Times New Roman"/>
          <w:sz w:val="20"/>
          <w:szCs w:val="20"/>
          <w:lang w:val="fr-CA"/>
        </w:rPr>
        <w:t xml:space="preserve"> des </w:t>
      </w:r>
      <w:r w:rsidR="006C489E" w:rsidRPr="006C489E">
        <w:rPr>
          <w:rFonts w:ascii="Times New Roman" w:hAnsi="Times New Roman"/>
          <w:sz w:val="20"/>
          <w:szCs w:val="20"/>
          <w:lang w:val="fr-CA"/>
        </w:rPr>
        <w:t>espèces exotiques envahissantes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>.</w:t>
      </w:r>
    </w:p>
    <w:p w:rsidR="0012321A" w:rsidRDefault="00B25386" w:rsidP="00971587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B8773B">
        <w:t>Chapitre </w:t>
      </w:r>
      <w:r w:rsidR="0045136F" w:rsidRPr="00B8773B">
        <w:t>2</w:t>
      </w:r>
      <w:r w:rsidR="009029AF" w:rsidRPr="00B8773B">
        <w:t>.</w:t>
      </w:r>
      <w:r w:rsidR="000F47EE" w:rsidRPr="00B8773B">
        <w:t xml:space="preserve"> </w:t>
      </w:r>
      <w:r w:rsidR="0045136F" w:rsidRPr="00B8773B">
        <w:t>Aperçu des types d’espèces exotiques envahissantes, de leur</w:t>
      </w:r>
      <w:r w:rsidR="001F118E">
        <w:t>s</w:t>
      </w:r>
      <w:r w:rsidR="0045136F" w:rsidRPr="00B8773B">
        <w:t xml:space="preserve"> </w:t>
      </w:r>
      <w:r w:rsidR="006C489E">
        <w:t>moyens</w:t>
      </w:r>
      <w:r w:rsidR="0045136F" w:rsidRPr="00B8773B">
        <w:t xml:space="preserve"> et historique</w:t>
      </w:r>
      <w:r w:rsidR="001F118E">
        <w:t>s</w:t>
      </w:r>
      <w:r w:rsidR="0045136F" w:rsidRPr="00B8773B">
        <w:t xml:space="preserve"> de propagation et des </w:t>
      </w:r>
      <w:r w:rsidR="006C489E">
        <w:t>typ</w:t>
      </w:r>
      <w:r w:rsidR="0045136F" w:rsidRPr="00B8773B">
        <w:t>es d</w:t>
      </w:r>
      <w:r w:rsidR="006C489E">
        <w:t>’impacts</w:t>
      </w:r>
      <w:r w:rsidR="0045136F" w:rsidRPr="00B8773B">
        <w:t xml:space="preserve">, par région, sur la diversité biologique, </w:t>
      </w:r>
      <w:r w:rsidR="001F118E">
        <w:t>l</w:t>
      </w:r>
      <w:r w:rsidR="0045136F" w:rsidRPr="00B8773B">
        <w:t>es services écosystémiques et le bien-être humain. Les principaux groupes taxonomiques couverts sont les suivants</w:t>
      </w:r>
      <w:r w:rsidRPr="00B8773B">
        <w:t> :</w:t>
      </w:r>
    </w:p>
    <w:p w:rsidR="000F47EE" w:rsidRPr="00B8773B" w:rsidRDefault="00316B33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a)</w:t>
      </w:r>
      <w:r w:rsidRPr="00B8773B">
        <w:rPr>
          <w:rFonts w:ascii="Times New Roman" w:hAnsi="Times New Roman"/>
          <w:sz w:val="20"/>
          <w:szCs w:val="20"/>
          <w:lang w:val="fr-CA"/>
        </w:rPr>
        <w:tab/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>Vertébrés (p.</w:t>
      </w:r>
      <w:r w:rsidR="001F118E">
        <w:rPr>
          <w:rFonts w:ascii="Times New Roman" w:hAnsi="Times New Roman"/>
          <w:sz w:val="20"/>
          <w:szCs w:val="20"/>
          <w:lang w:val="fr-CA"/>
        </w:rPr>
        <w:t> 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>ex. rats, souris, opossum</w:t>
      </w:r>
      <w:r w:rsidR="001F118E">
        <w:rPr>
          <w:rFonts w:ascii="Times New Roman" w:hAnsi="Times New Roman"/>
          <w:sz w:val="20"/>
          <w:szCs w:val="20"/>
          <w:lang w:val="fr-CA"/>
        </w:rPr>
        <w:t>s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 xml:space="preserve">, mangoustes, </w:t>
      </w:r>
      <w:r w:rsidR="002032B8">
        <w:rPr>
          <w:rFonts w:ascii="Times New Roman" w:hAnsi="Times New Roman"/>
          <w:sz w:val="20"/>
          <w:szCs w:val="20"/>
          <w:lang w:val="fr-CA"/>
        </w:rPr>
        <w:t>félins</w:t>
      </w:r>
      <w:r w:rsidR="0045136F" w:rsidRPr="00B8773B">
        <w:rPr>
          <w:rFonts w:ascii="Times New Roman" w:hAnsi="Times New Roman"/>
          <w:sz w:val="20"/>
          <w:szCs w:val="20"/>
          <w:lang w:val="fr-CA"/>
        </w:rPr>
        <w:t xml:space="preserve">, chèvres, cerfs, porcs, 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 xml:space="preserve">chevaux, </w:t>
      </w:r>
      <w:r w:rsidR="007737AC">
        <w:rPr>
          <w:rFonts w:ascii="Times New Roman" w:hAnsi="Times New Roman"/>
          <w:sz w:val="20"/>
          <w:szCs w:val="20"/>
          <w:lang w:val="fr-CA"/>
        </w:rPr>
        <w:t>bovins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>, chameau</w:t>
      </w:r>
      <w:r w:rsidR="00F81C75">
        <w:rPr>
          <w:rFonts w:ascii="Times New Roman" w:hAnsi="Times New Roman"/>
          <w:sz w:val="20"/>
          <w:szCs w:val="20"/>
          <w:lang w:val="fr-CA"/>
        </w:rPr>
        <w:t>x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>, renard</w:t>
      </w:r>
      <w:r w:rsidR="001F118E">
        <w:rPr>
          <w:rFonts w:ascii="Times New Roman" w:hAnsi="Times New Roman"/>
          <w:sz w:val="20"/>
          <w:szCs w:val="20"/>
          <w:lang w:val="fr-CA"/>
        </w:rPr>
        <w:t>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>, lapin</w:t>
      </w:r>
      <w:r w:rsidR="00F81C75">
        <w:rPr>
          <w:rFonts w:ascii="Times New Roman" w:hAnsi="Times New Roman"/>
          <w:sz w:val="20"/>
          <w:szCs w:val="20"/>
          <w:lang w:val="fr-CA"/>
        </w:rPr>
        <w:t>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 xml:space="preserve">, singes, serpents, </w:t>
      </w:r>
      <w:r w:rsidR="00F81C75">
        <w:rPr>
          <w:rFonts w:ascii="Times New Roman" w:hAnsi="Times New Roman"/>
          <w:sz w:val="20"/>
          <w:szCs w:val="20"/>
          <w:lang w:val="fr-CA"/>
        </w:rPr>
        <w:t>lézards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 xml:space="preserve">, </w:t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tortues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>, crapauds et grenouilles, oiseaux et poissons)</w:t>
      </w:r>
      <w:r w:rsidR="000F47EE" w:rsidRPr="00B8773B">
        <w:rPr>
          <w:rFonts w:ascii="Times New Roman" w:hAnsi="Times New Roman"/>
          <w:sz w:val="20"/>
          <w:szCs w:val="20"/>
          <w:lang w:val="fr-CA"/>
        </w:rPr>
        <w:t>;</w:t>
      </w:r>
    </w:p>
    <w:p w:rsidR="000F47EE" w:rsidRPr="00B8773B" w:rsidRDefault="00316B33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b)</w:t>
      </w:r>
      <w:r w:rsidRPr="00B8773B">
        <w:rPr>
          <w:rFonts w:ascii="Times New Roman" w:hAnsi="Times New Roman"/>
          <w:sz w:val="20"/>
          <w:szCs w:val="20"/>
          <w:lang w:val="fr-CA"/>
        </w:rPr>
        <w:tab/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Invertébrés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 xml:space="preserve"> (p.</w:t>
      </w:r>
      <w:r w:rsidR="00F81C75">
        <w:rPr>
          <w:rFonts w:ascii="Times New Roman" w:hAnsi="Times New Roman"/>
          <w:sz w:val="20"/>
          <w:szCs w:val="20"/>
          <w:lang w:val="fr-CA"/>
        </w:rPr>
        <w:t> 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>ex. fourmi</w:t>
      </w:r>
      <w:r w:rsidR="00F81C75">
        <w:rPr>
          <w:rFonts w:ascii="Times New Roman" w:hAnsi="Times New Roman"/>
          <w:sz w:val="20"/>
          <w:szCs w:val="20"/>
          <w:lang w:val="fr-CA"/>
        </w:rPr>
        <w:t>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>, moustique</w:t>
      </w:r>
      <w:r w:rsidR="00F81C75">
        <w:rPr>
          <w:rFonts w:ascii="Times New Roman" w:hAnsi="Times New Roman"/>
          <w:sz w:val="20"/>
          <w:szCs w:val="20"/>
          <w:lang w:val="fr-CA"/>
        </w:rPr>
        <w:t>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>, mouche</w:t>
      </w:r>
      <w:r w:rsidR="00F81C75">
        <w:rPr>
          <w:rFonts w:ascii="Times New Roman" w:hAnsi="Times New Roman"/>
          <w:sz w:val="20"/>
          <w:szCs w:val="20"/>
          <w:lang w:val="fr-CA"/>
        </w:rPr>
        <w:t>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>, guêpe</w:t>
      </w:r>
      <w:r w:rsidR="00F81C75">
        <w:rPr>
          <w:rFonts w:ascii="Times New Roman" w:hAnsi="Times New Roman"/>
          <w:sz w:val="20"/>
          <w:szCs w:val="20"/>
          <w:lang w:val="fr-CA"/>
        </w:rPr>
        <w:t>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 xml:space="preserve">, pucerons, scarabées, </w:t>
      </w:r>
      <w:r w:rsidR="00F81C75">
        <w:rPr>
          <w:rFonts w:ascii="Times New Roman" w:hAnsi="Times New Roman"/>
          <w:sz w:val="20"/>
          <w:szCs w:val="20"/>
          <w:lang w:val="fr-CA"/>
        </w:rPr>
        <w:t>termites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>, cafard</w:t>
      </w:r>
      <w:r w:rsidR="00F81C75">
        <w:rPr>
          <w:rFonts w:ascii="Times New Roman" w:hAnsi="Times New Roman"/>
          <w:sz w:val="20"/>
          <w:szCs w:val="20"/>
          <w:lang w:val="fr-CA"/>
        </w:rPr>
        <w:t>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 xml:space="preserve">, locustes, </w:t>
      </w:r>
      <w:r w:rsidR="00F81C75">
        <w:rPr>
          <w:rFonts w:ascii="Times New Roman" w:hAnsi="Times New Roman"/>
          <w:sz w:val="20"/>
          <w:szCs w:val="20"/>
          <w:lang w:val="fr-CA"/>
        </w:rPr>
        <w:t>mites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>, crabes, limaces et autres mollusques, ver</w:t>
      </w:r>
      <w:r w:rsidR="00F81C75">
        <w:rPr>
          <w:rFonts w:ascii="Times New Roman" w:hAnsi="Times New Roman"/>
          <w:sz w:val="20"/>
          <w:szCs w:val="20"/>
          <w:lang w:val="fr-CA"/>
        </w:rPr>
        <w:t>s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 xml:space="preserve"> plat</w:t>
      </w:r>
      <w:r w:rsidR="00F81C75">
        <w:rPr>
          <w:rFonts w:ascii="Times New Roman" w:hAnsi="Times New Roman"/>
          <w:sz w:val="20"/>
          <w:szCs w:val="20"/>
          <w:lang w:val="fr-CA"/>
        </w:rPr>
        <w:t>s), en particulier l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>es organismes colonisateurs</w:t>
      </w:r>
      <w:r w:rsidR="007737AC">
        <w:rPr>
          <w:rFonts w:ascii="Times New Roman" w:hAnsi="Times New Roman"/>
          <w:sz w:val="20"/>
          <w:szCs w:val="20"/>
          <w:lang w:val="fr-CA"/>
        </w:rPr>
        <w:t>,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7737AC">
        <w:rPr>
          <w:rFonts w:ascii="Times New Roman" w:hAnsi="Times New Roman"/>
          <w:sz w:val="20"/>
          <w:szCs w:val="20"/>
          <w:lang w:val="fr-CA"/>
        </w:rPr>
        <w:t>tels que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 xml:space="preserve"> les fourmis et </w:t>
      </w:r>
      <w:r w:rsidR="00EE60FF" w:rsidRPr="00B8773B">
        <w:rPr>
          <w:rFonts w:ascii="Times New Roman" w:hAnsi="Times New Roman"/>
          <w:sz w:val="20"/>
          <w:szCs w:val="20"/>
          <w:lang w:val="fr-CA"/>
        </w:rPr>
        <w:t>guêpes</w:t>
      </w:r>
      <w:r w:rsidR="007737AC">
        <w:rPr>
          <w:rFonts w:ascii="Times New Roman" w:hAnsi="Times New Roman"/>
          <w:sz w:val="20"/>
          <w:szCs w:val="20"/>
          <w:lang w:val="fr-CA"/>
        </w:rPr>
        <w:t>,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7737AC">
        <w:rPr>
          <w:rFonts w:ascii="Times New Roman" w:hAnsi="Times New Roman"/>
          <w:sz w:val="20"/>
          <w:szCs w:val="20"/>
          <w:lang w:val="fr-CA"/>
        </w:rPr>
        <w:t>et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 xml:space="preserve"> les moustiques vecteurs de maladie </w:t>
      </w:r>
      <w:r w:rsidR="007737AC">
        <w:rPr>
          <w:rFonts w:ascii="Times New Roman" w:hAnsi="Times New Roman"/>
          <w:sz w:val="20"/>
          <w:szCs w:val="20"/>
          <w:lang w:val="fr-CA"/>
        </w:rPr>
        <w:t>dont l’</w:t>
      </w:r>
      <w:r w:rsidR="00EE60FF" w:rsidRPr="00B8773B">
        <w:rPr>
          <w:rFonts w:ascii="Times New Roman" w:hAnsi="Times New Roman"/>
          <w:sz w:val="20"/>
          <w:szCs w:val="20"/>
          <w:lang w:val="fr-CA"/>
        </w:rPr>
        <w:t>aire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 xml:space="preserve"> de répartition</w:t>
      </w:r>
      <w:r w:rsidR="007737AC">
        <w:rPr>
          <w:rFonts w:ascii="Times New Roman" w:hAnsi="Times New Roman"/>
          <w:sz w:val="20"/>
          <w:szCs w:val="20"/>
          <w:lang w:val="fr-CA"/>
        </w:rPr>
        <w:t xml:space="preserve"> semble s’élargir</w:t>
      </w:r>
      <w:r w:rsidR="00DF50E3" w:rsidRPr="00B8773B">
        <w:rPr>
          <w:rFonts w:ascii="Times New Roman" w:hAnsi="Times New Roman"/>
          <w:sz w:val="20"/>
          <w:szCs w:val="20"/>
          <w:lang w:val="fr-CA"/>
        </w:rPr>
        <w:t>;</w:t>
      </w:r>
    </w:p>
    <w:p w:rsidR="0012321A" w:rsidRDefault="00316B33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c)</w:t>
      </w:r>
      <w:r w:rsidRPr="00B8773B">
        <w:rPr>
          <w:rFonts w:ascii="Times New Roman" w:hAnsi="Times New Roman"/>
          <w:sz w:val="20"/>
          <w:szCs w:val="20"/>
          <w:lang w:val="fr-CA"/>
        </w:rPr>
        <w:tab/>
      </w:r>
      <w:r w:rsidR="00EE60FF" w:rsidRPr="00B8773B">
        <w:rPr>
          <w:rFonts w:ascii="Times New Roman" w:hAnsi="Times New Roman"/>
          <w:sz w:val="20"/>
          <w:szCs w:val="20"/>
          <w:lang w:val="fr-CA"/>
        </w:rPr>
        <w:t>Végétaux (p.</w:t>
      </w:r>
      <w:r w:rsidR="00F81C75">
        <w:rPr>
          <w:rFonts w:ascii="Times New Roman" w:hAnsi="Times New Roman"/>
          <w:sz w:val="20"/>
          <w:szCs w:val="20"/>
          <w:lang w:val="fr-CA"/>
        </w:rPr>
        <w:t> </w:t>
      </w:r>
      <w:r w:rsidR="00EE60FF" w:rsidRPr="00B8773B">
        <w:rPr>
          <w:rFonts w:ascii="Times New Roman" w:hAnsi="Times New Roman"/>
          <w:sz w:val="20"/>
          <w:szCs w:val="20"/>
          <w:lang w:val="fr-CA"/>
        </w:rPr>
        <w:t>ex. arbres, arbustes, vignes, herbe</w:t>
      </w:r>
      <w:r w:rsidR="001350CC">
        <w:rPr>
          <w:rFonts w:ascii="Times New Roman" w:hAnsi="Times New Roman"/>
          <w:sz w:val="20"/>
          <w:szCs w:val="20"/>
          <w:lang w:val="fr-CA"/>
        </w:rPr>
        <w:t>s</w:t>
      </w:r>
      <w:r w:rsidR="00EE60FF" w:rsidRPr="00B8773B">
        <w:rPr>
          <w:rFonts w:ascii="Times New Roman" w:hAnsi="Times New Roman"/>
          <w:sz w:val="20"/>
          <w:szCs w:val="20"/>
          <w:lang w:val="fr-CA"/>
        </w:rPr>
        <w:t xml:space="preserve"> et algues)</w:t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;</w:t>
      </w:r>
    </w:p>
    <w:p w:rsidR="00F74389" w:rsidRPr="00B8773B" w:rsidRDefault="00316B33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d)</w:t>
      </w:r>
      <w:r w:rsidRPr="00B8773B">
        <w:rPr>
          <w:rFonts w:ascii="Times New Roman" w:hAnsi="Times New Roman"/>
          <w:sz w:val="20"/>
          <w:szCs w:val="20"/>
          <w:lang w:val="fr-CA"/>
        </w:rPr>
        <w:tab/>
      </w:r>
      <w:r w:rsidR="00D26618">
        <w:rPr>
          <w:rFonts w:ascii="Times New Roman" w:hAnsi="Times New Roman"/>
          <w:sz w:val="20"/>
          <w:szCs w:val="20"/>
          <w:lang w:val="fr-CA"/>
        </w:rPr>
        <w:t>Organismes p</w:t>
      </w:r>
      <w:r w:rsidR="002A4EB9">
        <w:rPr>
          <w:rFonts w:ascii="Times New Roman" w:hAnsi="Times New Roman"/>
          <w:sz w:val="20"/>
          <w:szCs w:val="20"/>
          <w:lang w:val="fr-CA"/>
        </w:rPr>
        <w:t>athogènes et micro</w:t>
      </w:r>
      <w:r w:rsidR="002A4EB9">
        <w:rPr>
          <w:rFonts w:ascii="Times New Roman" w:hAnsi="Times New Roman"/>
          <w:sz w:val="20"/>
          <w:szCs w:val="20"/>
          <w:lang w:val="fr-CA"/>
        </w:rPr>
        <w:noBreakHyphen/>
      </w:r>
      <w:r w:rsidR="00EE60FF" w:rsidRPr="00B8773B">
        <w:rPr>
          <w:rFonts w:ascii="Times New Roman" w:hAnsi="Times New Roman"/>
          <w:sz w:val="20"/>
          <w:szCs w:val="20"/>
          <w:lang w:val="fr-CA"/>
        </w:rPr>
        <w:t>organismes (p.</w:t>
      </w:r>
      <w:r w:rsidR="002A4EB9">
        <w:rPr>
          <w:rFonts w:ascii="Times New Roman" w:hAnsi="Times New Roman"/>
          <w:sz w:val="20"/>
          <w:szCs w:val="20"/>
          <w:lang w:val="fr-CA"/>
        </w:rPr>
        <w:t> </w:t>
      </w:r>
      <w:r w:rsidR="00EE60FF" w:rsidRPr="00B8773B">
        <w:rPr>
          <w:rFonts w:ascii="Times New Roman" w:hAnsi="Times New Roman"/>
          <w:sz w:val="20"/>
          <w:szCs w:val="20"/>
          <w:lang w:val="fr-CA"/>
        </w:rPr>
        <w:t>ex. champignons, virus, bactéries, cyanobactéries, protozoaire</w:t>
      </w:r>
      <w:r w:rsidR="002A4EB9">
        <w:rPr>
          <w:rFonts w:ascii="Times New Roman" w:hAnsi="Times New Roman"/>
          <w:sz w:val="20"/>
          <w:szCs w:val="20"/>
          <w:lang w:val="fr-CA"/>
        </w:rPr>
        <w:t>s</w:t>
      </w:r>
      <w:r w:rsidR="00EE60FF" w:rsidRPr="00B8773B">
        <w:rPr>
          <w:rFonts w:ascii="Times New Roman" w:hAnsi="Times New Roman"/>
          <w:sz w:val="20"/>
          <w:szCs w:val="20"/>
          <w:lang w:val="fr-CA"/>
        </w:rPr>
        <w:t>, maladies coralliennes, plancton, parasites).</w:t>
      </w:r>
    </w:p>
    <w:p w:rsidR="0012321A" w:rsidRDefault="00EE60FF" w:rsidP="00971587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B8773B">
        <w:t>Au</w:t>
      </w:r>
      <w:r w:rsidR="002A4EB9">
        <w:t>tres</w:t>
      </w:r>
      <w:r w:rsidRPr="00B8773B">
        <w:t xml:space="preserve"> question</w:t>
      </w:r>
      <w:r w:rsidR="002A4EB9">
        <w:t>s</w:t>
      </w:r>
      <w:r w:rsidRPr="00B8773B">
        <w:t xml:space="preserve"> traité</w:t>
      </w:r>
      <w:r w:rsidR="002A4EB9">
        <w:t>es</w:t>
      </w:r>
      <w:r w:rsidRPr="00B8773B">
        <w:t xml:space="preserve"> dans le </w:t>
      </w:r>
      <w:r w:rsidR="00B25386" w:rsidRPr="00B8773B">
        <w:t>chapitre </w:t>
      </w:r>
      <w:r w:rsidRPr="00B8773B">
        <w:t>2</w:t>
      </w:r>
      <w:r w:rsidR="00B25386" w:rsidRPr="00B8773B">
        <w:t> :</w:t>
      </w:r>
    </w:p>
    <w:p w:rsidR="0012321A" w:rsidRDefault="00F74389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lang w:val="fr-CA"/>
        </w:rPr>
        <w:t>a</w:t>
      </w:r>
      <w:r w:rsidR="00B1436B" w:rsidRPr="00B8773B">
        <w:rPr>
          <w:rFonts w:ascii="Times New Roman" w:hAnsi="Times New Roman"/>
          <w:lang w:val="fr-CA"/>
        </w:rPr>
        <w:t>)</w:t>
      </w:r>
      <w:r w:rsidR="00B1436B" w:rsidRPr="00B8773B">
        <w:rPr>
          <w:lang w:val="fr-CA"/>
        </w:rPr>
        <w:tab/>
      </w:r>
      <w:r w:rsidR="008252A7">
        <w:rPr>
          <w:rFonts w:ascii="Times New Roman" w:hAnsi="Times New Roman"/>
          <w:sz w:val="20"/>
          <w:szCs w:val="20"/>
          <w:lang w:val="fr-CA"/>
        </w:rPr>
        <w:t xml:space="preserve">Étendues </w:t>
      </w:r>
      <w:r w:rsidR="00BE68EA">
        <w:rPr>
          <w:rFonts w:ascii="Times New Roman" w:hAnsi="Times New Roman"/>
          <w:sz w:val="20"/>
          <w:szCs w:val="20"/>
          <w:lang w:val="fr-CA"/>
        </w:rPr>
        <w:t xml:space="preserve">territoriales </w:t>
      </w:r>
      <w:r w:rsidR="00EE60FF" w:rsidRPr="00B8773B">
        <w:rPr>
          <w:rFonts w:ascii="Times New Roman" w:hAnsi="Times New Roman"/>
          <w:sz w:val="20"/>
          <w:szCs w:val="20"/>
          <w:lang w:val="fr-CA"/>
        </w:rPr>
        <w:t xml:space="preserve">et tendances </w:t>
      </w:r>
      <w:r w:rsidR="00446070" w:rsidRPr="00B8773B">
        <w:rPr>
          <w:rFonts w:ascii="Times New Roman" w:hAnsi="Times New Roman"/>
          <w:sz w:val="20"/>
          <w:szCs w:val="20"/>
          <w:lang w:val="fr-CA"/>
        </w:rPr>
        <w:t xml:space="preserve">de l’appauvrissement de la diversité biologique et des services écosystémiques, de la dégradation des terres et de la </w:t>
      </w:r>
      <w:r w:rsidR="00AF49C8">
        <w:rPr>
          <w:rFonts w:ascii="Times New Roman" w:hAnsi="Times New Roman"/>
          <w:sz w:val="20"/>
          <w:szCs w:val="20"/>
          <w:lang w:val="fr-CA"/>
        </w:rPr>
        <w:t>perte de</w:t>
      </w:r>
      <w:r w:rsidR="00446070" w:rsidRPr="00B8773B">
        <w:rPr>
          <w:rFonts w:ascii="Times New Roman" w:hAnsi="Times New Roman"/>
          <w:sz w:val="20"/>
          <w:szCs w:val="20"/>
          <w:lang w:val="fr-CA"/>
        </w:rPr>
        <w:t xml:space="preserve"> sécurité alimentaire et de moyens </w:t>
      </w:r>
      <w:r w:rsidR="00BE68EA">
        <w:rPr>
          <w:rFonts w:ascii="Times New Roman" w:hAnsi="Times New Roman"/>
          <w:sz w:val="20"/>
          <w:szCs w:val="20"/>
          <w:lang w:val="fr-CA"/>
        </w:rPr>
        <w:t>de subsistance</w:t>
      </w:r>
      <w:r w:rsidR="00446070" w:rsidRPr="00B8773B">
        <w:rPr>
          <w:rFonts w:ascii="Times New Roman" w:hAnsi="Times New Roman"/>
          <w:sz w:val="20"/>
          <w:szCs w:val="20"/>
          <w:lang w:val="fr-CA"/>
        </w:rPr>
        <w:t xml:space="preserve"> causé</w:t>
      </w:r>
      <w:r w:rsidR="00440D75">
        <w:rPr>
          <w:rFonts w:ascii="Times New Roman" w:hAnsi="Times New Roman"/>
          <w:sz w:val="20"/>
          <w:szCs w:val="20"/>
          <w:lang w:val="fr-CA"/>
        </w:rPr>
        <w:t>s</w:t>
      </w:r>
      <w:r w:rsidR="00446070" w:rsidRPr="00B8773B">
        <w:rPr>
          <w:rFonts w:ascii="Times New Roman" w:hAnsi="Times New Roman"/>
          <w:sz w:val="20"/>
          <w:szCs w:val="20"/>
          <w:lang w:val="fr-CA"/>
        </w:rPr>
        <w:t xml:space="preserve"> par les espèces exotiques envahissantes dans toutes les régions et sous</w:t>
      </w:r>
      <w:r w:rsidR="00440D75">
        <w:rPr>
          <w:rFonts w:ascii="Times New Roman" w:hAnsi="Times New Roman"/>
          <w:sz w:val="20"/>
          <w:szCs w:val="20"/>
          <w:lang w:val="fr-CA"/>
        </w:rPr>
        <w:noBreakHyphen/>
      </w:r>
      <w:r w:rsidR="00446070" w:rsidRPr="00B8773B">
        <w:rPr>
          <w:rFonts w:ascii="Times New Roman" w:hAnsi="Times New Roman"/>
          <w:sz w:val="20"/>
          <w:szCs w:val="20"/>
          <w:lang w:val="fr-CA"/>
        </w:rPr>
        <w:t>régions</w:t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;</w:t>
      </w:r>
    </w:p>
    <w:p w:rsidR="0012321A" w:rsidRDefault="00F74389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b</w:t>
      </w:r>
      <w:r w:rsidR="00316B33" w:rsidRPr="00B8773B">
        <w:rPr>
          <w:rFonts w:ascii="Times New Roman" w:hAnsi="Times New Roman"/>
          <w:sz w:val="20"/>
          <w:szCs w:val="20"/>
          <w:lang w:val="fr-CA"/>
        </w:rPr>
        <w:t>)</w:t>
      </w:r>
      <w:r w:rsidRPr="00B8773B" w:rsidDel="009029AF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B1436B" w:rsidRPr="00B8773B">
        <w:rPr>
          <w:rFonts w:ascii="Times New Roman" w:hAnsi="Times New Roman"/>
          <w:sz w:val="20"/>
          <w:szCs w:val="20"/>
          <w:lang w:val="fr-CA"/>
        </w:rPr>
        <w:tab/>
      </w:r>
      <w:r w:rsidR="00446070" w:rsidRPr="00B8773B">
        <w:rPr>
          <w:rFonts w:ascii="Times New Roman" w:hAnsi="Times New Roman"/>
          <w:sz w:val="20"/>
          <w:szCs w:val="20"/>
          <w:lang w:val="fr-CA"/>
        </w:rPr>
        <w:t xml:space="preserve">Évaluation des seuils </w:t>
      </w:r>
      <w:r w:rsidR="006C627D">
        <w:rPr>
          <w:rFonts w:ascii="Times New Roman" w:hAnsi="Times New Roman"/>
          <w:sz w:val="20"/>
          <w:szCs w:val="20"/>
          <w:lang w:val="fr-CA"/>
        </w:rPr>
        <w:t xml:space="preserve">et </w:t>
      </w:r>
      <w:r w:rsidR="00446070" w:rsidRPr="00B8773B">
        <w:rPr>
          <w:rFonts w:ascii="Times New Roman" w:hAnsi="Times New Roman"/>
          <w:sz w:val="20"/>
          <w:szCs w:val="20"/>
          <w:lang w:val="fr-CA"/>
        </w:rPr>
        <w:t>échelle</w:t>
      </w:r>
      <w:r w:rsidR="006C627D">
        <w:rPr>
          <w:rFonts w:ascii="Times New Roman" w:hAnsi="Times New Roman"/>
          <w:sz w:val="20"/>
          <w:szCs w:val="20"/>
          <w:lang w:val="fr-CA"/>
        </w:rPr>
        <w:t>s</w:t>
      </w:r>
      <w:r w:rsidR="00446070" w:rsidRPr="00B8773B">
        <w:rPr>
          <w:rFonts w:ascii="Times New Roman" w:hAnsi="Times New Roman"/>
          <w:sz w:val="20"/>
          <w:szCs w:val="20"/>
          <w:lang w:val="fr-CA"/>
        </w:rPr>
        <w:t xml:space="preserve"> du changement (positif et négatif), y compris l’arrivée récente de nouvelles espèces exotiques envahissantes</w:t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;</w:t>
      </w:r>
    </w:p>
    <w:p w:rsidR="0012321A" w:rsidRDefault="00F74389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lastRenderedPageBreak/>
        <w:t>c</w:t>
      </w:r>
      <w:r w:rsidR="00316B33" w:rsidRPr="00B8773B">
        <w:rPr>
          <w:rFonts w:ascii="Times New Roman" w:hAnsi="Times New Roman"/>
          <w:sz w:val="20"/>
          <w:szCs w:val="20"/>
          <w:lang w:val="fr-CA"/>
        </w:rPr>
        <w:t>)</w:t>
      </w:r>
      <w:r w:rsidR="00316B33" w:rsidRPr="00B8773B">
        <w:rPr>
          <w:rFonts w:ascii="Times New Roman" w:hAnsi="Times New Roman"/>
          <w:sz w:val="20"/>
          <w:szCs w:val="20"/>
          <w:lang w:val="fr-CA"/>
        </w:rPr>
        <w:tab/>
      </w:r>
      <w:r w:rsidR="00446070" w:rsidRPr="00B8773B">
        <w:rPr>
          <w:rFonts w:ascii="Times New Roman" w:hAnsi="Times New Roman"/>
          <w:sz w:val="20"/>
          <w:szCs w:val="20"/>
          <w:lang w:val="fr-CA"/>
        </w:rPr>
        <w:t>Recoupement de l’information existante avec les connaissances autochtones et locales.</w:t>
      </w:r>
    </w:p>
    <w:p w:rsidR="0012321A" w:rsidRDefault="000F47EE" w:rsidP="00971587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B8773B">
        <w:t>Chap</w:t>
      </w:r>
      <w:r w:rsidR="00446070" w:rsidRPr="00B8773B">
        <w:t>itre </w:t>
      </w:r>
      <w:r w:rsidRPr="00B8773B">
        <w:t>3</w:t>
      </w:r>
      <w:r w:rsidR="009029AF" w:rsidRPr="00B8773B">
        <w:t>.</w:t>
      </w:r>
      <w:r w:rsidRPr="00B8773B">
        <w:t xml:space="preserve"> </w:t>
      </w:r>
      <w:r w:rsidR="005E6C39" w:rsidRPr="00B8773B">
        <w:t xml:space="preserve">Évaluation </w:t>
      </w:r>
      <w:r w:rsidR="008252A7">
        <w:t xml:space="preserve">à l’échelle </w:t>
      </w:r>
      <w:r w:rsidR="005E6C39" w:rsidRPr="00B8773B">
        <w:t>mondiale des facteurs directs et indirects responsables de l’augmentation du nombre d’espèces exotiques envahissantes et de l’accroissement de leurs effets. Il s’agira d’une analyse fondamentale englobant</w:t>
      </w:r>
      <w:r w:rsidR="00B25386" w:rsidRPr="00B8773B">
        <w:t> :</w:t>
      </w:r>
    </w:p>
    <w:p w:rsidR="0012321A" w:rsidRDefault="00316B33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a)</w:t>
      </w:r>
      <w:r w:rsidRPr="00B8773B">
        <w:rPr>
          <w:rFonts w:ascii="Times New Roman" w:hAnsi="Times New Roman"/>
          <w:sz w:val="20"/>
          <w:szCs w:val="20"/>
          <w:lang w:val="fr-CA"/>
        </w:rPr>
        <w:tab/>
      </w:r>
      <w:r w:rsidR="005E6C39" w:rsidRPr="00B8773B">
        <w:rPr>
          <w:rFonts w:ascii="Times New Roman" w:hAnsi="Times New Roman"/>
          <w:sz w:val="20"/>
          <w:szCs w:val="20"/>
          <w:lang w:val="fr-CA"/>
        </w:rPr>
        <w:t xml:space="preserve">Une évaluation des facteurs indirects de changement, notamment les mouvements accrus de marchandises et autres matériels </w:t>
      </w:r>
      <w:r w:rsidR="00BE68EA">
        <w:rPr>
          <w:rFonts w:ascii="Times New Roman" w:hAnsi="Times New Roman"/>
          <w:sz w:val="20"/>
          <w:szCs w:val="20"/>
          <w:lang w:val="fr-CA"/>
        </w:rPr>
        <w:t>par voie maritime</w:t>
      </w:r>
      <w:r w:rsidR="001F2EF0">
        <w:rPr>
          <w:rFonts w:ascii="Times New Roman" w:hAnsi="Times New Roman"/>
          <w:sz w:val="20"/>
          <w:szCs w:val="20"/>
          <w:lang w:val="fr-CA"/>
        </w:rPr>
        <w:t>, aérienne</w:t>
      </w:r>
      <w:r w:rsidR="00BE68EA">
        <w:rPr>
          <w:rFonts w:ascii="Times New Roman" w:hAnsi="Times New Roman"/>
          <w:sz w:val="20"/>
          <w:szCs w:val="20"/>
          <w:lang w:val="fr-CA"/>
        </w:rPr>
        <w:t xml:space="preserve"> et terrestre</w:t>
      </w:r>
      <w:r w:rsidR="005E6C39" w:rsidRPr="00B8773B">
        <w:rPr>
          <w:rFonts w:ascii="Times New Roman" w:hAnsi="Times New Roman"/>
          <w:sz w:val="20"/>
          <w:szCs w:val="20"/>
          <w:lang w:val="fr-CA"/>
        </w:rPr>
        <w:t xml:space="preserve">, les politiques commerciales et agricoles, l’augmentation des monocultures et </w:t>
      </w:r>
      <w:r w:rsidR="001F2EF0">
        <w:rPr>
          <w:rFonts w:ascii="Times New Roman" w:hAnsi="Times New Roman"/>
          <w:sz w:val="20"/>
          <w:szCs w:val="20"/>
          <w:lang w:val="fr-CA"/>
        </w:rPr>
        <w:t xml:space="preserve">forêts plantées </w:t>
      </w:r>
      <w:r w:rsidR="008252A7">
        <w:rPr>
          <w:rFonts w:ascii="Times New Roman" w:hAnsi="Times New Roman"/>
          <w:sz w:val="20"/>
          <w:szCs w:val="20"/>
          <w:lang w:val="fr-CA"/>
        </w:rPr>
        <w:t>d’</w:t>
      </w:r>
      <w:r w:rsidR="005E6C39" w:rsidRPr="00B8773B">
        <w:rPr>
          <w:rFonts w:ascii="Times New Roman" w:hAnsi="Times New Roman"/>
          <w:sz w:val="20"/>
          <w:szCs w:val="20"/>
          <w:lang w:val="fr-CA"/>
        </w:rPr>
        <w:t xml:space="preserve">espèces </w:t>
      </w:r>
      <w:r w:rsidR="008252A7">
        <w:rPr>
          <w:rFonts w:ascii="Times New Roman" w:hAnsi="Times New Roman"/>
          <w:sz w:val="20"/>
          <w:szCs w:val="20"/>
          <w:lang w:val="fr-CA"/>
        </w:rPr>
        <w:t>potentiellement</w:t>
      </w:r>
      <w:r w:rsidR="005E6C39" w:rsidRPr="00B8773B">
        <w:rPr>
          <w:rFonts w:ascii="Times New Roman" w:hAnsi="Times New Roman"/>
          <w:sz w:val="20"/>
          <w:szCs w:val="20"/>
          <w:lang w:val="fr-CA"/>
        </w:rPr>
        <w:t xml:space="preserve"> envahissantes et la propagation d’espèces appréciées par les communautés locales pour le chauffage et d’autres usages</w:t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;</w:t>
      </w:r>
    </w:p>
    <w:p w:rsidR="0012321A" w:rsidRDefault="00316B33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b)</w:t>
      </w:r>
      <w:r w:rsidRPr="00B8773B">
        <w:rPr>
          <w:rFonts w:ascii="Times New Roman" w:hAnsi="Times New Roman"/>
          <w:sz w:val="20"/>
          <w:szCs w:val="20"/>
          <w:lang w:val="fr-CA"/>
        </w:rPr>
        <w:tab/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Les</w:t>
      </w:r>
      <w:r w:rsidR="005E6C39" w:rsidRPr="00B8773B">
        <w:rPr>
          <w:rFonts w:ascii="Times New Roman" w:hAnsi="Times New Roman"/>
          <w:sz w:val="20"/>
          <w:szCs w:val="20"/>
          <w:lang w:val="fr-CA"/>
        </w:rPr>
        <w:t xml:space="preserve"> changements climatiques, qui dans plusieurs régions du monde, </w:t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devraient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 xml:space="preserve"> accroître la vitesse et les répercussions des invasions</w:t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;</w:t>
      </w:r>
    </w:p>
    <w:p w:rsidR="0012321A" w:rsidRDefault="00316B33" w:rsidP="00971587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c)</w:t>
      </w:r>
      <w:r w:rsidRPr="00B8773B">
        <w:rPr>
          <w:rFonts w:ascii="Times New Roman" w:hAnsi="Times New Roman"/>
          <w:sz w:val="20"/>
          <w:szCs w:val="20"/>
          <w:lang w:val="fr-CA"/>
        </w:rPr>
        <w:tab/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>Le</w:t>
      </w:r>
      <w:r w:rsidR="008252A7">
        <w:rPr>
          <w:rFonts w:ascii="Times New Roman" w:hAnsi="Times New Roman"/>
          <w:sz w:val="20"/>
          <w:szCs w:val="20"/>
          <w:lang w:val="fr-CA"/>
        </w:rPr>
        <w:t xml:space="preserve">s lacunes sur le plan 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 xml:space="preserve">de </w:t>
      </w:r>
      <w:r w:rsidR="008252A7">
        <w:rPr>
          <w:rFonts w:ascii="Times New Roman" w:hAnsi="Times New Roman"/>
          <w:sz w:val="20"/>
          <w:szCs w:val="20"/>
          <w:lang w:val="fr-CA"/>
        </w:rPr>
        <w:t xml:space="preserve">la 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 xml:space="preserve">sensibilisation et </w:t>
      </w:r>
      <w:r w:rsidR="008252A7">
        <w:rPr>
          <w:rFonts w:ascii="Times New Roman" w:hAnsi="Times New Roman"/>
          <w:sz w:val="20"/>
          <w:szCs w:val="20"/>
          <w:lang w:val="fr-CA"/>
        </w:rPr>
        <w:t>d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>es procédures</w:t>
      </w:r>
      <w:r w:rsidR="00AF1A28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>nationales et internationales</w:t>
      </w:r>
      <w:r w:rsidR="00AF1A28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AF1A28" w:rsidRPr="008252A7">
        <w:rPr>
          <w:rFonts w:ascii="Times New Roman" w:hAnsi="Times New Roman"/>
          <w:sz w:val="20"/>
          <w:szCs w:val="20"/>
          <w:lang w:val="fr-CA"/>
        </w:rPr>
        <w:t>en matière de biosécurité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>, y compris une évaluation des facteurs direct</w:t>
      </w:r>
      <w:r w:rsidR="00BE68EA">
        <w:rPr>
          <w:rFonts w:ascii="Times New Roman" w:hAnsi="Times New Roman"/>
          <w:sz w:val="20"/>
          <w:szCs w:val="20"/>
          <w:lang w:val="fr-CA"/>
        </w:rPr>
        <w:t>ement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 xml:space="preserve"> responsables de la </w:t>
      </w:r>
      <w:r w:rsidR="008252A7">
        <w:rPr>
          <w:rFonts w:ascii="Times New Roman" w:hAnsi="Times New Roman"/>
          <w:sz w:val="20"/>
          <w:szCs w:val="20"/>
          <w:lang w:val="fr-CA"/>
        </w:rPr>
        <w:t>dominance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 xml:space="preserve"> accrue des espèces exotiques envahissantes, comme </w:t>
      </w:r>
      <w:r w:rsidR="00BE68EA">
        <w:rPr>
          <w:rFonts w:ascii="Times New Roman" w:hAnsi="Times New Roman"/>
          <w:sz w:val="20"/>
          <w:szCs w:val="20"/>
          <w:lang w:val="fr-CA"/>
        </w:rPr>
        <w:t>l</w:t>
      </w:r>
      <w:r w:rsidR="00A16BF2">
        <w:rPr>
          <w:rFonts w:ascii="Times New Roman" w:hAnsi="Times New Roman"/>
          <w:sz w:val="20"/>
          <w:szCs w:val="20"/>
          <w:lang w:val="fr-CA"/>
        </w:rPr>
        <w:t>es changements</w:t>
      </w:r>
      <w:r w:rsidR="00BE68EA">
        <w:rPr>
          <w:rFonts w:ascii="Times New Roman" w:hAnsi="Times New Roman"/>
          <w:sz w:val="20"/>
          <w:szCs w:val="20"/>
          <w:lang w:val="fr-CA"/>
        </w:rPr>
        <w:t xml:space="preserve"> d’affectation </w:t>
      </w:r>
      <w:r w:rsidR="00A16BF2">
        <w:rPr>
          <w:rFonts w:ascii="Times New Roman" w:hAnsi="Times New Roman"/>
          <w:sz w:val="20"/>
          <w:szCs w:val="20"/>
          <w:lang w:val="fr-CA"/>
        </w:rPr>
        <w:t xml:space="preserve">et </w:t>
      </w:r>
      <w:r w:rsidR="00A16BF2" w:rsidRPr="00B8773B">
        <w:rPr>
          <w:rFonts w:ascii="Times New Roman" w:hAnsi="Times New Roman"/>
          <w:sz w:val="20"/>
          <w:szCs w:val="20"/>
          <w:lang w:val="fr-CA"/>
        </w:rPr>
        <w:t xml:space="preserve">la dégradation 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>des terres</w:t>
      </w:r>
      <w:r w:rsidR="000A7C85">
        <w:rPr>
          <w:rFonts w:ascii="Times New Roman" w:hAnsi="Times New Roman"/>
          <w:sz w:val="20"/>
          <w:szCs w:val="20"/>
          <w:lang w:val="fr-CA"/>
        </w:rPr>
        <w:t>, qui favorisent les invasions,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0A7C85">
        <w:rPr>
          <w:rFonts w:ascii="Times New Roman" w:hAnsi="Times New Roman"/>
          <w:sz w:val="20"/>
          <w:szCs w:val="20"/>
          <w:lang w:val="fr-CA"/>
        </w:rPr>
        <w:t>et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BE68EA">
        <w:rPr>
          <w:rFonts w:ascii="Times New Roman" w:hAnsi="Times New Roman"/>
          <w:sz w:val="20"/>
          <w:szCs w:val="20"/>
          <w:lang w:val="fr-CA"/>
        </w:rPr>
        <w:t>le recours à des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 xml:space="preserve"> pesticides</w:t>
      </w:r>
      <w:r w:rsidR="003507C4" w:rsidRPr="00B8773B">
        <w:rPr>
          <w:rFonts w:ascii="Times New Roman" w:hAnsi="Times New Roman"/>
          <w:sz w:val="20"/>
          <w:szCs w:val="20"/>
          <w:lang w:val="fr-CA"/>
        </w:rPr>
        <w:t>.</w:t>
      </w:r>
    </w:p>
    <w:p w:rsidR="000F47EE" w:rsidRPr="00B8773B" w:rsidRDefault="00B25386" w:rsidP="00E9220E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B8773B">
        <w:t>Chapitre </w:t>
      </w:r>
      <w:r w:rsidR="000F47EE" w:rsidRPr="00B8773B">
        <w:t>4</w:t>
      </w:r>
      <w:r w:rsidR="009029AF" w:rsidRPr="00B8773B">
        <w:t>.</w:t>
      </w:r>
      <w:r w:rsidR="000F47EE" w:rsidRPr="00B8773B">
        <w:t xml:space="preserve"> </w:t>
      </w:r>
      <w:r w:rsidR="003507C4" w:rsidRPr="00B8773B">
        <w:t xml:space="preserve">Évaluation </w:t>
      </w:r>
      <w:r w:rsidR="008252A7">
        <w:t xml:space="preserve">à l’échelle </w:t>
      </w:r>
      <w:r w:rsidR="003507C4" w:rsidRPr="00B8773B">
        <w:t xml:space="preserve">mondiale des coûts environnementaux, économiques et sociaux </w:t>
      </w:r>
      <w:r w:rsidR="00BE68EA">
        <w:t xml:space="preserve">liés </w:t>
      </w:r>
      <w:r w:rsidR="003507C4" w:rsidRPr="00B8773B">
        <w:t xml:space="preserve">aux espèces exotiques envahissantes, l’accent </w:t>
      </w:r>
      <w:r w:rsidR="00604612">
        <w:t>étant</w:t>
      </w:r>
      <w:r w:rsidR="003507C4" w:rsidRPr="00B8773B">
        <w:t xml:space="preserve"> mis sur le</w:t>
      </w:r>
      <w:r w:rsidR="000A7C85">
        <w:t>urs conséquences po</w:t>
      </w:r>
      <w:r w:rsidR="003507C4" w:rsidRPr="00B8773B">
        <w:t xml:space="preserve">ur la diversité biologique et les services écosystémiques, y compris les valeurs non économiques, par exemple </w:t>
      </w:r>
      <w:r w:rsidR="000E56E4" w:rsidRPr="00B8773B">
        <w:t xml:space="preserve">les valeurs culturelles, sociales et communes, récréatives, </w:t>
      </w:r>
      <w:r w:rsidRPr="00B8773B">
        <w:t>scientifiques</w:t>
      </w:r>
      <w:r w:rsidR="000E56E4" w:rsidRPr="00B8773B">
        <w:t xml:space="preserve">, </w:t>
      </w:r>
      <w:r w:rsidRPr="00B8773B">
        <w:t>spirituelles</w:t>
      </w:r>
      <w:r w:rsidR="000E56E4" w:rsidRPr="00B8773B">
        <w:t xml:space="preserve"> et </w:t>
      </w:r>
      <w:r w:rsidRPr="00B8773B">
        <w:t>esthétiques</w:t>
      </w:r>
      <w:r w:rsidR="000E56E4" w:rsidRPr="00B8773B">
        <w:t>. Cela inclura</w:t>
      </w:r>
      <w:r w:rsidR="000A7C85">
        <w:t>it</w:t>
      </w:r>
      <w:r w:rsidR="000E56E4" w:rsidRPr="00B8773B">
        <w:t xml:space="preserve"> des études de cas mondial</w:t>
      </w:r>
      <w:r w:rsidR="00604612">
        <w:t>es</w:t>
      </w:r>
      <w:r w:rsidR="000E56E4" w:rsidRPr="00B8773B">
        <w:t xml:space="preserve"> et régional</w:t>
      </w:r>
      <w:r w:rsidR="00604612">
        <w:t>es</w:t>
      </w:r>
      <w:r w:rsidR="000E56E4" w:rsidRPr="00B8773B">
        <w:t xml:space="preserve"> concernant les impacts des espèces exotiques envahissantes sur la diversité biologique, les services écosystémiques, la sécurité alimentaire et sanitaire et la </w:t>
      </w:r>
      <w:r w:rsidR="00BE68EA">
        <w:t>préservation</w:t>
      </w:r>
      <w:r w:rsidR="000E56E4" w:rsidRPr="00B8773B">
        <w:t xml:space="preserve"> des moyens </w:t>
      </w:r>
      <w:r w:rsidR="00BE68EA">
        <w:t>de subsistance</w:t>
      </w:r>
      <w:r w:rsidR="000E56E4" w:rsidRPr="00B8773B">
        <w:t>, ainsi que les options politiques.</w:t>
      </w:r>
    </w:p>
    <w:p w:rsidR="0012321A" w:rsidRDefault="000F47EE" w:rsidP="00E9220E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B8773B">
        <w:t>Chap</w:t>
      </w:r>
      <w:r w:rsidR="000E56E4" w:rsidRPr="00B8773B">
        <w:t>i</w:t>
      </w:r>
      <w:r w:rsidRPr="00B8773B">
        <w:t>tr</w:t>
      </w:r>
      <w:r w:rsidR="000E56E4" w:rsidRPr="00B8773B">
        <w:t>e </w:t>
      </w:r>
      <w:r w:rsidRPr="00B8773B">
        <w:t>5</w:t>
      </w:r>
      <w:r w:rsidR="009029AF" w:rsidRPr="00B8773B">
        <w:t>.</w:t>
      </w:r>
      <w:r w:rsidRPr="00B8773B">
        <w:t xml:space="preserve"> </w:t>
      </w:r>
      <w:r w:rsidR="000E56E4" w:rsidRPr="00B8773B">
        <w:t>Examen des arrangements institutionnels</w:t>
      </w:r>
      <w:r w:rsidR="000A7C85">
        <w:t xml:space="preserve"> et d</w:t>
      </w:r>
      <w:r w:rsidR="000E56E4" w:rsidRPr="00B8773B">
        <w:t xml:space="preserve">es options et programmes existants, y compris leur efficacité sur le plan de la gestion des espèces exotiques envahissantes à l’échelle mondiale, nationale et locale, </w:t>
      </w:r>
      <w:r w:rsidR="007F1F94">
        <w:t>notamment</w:t>
      </w:r>
      <w:r w:rsidR="000E56E4" w:rsidRPr="00B8773B">
        <w:t xml:space="preserve"> les approches pré et post</w:t>
      </w:r>
      <w:r w:rsidR="0092600A">
        <w:noBreakHyphen/>
      </w:r>
      <w:r w:rsidR="000E56E4" w:rsidRPr="00B8773B">
        <w:t>frontalière</w:t>
      </w:r>
      <w:r w:rsidR="0092600A">
        <w:t>s</w:t>
      </w:r>
      <w:r w:rsidR="000E56E4" w:rsidRPr="00B8773B">
        <w:t xml:space="preserve"> visant à renforcer la biosécurité et à accroître la sensibilisation aux questions se rapportant aux espèces exotiques envahissantes. Ce processus se fondera sur l’évaluation des meilleures pratiques </w:t>
      </w:r>
      <w:r w:rsidR="00C12A95" w:rsidRPr="00B8773B">
        <w:t xml:space="preserve">et </w:t>
      </w:r>
      <w:r w:rsidR="00CA7947">
        <w:t xml:space="preserve">de </w:t>
      </w:r>
      <w:r w:rsidR="00C12A95" w:rsidRPr="00B8773B">
        <w:t>l’</w:t>
      </w:r>
      <w:r w:rsidR="00CA7947">
        <w:t>efficacité</w:t>
      </w:r>
      <w:r w:rsidR="00C12A95" w:rsidRPr="00B8773B">
        <w:t xml:space="preserve"> des programmes </w:t>
      </w:r>
      <w:r w:rsidR="007F1F94">
        <w:t>en place</w:t>
      </w:r>
      <w:r w:rsidR="00CA7947" w:rsidRPr="00B8773B">
        <w:t xml:space="preserve">, </w:t>
      </w:r>
      <w:r w:rsidR="00CA7947">
        <w:t>y compris</w:t>
      </w:r>
      <w:r w:rsidR="00CA7947" w:rsidRPr="00B8773B">
        <w:t xml:space="preserve"> les mesures de quarantaine nationale</w:t>
      </w:r>
      <w:r w:rsidR="00CA7947">
        <w:t>s,</w:t>
      </w:r>
      <w:r w:rsidR="00C12A95" w:rsidRPr="00B8773B">
        <w:t xml:space="preserve"> </w:t>
      </w:r>
      <w:r w:rsidR="00CA7947">
        <w:t>au plan du traitement d</w:t>
      </w:r>
      <w:r w:rsidR="00C12A95" w:rsidRPr="00B8773B">
        <w:t>es risques. Le chapitre abordera par ailleurs les questions suivantes et analysera les options</w:t>
      </w:r>
      <w:r w:rsidR="007F1F94">
        <w:t xml:space="preserve"> possibles</w:t>
      </w:r>
      <w:r w:rsidR="00B25386" w:rsidRPr="00B8773B">
        <w:t> :</w:t>
      </w:r>
    </w:p>
    <w:p w:rsidR="000F47EE" w:rsidRPr="00B8773B" w:rsidRDefault="00316B33" w:rsidP="00F74389">
      <w:pPr>
        <w:spacing w:after="120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a)</w:t>
      </w:r>
      <w:r w:rsidRPr="00B8773B">
        <w:rPr>
          <w:rFonts w:ascii="Times New Roman" w:hAnsi="Times New Roman"/>
          <w:sz w:val="20"/>
          <w:szCs w:val="20"/>
          <w:lang w:val="fr-CA"/>
        </w:rPr>
        <w:tab/>
      </w:r>
      <w:r w:rsidR="00C12A95" w:rsidRPr="00B8773B">
        <w:rPr>
          <w:rFonts w:ascii="Times New Roman" w:hAnsi="Times New Roman"/>
          <w:sz w:val="20"/>
          <w:szCs w:val="20"/>
          <w:lang w:val="fr-CA"/>
        </w:rPr>
        <w:t xml:space="preserve">Prévenir la propagation des espèces exotiques envahissantes à l’échelle internationale et </w:t>
      </w:r>
      <w:r w:rsidR="00CA7947">
        <w:rPr>
          <w:rFonts w:ascii="Times New Roman" w:hAnsi="Times New Roman"/>
          <w:sz w:val="20"/>
          <w:szCs w:val="20"/>
          <w:lang w:val="fr-CA"/>
        </w:rPr>
        <w:t>à l’intérieur des pays</w:t>
      </w:r>
      <w:r w:rsidR="00C12A95" w:rsidRPr="00B8773B">
        <w:rPr>
          <w:rFonts w:ascii="Times New Roman" w:hAnsi="Times New Roman"/>
          <w:sz w:val="20"/>
          <w:szCs w:val="20"/>
          <w:lang w:val="fr-CA"/>
        </w:rPr>
        <w:t xml:space="preserve">, en tenant compte du rôle que pourrait jouer </w:t>
      </w:r>
      <w:smartTag w:uri="urn:schemas-microsoft-com:office:smarttags" w:element="PersonName">
        <w:smartTagPr>
          <w:attr w:name="ProductID" w:val="la Convention"/>
        </w:smartTagPr>
        <w:r w:rsidR="00C12A95" w:rsidRPr="00B8773B">
          <w:rPr>
            <w:rFonts w:ascii="Times New Roman" w:hAnsi="Times New Roman"/>
            <w:sz w:val="20"/>
            <w:szCs w:val="20"/>
            <w:lang w:val="fr-CA"/>
          </w:rPr>
          <w:t>la Convention</w:t>
        </w:r>
      </w:smartTag>
      <w:r w:rsidR="00C12A95" w:rsidRPr="00B8773B">
        <w:rPr>
          <w:rFonts w:ascii="Times New Roman" w:hAnsi="Times New Roman"/>
          <w:sz w:val="20"/>
          <w:szCs w:val="20"/>
          <w:lang w:val="fr-CA"/>
        </w:rPr>
        <w:t xml:space="preserve"> sur la diversité biologique</w:t>
      </w:r>
      <w:r w:rsidR="00B25386" w:rsidRPr="00B8773B">
        <w:rPr>
          <w:rFonts w:ascii="Times New Roman" w:hAnsi="Times New Roman"/>
          <w:sz w:val="20"/>
          <w:szCs w:val="20"/>
          <w:lang w:val="fr-CA"/>
        </w:rPr>
        <w:t>;</w:t>
      </w:r>
    </w:p>
    <w:p w:rsidR="0012321A" w:rsidRDefault="00316B33" w:rsidP="00F74389">
      <w:pPr>
        <w:spacing w:after="120"/>
        <w:ind w:left="1247" w:firstLine="624"/>
        <w:rPr>
          <w:rFonts w:ascii="Times New Roman" w:hAnsi="Times New Roman"/>
          <w:sz w:val="20"/>
          <w:szCs w:val="20"/>
          <w:lang w:val="fr-CA"/>
        </w:rPr>
      </w:pPr>
      <w:r w:rsidRPr="00B8773B">
        <w:rPr>
          <w:rFonts w:ascii="Times New Roman" w:hAnsi="Times New Roman"/>
          <w:sz w:val="20"/>
          <w:szCs w:val="20"/>
          <w:lang w:val="fr-CA"/>
        </w:rPr>
        <w:t>b)</w:t>
      </w:r>
      <w:r w:rsidRPr="00B8773B">
        <w:rPr>
          <w:rFonts w:ascii="Times New Roman" w:hAnsi="Times New Roman"/>
          <w:sz w:val="20"/>
          <w:szCs w:val="20"/>
          <w:lang w:val="fr-CA"/>
        </w:rPr>
        <w:tab/>
      </w:r>
      <w:r w:rsidR="00C12A95" w:rsidRPr="00B8773B">
        <w:rPr>
          <w:rFonts w:ascii="Times New Roman" w:hAnsi="Times New Roman"/>
          <w:sz w:val="20"/>
          <w:szCs w:val="20"/>
          <w:lang w:val="fr-CA"/>
        </w:rPr>
        <w:t xml:space="preserve">Éradiquer ou gérer les espèces exotiques envahissantes une fois qu’elles sont présentes, </w:t>
      </w:r>
      <w:r w:rsidR="00FF070D">
        <w:rPr>
          <w:rFonts w:ascii="Times New Roman" w:hAnsi="Times New Roman"/>
          <w:sz w:val="20"/>
          <w:szCs w:val="20"/>
          <w:lang w:val="fr-CA"/>
        </w:rPr>
        <w:t>y compris</w:t>
      </w:r>
      <w:r w:rsidR="00C12A95" w:rsidRPr="00B8773B">
        <w:rPr>
          <w:rFonts w:ascii="Times New Roman" w:hAnsi="Times New Roman"/>
          <w:sz w:val="20"/>
          <w:szCs w:val="20"/>
          <w:lang w:val="fr-CA"/>
        </w:rPr>
        <w:t xml:space="preserve"> les options de </w:t>
      </w:r>
      <w:r w:rsidR="00CA7947">
        <w:rPr>
          <w:rFonts w:ascii="Times New Roman" w:hAnsi="Times New Roman"/>
          <w:sz w:val="20"/>
          <w:szCs w:val="20"/>
          <w:lang w:val="fr-CA"/>
        </w:rPr>
        <w:t>lutte</w:t>
      </w:r>
      <w:r w:rsidR="00C12A95" w:rsidRPr="00B8773B">
        <w:rPr>
          <w:rFonts w:ascii="Times New Roman" w:hAnsi="Times New Roman"/>
          <w:sz w:val="20"/>
          <w:szCs w:val="20"/>
          <w:lang w:val="fr-CA"/>
        </w:rPr>
        <w:t xml:space="preserve"> comme l’application </w:t>
      </w:r>
      <w:r w:rsidR="00CA7947">
        <w:rPr>
          <w:rFonts w:ascii="Times New Roman" w:hAnsi="Times New Roman"/>
          <w:sz w:val="20"/>
          <w:szCs w:val="20"/>
          <w:lang w:val="fr-CA"/>
        </w:rPr>
        <w:t xml:space="preserve">localisée </w:t>
      </w:r>
      <w:r w:rsidR="00C12A95" w:rsidRPr="00B8773B">
        <w:rPr>
          <w:rFonts w:ascii="Times New Roman" w:hAnsi="Times New Roman"/>
          <w:sz w:val="20"/>
          <w:szCs w:val="20"/>
          <w:lang w:val="fr-CA"/>
        </w:rPr>
        <w:t xml:space="preserve">de pesticides, </w:t>
      </w:r>
      <w:r w:rsidR="00ED1FD3" w:rsidRPr="00B8773B">
        <w:rPr>
          <w:rFonts w:ascii="Times New Roman" w:hAnsi="Times New Roman"/>
          <w:sz w:val="20"/>
          <w:szCs w:val="20"/>
          <w:lang w:val="fr-CA"/>
        </w:rPr>
        <w:t>les appâts, la lutte biologique et d’autres pratiques exemplaires.</w:t>
      </w:r>
    </w:p>
    <w:p w:rsidR="0012321A" w:rsidRDefault="00ED1FD3" w:rsidP="00E9220E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B8773B">
        <w:t xml:space="preserve">On évaluera également les options et compromis </w:t>
      </w:r>
      <w:r w:rsidR="00835C13" w:rsidRPr="00B8773B">
        <w:t>potentiels</w:t>
      </w:r>
      <w:r w:rsidRPr="00B8773B">
        <w:t xml:space="preserve"> en matière d</w:t>
      </w:r>
      <w:r w:rsidR="007F1F94">
        <w:t>’intervention</w:t>
      </w:r>
      <w:r w:rsidRPr="00B8773B">
        <w:t xml:space="preserve"> politique dans les secteurs concernés</w:t>
      </w:r>
      <w:r w:rsidR="007F1F94">
        <w:t>,</w:t>
      </w:r>
      <w:r w:rsidRPr="00B8773B">
        <w:t xml:space="preserve"> ainsi que les conséquences de l’inaction. Cela comprendra une analyse approfondie des risques relativement communs liés à l’absence de politique</w:t>
      </w:r>
      <w:r w:rsidR="00AE74E9">
        <w:t>s</w:t>
      </w:r>
      <w:r w:rsidRPr="00B8773B">
        <w:t xml:space="preserve"> adéquate</w:t>
      </w:r>
      <w:r w:rsidR="00AE74E9">
        <w:t>s</w:t>
      </w:r>
      <w:r w:rsidRPr="00B8773B">
        <w:t xml:space="preserve"> de lutte contre les espèces exotiques envahissantes, dont le manque de contrôle</w:t>
      </w:r>
      <w:r w:rsidR="00AD3A7B">
        <w:t>s</w:t>
      </w:r>
      <w:r w:rsidRPr="00B8773B">
        <w:t xml:space="preserve"> douanier</w:t>
      </w:r>
      <w:r w:rsidR="00AD3A7B">
        <w:t>s</w:t>
      </w:r>
      <w:r w:rsidRPr="00B8773B">
        <w:t xml:space="preserve">, le </w:t>
      </w:r>
      <w:r w:rsidR="00AE74E9">
        <w:t>non</w:t>
      </w:r>
      <w:r w:rsidR="00AE74E9">
        <w:noBreakHyphen/>
      </w:r>
      <w:r w:rsidR="00835C13" w:rsidRPr="00B8773B">
        <w:t>recours</w:t>
      </w:r>
      <w:r w:rsidRPr="00B8773B">
        <w:t xml:space="preserve"> à une approche de précaution en matière de tourisme et d’autres questions </w:t>
      </w:r>
      <w:r w:rsidR="001E2AFD">
        <w:t>apparentées</w:t>
      </w:r>
      <w:r w:rsidRPr="00B8773B">
        <w:t>.</w:t>
      </w:r>
    </w:p>
    <w:p w:rsidR="000F47EE" w:rsidRPr="00B8773B" w:rsidRDefault="000F47EE" w:rsidP="00E9220E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B8773B">
        <w:t>Chap</w:t>
      </w:r>
      <w:r w:rsidR="00ED1FD3" w:rsidRPr="00B8773B">
        <w:t>i</w:t>
      </w:r>
      <w:r w:rsidRPr="00B8773B">
        <w:t>t</w:t>
      </w:r>
      <w:r w:rsidR="00ED1FD3" w:rsidRPr="00B8773B">
        <w:t>re </w:t>
      </w:r>
      <w:r w:rsidRPr="00B8773B">
        <w:t>6</w:t>
      </w:r>
      <w:r w:rsidR="00004200" w:rsidRPr="00B8773B">
        <w:t xml:space="preserve">. </w:t>
      </w:r>
      <w:r w:rsidR="00ED1FD3" w:rsidRPr="00B8773B">
        <w:t xml:space="preserve">Création ou renforcement des réseaux </w:t>
      </w:r>
      <w:r w:rsidR="00B641CF" w:rsidRPr="00B8773B">
        <w:t xml:space="preserve">et capacités nationales de sensibilisation </w:t>
      </w:r>
      <w:r w:rsidR="00AD3A7B">
        <w:t>globale</w:t>
      </w:r>
      <w:r w:rsidR="00B641CF" w:rsidRPr="00B8773B">
        <w:t>, de</w:t>
      </w:r>
      <w:r w:rsidR="00AD3A7B">
        <w:t>s</w:t>
      </w:r>
      <w:r w:rsidR="00B641CF" w:rsidRPr="00B8773B">
        <w:t xml:space="preserve"> systèmes d’alerte précoce concernant la diversité et la gravité des impacts des espèces exotiques envahissantes sur la diversité biologique</w:t>
      </w:r>
      <w:r w:rsidR="007F1F94">
        <w:t>,</w:t>
      </w:r>
      <w:r w:rsidR="00B641CF" w:rsidRPr="00B8773B">
        <w:t xml:space="preserve"> et de stratégies d’intervention rapide, en mettant l’accent sur l’amélioration des réseaux, </w:t>
      </w:r>
      <w:r w:rsidR="00835C13" w:rsidRPr="00B8773B">
        <w:t>stratégies</w:t>
      </w:r>
      <w:r w:rsidR="00B641CF" w:rsidRPr="00B8773B">
        <w:t xml:space="preserve"> et procédures internationaux et intergouvernementaux pour la prévision et la prévention de la propagation des espèces exotiques envahissantes, ainsi que leur éradication </w:t>
      </w:r>
      <w:r w:rsidR="00C959C8">
        <w:t xml:space="preserve">et </w:t>
      </w:r>
      <w:r w:rsidR="00B641CF" w:rsidRPr="00B8773B">
        <w:t>leur contrôle, en vue de favoriser la conservation de la diversité biologique à titre de fondement de la promotion du bien-être humain.</w:t>
      </w:r>
    </w:p>
    <w:p w:rsidR="0012321A" w:rsidRDefault="00182518" w:rsidP="00E9220E">
      <w:pPr>
        <w:pStyle w:val="CH1"/>
      </w:pPr>
      <w:r>
        <w:br w:type="page"/>
      </w:r>
      <w:r w:rsidR="005B136B" w:rsidRPr="00B8773B">
        <w:lastRenderedPageBreak/>
        <w:tab/>
      </w:r>
      <w:r w:rsidR="00BA003A" w:rsidRPr="00B8773B">
        <w:t>I</w:t>
      </w:r>
      <w:r w:rsidR="00077E48" w:rsidRPr="00B8773B">
        <w:t>V</w:t>
      </w:r>
      <w:r w:rsidR="005B136B" w:rsidRPr="00B8773B">
        <w:t>.</w:t>
      </w:r>
      <w:r w:rsidR="000F47EE" w:rsidRPr="00B8773B">
        <w:tab/>
      </w:r>
      <w:r w:rsidR="00AD3A7B" w:rsidRPr="00AD3A7B">
        <w:t>Déroulement et calendrier des travaux</w:t>
      </w:r>
    </w:p>
    <w:p w:rsidR="00B9636F" w:rsidRPr="00B8773B" w:rsidRDefault="00B641CF" w:rsidP="00E9220E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spacing w:after="240"/>
        <w:ind w:left="1247" w:firstLine="0"/>
      </w:pPr>
      <w:r w:rsidRPr="00B8773B">
        <w:t>L</w:t>
      </w:r>
      <w:r w:rsidR="00AD3A7B" w:rsidRPr="00C9391E">
        <w:t>e déroulement et le calendrier des travaux envisagés pour la réalisation de</w:t>
      </w:r>
      <w:r w:rsidRPr="00B8773B">
        <w:t xml:space="preserve"> l’évaluation thématique </w:t>
      </w:r>
      <w:r w:rsidR="00AD3A7B" w:rsidRPr="00C9391E">
        <w:t>sont indiqués dans le tableau ci-après.</w:t>
      </w:r>
    </w:p>
    <w:tbl>
      <w:tblPr>
        <w:tblW w:w="0" w:type="auto"/>
        <w:jc w:val="right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1559"/>
        <w:gridCol w:w="6394"/>
      </w:tblGrid>
      <w:tr w:rsidR="00DC0926" w:rsidRPr="00B8773B" w:rsidTr="00C042A6">
        <w:trPr>
          <w:trHeight w:val="584"/>
          <w:jc w:val="right"/>
        </w:trPr>
        <w:tc>
          <w:tcPr>
            <w:tcW w:w="2362" w:type="dxa"/>
            <w:gridSpan w:val="2"/>
            <w:shd w:val="clear" w:color="auto" w:fill="auto"/>
            <w:vAlign w:val="center"/>
          </w:tcPr>
          <w:p w:rsidR="00DC0926" w:rsidRPr="00B8773B" w:rsidRDefault="00B641CF" w:rsidP="00582ADE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i/>
                <w:sz w:val="19"/>
                <w:szCs w:val="19"/>
                <w:lang w:val="fr-CA" w:eastAsia="zh-CN"/>
              </w:rPr>
            </w:pPr>
            <w:r w:rsidRPr="00B8773B">
              <w:rPr>
                <w:rFonts w:ascii="Times New Roman" w:eastAsia="SimSun" w:hAnsi="Times New Roman"/>
                <w:i/>
                <w:sz w:val="19"/>
                <w:szCs w:val="19"/>
                <w:lang w:val="fr-CA" w:eastAsia="zh-CN"/>
              </w:rPr>
              <w:t>Échéance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DC0926" w:rsidRPr="00B8773B" w:rsidRDefault="00DC0926" w:rsidP="00C00F1C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i/>
                <w:sz w:val="20"/>
                <w:szCs w:val="20"/>
                <w:lang w:val="fr-CA" w:eastAsia="zh-CN"/>
              </w:rPr>
            </w:pPr>
            <w:r w:rsidRPr="00B8773B">
              <w:rPr>
                <w:rFonts w:ascii="Times New Roman" w:eastAsia="SimSun" w:hAnsi="Times New Roman"/>
                <w:i/>
                <w:sz w:val="20"/>
                <w:szCs w:val="20"/>
                <w:lang w:val="fr-CA" w:eastAsia="zh-CN"/>
              </w:rPr>
              <w:t>Actions</w:t>
            </w:r>
          </w:p>
        </w:tc>
      </w:tr>
      <w:tr w:rsidR="000F47EE" w:rsidRPr="00B8773B" w:rsidTr="00C042A6">
        <w:trPr>
          <w:trHeight w:val="584"/>
          <w:jc w:val="right"/>
        </w:trPr>
        <w:tc>
          <w:tcPr>
            <w:tcW w:w="803" w:type="dxa"/>
            <w:vMerge w:val="restart"/>
            <w:shd w:val="clear" w:color="auto" w:fill="auto"/>
            <w:vAlign w:val="center"/>
          </w:tcPr>
          <w:p w:rsidR="000F47EE" w:rsidRPr="00B8773B" w:rsidRDefault="000F47EE" w:rsidP="00582ADE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B8773B" w:rsidRDefault="00655501" w:rsidP="00582ADE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B8773B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>Quatrième trimestre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B8773B" w:rsidRDefault="00655501" w:rsidP="006A626C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smartTag w:uri="urn:schemas-microsoft-com:office:smarttags" w:element="PersonName">
              <w:smartTagPr>
                <w:attr w:name="ProductID" w:val="la Plénière"/>
              </w:smartTagPr>
              <w:r w:rsidRPr="00B8773B">
                <w:rPr>
                  <w:rFonts w:ascii="Times New Roman" w:eastAsia="SimSun" w:hAnsi="Times New Roman"/>
                  <w:sz w:val="20"/>
                  <w:szCs w:val="20"/>
                  <w:lang w:val="fr-CA" w:eastAsia="zh-CN"/>
                </w:rPr>
                <w:t>La Plénière</w:t>
              </w:r>
            </w:smartTag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examine et approuve l’étude de cadrage initial</w:t>
            </w:r>
            <w:r w:rsidR="004B7C3A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e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préparé</w:t>
            </w:r>
            <w:r w:rsidR="00C959C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e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par le Groupe d’experts multidisciplinaire</w:t>
            </w:r>
            <w:r w:rsidR="00C959C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</w:t>
            </w:r>
            <w:r w:rsidR="00AD3A7B" w:rsidRPr="00AD3A7B">
              <w:rPr>
                <w:rFonts w:ascii="Times New Roman" w:eastAsia="SimSun" w:hAnsi="Times New Roman"/>
                <w:sz w:val="20"/>
                <w:szCs w:val="20"/>
                <w:lang w:val="fr-FR"/>
              </w:rPr>
              <w:t>et demande au Groupe et au Bureau de procéder, dans la limite d’une enveloppe budgétaire convenue,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à une évaluation complète après l’achèvement de l’étude de cadrage détaillé</w:t>
            </w:r>
            <w:r w:rsidR="00C959C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e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(</w:t>
            </w:r>
            <w:r w:rsid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14 décembre 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2013) </w:t>
            </w:r>
          </w:p>
        </w:tc>
      </w:tr>
      <w:tr w:rsidR="000F47EE" w:rsidRPr="00B8773B" w:rsidTr="00C042A6">
        <w:trPr>
          <w:trHeight w:val="584"/>
          <w:jc w:val="right"/>
        </w:trPr>
        <w:tc>
          <w:tcPr>
            <w:tcW w:w="803" w:type="dxa"/>
            <w:vMerge/>
            <w:shd w:val="clear" w:color="auto" w:fill="auto"/>
            <w:vAlign w:val="center"/>
          </w:tcPr>
          <w:p w:rsidR="000F47EE" w:rsidRPr="00B8773B" w:rsidRDefault="000F47EE" w:rsidP="00582ADE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B8773B" w:rsidRDefault="00655501" w:rsidP="00582ADE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B8773B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>Quatrième trimestre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B8773B" w:rsidRDefault="00655501" w:rsidP="00AD3A7B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Le Groupe d’experts multidisciplinaire</w:t>
            </w:r>
            <w:r w:rsidR="0043347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, par la voie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du Secrétariat, demande aux gouvernements et autres parties prenantes </w:t>
            </w:r>
            <w:r w:rsidR="00AD3A7B" w:rsidRPr="00AD3A7B">
              <w:rPr>
                <w:rFonts w:ascii="Times New Roman" w:eastAsia="SimSun" w:hAnsi="Times New Roman"/>
                <w:sz w:val="20"/>
                <w:szCs w:val="20"/>
                <w:lang w:val="fr-FR" w:eastAsia="zh-CN"/>
              </w:rPr>
              <w:t xml:space="preserve">de présenter </w:t>
            </w:r>
            <w:r w:rsidR="00AD3A7B">
              <w:rPr>
                <w:rFonts w:ascii="Times New Roman" w:eastAsia="SimSun" w:hAnsi="Times New Roman"/>
                <w:sz w:val="20"/>
                <w:szCs w:val="20"/>
                <w:lang w:val="fr-FR" w:eastAsia="zh-CN"/>
              </w:rPr>
              <w:t>d</w:t>
            </w:r>
            <w:r w:rsidR="00AD3A7B" w:rsidRPr="00AD3A7B">
              <w:rPr>
                <w:rFonts w:ascii="Times New Roman" w:eastAsia="SimSun" w:hAnsi="Times New Roman"/>
                <w:sz w:val="20"/>
                <w:szCs w:val="20"/>
                <w:lang w:val="fr-FR" w:eastAsia="zh-CN"/>
              </w:rPr>
              <w:t>es candidatures d’experts susceptibles de contribuer à l’étude de cadrage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(</w:t>
            </w:r>
            <w:r w:rsidR="00835C13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16 décembre 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2013 </w:t>
            </w:r>
            <w:r w:rsidR="00835C13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– </w:t>
            </w:r>
            <w:r w:rsid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31 </w:t>
            </w:r>
            <w:r w:rsidR="0043347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janvier 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2014) </w:t>
            </w:r>
          </w:p>
        </w:tc>
      </w:tr>
      <w:tr w:rsidR="000F47EE" w:rsidRPr="00B8773B" w:rsidTr="00C042A6">
        <w:trPr>
          <w:trHeight w:val="584"/>
          <w:jc w:val="right"/>
        </w:trPr>
        <w:tc>
          <w:tcPr>
            <w:tcW w:w="803" w:type="dxa"/>
            <w:vMerge w:val="restart"/>
            <w:shd w:val="clear" w:color="auto" w:fill="auto"/>
            <w:vAlign w:val="center"/>
          </w:tcPr>
          <w:p w:rsidR="000F47EE" w:rsidRPr="00B8773B" w:rsidRDefault="000F47EE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B8773B" w:rsidRDefault="00655501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B8773B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 xml:space="preserve">Premier </w:t>
            </w:r>
            <w:r w:rsidR="00886520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br/>
            </w:r>
            <w:r w:rsidRPr="00B8773B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>trimestre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B8773B" w:rsidRDefault="00AD3A7B" w:rsidP="00AD3A7B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AD3A7B">
              <w:rPr>
                <w:rFonts w:ascii="Times New Roman" w:eastAsia="SimSun" w:hAnsi="Times New Roman"/>
                <w:sz w:val="20"/>
                <w:szCs w:val="20"/>
                <w:lang w:val="fr-FR" w:eastAsia="zh-CN"/>
              </w:rPr>
              <w:t xml:space="preserve">Le Groupe choisit, par courriel et téléconférences, les experts qui se chargeront de l’étude de cadrage en s’appuyant sur des critères de </w:t>
            </w:r>
            <w:r w:rsidRPr="00AD3A7B">
              <w:rPr>
                <w:sz w:val="20"/>
                <w:szCs w:val="20"/>
                <w:lang w:val="fr-FR"/>
              </w:rPr>
              <w:t>s</w:t>
            </w:r>
            <w:r w:rsidRPr="00AD3A7B">
              <w:rPr>
                <w:rFonts w:ascii="Times New Roman" w:eastAsia="SimSun" w:hAnsi="Times New Roman"/>
                <w:sz w:val="20"/>
                <w:szCs w:val="20"/>
                <w:lang w:val="fr-FR" w:eastAsia="zh-CN"/>
              </w:rPr>
              <w:t>élection approuvés</w:t>
            </w:r>
            <w:r>
              <w:rPr>
                <w:rFonts w:ascii="Times New Roman" w:eastAsia="SimSun" w:hAnsi="Times New Roman"/>
                <w:sz w:val="20"/>
                <w:szCs w:val="20"/>
                <w:lang w:val="fr-FR" w:eastAsia="zh-CN"/>
              </w:rPr>
              <w:t xml:space="preserve"> (voir IPBES/2/9) </w:t>
            </w:r>
            <w:r w:rsidR="00473FC9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(</w:t>
            </w:r>
            <w:r w:rsidR="0043347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</w:t>
            </w:r>
            <w:r w:rsidR="003A0714">
              <w:rPr>
                <w:rFonts w:ascii="Times New Roman" w:eastAsia="SimSun" w:hAnsi="Times New Roman"/>
                <w:sz w:val="20"/>
                <w:szCs w:val="20"/>
                <w:vertAlign w:val="superscript"/>
                <w:lang w:val="fr-CA" w:eastAsia="zh-CN"/>
              </w:rPr>
              <w:t>er</w:t>
            </w:r>
            <w:r w:rsidR="00433479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–</w:t>
            </w:r>
            <w:r w:rsidR="0043347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</w:t>
            </w:r>
            <w:r w:rsidR="00473FC9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4</w:t>
            </w:r>
            <w:r w:rsidR="0043347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835C13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février </w:t>
            </w:r>
            <w:r w:rsidR="00473FC9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2014) </w:t>
            </w:r>
          </w:p>
        </w:tc>
      </w:tr>
      <w:tr w:rsidR="000F47EE" w:rsidRPr="00B8773B" w:rsidTr="00C042A6">
        <w:trPr>
          <w:trHeight w:val="584"/>
          <w:jc w:val="right"/>
        </w:trPr>
        <w:tc>
          <w:tcPr>
            <w:tcW w:w="803" w:type="dxa"/>
            <w:vMerge/>
            <w:shd w:val="clear" w:color="auto" w:fill="auto"/>
            <w:vAlign w:val="center"/>
          </w:tcPr>
          <w:p w:rsidR="000F47EE" w:rsidRPr="00B8773B" w:rsidRDefault="000F47EE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B8773B" w:rsidRDefault="00655501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B8773B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>Deuxième trimestre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B8773B" w:rsidRDefault="000A5B81" w:rsidP="00E40B8B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0A5B81">
              <w:rPr>
                <w:rFonts w:ascii="Times New Roman" w:eastAsia="SimSun" w:hAnsi="Times New Roman"/>
                <w:sz w:val="20"/>
                <w:szCs w:val="20"/>
                <w:lang w:val="fr-FR" w:eastAsia="zh-CN"/>
              </w:rPr>
              <w:t xml:space="preserve">Le Groupe et le Bureau supervisent l’étude de cadrage détaillée, y compris son ébauche, son coût et sa faisabilité </w:t>
            </w:r>
            <w:r w:rsidR="00473FC9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(</w:t>
            </w:r>
            <w:r w:rsidR="00C45B57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3 </w:t>
            </w:r>
            <w:r w:rsidR="00473FC9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mois). Une réunion de cadrage </w:t>
            </w:r>
            <w:r w:rsidR="00E40B8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est organisée</w:t>
            </w:r>
            <w:r w:rsidR="00473FC9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début </w:t>
            </w:r>
            <w:r w:rsid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avril </w:t>
            </w:r>
            <w:r w:rsidR="00473FC9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2014</w:t>
            </w:r>
          </w:p>
        </w:tc>
      </w:tr>
      <w:tr w:rsidR="00655501" w:rsidRPr="00B8773B" w:rsidTr="00C042A6">
        <w:trPr>
          <w:trHeight w:val="584"/>
          <w:jc w:val="right"/>
        </w:trPr>
        <w:tc>
          <w:tcPr>
            <w:tcW w:w="803" w:type="dxa"/>
            <w:vMerge/>
            <w:shd w:val="clear" w:color="auto" w:fill="auto"/>
            <w:vAlign w:val="center"/>
          </w:tcPr>
          <w:p w:rsidR="00655501" w:rsidRPr="00B8773B" w:rsidRDefault="00655501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5501" w:rsidRPr="00B8773B" w:rsidRDefault="00655501">
            <w:pPr>
              <w:rPr>
                <w:lang w:val="fr-CA"/>
              </w:rPr>
            </w:pPr>
            <w:r w:rsidRPr="00B8773B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>Deuxième trimestre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655501" w:rsidRPr="00B8773B" w:rsidRDefault="00473FC9" w:rsidP="00C45B57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Le rapport de cadrage détaillé est envoyé aux membres de </w:t>
            </w:r>
            <w:smartTag w:uri="urn:schemas-microsoft-com:office:smarttags" w:element="PersonName">
              <w:smartTagPr>
                <w:attr w:name="ProductID" w:val="la Plateforme"/>
              </w:smartTagPr>
              <w:r w:rsidRPr="00B8773B">
                <w:rPr>
                  <w:rFonts w:ascii="Times New Roman" w:eastAsia="SimSun" w:hAnsi="Times New Roman"/>
                  <w:sz w:val="20"/>
                  <w:szCs w:val="20"/>
                  <w:lang w:val="fr-CA" w:eastAsia="zh-CN"/>
                </w:rPr>
                <w:t>la Plateforme</w:t>
              </w:r>
            </w:smartTag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et aux autres parties prenantes pour examen et commentaires dans un délai de deux semaines (deuxième moitié d’</w:t>
            </w:r>
            <w:r w:rsidR="00835C13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avril 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2014) </w:t>
            </w:r>
          </w:p>
        </w:tc>
      </w:tr>
      <w:tr w:rsidR="00655501" w:rsidRPr="00B8773B" w:rsidTr="00C042A6">
        <w:trPr>
          <w:trHeight w:val="274"/>
          <w:jc w:val="right"/>
        </w:trPr>
        <w:tc>
          <w:tcPr>
            <w:tcW w:w="803" w:type="dxa"/>
            <w:vMerge/>
            <w:shd w:val="clear" w:color="auto" w:fill="auto"/>
            <w:vAlign w:val="center"/>
          </w:tcPr>
          <w:p w:rsidR="00655501" w:rsidRPr="00B8773B" w:rsidRDefault="00655501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5501" w:rsidRPr="00B8773B" w:rsidRDefault="00655501">
            <w:pPr>
              <w:rPr>
                <w:lang w:val="fr-CA"/>
              </w:rPr>
            </w:pPr>
            <w:r w:rsidRPr="00B8773B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>Deuxième trimestre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655501" w:rsidRPr="00B8773B" w:rsidRDefault="00473FC9" w:rsidP="000A5B81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Sur la base des résultats de l’</w:t>
            </w:r>
            <w:r w:rsidR="000A5B81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étude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de cadrage détaillé</w:t>
            </w:r>
            <w:r w:rsidR="000A5B81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e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et des commentaires reçus </w:t>
            </w:r>
            <w:r w:rsidR="00F538CA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des membres de </w:t>
            </w:r>
            <w:smartTag w:uri="urn:schemas-microsoft-com:office:smarttags" w:element="PersonName">
              <w:smartTagPr>
                <w:attr w:name="ProductID" w:val="la Plateforme"/>
              </w:smartTagPr>
              <w:r w:rsidR="00F538CA" w:rsidRPr="00B8773B">
                <w:rPr>
                  <w:rFonts w:ascii="Times New Roman" w:eastAsia="SimSun" w:hAnsi="Times New Roman"/>
                  <w:sz w:val="20"/>
                  <w:szCs w:val="20"/>
                  <w:lang w:val="fr-CA" w:eastAsia="zh-CN"/>
                </w:rPr>
                <w:t>la Plateforme</w:t>
              </w:r>
            </w:smartTag>
            <w:r w:rsidR="00F538CA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et des autres parties prenantes, le Groupe d’experts multidisciplinaire et le Bureau décide</w:t>
            </w:r>
            <w:r w:rsidR="00EC2A9D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nt</w:t>
            </w:r>
            <w:r w:rsidR="00F538CA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s’il convient de procéder à l’évaluation, </w:t>
            </w:r>
            <w:r w:rsidR="000A5B81" w:rsidRPr="000A5B81">
              <w:rPr>
                <w:rFonts w:ascii="Times New Roman" w:eastAsia="SimSun" w:hAnsi="Times New Roman"/>
                <w:sz w:val="20"/>
                <w:szCs w:val="20"/>
                <w:lang w:val="fr-FR" w:eastAsia="zh-CN"/>
              </w:rPr>
              <w:t>à supposer qu’elle puisse être menée dans les limites de l’enveloppe budgétaire approuvée par la Plénière</w:t>
            </w:r>
            <w:r w:rsidR="009C2507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(</w:t>
            </w:r>
            <w:r w:rsidR="00F538CA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première moitié de </w:t>
            </w:r>
            <w:r w:rsid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mai </w:t>
            </w:r>
            <w:r w:rsidR="00F538CA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2014</w:t>
            </w:r>
            <w:r w:rsidR="009C2507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)</w:t>
            </w:r>
            <w:r w:rsidR="00F538CA"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</w:t>
            </w:r>
          </w:p>
        </w:tc>
      </w:tr>
      <w:tr w:rsidR="00655501" w:rsidRPr="00B8773B" w:rsidTr="00C042A6">
        <w:trPr>
          <w:trHeight w:val="584"/>
          <w:jc w:val="right"/>
        </w:trPr>
        <w:tc>
          <w:tcPr>
            <w:tcW w:w="803" w:type="dxa"/>
            <w:vMerge/>
            <w:shd w:val="clear" w:color="auto" w:fill="auto"/>
            <w:vAlign w:val="center"/>
          </w:tcPr>
          <w:p w:rsidR="00655501" w:rsidRPr="00B8773B" w:rsidRDefault="00655501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5501" w:rsidRPr="00B8773B" w:rsidRDefault="00655501">
            <w:pPr>
              <w:rPr>
                <w:lang w:val="fr-CA"/>
              </w:rPr>
            </w:pPr>
            <w:r w:rsidRPr="00B8773B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>Deuxième trimestre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655501" w:rsidRPr="00B8773B" w:rsidRDefault="00F538CA" w:rsidP="000A5B81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Le Groupe d’experts multidisciplinaire, par la voi</w:t>
            </w:r>
            <w:r w:rsid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e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du Secrétariat, demande au</w:t>
            </w:r>
            <w:r w:rsid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x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gouvernement</w:t>
            </w:r>
            <w:r w:rsid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s</w:t>
            </w:r>
            <w:r w:rsidRPr="00B8773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et autres parties prenantes de désigner des experts pour préparer le rapport d’évaluation. </w:t>
            </w:r>
            <w:r w:rsidRP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Les candidature</w:t>
            </w:r>
            <w:r w:rsidR="00F975C6" w:rsidRP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s</w:t>
            </w:r>
            <w:r w:rsidRP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doive</w:t>
            </w:r>
            <w:r w:rsidR="00F975C6" w:rsidRP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nt</w:t>
            </w:r>
            <w:r w:rsidRP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être présentée</w:t>
            </w:r>
            <w:r w:rsidR="00F975C6" w:rsidRP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s </w:t>
            </w:r>
            <w:r w:rsidR="000A5B81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au plus tard</w:t>
            </w:r>
            <w:r w:rsidRP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fin </w:t>
            </w:r>
            <w:r w:rsidR="006A626C" w:rsidRP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juin </w:t>
            </w:r>
            <w:r w:rsidRP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2014 (1,5</w:t>
            </w:r>
            <w:r w:rsidR="00F975C6" w:rsidRP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mois) </w:t>
            </w:r>
          </w:p>
        </w:tc>
      </w:tr>
      <w:tr w:rsidR="000F47EE" w:rsidRPr="00F975C6" w:rsidTr="00C042A6">
        <w:trPr>
          <w:trHeight w:val="584"/>
          <w:jc w:val="right"/>
        </w:trPr>
        <w:tc>
          <w:tcPr>
            <w:tcW w:w="803" w:type="dxa"/>
            <w:vMerge/>
            <w:shd w:val="clear" w:color="auto" w:fill="auto"/>
            <w:vAlign w:val="center"/>
          </w:tcPr>
          <w:p w:rsidR="000F47EE" w:rsidRPr="00F975C6" w:rsidRDefault="000F47EE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F975C6" w:rsidRDefault="00F538CA" w:rsidP="00F975C6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 xml:space="preserve">Troisième trimestre 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F975C6" w:rsidRDefault="00F538CA" w:rsidP="00E40B8B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Le Groupe d’experts multidisciplinaire </w:t>
            </w:r>
            <w:r w:rsidR="00E40B8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choisit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les coprésidents, les auteurs coordonnateurs principaux, les aut</w:t>
            </w:r>
            <w:r w:rsid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eurs principaux et les éditeurs</w:t>
            </w:r>
            <w:r w:rsid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noBreakHyphen/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réviseurs </w:t>
            </w:r>
            <w:r w:rsidR="005674F6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pour le rapport, en s’appuyant sur les critères de sélection établi</w:t>
            </w:r>
            <w:r w:rsid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s</w:t>
            </w:r>
            <w:r w:rsidR="005674F6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</w:t>
            </w:r>
            <w:r w:rsidR="00E40B8B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(voir IPBES/2/9) </w:t>
            </w:r>
            <w:r w:rsidR="005674F6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(</w:t>
            </w:r>
            <w:r w:rsidR="00835C13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</w:t>
            </w:r>
            <w:r w:rsidR="00835C13" w:rsidRPr="00F975C6">
              <w:rPr>
                <w:rFonts w:ascii="Times New Roman" w:eastAsia="SimSun" w:hAnsi="Times New Roman"/>
                <w:sz w:val="20"/>
                <w:szCs w:val="20"/>
                <w:vertAlign w:val="superscript"/>
                <w:lang w:val="fr-CA" w:eastAsia="zh-CN"/>
              </w:rPr>
              <w:t>er</w:t>
            </w:r>
            <w:r w:rsid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5674F6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juillet </w:t>
            </w:r>
            <w:r w:rsidR="00835C13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– </w:t>
            </w:r>
            <w:r w:rsid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15 août </w:t>
            </w:r>
            <w:r w:rsidR="005674F6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2014) (1,5</w:t>
            </w:r>
            <w:r w:rsid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5674F6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mois)</w:t>
            </w:r>
          </w:p>
        </w:tc>
      </w:tr>
      <w:tr w:rsidR="000F47EE" w:rsidRPr="00F975C6" w:rsidTr="00C042A6">
        <w:trPr>
          <w:trHeight w:val="584"/>
          <w:jc w:val="right"/>
        </w:trPr>
        <w:tc>
          <w:tcPr>
            <w:tcW w:w="803" w:type="dxa"/>
            <w:vMerge/>
            <w:shd w:val="clear" w:color="auto" w:fill="auto"/>
            <w:vAlign w:val="center"/>
          </w:tcPr>
          <w:p w:rsidR="000F47EE" w:rsidRPr="00F975C6" w:rsidRDefault="000F47EE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F975C6" w:rsidRDefault="001E3C26" w:rsidP="00496B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>Troisième/</w:t>
            </w:r>
            <w:r w:rsidR="00193C85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br/>
            </w: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>quatrième trimestre</w:t>
            </w:r>
            <w:r w:rsidR="00C042A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>s</w:t>
            </w: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 xml:space="preserve"> 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F975C6" w:rsidRDefault="001E3C26" w:rsidP="006A626C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Les coprésidents, les auteurs coordonnateurs principaux et les auteurs principaux </w:t>
            </w:r>
            <w:r w:rsidR="00AD62BE" w:rsidRPr="003A0714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établissent l’avant</w:t>
            </w:r>
            <w:r w:rsidR="00AD62BE" w:rsidRPr="003A0714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noBreakHyphen/>
              <w:t>projet de rapport</w:t>
            </w:r>
            <w:r w:rsidR="00496BDE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avant la </w:t>
            </w:r>
            <w:r w:rsidR="00835C13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mi-février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2015 (</w:t>
            </w:r>
            <w:r w:rsidR="00496BD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6 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mois). Une première réunion des auteurs est organisée en </w:t>
            </w:r>
            <w:r w:rsid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septembre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2014 </w:t>
            </w:r>
          </w:p>
        </w:tc>
      </w:tr>
      <w:tr w:rsidR="000F47EE" w:rsidRPr="00496BDE" w:rsidTr="00C042A6">
        <w:trPr>
          <w:trHeight w:val="504"/>
          <w:jc w:val="right"/>
        </w:trPr>
        <w:tc>
          <w:tcPr>
            <w:tcW w:w="803" w:type="dxa"/>
            <w:vMerge w:val="restart"/>
            <w:shd w:val="clear" w:color="auto" w:fill="auto"/>
            <w:vAlign w:val="center"/>
          </w:tcPr>
          <w:p w:rsidR="000F47EE" w:rsidRPr="00F975C6" w:rsidRDefault="000F47EE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F975C6" w:rsidRDefault="001E3C26" w:rsidP="00496B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 xml:space="preserve">Premier trimestre 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496BDE" w:rsidRDefault="00496BDE" w:rsidP="005E63E1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L’avant</w:t>
            </w:r>
            <w:r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noBreakHyphen/>
            </w:r>
            <w:r w:rsidR="001E3C26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projet de rapport est examiné par les experts jusqu’à la fin</w:t>
            </w:r>
            <w:r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noBreakHyphen/>
            </w:r>
            <w:r w:rsidR="00835C13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mars </w:t>
            </w:r>
            <w:r w:rsidR="00956AD1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2015 </w:t>
            </w:r>
            <w:r w:rsidR="00956AD1" w:rsidRPr="00496BD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(1,5 </w:t>
            </w:r>
            <w:r w:rsidR="00835C13" w:rsidRPr="00496BD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– </w:t>
            </w:r>
            <w:r w:rsidR="00956AD1" w:rsidRPr="00496BD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</w:t>
            </w:r>
            <w:r w:rsidRPr="00496BD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956AD1" w:rsidRPr="00496BD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mois)</w:t>
            </w:r>
          </w:p>
        </w:tc>
      </w:tr>
      <w:tr w:rsidR="000F47EE" w:rsidRPr="00F975C6" w:rsidTr="00C042A6">
        <w:trPr>
          <w:trHeight w:val="567"/>
          <w:jc w:val="right"/>
        </w:trPr>
        <w:tc>
          <w:tcPr>
            <w:tcW w:w="803" w:type="dxa"/>
            <w:vMerge/>
            <w:shd w:val="clear" w:color="auto" w:fill="auto"/>
          </w:tcPr>
          <w:p w:rsidR="000F47EE" w:rsidRPr="00496BDE" w:rsidRDefault="000F47EE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F975C6" w:rsidRDefault="001E3C26" w:rsidP="00AD62B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 xml:space="preserve">Deuxième trimestre 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F975C6" w:rsidRDefault="00956AD1" w:rsidP="006A626C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Les coprésidents, les auteurs coordonnateurs principaux et les auteurs principaux établissent le deuxiè</w:t>
            </w:r>
            <w:r w:rsidR="00AD62B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me projet de rapport et l’avant</w:t>
            </w:r>
            <w:r w:rsidR="00AD62B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noBreakHyphen/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projet de résumé à l’intention des décideurs sous la supervision </w:t>
            </w:r>
            <w:r w:rsidR="00AD62B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des éditeurs</w:t>
            </w:r>
            <w:r w:rsidR="00AD62B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noBreakHyphen/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réviseurs et du Groupe d’experts multidisciplinaire (avril </w:t>
            </w:r>
            <w:r w:rsidR="00835C13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– juin </w:t>
            </w:r>
            <w:r w:rsidR="00AD62B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2015) (3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mois). Une deuxième réunion des auteurs se tient en </w:t>
            </w:r>
            <w:r w:rsid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juin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2015 </w:t>
            </w:r>
          </w:p>
        </w:tc>
      </w:tr>
      <w:tr w:rsidR="000F47EE" w:rsidRPr="00F975C6" w:rsidTr="00C042A6">
        <w:trPr>
          <w:trHeight w:val="547"/>
          <w:jc w:val="right"/>
        </w:trPr>
        <w:tc>
          <w:tcPr>
            <w:tcW w:w="803" w:type="dxa"/>
            <w:vMerge/>
            <w:shd w:val="clear" w:color="auto" w:fill="auto"/>
          </w:tcPr>
          <w:p w:rsidR="000F47EE" w:rsidRPr="00F975C6" w:rsidRDefault="000F47EE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F975C6" w:rsidRDefault="001E3C26" w:rsidP="00AD62B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 xml:space="preserve">Troisième trimestre 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F975C6" w:rsidRDefault="00956AD1" w:rsidP="00AD62B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Le deuxième projet de rapport et l’a</w:t>
            </w:r>
            <w:r w:rsidR="00AD62B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vant</w:t>
            </w:r>
            <w:r w:rsidR="00AD62B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noBreakHyphen/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projet de résumé à l’inten</w:t>
            </w:r>
            <w:r w:rsidR="00AD62B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tion des décideurs sont examinés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par les gouvernements, les experts et les autres parties prenantes au cours des mois de juillet et </w:t>
            </w:r>
            <w:r w:rsidR="00835C13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août </w:t>
            </w:r>
            <w:r w:rsidR="00AD62BE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2015 (2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mois) </w:t>
            </w:r>
          </w:p>
        </w:tc>
      </w:tr>
      <w:tr w:rsidR="000F47EE" w:rsidRPr="00F975C6" w:rsidTr="00C042A6">
        <w:trPr>
          <w:trHeight w:val="215"/>
          <w:jc w:val="right"/>
        </w:trPr>
        <w:tc>
          <w:tcPr>
            <w:tcW w:w="803" w:type="dxa"/>
            <w:vMerge/>
            <w:shd w:val="clear" w:color="auto" w:fill="auto"/>
          </w:tcPr>
          <w:p w:rsidR="000F47EE" w:rsidRPr="00F975C6" w:rsidRDefault="000F47EE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F975C6" w:rsidRDefault="001E3C26" w:rsidP="00AD62B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>Troisième/</w:t>
            </w:r>
            <w:r w:rsidR="00193C85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br/>
            </w: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 xml:space="preserve">quatrième trimestre 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F975C6" w:rsidRDefault="00956AD1" w:rsidP="006A626C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Les coprésidents, les auteurs coordonnateurs principaux et les auteurs principaux établissent la version finale des projets de rapport et de résumé à l’intention des décideurs </w:t>
            </w:r>
            <w:r w:rsidR="00283E8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sous la supervision </w:t>
            </w:r>
            <w:r w:rsidR="009D6F0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des </w:t>
            </w:r>
            <w:r w:rsidR="00283E8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éditeurs</w:t>
            </w:r>
            <w:r w:rsidR="00283E8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noBreakHyphen/>
            </w:r>
            <w:r w:rsidR="008355F4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réviseurs et du Groupe d’experts multidisciplinaire (2 mois). Une troisième réunion des auteurs est organisée en </w:t>
            </w:r>
            <w:r w:rsid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octobre </w:t>
            </w:r>
            <w:r w:rsidR="008355F4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2015 </w:t>
            </w:r>
          </w:p>
        </w:tc>
      </w:tr>
      <w:tr w:rsidR="000F47EE" w:rsidRPr="00F975C6" w:rsidTr="00C042A6">
        <w:trPr>
          <w:trHeight w:val="479"/>
          <w:jc w:val="right"/>
        </w:trPr>
        <w:tc>
          <w:tcPr>
            <w:tcW w:w="803" w:type="dxa"/>
            <w:vMerge/>
            <w:shd w:val="clear" w:color="auto" w:fill="auto"/>
            <w:vAlign w:val="center"/>
          </w:tcPr>
          <w:p w:rsidR="000F47EE" w:rsidRPr="00F975C6" w:rsidRDefault="000F47EE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F975C6" w:rsidRDefault="001E3C26" w:rsidP="00283E89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 xml:space="preserve">Quatrième trimestre 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F975C6" w:rsidRDefault="008355F4" w:rsidP="006A626C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Le résumé à l’intention des décideurs e</w:t>
            </w:r>
            <w:r w:rsidR="00283E8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s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t traduit dans les langues officielles de l’Organisation des Nations Unies avant la </w:t>
            </w:r>
            <w:r w:rsid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mi-décembre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2015 (1,5</w:t>
            </w:r>
            <w:r w:rsidR="00283E8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mois)</w:t>
            </w:r>
          </w:p>
        </w:tc>
      </w:tr>
      <w:tr w:rsidR="000F47EE" w:rsidRPr="00F975C6" w:rsidTr="00C042A6">
        <w:trPr>
          <w:trHeight w:val="242"/>
          <w:jc w:val="right"/>
        </w:trPr>
        <w:tc>
          <w:tcPr>
            <w:tcW w:w="803" w:type="dxa"/>
            <w:vMerge w:val="restart"/>
            <w:shd w:val="clear" w:color="auto" w:fill="auto"/>
            <w:vAlign w:val="center"/>
          </w:tcPr>
          <w:p w:rsidR="000F47EE" w:rsidRPr="00F975C6" w:rsidRDefault="000F47EE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F975C6" w:rsidRDefault="001E3C26" w:rsidP="00283E89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 xml:space="preserve">Premier </w:t>
            </w:r>
            <w:r w:rsidR="00886520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br/>
            </w: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 xml:space="preserve">trimestre 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F975C6" w:rsidRDefault="008355F4" w:rsidP="00484955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La version finale des projets de rapport et de résumé à l’intention des décideurs e</w:t>
            </w:r>
            <w:r w:rsidR="00283E8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s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t adressé</w:t>
            </w:r>
            <w:r w:rsidR="00283E8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e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aux gouvernements et aux autres parties prenantes pour un dernier examen au cours des mois de janvier et </w:t>
            </w:r>
            <w:r w:rsidR="00835C13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février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2016 (1,5 </w:t>
            </w:r>
            <w:r w:rsidR="00835C13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–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</w:t>
            </w:r>
            <w:r w:rsidR="00283E8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mois). Les gouvernements sont vivement encouragés à s</w:t>
            </w:r>
            <w:r w:rsidR="00283E8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ou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mettre des observations écrites au Secrétariat au moins une semaine avant chaque session de </w:t>
            </w:r>
            <w:smartTag w:uri="urn:schemas-microsoft-com:office:smarttags" w:element="PersonName">
              <w:smartTagPr>
                <w:attr w:name="ProductID" w:val="la Plénière"/>
              </w:smartTagPr>
              <w:r w:rsidRPr="00F975C6">
                <w:rPr>
                  <w:rFonts w:ascii="Times New Roman" w:eastAsia="SimSun" w:hAnsi="Times New Roman"/>
                  <w:sz w:val="20"/>
                  <w:szCs w:val="20"/>
                  <w:lang w:val="fr-CA" w:eastAsia="zh-CN"/>
                </w:rPr>
                <w:t>la Plénière</w:t>
              </w:r>
            </w:smartTag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</w:t>
            </w:r>
          </w:p>
        </w:tc>
      </w:tr>
      <w:tr w:rsidR="000F47EE" w:rsidRPr="00F975C6" w:rsidTr="00C042A6">
        <w:trPr>
          <w:trHeight w:val="242"/>
          <w:jc w:val="right"/>
        </w:trPr>
        <w:tc>
          <w:tcPr>
            <w:tcW w:w="803" w:type="dxa"/>
            <w:vMerge/>
            <w:shd w:val="clear" w:color="auto" w:fill="auto"/>
            <w:vAlign w:val="center"/>
          </w:tcPr>
          <w:p w:rsidR="000F47EE" w:rsidRPr="00F975C6" w:rsidRDefault="000F47EE" w:rsidP="00582ADE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7EE" w:rsidRPr="00F975C6" w:rsidRDefault="001E3C26" w:rsidP="00484955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 xml:space="preserve">Premier </w:t>
            </w:r>
            <w:r w:rsidR="00886520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br/>
            </w:r>
            <w:r w:rsidRPr="00F975C6">
              <w:rPr>
                <w:rFonts w:ascii="Times New Roman" w:eastAsia="SimSun" w:hAnsi="Times New Roman"/>
                <w:sz w:val="19"/>
                <w:szCs w:val="19"/>
                <w:lang w:val="fr-CA" w:eastAsia="zh-CN"/>
              </w:rPr>
              <w:t xml:space="preserve">trimestre 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0F47EE" w:rsidRPr="00F975C6" w:rsidRDefault="008355F4" w:rsidP="006A626C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smartTag w:uri="urn:schemas-microsoft-com:office:smarttags" w:element="PersonName">
              <w:smartTagPr>
                <w:attr w:name="ProductID" w:val="la Plénière"/>
              </w:smartTagPr>
              <w:r w:rsidRPr="00F975C6">
                <w:rPr>
                  <w:rFonts w:ascii="Times New Roman" w:eastAsia="SimSun" w:hAnsi="Times New Roman"/>
                  <w:sz w:val="20"/>
                  <w:szCs w:val="20"/>
                  <w:lang w:val="fr-CA" w:eastAsia="zh-CN"/>
                </w:rPr>
                <w:t>La Plénière</w:t>
              </w:r>
            </w:smartTag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examine et accepte le rapport et examine et approuve le résumé à l’intention des décideurs lors de sa quatrième session, en </w:t>
            </w:r>
            <w:r w:rsidR="006A626C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mars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2016</w:t>
            </w:r>
          </w:p>
        </w:tc>
      </w:tr>
    </w:tbl>
    <w:p w:rsidR="000F47EE" w:rsidRPr="00F975C6" w:rsidRDefault="005B136B" w:rsidP="00E9220E">
      <w:pPr>
        <w:pStyle w:val="CH1"/>
      </w:pPr>
      <w:r w:rsidRPr="00F975C6">
        <w:tab/>
      </w:r>
      <w:r w:rsidR="0072137A" w:rsidRPr="00F975C6">
        <w:t>V</w:t>
      </w:r>
      <w:r w:rsidRPr="00F975C6">
        <w:t>.</w:t>
      </w:r>
      <w:r w:rsidR="000F47EE" w:rsidRPr="00F975C6">
        <w:tab/>
      </w:r>
      <w:r w:rsidR="00E40B8B">
        <w:t>C</w:t>
      </w:r>
      <w:r w:rsidR="00484955">
        <w:t>oûts</w:t>
      </w:r>
      <w:r w:rsidR="00E40B8B">
        <w:t xml:space="preserve"> estimatifs</w:t>
      </w:r>
    </w:p>
    <w:p w:rsidR="0004422D" w:rsidRDefault="00E40B8B" w:rsidP="00E9220E">
      <w:pPr>
        <w:pStyle w:val="Normalnumber"/>
        <w:numPr>
          <w:ilvl w:val="0"/>
          <w:numId w:val="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 w:firstLine="0"/>
      </w:pPr>
      <w:r w:rsidRPr="00C9391E">
        <w:t xml:space="preserve">Le tableau ci-après </w:t>
      </w:r>
      <w:r>
        <w:t>montre les coûts estimatifs</w:t>
      </w:r>
      <w:r w:rsidR="00347974" w:rsidRPr="00F975C6">
        <w:t xml:space="preserve"> de l’évaluation et de l’établissement du rapport correspondant.</w:t>
      </w:r>
    </w:p>
    <w:p w:rsidR="00B54FED" w:rsidRPr="00F975C6" w:rsidRDefault="00E40B8B" w:rsidP="0004422D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</w:tabs>
        <w:ind w:left="1247"/>
      </w:pPr>
      <w:r>
        <w:t>(</w:t>
      </w:r>
      <w:r w:rsidRPr="0005076E">
        <w:rPr>
          <w:sz w:val="18"/>
          <w:szCs w:val="18"/>
        </w:rPr>
        <w:t>en dollars des États-Unis</w:t>
      </w:r>
      <w:r>
        <w:t>)</w:t>
      </w:r>
    </w:p>
    <w:tbl>
      <w:tblPr>
        <w:tblW w:w="0" w:type="auto"/>
        <w:jc w:val="right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3095"/>
        <w:gridCol w:w="3827"/>
        <w:gridCol w:w="1007"/>
      </w:tblGrid>
      <w:tr w:rsidR="00BC5739" w:rsidRPr="00F975C6" w:rsidTr="00E34883">
        <w:trPr>
          <w:jc w:val="right"/>
        </w:trPr>
        <w:tc>
          <w:tcPr>
            <w:tcW w:w="840" w:type="dxa"/>
            <w:shd w:val="clear" w:color="auto" w:fill="auto"/>
          </w:tcPr>
          <w:p w:rsidR="00BC5739" w:rsidRPr="00F975C6" w:rsidRDefault="00347974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i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i/>
                <w:sz w:val="20"/>
                <w:szCs w:val="20"/>
                <w:lang w:val="fr-CA" w:eastAsia="zh-CN"/>
              </w:rPr>
              <w:t>Année</w:t>
            </w:r>
          </w:p>
        </w:tc>
        <w:tc>
          <w:tcPr>
            <w:tcW w:w="3095" w:type="dxa"/>
            <w:shd w:val="clear" w:color="auto" w:fill="auto"/>
          </w:tcPr>
          <w:p w:rsidR="00BC5739" w:rsidRPr="00F975C6" w:rsidRDefault="00E40B8B" w:rsidP="0048495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i/>
                <w:sz w:val="20"/>
                <w:szCs w:val="20"/>
                <w:lang w:val="fr-CA" w:eastAsia="zh-CN"/>
              </w:rPr>
            </w:pPr>
            <w:r>
              <w:rPr>
                <w:rFonts w:ascii="Times New Roman" w:eastAsia="SimSun" w:hAnsi="Times New Roman"/>
                <w:i/>
                <w:sz w:val="20"/>
                <w:szCs w:val="20"/>
                <w:lang w:val="fr-CA" w:eastAsia="zh-CN"/>
              </w:rPr>
              <w:t>Poste de dépense</w:t>
            </w:r>
          </w:p>
        </w:tc>
        <w:tc>
          <w:tcPr>
            <w:tcW w:w="3827" w:type="dxa"/>
            <w:shd w:val="clear" w:color="auto" w:fill="auto"/>
          </w:tcPr>
          <w:p w:rsidR="00BC5739" w:rsidRPr="00F975C6" w:rsidRDefault="00347974" w:rsidP="0048495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i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i/>
                <w:sz w:val="20"/>
                <w:szCs w:val="20"/>
                <w:lang w:val="fr-CA" w:eastAsia="zh-CN"/>
              </w:rPr>
              <w:t>Hypothèse</w:t>
            </w:r>
            <w:r w:rsidR="00484955">
              <w:rPr>
                <w:rFonts w:ascii="Times New Roman" w:eastAsia="SimSun" w:hAnsi="Times New Roman"/>
                <w:i/>
                <w:sz w:val="20"/>
                <w:szCs w:val="20"/>
                <w:lang w:val="fr-CA" w:eastAsia="zh-CN"/>
              </w:rPr>
              <w:t>s</w:t>
            </w:r>
          </w:p>
        </w:tc>
        <w:tc>
          <w:tcPr>
            <w:tcW w:w="1007" w:type="dxa"/>
            <w:shd w:val="clear" w:color="auto" w:fill="auto"/>
          </w:tcPr>
          <w:p w:rsidR="00BC5739" w:rsidRPr="00F975C6" w:rsidRDefault="00347974" w:rsidP="0048495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i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i/>
                <w:sz w:val="20"/>
                <w:szCs w:val="20"/>
                <w:lang w:val="fr-CA" w:eastAsia="zh-CN"/>
              </w:rPr>
              <w:t>Coût</w:t>
            </w:r>
          </w:p>
        </w:tc>
      </w:tr>
      <w:tr w:rsidR="00BC5739" w:rsidRPr="00F975C6" w:rsidTr="00E34883">
        <w:trPr>
          <w:jc w:val="right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2014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 w:rsidR="00BC5739" w:rsidRPr="00F975C6" w:rsidRDefault="00347974" w:rsidP="00E40B8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Réunion de cadrage (25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participants</w:t>
            </w:r>
            <w:r w:rsidR="00B25386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: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</w:t>
            </w:r>
            <w:r w:rsidR="0004422D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membres du 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Groupe d’experts multidisciplinaire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/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Bureau, experts) </w:t>
            </w:r>
          </w:p>
        </w:tc>
        <w:tc>
          <w:tcPr>
            <w:tcW w:w="3827" w:type="dxa"/>
            <w:shd w:val="clear" w:color="auto" w:fill="auto"/>
          </w:tcPr>
          <w:p w:rsidR="00BC5739" w:rsidRPr="00F975C6" w:rsidRDefault="00347974" w:rsidP="00667DD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Coûts de la réunion (1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semaine, 25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participants) (25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%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en nature) </w:t>
            </w:r>
          </w:p>
        </w:tc>
        <w:tc>
          <w:tcPr>
            <w:tcW w:w="1007" w:type="dxa"/>
            <w:shd w:val="clear" w:color="auto" w:fill="auto"/>
          </w:tcPr>
          <w:p w:rsidR="00BC5739" w:rsidRPr="00F975C6" w:rsidRDefault="00DE2BD5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7 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500</w:t>
            </w:r>
          </w:p>
        </w:tc>
      </w:tr>
      <w:tr w:rsidR="00BC5739" w:rsidRPr="00F975C6" w:rsidTr="00E34883">
        <w:trPr>
          <w:trHeight w:val="187"/>
          <w:jc w:val="right"/>
        </w:trPr>
        <w:tc>
          <w:tcPr>
            <w:tcW w:w="840" w:type="dxa"/>
            <w:vMerge/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095" w:type="dxa"/>
            <w:vMerge/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C5739" w:rsidRPr="00F975C6" w:rsidRDefault="00E40B8B" w:rsidP="00667DD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Frais de voyage et indemnités journalières</w:t>
            </w:r>
            <w:r w:rsidR="00347974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de subsistance 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(19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x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3</w:t>
            </w:r>
            <w:r w:rsidR="005D391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000</w:t>
            </w:r>
            <w:r w:rsidR="005D391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dollars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:rsidR="00BC5739" w:rsidRPr="00F975C6" w:rsidRDefault="00835C13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57 000</w:t>
            </w:r>
          </w:p>
        </w:tc>
      </w:tr>
      <w:tr w:rsidR="00BC5739" w:rsidRPr="00F975C6" w:rsidTr="00E34883">
        <w:trPr>
          <w:jc w:val="right"/>
        </w:trPr>
        <w:tc>
          <w:tcPr>
            <w:tcW w:w="840" w:type="dxa"/>
            <w:vMerge/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 w:rsidR="00BC5739" w:rsidRPr="00F975C6" w:rsidRDefault="005D391C" w:rsidP="00667DD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Première réunion des auteurs (50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coprésidents, auteurs coordonnateurs principaux et auteurs principaux + </w:t>
            </w:r>
            <w:r w:rsidR="00835C13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4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membres du Groupe d’experts multidisciplinaire/Bureau + </w:t>
            </w:r>
            <w:r w:rsidR="00835C13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agent des services d’appui technique) </w:t>
            </w:r>
          </w:p>
        </w:tc>
        <w:tc>
          <w:tcPr>
            <w:tcW w:w="3827" w:type="dxa"/>
            <w:shd w:val="clear" w:color="auto" w:fill="auto"/>
          </w:tcPr>
          <w:p w:rsidR="00BC5739" w:rsidRPr="00F975C6" w:rsidRDefault="005D391C" w:rsidP="00667DD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Coûts de la réunion (1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semaine, </w:t>
            </w:r>
            <w:r w:rsidR="00835C13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55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participants) (25</w:t>
            </w:r>
            <w:r w:rsidR="00667DD2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%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en nature) </w:t>
            </w:r>
          </w:p>
        </w:tc>
        <w:tc>
          <w:tcPr>
            <w:tcW w:w="1007" w:type="dxa"/>
            <w:shd w:val="clear" w:color="auto" w:fill="auto"/>
          </w:tcPr>
          <w:p w:rsidR="00BC5739" w:rsidRPr="00F975C6" w:rsidRDefault="00835C13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11 250</w:t>
            </w:r>
          </w:p>
        </w:tc>
      </w:tr>
      <w:tr w:rsidR="00BC5739" w:rsidRPr="00F975C6" w:rsidTr="00E34883">
        <w:trPr>
          <w:trHeight w:val="339"/>
          <w:jc w:val="right"/>
        </w:trPr>
        <w:tc>
          <w:tcPr>
            <w:tcW w:w="840" w:type="dxa"/>
            <w:vMerge/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C5739" w:rsidRPr="00F975C6" w:rsidRDefault="00E40B8B" w:rsidP="00667DD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Frais de voyage et indemnités journalières</w:t>
            </w:r>
            <w:r w:rsidR="005D391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de subsistance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</w:t>
            </w:r>
            <w:r w:rsidR="0053683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br/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(41 x 3</w:t>
            </w:r>
            <w:r w:rsidR="0053683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000</w:t>
            </w:r>
            <w:r w:rsidR="0053683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5D391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dollars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BC5739" w:rsidRPr="00F975C6" w:rsidRDefault="00835C13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123 000</w:t>
            </w:r>
          </w:p>
        </w:tc>
      </w:tr>
      <w:tr w:rsidR="00BC5739" w:rsidRPr="00F975C6" w:rsidTr="00E34883">
        <w:trPr>
          <w:trHeight w:val="361"/>
          <w:jc w:val="right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BC5739" w:rsidRPr="00F975C6" w:rsidRDefault="005D391C" w:rsidP="0008421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Appui technique </w:t>
            </w:r>
          </w:p>
        </w:tc>
        <w:tc>
          <w:tcPr>
            <w:tcW w:w="3827" w:type="dxa"/>
            <w:shd w:val="clear" w:color="auto" w:fill="auto"/>
          </w:tcPr>
          <w:p w:rsidR="00BC5739" w:rsidRPr="00F975C6" w:rsidRDefault="00BC5739" w:rsidP="0008421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SimSun" w:hAnsi="Times New Roman"/>
                <w:b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18"/>
                <w:szCs w:val="18"/>
                <w:lang w:val="fr-CA" w:eastAsia="zh-CN"/>
              </w:rPr>
              <w:t>1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</w:t>
            </w:r>
            <w:r w:rsidR="005D391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poste </w:t>
            </w:r>
            <w:r w:rsidR="00283DB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d’administrateur équivalent plein temps (50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%</w:t>
            </w:r>
            <w:r w:rsidR="00283DB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en nature)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BC5739" w:rsidRPr="00F975C6" w:rsidRDefault="00835C13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75 000</w:t>
            </w:r>
          </w:p>
        </w:tc>
      </w:tr>
      <w:tr w:rsidR="00BC5739" w:rsidRPr="00F975C6" w:rsidTr="00E34883">
        <w:trPr>
          <w:jc w:val="right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2015</w:t>
            </w: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 w:rsidR="00BC5739" w:rsidRPr="00F975C6" w:rsidRDefault="00283DBC" w:rsidP="0008421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Deuxième réunion des auteurs (50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coprésidents, auteurs coordonnateurs principaux et auteurs principaux + 10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éditeurs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noBreakHyphen/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réviseurs + </w:t>
            </w:r>
            <w:r w:rsidR="00B05DA1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4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membres du Groupe d’experts multidisciplinaire/Bureau + </w:t>
            </w:r>
            <w:r w:rsidR="00B05DA1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agent des services d’appui technique)</w:t>
            </w:r>
          </w:p>
        </w:tc>
        <w:tc>
          <w:tcPr>
            <w:tcW w:w="3827" w:type="dxa"/>
            <w:shd w:val="clear" w:color="auto" w:fill="auto"/>
          </w:tcPr>
          <w:p w:rsidR="00BC5739" w:rsidRPr="00F975C6" w:rsidRDefault="00283DBC" w:rsidP="0008421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Coûts de la réunion (1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semaine, </w:t>
            </w:r>
            <w:r w:rsidR="00B05DA1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65 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participants) (25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%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en nature) </w:t>
            </w:r>
          </w:p>
        </w:tc>
        <w:tc>
          <w:tcPr>
            <w:tcW w:w="1007" w:type="dxa"/>
            <w:shd w:val="clear" w:color="auto" w:fill="auto"/>
          </w:tcPr>
          <w:p w:rsidR="00BC5739" w:rsidRPr="00F975C6" w:rsidRDefault="00835C13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15 000</w:t>
            </w:r>
          </w:p>
        </w:tc>
      </w:tr>
      <w:tr w:rsidR="00BC5739" w:rsidRPr="00F975C6" w:rsidTr="00E34883">
        <w:trPr>
          <w:trHeight w:val="361"/>
          <w:jc w:val="right"/>
        </w:trPr>
        <w:tc>
          <w:tcPr>
            <w:tcW w:w="840" w:type="dxa"/>
            <w:vMerge/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C5739" w:rsidRPr="00F975C6" w:rsidRDefault="00E40B8B" w:rsidP="0008421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Frais de voyage et indemnités journalières</w:t>
            </w:r>
            <w:r w:rsidR="00283DB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de subsistance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(49 x </w:t>
            </w:r>
            <w:r w:rsidR="00283DB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3 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000</w:t>
            </w:r>
            <w:r w:rsidR="00283DB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dollars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BC5739" w:rsidRPr="00F975C6" w:rsidRDefault="00835C13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147 000</w:t>
            </w:r>
          </w:p>
        </w:tc>
      </w:tr>
      <w:tr w:rsidR="00BC5739" w:rsidRPr="00F975C6" w:rsidTr="00E34883">
        <w:trPr>
          <w:jc w:val="right"/>
        </w:trPr>
        <w:tc>
          <w:tcPr>
            <w:tcW w:w="840" w:type="dxa"/>
            <w:vMerge/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095" w:type="dxa"/>
            <w:vMerge w:val="restart"/>
            <w:shd w:val="clear" w:color="auto" w:fill="auto"/>
            <w:vAlign w:val="center"/>
          </w:tcPr>
          <w:p w:rsidR="00BC5739" w:rsidRPr="00F975C6" w:rsidRDefault="00796602" w:rsidP="006314B1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Troisième réunion des auteurs (</w:t>
            </w:r>
            <w:r w:rsidR="006314B1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5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0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c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oprésidents, auteurs coordonnateurs principaux et auteurs principaux + </w:t>
            </w:r>
            <w:r w:rsidR="006314B1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10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éditeurs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noBreakHyphen/>
            </w:r>
            <w:r w:rsidR="00B05DA1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réviseurs 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+ </w:t>
            </w:r>
            <w:r w:rsidR="00B05DA1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4 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membres </w:t>
            </w:r>
            <w:r w:rsidR="00084213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lastRenderedPageBreak/>
              <w:t>du G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roupe d’experts multidisciplinaire/Bureau + </w:t>
            </w:r>
            <w:r w:rsidR="00B05DA1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agent des services d’appui technique)</w:t>
            </w:r>
          </w:p>
        </w:tc>
        <w:tc>
          <w:tcPr>
            <w:tcW w:w="3827" w:type="dxa"/>
            <w:shd w:val="clear" w:color="auto" w:fill="auto"/>
          </w:tcPr>
          <w:p w:rsidR="00BC5739" w:rsidRPr="00F975C6" w:rsidRDefault="00796602" w:rsidP="00BD3C4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lastRenderedPageBreak/>
              <w:t>Coûts de la réunion (1</w:t>
            </w:r>
            <w:r w:rsidR="00BD3C4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semaine, </w:t>
            </w:r>
            <w:r w:rsidR="00B05DA1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65 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participants) (25</w:t>
            </w:r>
            <w:r w:rsidR="00BD3C4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%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en nature)</w:t>
            </w:r>
          </w:p>
        </w:tc>
        <w:tc>
          <w:tcPr>
            <w:tcW w:w="1007" w:type="dxa"/>
            <w:shd w:val="clear" w:color="auto" w:fill="auto"/>
          </w:tcPr>
          <w:p w:rsidR="00BC5739" w:rsidRPr="00F975C6" w:rsidRDefault="00835C13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15 000</w:t>
            </w:r>
          </w:p>
        </w:tc>
      </w:tr>
      <w:tr w:rsidR="00BC5739" w:rsidRPr="00F975C6" w:rsidTr="00E34883">
        <w:trPr>
          <w:trHeight w:val="339"/>
          <w:jc w:val="right"/>
        </w:trPr>
        <w:tc>
          <w:tcPr>
            <w:tcW w:w="840" w:type="dxa"/>
            <w:vMerge/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C5739" w:rsidRPr="00F975C6" w:rsidRDefault="00E40B8B" w:rsidP="00E34883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Frais de voyage et indemnités journalières</w:t>
            </w:r>
            <w:r w:rsidR="00796602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d</w:t>
            </w:r>
            <w:r w:rsidR="00BD3C4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e subsistance 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(49 x 3</w:t>
            </w:r>
            <w:r w:rsidR="0053683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000</w:t>
            </w:r>
            <w:r w:rsidR="0053683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796602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dollars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BC5739" w:rsidRPr="00F975C6" w:rsidRDefault="00835C13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147 000</w:t>
            </w:r>
          </w:p>
        </w:tc>
      </w:tr>
      <w:tr w:rsidR="00BC5739" w:rsidRPr="00F975C6" w:rsidTr="00E34883">
        <w:trPr>
          <w:trHeight w:val="361"/>
          <w:jc w:val="right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:rsidR="00BC5739" w:rsidRPr="00F975C6" w:rsidRDefault="00796602" w:rsidP="00BD3C4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Appui technique </w:t>
            </w:r>
          </w:p>
        </w:tc>
        <w:tc>
          <w:tcPr>
            <w:tcW w:w="3827" w:type="dxa"/>
            <w:shd w:val="clear" w:color="auto" w:fill="auto"/>
          </w:tcPr>
          <w:p w:rsidR="00BC5739" w:rsidRPr="00F975C6" w:rsidRDefault="00BC5739" w:rsidP="00BD3C4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</w:t>
            </w:r>
            <w:r w:rsidR="00BD3C4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796602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poste d’administrateur équivalent plein temps (50</w:t>
            </w:r>
            <w:r w:rsidR="00BD3C4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%</w:t>
            </w:r>
            <w:r w:rsidR="00796602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en nature)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BC5739" w:rsidRPr="00F975C6" w:rsidRDefault="00835C13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75 000</w:t>
            </w:r>
          </w:p>
        </w:tc>
      </w:tr>
      <w:tr w:rsidR="00BC5739" w:rsidRPr="00F975C6" w:rsidTr="00E34883">
        <w:trPr>
          <w:trHeight w:val="357"/>
          <w:jc w:val="right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2016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BC5739" w:rsidRPr="00F975C6" w:rsidRDefault="005B1BDF" w:rsidP="006314B1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Participation</w:t>
            </w:r>
            <w:r w:rsidR="00A54B9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de </w:t>
            </w:r>
            <w:r w:rsidR="00BD3C4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2 </w:t>
            </w:r>
            <w:r w:rsidR="00A54B9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coprésidents et </w:t>
            </w:r>
            <w:r w:rsidR="00BD3C49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2 </w:t>
            </w:r>
            <w:r w:rsidR="00A54B9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auteurs coordonnateurs principaux </w:t>
            </w:r>
            <w:r w:rsidR="006314B1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à la quatrième session de </w:t>
            </w:r>
            <w:smartTag w:uri="urn:schemas-microsoft-com:office:smarttags" w:element="PersonName">
              <w:smartTagPr>
                <w:attr w:name="ProductID" w:val="la Plénière"/>
              </w:smartTagPr>
              <w:r w:rsidR="006314B1" w:rsidRPr="00F975C6">
                <w:rPr>
                  <w:rFonts w:ascii="Times New Roman" w:eastAsia="SimSun" w:hAnsi="Times New Roman"/>
                  <w:sz w:val="20"/>
                  <w:szCs w:val="20"/>
                  <w:lang w:val="fr-CA" w:eastAsia="zh-CN"/>
                </w:rPr>
                <w:t>la Plénière</w:t>
              </w:r>
            </w:smartTag>
          </w:p>
        </w:tc>
        <w:tc>
          <w:tcPr>
            <w:tcW w:w="3827" w:type="dxa"/>
            <w:shd w:val="clear" w:color="auto" w:fill="auto"/>
          </w:tcPr>
          <w:p w:rsidR="00BC5739" w:rsidRPr="00F975C6" w:rsidRDefault="00E40B8B" w:rsidP="00BD3C4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Frais de voyage et indemnités journalières</w:t>
            </w:r>
            <w:r w:rsidR="00A54B9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de subsistance </w:t>
            </w:r>
            <w:r w:rsidR="0053683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br/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(3 x 3</w:t>
            </w:r>
            <w:r w:rsidR="0053683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000</w:t>
            </w:r>
            <w:r w:rsidR="0053683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="00A54B9C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dollars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:rsidR="00BC5739" w:rsidRPr="00F975C6" w:rsidRDefault="00B1436B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9 </w:t>
            </w:r>
            <w:r w:rsidR="00BC5739"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000</w:t>
            </w:r>
          </w:p>
        </w:tc>
      </w:tr>
      <w:tr w:rsidR="00BC5739" w:rsidRPr="00F975C6" w:rsidDel="001E184E" w:rsidTr="00E34883">
        <w:trPr>
          <w:trHeight w:val="560"/>
          <w:jc w:val="right"/>
        </w:trPr>
        <w:tc>
          <w:tcPr>
            <w:tcW w:w="840" w:type="dxa"/>
            <w:vMerge/>
            <w:shd w:val="clear" w:color="auto" w:fill="auto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095" w:type="dxa"/>
            <w:shd w:val="clear" w:color="auto" w:fill="auto"/>
          </w:tcPr>
          <w:p w:rsidR="00BC5739" w:rsidRPr="00F975C6" w:rsidRDefault="00A54B9C" w:rsidP="004201A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Diffusion du rapport (résumé à l’intention des décideurs de </w:t>
            </w:r>
            <w:r w:rsidR="004201A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10 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pages et rapport principal de 200</w:t>
            </w:r>
            <w:r w:rsidR="004201A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 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pages)  + activités de sensibilisation </w:t>
            </w:r>
          </w:p>
        </w:tc>
        <w:tc>
          <w:tcPr>
            <w:tcW w:w="3827" w:type="dxa"/>
            <w:shd w:val="clear" w:color="auto" w:fill="auto"/>
          </w:tcPr>
          <w:p w:rsidR="00BC5739" w:rsidRPr="00F975C6" w:rsidRDefault="00A54B9C" w:rsidP="00987DDB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Traduction d</w:t>
            </w:r>
            <w:r w:rsidR="004201A8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u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 résumé à l’intention des décideurs dans </w:t>
            </w:r>
            <w:r w:rsidR="0004422D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toutes </w:t>
            </w: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 xml:space="preserve">les langues officielles de l’ONU, publication et activités de sensibilisation </w:t>
            </w:r>
          </w:p>
        </w:tc>
        <w:tc>
          <w:tcPr>
            <w:tcW w:w="1007" w:type="dxa"/>
            <w:shd w:val="clear" w:color="auto" w:fill="auto"/>
          </w:tcPr>
          <w:p w:rsidR="00BC5739" w:rsidRPr="00F975C6" w:rsidDel="001E184E" w:rsidRDefault="00835C13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  <w:t>117 000</w:t>
            </w:r>
          </w:p>
        </w:tc>
      </w:tr>
      <w:tr w:rsidR="00BC5739" w:rsidRPr="00F975C6" w:rsidTr="00E34883">
        <w:trPr>
          <w:jc w:val="right"/>
        </w:trPr>
        <w:tc>
          <w:tcPr>
            <w:tcW w:w="840" w:type="dxa"/>
            <w:shd w:val="clear" w:color="auto" w:fill="auto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b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b/>
                <w:sz w:val="20"/>
                <w:szCs w:val="20"/>
                <w:lang w:val="fr-CA" w:eastAsia="zh-CN"/>
              </w:rPr>
              <w:t>Total</w:t>
            </w:r>
          </w:p>
        </w:tc>
        <w:tc>
          <w:tcPr>
            <w:tcW w:w="3095" w:type="dxa"/>
            <w:shd w:val="clear" w:color="auto" w:fill="auto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C5739" w:rsidRPr="00F975C6" w:rsidRDefault="00BC5739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rPr>
                <w:rFonts w:ascii="Times New Roman" w:eastAsia="SimSun" w:hAnsi="Times New Roman"/>
                <w:sz w:val="20"/>
                <w:szCs w:val="20"/>
                <w:lang w:val="fr-CA" w:eastAsia="zh-CN"/>
              </w:rPr>
            </w:pPr>
          </w:p>
        </w:tc>
        <w:tc>
          <w:tcPr>
            <w:tcW w:w="1007" w:type="dxa"/>
            <w:shd w:val="clear" w:color="auto" w:fill="auto"/>
          </w:tcPr>
          <w:p w:rsidR="00BC5739" w:rsidRPr="00F975C6" w:rsidRDefault="00835C13" w:rsidP="00973F40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right"/>
              <w:rPr>
                <w:rFonts w:ascii="Times New Roman" w:eastAsia="SimSun" w:hAnsi="Times New Roman"/>
                <w:b/>
                <w:sz w:val="20"/>
                <w:szCs w:val="20"/>
                <w:lang w:val="fr-CA" w:eastAsia="zh-CN"/>
              </w:rPr>
            </w:pPr>
            <w:r w:rsidRPr="00F975C6">
              <w:rPr>
                <w:rFonts w:ascii="Times New Roman" w:eastAsia="SimSun" w:hAnsi="Times New Roman"/>
                <w:b/>
                <w:sz w:val="20"/>
                <w:szCs w:val="20"/>
                <w:lang w:val="fr-CA" w:eastAsia="zh-CN"/>
              </w:rPr>
              <w:t>798 750</w:t>
            </w:r>
          </w:p>
        </w:tc>
      </w:tr>
    </w:tbl>
    <w:p w:rsidR="002E7059" w:rsidRPr="00F975C6" w:rsidRDefault="005B136B" w:rsidP="001A1175">
      <w:pPr>
        <w:pStyle w:val="ZZAnxheader"/>
        <w:rPr>
          <w:sz w:val="24"/>
          <w:szCs w:val="24"/>
        </w:rPr>
      </w:pPr>
      <w:r w:rsidRPr="00F975C6">
        <w:br w:type="page"/>
      </w:r>
      <w:r w:rsidR="00F86C26">
        <w:rPr>
          <w:sz w:val="24"/>
          <w:szCs w:val="24"/>
        </w:rPr>
        <w:lastRenderedPageBreak/>
        <w:t>Bibliographie</w:t>
      </w:r>
    </w:p>
    <w:p w:rsidR="0012321A" w:rsidRDefault="00686E4A" w:rsidP="00596C4C">
      <w:pPr>
        <w:suppressAutoHyphens/>
        <w:spacing w:before="360" w:after="120" w:line="240" w:lineRule="auto"/>
        <w:ind w:left="1247"/>
        <w:rPr>
          <w:rFonts w:ascii="Times New Roman" w:hAnsi="Times New Roman"/>
          <w:spacing w:val="-3"/>
          <w:sz w:val="20"/>
          <w:szCs w:val="20"/>
          <w:lang w:val="en-GB"/>
        </w:rPr>
      </w:pP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Steven L. 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Coles</w:t>
      </w:r>
      <w:r w:rsidR="008A01FA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="00844E7C" w:rsidRPr="00844E7C">
        <w:rPr>
          <w:rFonts w:ascii="Times New Roman" w:hAnsi="Times New Roman"/>
          <w:i/>
          <w:spacing w:val="-3"/>
          <w:sz w:val="20"/>
          <w:szCs w:val="20"/>
          <w:lang w:val="en-GB"/>
        </w:rPr>
        <w:t>et al</w:t>
      </w:r>
      <w:r w:rsidR="0004422D">
        <w:rPr>
          <w:rFonts w:ascii="Times New Roman" w:hAnsi="Times New Roman"/>
          <w:i/>
          <w:spacing w:val="-3"/>
          <w:sz w:val="20"/>
          <w:szCs w:val="20"/>
          <w:lang w:val="en-GB"/>
        </w:rPr>
        <w:t>.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, </w:t>
      </w:r>
      <w:r w:rsidR="00BC7B27" w:rsidRPr="001A1175">
        <w:rPr>
          <w:rFonts w:ascii="Times New Roman" w:hAnsi="Times New Roman"/>
          <w:spacing w:val="-3"/>
          <w:sz w:val="20"/>
          <w:szCs w:val="20"/>
          <w:lang w:val="en-GB"/>
        </w:rPr>
        <w:t>“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Historical and recent introductions of non</w:t>
      </w:r>
      <w:r w:rsidR="00FA4996" w:rsidRPr="001A1175">
        <w:rPr>
          <w:rFonts w:ascii="Times New Roman" w:hAnsi="Times New Roman"/>
          <w:spacing w:val="-3"/>
          <w:sz w:val="20"/>
          <w:szCs w:val="20"/>
          <w:lang w:val="en-GB"/>
        </w:rPr>
        <w:noBreakHyphen/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indigenous marine species into Pearl Harbor, Oahu, </w:t>
      </w:r>
      <w:smartTag w:uri="urn:schemas-microsoft-com:office:smarttags" w:element="place">
        <w:r w:rsidR="000F47EE" w:rsidRPr="001A1175">
          <w:rPr>
            <w:rFonts w:ascii="Times New Roman" w:hAnsi="Times New Roman"/>
            <w:spacing w:val="-3"/>
            <w:sz w:val="20"/>
            <w:szCs w:val="20"/>
            <w:lang w:val="en-GB"/>
          </w:rPr>
          <w:t>Hawaiian Islands</w:t>
        </w:r>
      </w:smartTag>
      <w:r w:rsidR="00BC7B27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”, </w:t>
      </w:r>
      <w:r w:rsidR="00BC7B27" w:rsidRPr="001A1175">
        <w:rPr>
          <w:rFonts w:ascii="Times New Roman" w:hAnsi="Times New Roman"/>
          <w:i/>
          <w:spacing w:val="-3"/>
          <w:sz w:val="20"/>
          <w:szCs w:val="20"/>
          <w:lang w:val="en-GB"/>
        </w:rPr>
        <w:t>Marine Biology,</w:t>
      </w:r>
      <w:r w:rsidR="00BC7B27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vol. 135, </w:t>
      </w:r>
      <w:r w:rsidR="0056035C" w:rsidRPr="001A1175">
        <w:rPr>
          <w:rFonts w:ascii="Times New Roman" w:hAnsi="Times New Roman"/>
          <w:spacing w:val="-3"/>
          <w:sz w:val="20"/>
          <w:szCs w:val="20"/>
          <w:lang w:val="en-GB"/>
        </w:rPr>
        <w:t>No.</w:t>
      </w:r>
      <w:r w:rsidR="00BC7B27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1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="008A01FA" w:rsidRPr="001A1175">
        <w:rPr>
          <w:rFonts w:ascii="Times New Roman" w:hAnsi="Times New Roman"/>
          <w:spacing w:val="-3"/>
          <w:sz w:val="20"/>
          <w:szCs w:val="20"/>
          <w:lang w:val="en-GB"/>
        </w:rPr>
        <w:t>(1999)</w:t>
      </w:r>
      <w:r w:rsidR="0056035C" w:rsidRPr="001A1175">
        <w:rPr>
          <w:rFonts w:ascii="Times New Roman" w:hAnsi="Times New Roman"/>
          <w:spacing w:val="-3"/>
          <w:sz w:val="20"/>
          <w:szCs w:val="20"/>
          <w:lang w:val="en-GB"/>
        </w:rPr>
        <w:t>, pp.147-158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.</w:t>
      </w:r>
    </w:p>
    <w:p w:rsidR="00C6640F" w:rsidRPr="001A1175" w:rsidRDefault="00C6640F" w:rsidP="00C6640F">
      <w:pPr>
        <w:suppressAutoHyphens/>
        <w:spacing w:after="120" w:line="240" w:lineRule="auto"/>
        <w:ind w:left="1247"/>
        <w:rPr>
          <w:rFonts w:ascii="Times New Roman" w:hAnsi="Times New Roman"/>
          <w:spacing w:val="-3"/>
          <w:sz w:val="20"/>
          <w:szCs w:val="20"/>
          <w:lang w:val="en-GB"/>
        </w:rPr>
      </w:pP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Coordinating Group on Alien Pest Species, </w:t>
      </w:r>
      <w:r w:rsidRPr="001A1175">
        <w:rPr>
          <w:rFonts w:ascii="Times New Roman" w:hAnsi="Times New Roman"/>
          <w:i/>
          <w:spacing w:val="-3"/>
          <w:sz w:val="20"/>
          <w:szCs w:val="20"/>
          <w:lang w:val="en-GB"/>
        </w:rPr>
        <w:t>Stop the Silent Invasion</w:t>
      </w: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A1175">
            <w:rPr>
              <w:rFonts w:ascii="Times New Roman" w:hAnsi="Times New Roman"/>
              <w:spacing w:val="-3"/>
              <w:sz w:val="20"/>
              <w:szCs w:val="20"/>
              <w:lang w:val="en-GB"/>
            </w:rPr>
            <w:t>Honolulu</w:t>
          </w:r>
        </w:smartTag>
      </w:smartTag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>, 1996).</w:t>
      </w:r>
    </w:p>
    <w:p w:rsidR="00C6640F" w:rsidRPr="001A1175" w:rsidRDefault="00C6640F" w:rsidP="00C6640F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en-GB"/>
        </w:rPr>
      </w:pPr>
      <w:r w:rsidRPr="001A1175">
        <w:rPr>
          <w:rFonts w:ascii="Times New Roman" w:hAnsi="Times New Roman"/>
          <w:sz w:val="20"/>
          <w:szCs w:val="20"/>
          <w:lang w:val="en-GB"/>
        </w:rPr>
        <w:t xml:space="preserve">Francis Howarth, “Impacts of alien land arthropods and molluscs on native plants and animals in </w:t>
      </w:r>
      <w:smartTag w:uri="urn:schemas-microsoft-com:office:smarttags" w:element="State">
        <w:smartTag w:uri="urn:schemas-microsoft-com:office:smarttags" w:element="place">
          <w:r w:rsidRPr="001A1175">
            <w:rPr>
              <w:rFonts w:ascii="Times New Roman" w:hAnsi="Times New Roman"/>
              <w:sz w:val="20"/>
              <w:szCs w:val="20"/>
              <w:lang w:val="en-GB"/>
            </w:rPr>
            <w:t>Hawaii</w:t>
          </w:r>
        </w:smartTag>
      </w:smartTag>
      <w:r w:rsidRPr="001A1175">
        <w:rPr>
          <w:rFonts w:ascii="Times New Roman" w:hAnsi="Times New Roman"/>
          <w:sz w:val="20"/>
          <w:szCs w:val="20"/>
          <w:lang w:val="en-GB"/>
        </w:rPr>
        <w:t xml:space="preserve">”, in </w:t>
      </w:r>
      <w:r w:rsidRPr="001A1175">
        <w:rPr>
          <w:rFonts w:ascii="Times New Roman" w:hAnsi="Times New Roman"/>
          <w:i/>
          <w:iCs/>
          <w:sz w:val="20"/>
          <w:szCs w:val="20"/>
          <w:lang w:val="en-GB"/>
        </w:rPr>
        <w:t xml:space="preserve">Hawaii's Terrestrial Ecosystems: Preservation and Management, </w:t>
      </w:r>
      <w:r w:rsidR="00844E7C">
        <w:rPr>
          <w:rFonts w:ascii="Times New Roman" w:hAnsi="Times New Roman"/>
          <w:iCs/>
          <w:sz w:val="20"/>
          <w:szCs w:val="20"/>
          <w:lang w:val="en-GB"/>
        </w:rPr>
        <w:t xml:space="preserve">sous la direction de </w:t>
      </w:r>
      <w:r w:rsidRPr="001A1175">
        <w:rPr>
          <w:rFonts w:ascii="Times New Roman" w:hAnsi="Times New Roman"/>
          <w:sz w:val="20"/>
          <w:szCs w:val="20"/>
          <w:lang w:val="en-GB"/>
        </w:rPr>
        <w:t>C. P. Stone and J.</w:t>
      </w:r>
      <w:r w:rsidR="00844E7C">
        <w:rPr>
          <w:rFonts w:ascii="Times New Roman" w:hAnsi="Times New Roman"/>
          <w:sz w:val="20"/>
          <w:szCs w:val="20"/>
          <w:lang w:val="en-GB"/>
        </w:rPr>
        <w:t> </w:t>
      </w:r>
      <w:r w:rsidRPr="001A1175">
        <w:rPr>
          <w:rFonts w:ascii="Times New Roman" w:hAnsi="Times New Roman"/>
          <w:sz w:val="20"/>
          <w:szCs w:val="20"/>
          <w:lang w:val="en-GB"/>
        </w:rPr>
        <w:t>Michael Scott (Honolulu, University of Hawaii Press, 1985).</w:t>
      </w:r>
    </w:p>
    <w:p w:rsidR="00C6640F" w:rsidRPr="007174D1" w:rsidRDefault="00C6640F" w:rsidP="00C6640F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fr-CA"/>
        </w:rPr>
      </w:pPr>
      <w:r w:rsidRPr="007174D1">
        <w:rPr>
          <w:rFonts w:ascii="Times New Roman" w:hAnsi="Times New Roman"/>
          <w:sz w:val="20"/>
          <w:szCs w:val="20"/>
          <w:lang w:val="fr-CA"/>
        </w:rPr>
        <w:t xml:space="preserve">Marianne Kettunen </w:t>
      </w:r>
      <w:r w:rsidR="00844E7C" w:rsidRPr="007174D1">
        <w:rPr>
          <w:rFonts w:ascii="Times New Roman" w:hAnsi="Times New Roman"/>
          <w:i/>
          <w:sz w:val="20"/>
          <w:szCs w:val="20"/>
          <w:lang w:val="fr-CA"/>
        </w:rPr>
        <w:t>et al</w:t>
      </w:r>
      <w:r w:rsidR="007174D1" w:rsidRPr="007174D1">
        <w:rPr>
          <w:rFonts w:ascii="Times New Roman" w:hAnsi="Times New Roman"/>
          <w:i/>
          <w:sz w:val="20"/>
          <w:szCs w:val="20"/>
          <w:lang w:val="fr-CA"/>
        </w:rPr>
        <w:t>.</w:t>
      </w:r>
      <w:r w:rsidRPr="007174D1">
        <w:rPr>
          <w:rFonts w:ascii="Times New Roman" w:hAnsi="Times New Roman"/>
          <w:sz w:val="20"/>
          <w:szCs w:val="20"/>
          <w:lang w:val="fr-CA"/>
        </w:rPr>
        <w:t xml:space="preserve">, </w:t>
      </w:r>
      <w:r w:rsidRPr="007174D1">
        <w:rPr>
          <w:rFonts w:ascii="Times New Roman" w:hAnsi="Times New Roman"/>
          <w:i/>
          <w:sz w:val="20"/>
          <w:szCs w:val="20"/>
          <w:lang w:val="fr-CA"/>
        </w:rPr>
        <w:t xml:space="preserve">Technical support to EU strategy on invasive alien species (IAS): Assessment of the impacts of IAS in Europe and the EU </w:t>
      </w:r>
      <w:r w:rsidRPr="007174D1">
        <w:rPr>
          <w:rFonts w:ascii="Times New Roman" w:hAnsi="Times New Roman"/>
          <w:sz w:val="20"/>
          <w:szCs w:val="20"/>
          <w:lang w:val="fr-CA"/>
        </w:rPr>
        <w:t>(Bru</w:t>
      </w:r>
      <w:r w:rsidR="00844E7C" w:rsidRPr="007174D1">
        <w:rPr>
          <w:rFonts w:ascii="Times New Roman" w:hAnsi="Times New Roman"/>
          <w:sz w:val="20"/>
          <w:szCs w:val="20"/>
          <w:lang w:val="fr-CA"/>
        </w:rPr>
        <w:t>xelles</w:t>
      </w:r>
      <w:r w:rsidRPr="007174D1">
        <w:rPr>
          <w:rFonts w:ascii="Times New Roman" w:hAnsi="Times New Roman"/>
          <w:sz w:val="20"/>
          <w:szCs w:val="20"/>
          <w:lang w:val="fr-CA"/>
        </w:rPr>
        <w:t>, Institut</w:t>
      </w:r>
      <w:r w:rsidR="007174D1" w:rsidRPr="007174D1">
        <w:rPr>
          <w:rFonts w:ascii="Times New Roman" w:hAnsi="Times New Roman"/>
          <w:sz w:val="20"/>
          <w:szCs w:val="20"/>
          <w:lang w:val="fr-CA"/>
        </w:rPr>
        <w:t xml:space="preserve"> pour la politique environnementale européenne</w:t>
      </w:r>
      <w:r w:rsidRPr="007174D1">
        <w:rPr>
          <w:rFonts w:ascii="Times New Roman" w:hAnsi="Times New Roman"/>
          <w:sz w:val="20"/>
          <w:szCs w:val="20"/>
          <w:lang w:val="fr-CA"/>
        </w:rPr>
        <w:t>, 2009).</w:t>
      </w:r>
    </w:p>
    <w:p w:rsidR="00C6640F" w:rsidRPr="001A1175" w:rsidRDefault="00C6640F" w:rsidP="00C6640F">
      <w:pPr>
        <w:autoSpaceDE w:val="0"/>
        <w:autoSpaceDN w:val="0"/>
        <w:adjustRightInd w:val="0"/>
        <w:spacing w:after="120" w:line="240" w:lineRule="auto"/>
        <w:ind w:left="1247"/>
        <w:rPr>
          <w:rFonts w:ascii="Times New Roman" w:hAnsi="Times New Roman"/>
          <w:i/>
          <w:iCs/>
          <w:sz w:val="20"/>
          <w:szCs w:val="20"/>
          <w:lang w:val="en-GB" w:eastAsia="fr-FR"/>
        </w:rPr>
      </w:pPr>
      <w:r w:rsidRPr="001A1175">
        <w:rPr>
          <w:rFonts w:ascii="Times New Roman" w:hAnsi="Times New Roman"/>
          <w:sz w:val="20"/>
          <w:szCs w:val="20"/>
          <w:lang w:val="en-GB" w:eastAsia="fr-FR"/>
        </w:rPr>
        <w:t xml:space="preserve">J. Le Breton, J. Chazeau </w:t>
      </w:r>
      <w:r w:rsidR="00844E7C">
        <w:rPr>
          <w:rFonts w:ascii="Times New Roman" w:hAnsi="Times New Roman"/>
          <w:sz w:val="20"/>
          <w:szCs w:val="20"/>
          <w:lang w:val="en-GB" w:eastAsia="fr-FR"/>
        </w:rPr>
        <w:t>et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 xml:space="preserve"> H. Jourdan, “Immediate impacts of invasion by </w:t>
      </w:r>
      <w:r w:rsidRPr="001A1175">
        <w:rPr>
          <w:rFonts w:ascii="Times New Roman" w:hAnsi="Times New Roman"/>
          <w:i/>
          <w:iCs/>
          <w:sz w:val="20"/>
          <w:szCs w:val="20"/>
          <w:lang w:val="en-GB" w:eastAsia="fr-FR"/>
        </w:rPr>
        <w:t xml:space="preserve">Wasmannia auropunctata 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(Hymenoptera: Formicidae) on native litter ant fauna in a New Caledonian</w:t>
      </w:r>
      <w:r w:rsidRPr="001A1175">
        <w:rPr>
          <w:rFonts w:ascii="Times New Roman" w:hAnsi="Times New Roman"/>
          <w:i/>
          <w:iCs/>
          <w:sz w:val="20"/>
          <w:szCs w:val="20"/>
          <w:lang w:val="en-GB" w:eastAsia="fr-FR"/>
        </w:rPr>
        <w:t xml:space="preserve"> 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 xml:space="preserve">rainforest”, </w:t>
      </w:r>
      <w:r w:rsidRPr="001A1175">
        <w:rPr>
          <w:rFonts w:ascii="Times New Roman" w:hAnsi="Times New Roman"/>
          <w:i/>
          <w:sz w:val="20"/>
          <w:szCs w:val="20"/>
          <w:lang w:val="en-GB" w:eastAsia="fr-FR"/>
        </w:rPr>
        <w:t>Austral Ecology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, vol. 28, No. 2 (2003), pp. 204–209.</w:t>
      </w:r>
    </w:p>
    <w:p w:rsidR="000F47EE" w:rsidRPr="001A1175" w:rsidRDefault="000F072C" w:rsidP="00B06C7E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en-GB"/>
        </w:rPr>
      </w:pPr>
      <w:r w:rsidRPr="001A1175">
        <w:rPr>
          <w:rFonts w:ascii="Times New Roman" w:hAnsi="Times New Roman"/>
          <w:sz w:val="20"/>
          <w:szCs w:val="20"/>
          <w:lang w:val="en-GB"/>
        </w:rPr>
        <w:t xml:space="preserve">Sarah </w:t>
      </w:r>
      <w:r w:rsidR="00B06C7E" w:rsidRPr="001A1175">
        <w:rPr>
          <w:rFonts w:ascii="Times New Roman" w:hAnsi="Times New Roman"/>
          <w:sz w:val="20"/>
          <w:szCs w:val="20"/>
          <w:lang w:val="en-GB"/>
        </w:rPr>
        <w:t xml:space="preserve">Lowe </w:t>
      </w:r>
      <w:r w:rsidR="00844E7C" w:rsidRPr="00844E7C">
        <w:rPr>
          <w:rFonts w:ascii="Times New Roman" w:hAnsi="Times New Roman"/>
          <w:i/>
          <w:sz w:val="20"/>
          <w:szCs w:val="20"/>
          <w:lang w:val="en-GB"/>
        </w:rPr>
        <w:t>et al</w:t>
      </w:r>
      <w:r w:rsidR="007174D1">
        <w:rPr>
          <w:rFonts w:ascii="Times New Roman" w:hAnsi="Times New Roman"/>
          <w:i/>
          <w:sz w:val="20"/>
          <w:szCs w:val="20"/>
          <w:lang w:val="en-GB"/>
        </w:rPr>
        <w:t>.</w:t>
      </w:r>
      <w:r w:rsidR="00B06C7E" w:rsidRPr="001A1175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B06C7E" w:rsidRPr="001A1175">
        <w:rPr>
          <w:rFonts w:ascii="Times New Roman" w:hAnsi="Times New Roman"/>
          <w:i/>
          <w:sz w:val="20"/>
          <w:szCs w:val="20"/>
          <w:lang w:val="en-GB"/>
        </w:rPr>
        <w:t>100 of the World’s Worst Invasive Alien Species</w:t>
      </w:r>
      <w:r w:rsidR="009C40AA" w:rsidRPr="001A1175">
        <w:rPr>
          <w:rFonts w:ascii="Times New Roman" w:hAnsi="Times New Roman"/>
          <w:i/>
          <w:sz w:val="20"/>
          <w:szCs w:val="20"/>
          <w:lang w:val="en-GB"/>
        </w:rPr>
        <w:t>:</w:t>
      </w:r>
      <w:r w:rsidR="00B06C7E" w:rsidRPr="001A1175">
        <w:rPr>
          <w:rFonts w:ascii="Times New Roman" w:hAnsi="Times New Roman"/>
          <w:i/>
          <w:sz w:val="20"/>
          <w:szCs w:val="20"/>
          <w:lang w:val="en-GB"/>
        </w:rPr>
        <w:t xml:space="preserve"> A </w:t>
      </w:r>
      <w:r w:rsidR="0056035C" w:rsidRPr="001A1175">
        <w:rPr>
          <w:rFonts w:ascii="Times New Roman" w:hAnsi="Times New Roman"/>
          <w:i/>
          <w:sz w:val="20"/>
          <w:szCs w:val="20"/>
          <w:lang w:val="en-GB"/>
        </w:rPr>
        <w:t>S</w:t>
      </w:r>
      <w:r w:rsidR="00B06C7E" w:rsidRPr="001A1175">
        <w:rPr>
          <w:rFonts w:ascii="Times New Roman" w:hAnsi="Times New Roman"/>
          <w:i/>
          <w:sz w:val="20"/>
          <w:szCs w:val="20"/>
          <w:lang w:val="en-GB"/>
        </w:rPr>
        <w:t>election from the Global Invasive Species Database</w:t>
      </w:r>
      <w:r w:rsidR="00B06C7E" w:rsidRPr="001A1175">
        <w:rPr>
          <w:rFonts w:ascii="Times New Roman" w:hAnsi="Times New Roman"/>
          <w:sz w:val="20"/>
          <w:szCs w:val="20"/>
          <w:lang w:val="en-GB"/>
        </w:rPr>
        <w:t xml:space="preserve"> (</w:t>
      </w:r>
      <w:r w:rsidR="00844E7C">
        <w:rPr>
          <w:rFonts w:ascii="Times New Roman" w:hAnsi="Times New Roman"/>
          <w:sz w:val="20"/>
          <w:szCs w:val="20"/>
          <w:lang w:val="en-GB"/>
        </w:rPr>
        <w:t>Groupe de spécialistes des espèces envahissantes de l’U</w:t>
      </w:r>
      <w:r w:rsidR="00844E7C">
        <w:rPr>
          <w:rStyle w:val="style1"/>
          <w:rFonts w:ascii="Times New Roman" w:hAnsi="Times New Roman"/>
          <w:sz w:val="20"/>
          <w:szCs w:val="20"/>
          <w:lang w:val="en-GB"/>
        </w:rPr>
        <w:t>I</w:t>
      </w:r>
      <w:r w:rsidR="000F47EE" w:rsidRPr="001A1175">
        <w:rPr>
          <w:rStyle w:val="style1"/>
          <w:rFonts w:ascii="Times New Roman" w:hAnsi="Times New Roman"/>
          <w:sz w:val="20"/>
          <w:szCs w:val="20"/>
          <w:lang w:val="en-GB"/>
        </w:rPr>
        <w:t>CN</w:t>
      </w:r>
      <w:r w:rsidR="00844E7C">
        <w:rPr>
          <w:rStyle w:val="style1"/>
          <w:rFonts w:ascii="Times New Roman" w:hAnsi="Times New Roman"/>
          <w:sz w:val="20"/>
          <w:szCs w:val="20"/>
          <w:lang w:val="en-GB"/>
        </w:rPr>
        <w:t>, 2000)</w:t>
      </w:r>
      <w:r w:rsidR="000F47EE" w:rsidRPr="001A1175">
        <w:rPr>
          <w:rStyle w:val="style1"/>
          <w:rFonts w:ascii="Times New Roman" w:hAnsi="Times New Roman"/>
          <w:sz w:val="20"/>
          <w:szCs w:val="20"/>
          <w:lang w:val="en-GB"/>
        </w:rPr>
        <w:t xml:space="preserve"> (</w:t>
      </w:r>
      <w:r w:rsidR="000365E2">
        <w:rPr>
          <w:rStyle w:val="style1"/>
          <w:rFonts w:ascii="Times New Roman" w:hAnsi="Times New Roman"/>
          <w:sz w:val="20"/>
          <w:szCs w:val="20"/>
          <w:lang w:val="en-GB"/>
        </w:rPr>
        <w:t>accessible à</w:t>
      </w:r>
      <w:r w:rsidR="007174D1">
        <w:rPr>
          <w:rStyle w:val="style1"/>
          <w:rFonts w:ascii="Times New Roman" w:hAnsi="Times New Roman"/>
          <w:sz w:val="20"/>
          <w:szCs w:val="20"/>
          <w:lang w:val="en-GB"/>
        </w:rPr>
        <w:t xml:space="preserve"> l’adresse</w:t>
      </w:r>
      <w:r w:rsidR="000365E2">
        <w:rPr>
          <w:rStyle w:val="style1"/>
          <w:rFonts w:ascii="Times New Roman" w:hAnsi="Times New Roman"/>
          <w:sz w:val="20"/>
          <w:szCs w:val="20"/>
          <w:lang w:val="en-GB"/>
        </w:rPr>
        <w:t xml:space="preserve"> : </w:t>
      </w:r>
      <w:r w:rsidR="000F47EE" w:rsidRPr="001A1175">
        <w:rPr>
          <w:rStyle w:val="style1"/>
          <w:rFonts w:ascii="Times New Roman" w:hAnsi="Times New Roman"/>
          <w:sz w:val="20"/>
          <w:szCs w:val="20"/>
          <w:lang w:val="en-GB"/>
        </w:rPr>
        <w:t>http://www.issg.org/database</w:t>
      </w:r>
      <w:r w:rsidR="00B06C7E" w:rsidRPr="001A1175">
        <w:rPr>
          <w:rStyle w:val="style1"/>
          <w:rFonts w:ascii="Times New Roman" w:hAnsi="Times New Roman"/>
          <w:sz w:val="20"/>
          <w:szCs w:val="20"/>
          <w:lang w:val="en-GB"/>
        </w:rPr>
        <w:t>/species/reference_files/100English.pdf</w:t>
      </w:r>
      <w:r w:rsidR="000F47EE" w:rsidRPr="001A1175">
        <w:rPr>
          <w:rStyle w:val="style1"/>
          <w:rFonts w:ascii="Times New Roman" w:hAnsi="Times New Roman"/>
          <w:sz w:val="20"/>
          <w:szCs w:val="20"/>
          <w:lang w:val="en-GB"/>
        </w:rPr>
        <w:t>)</w:t>
      </w:r>
      <w:r w:rsidR="00A365D6" w:rsidRPr="001A1175">
        <w:rPr>
          <w:rStyle w:val="style1"/>
          <w:rFonts w:ascii="Times New Roman" w:hAnsi="Times New Roman"/>
          <w:sz w:val="20"/>
          <w:szCs w:val="20"/>
          <w:lang w:val="en-GB"/>
        </w:rPr>
        <w:t>.</w:t>
      </w:r>
    </w:p>
    <w:p w:rsidR="000F47EE" w:rsidRPr="001A1175" w:rsidRDefault="001D0453" w:rsidP="005B136B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en-GB"/>
        </w:rPr>
      </w:pPr>
      <w:r w:rsidRPr="007174D1">
        <w:rPr>
          <w:rFonts w:ascii="Times New Roman" w:hAnsi="Times New Roman"/>
          <w:sz w:val="20"/>
          <w:szCs w:val="20"/>
          <w:lang w:val="fr-CA"/>
        </w:rPr>
        <w:t xml:space="preserve">Jean Bruno </w:t>
      </w:r>
      <w:r w:rsidR="000F47EE" w:rsidRPr="007174D1">
        <w:rPr>
          <w:rFonts w:ascii="Times New Roman" w:hAnsi="Times New Roman"/>
          <w:sz w:val="20"/>
          <w:szCs w:val="20"/>
          <w:lang w:val="fr-CA"/>
        </w:rPr>
        <w:t>Mikissa</w:t>
      </w:r>
      <w:r w:rsidRPr="007174D1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0365E2" w:rsidRPr="007174D1">
        <w:rPr>
          <w:rFonts w:ascii="Times New Roman" w:hAnsi="Times New Roman"/>
          <w:i/>
          <w:sz w:val="20"/>
          <w:szCs w:val="20"/>
          <w:lang w:val="fr-CA"/>
        </w:rPr>
        <w:t>et al</w:t>
      </w:r>
      <w:r w:rsidR="007174D1" w:rsidRPr="007174D1">
        <w:rPr>
          <w:rFonts w:ascii="Times New Roman" w:hAnsi="Times New Roman"/>
          <w:i/>
          <w:sz w:val="20"/>
          <w:szCs w:val="20"/>
          <w:lang w:val="fr-CA"/>
        </w:rPr>
        <w:t>.</w:t>
      </w:r>
      <w:r w:rsidR="007174D1">
        <w:rPr>
          <w:rFonts w:ascii="Times New Roman" w:hAnsi="Times New Roman"/>
          <w:i/>
          <w:sz w:val="20"/>
          <w:szCs w:val="20"/>
          <w:lang w:val="fr-CA"/>
        </w:rPr>
        <w:t>,</w:t>
      </w:r>
      <w:r w:rsidR="000F47EE" w:rsidRPr="007174D1">
        <w:rPr>
          <w:rFonts w:ascii="Times New Roman" w:hAnsi="Times New Roman"/>
          <w:sz w:val="20"/>
          <w:szCs w:val="20"/>
          <w:lang w:val="fr-CA"/>
        </w:rPr>
        <w:t xml:space="preserve"> </w:t>
      </w:r>
      <w:r w:rsidRPr="001A1175">
        <w:rPr>
          <w:rFonts w:ascii="Times New Roman" w:hAnsi="Times New Roman"/>
          <w:sz w:val="20"/>
          <w:szCs w:val="20"/>
          <w:lang w:val="en-GB"/>
        </w:rPr>
        <w:t>“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 xml:space="preserve">Preliminary Assessment on the Interactions of </w:t>
      </w:r>
      <w:r w:rsidR="000F47EE" w:rsidRPr="001A1175">
        <w:rPr>
          <w:rFonts w:ascii="Times New Roman" w:hAnsi="Times New Roman"/>
          <w:i/>
          <w:iCs/>
          <w:sz w:val="20"/>
          <w:szCs w:val="20"/>
          <w:lang w:val="en-GB"/>
        </w:rPr>
        <w:t xml:space="preserve">Wasmannia auropunctata 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>in Native Ant Communities (Hymenoptera:</w:t>
      </w:r>
      <w:r w:rsidR="000F47EE" w:rsidRPr="001A1175">
        <w:rPr>
          <w:rFonts w:ascii="Times New Roman" w:hAnsi="Times New Roman"/>
          <w:i/>
          <w:iCs/>
          <w:sz w:val="20"/>
          <w:szCs w:val="20"/>
          <w:lang w:val="en-GB"/>
        </w:rPr>
        <w:t xml:space="preserve"> 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 xml:space="preserve">Formicidae) of a Mosaic Gallery Forest/Savannah in </w:t>
      </w:r>
      <w:smartTag w:uri="urn:schemas-microsoft-com:office:smarttags" w:element="place">
        <w:smartTag w:uri="urn:schemas-microsoft-com:office:smarttags" w:element="City">
          <w:r w:rsidR="000F47EE" w:rsidRPr="001A1175">
            <w:rPr>
              <w:rFonts w:ascii="Times New Roman" w:hAnsi="Times New Roman"/>
              <w:sz w:val="20"/>
              <w:szCs w:val="20"/>
              <w:lang w:val="en-GB"/>
            </w:rPr>
            <w:t>Lope</w:t>
          </w:r>
          <w:r w:rsidR="000F47EE" w:rsidRPr="001A1175">
            <w:rPr>
              <w:rFonts w:ascii="Times New Roman" w:hAnsi="Times New Roman"/>
              <w:i/>
              <w:iCs/>
              <w:sz w:val="20"/>
              <w:szCs w:val="20"/>
              <w:lang w:val="en-GB"/>
            </w:rPr>
            <w:t xml:space="preserve"> </w:t>
          </w:r>
          <w:r w:rsidR="000F47EE" w:rsidRPr="001A1175">
            <w:rPr>
              <w:rFonts w:ascii="Times New Roman" w:hAnsi="Times New Roman"/>
              <w:sz w:val="20"/>
              <w:szCs w:val="20"/>
              <w:lang w:val="en-GB"/>
            </w:rPr>
            <w:t>National Park</w:t>
          </w:r>
        </w:smartTag>
        <w:r w:rsidR="000F47EE" w:rsidRPr="001A1175">
          <w:rPr>
            <w:rFonts w:ascii="Times New Roman" w:hAnsi="Times New Roman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="000F47EE" w:rsidRPr="001A1175">
            <w:rPr>
              <w:rFonts w:ascii="Times New Roman" w:hAnsi="Times New Roman"/>
              <w:sz w:val="20"/>
              <w:szCs w:val="20"/>
              <w:lang w:val="en-GB"/>
            </w:rPr>
            <w:t>Gabon</w:t>
          </w:r>
        </w:smartTag>
      </w:smartTag>
      <w:r w:rsidRPr="001A1175">
        <w:rPr>
          <w:rFonts w:ascii="Times New Roman" w:hAnsi="Times New Roman"/>
          <w:sz w:val="20"/>
          <w:szCs w:val="20"/>
          <w:lang w:val="en-GB"/>
        </w:rPr>
        <w:t>”,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F47EE" w:rsidRPr="001A1175">
        <w:rPr>
          <w:rFonts w:ascii="Times New Roman" w:hAnsi="Times New Roman"/>
          <w:i/>
          <w:sz w:val="20"/>
          <w:szCs w:val="20"/>
          <w:lang w:val="en-GB"/>
        </w:rPr>
        <w:t>Sociobiology</w:t>
      </w:r>
      <w:r w:rsidRPr="001A1175">
        <w:rPr>
          <w:rFonts w:ascii="Times New Roman" w:hAnsi="Times New Roman"/>
          <w:sz w:val="20"/>
          <w:szCs w:val="20"/>
          <w:lang w:val="en-GB"/>
        </w:rPr>
        <w:t xml:space="preserve">, vol. </w:t>
      </w:r>
      <w:r w:rsidR="000F47EE" w:rsidRPr="001A1175">
        <w:rPr>
          <w:rFonts w:ascii="Times New Roman" w:hAnsi="Times New Roman"/>
          <w:bCs/>
          <w:sz w:val="20"/>
          <w:szCs w:val="20"/>
          <w:lang w:val="en-GB"/>
        </w:rPr>
        <w:t>51</w:t>
      </w:r>
      <w:r w:rsidRPr="001A1175">
        <w:rPr>
          <w:rFonts w:ascii="Times New Roman" w:hAnsi="Times New Roman"/>
          <w:bCs/>
          <w:sz w:val="20"/>
          <w:szCs w:val="20"/>
          <w:lang w:val="en-GB"/>
        </w:rPr>
        <w:t xml:space="preserve">, </w:t>
      </w:r>
      <w:r w:rsidR="00307526" w:rsidRPr="001A1175">
        <w:rPr>
          <w:rFonts w:ascii="Times New Roman" w:hAnsi="Times New Roman"/>
          <w:bCs/>
          <w:sz w:val="20"/>
          <w:szCs w:val="20"/>
          <w:lang w:val="en-GB"/>
        </w:rPr>
        <w:t>N</w:t>
      </w:r>
      <w:r w:rsidRPr="001A1175">
        <w:rPr>
          <w:rFonts w:ascii="Times New Roman" w:hAnsi="Times New Roman"/>
          <w:bCs/>
          <w:sz w:val="20"/>
          <w:szCs w:val="20"/>
          <w:lang w:val="en-GB"/>
        </w:rPr>
        <w:t>o.</w:t>
      </w:r>
      <w:r w:rsidR="00307526" w:rsidRPr="001A1175">
        <w:rPr>
          <w:rFonts w:ascii="Times New Roman" w:hAnsi="Times New Roman"/>
          <w:bCs/>
          <w:sz w:val="20"/>
          <w:szCs w:val="20"/>
          <w:lang w:val="en-GB"/>
        </w:rPr>
        <w:t xml:space="preserve"> </w:t>
      </w:r>
      <w:r w:rsidRPr="001A1175">
        <w:rPr>
          <w:rFonts w:ascii="Times New Roman" w:hAnsi="Times New Roman"/>
          <w:bCs/>
          <w:sz w:val="20"/>
          <w:szCs w:val="20"/>
          <w:lang w:val="en-GB"/>
        </w:rPr>
        <w:t>1 (2008), pp.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 xml:space="preserve"> 207</w:t>
      </w:r>
      <w:r w:rsidRPr="001A1175">
        <w:rPr>
          <w:rFonts w:ascii="Times New Roman" w:hAnsi="Times New Roman"/>
          <w:sz w:val="20"/>
          <w:szCs w:val="20"/>
          <w:lang w:val="en-GB"/>
        </w:rPr>
        <w:t>–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>218.</w:t>
      </w:r>
    </w:p>
    <w:p w:rsidR="000F47EE" w:rsidRPr="001A1175" w:rsidRDefault="00380574" w:rsidP="005B136B">
      <w:pPr>
        <w:tabs>
          <w:tab w:val="left" w:pos="-720"/>
        </w:tabs>
        <w:suppressAutoHyphens/>
        <w:spacing w:after="120" w:line="240" w:lineRule="auto"/>
        <w:ind w:left="1247"/>
        <w:rPr>
          <w:rFonts w:ascii="Times New Roman" w:hAnsi="Times New Roman"/>
          <w:spacing w:val="-3"/>
          <w:sz w:val="20"/>
          <w:szCs w:val="20"/>
          <w:lang w:val="en-GB"/>
        </w:rPr>
      </w:pP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D</w:t>
      </w:r>
      <w:r w:rsidR="00B6325C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avid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Pimentel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</w:t>
      </w:r>
      <w:r w:rsidR="000365E2" w:rsidRPr="000365E2">
        <w:rPr>
          <w:rFonts w:ascii="Times New Roman" w:hAnsi="Times New Roman"/>
          <w:i/>
          <w:sz w:val="20"/>
          <w:szCs w:val="20"/>
          <w:shd w:val="clear" w:color="auto" w:fill="FFFFFF"/>
          <w:lang w:val="en-GB"/>
        </w:rPr>
        <w:t>et al</w:t>
      </w:r>
      <w:r w:rsidR="007174D1">
        <w:rPr>
          <w:rFonts w:ascii="Times New Roman" w:hAnsi="Times New Roman"/>
          <w:i/>
          <w:sz w:val="20"/>
          <w:szCs w:val="20"/>
          <w:shd w:val="clear" w:color="auto" w:fill="FFFFFF"/>
          <w:lang w:val="en-GB"/>
        </w:rPr>
        <w:t>.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,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“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Environmental and economic costs of nonindigenous species in the </w:t>
      </w:r>
      <w:smartTag w:uri="urn:schemas-microsoft-com:office:smarttags" w:element="place">
        <w:smartTag w:uri="urn:schemas-microsoft-com:office:smarttags" w:element="country-region">
          <w:r w:rsidR="000F47EE" w:rsidRPr="001A1175">
            <w:rPr>
              <w:rFonts w:ascii="Times New Roman" w:hAnsi="Times New Roman"/>
              <w:sz w:val="20"/>
              <w:szCs w:val="20"/>
              <w:shd w:val="clear" w:color="auto" w:fill="FFFFFF"/>
              <w:lang w:val="en-GB"/>
            </w:rPr>
            <w:t>United States</w:t>
          </w:r>
        </w:smartTag>
      </w:smartTag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”, </w:t>
      </w:r>
      <w:r w:rsidR="000F47EE" w:rsidRPr="001A1175">
        <w:rPr>
          <w:rFonts w:ascii="Times New Roman" w:hAnsi="Times New Roman"/>
          <w:i/>
          <w:sz w:val="20"/>
          <w:szCs w:val="20"/>
          <w:shd w:val="clear" w:color="auto" w:fill="FFFFFF"/>
          <w:lang w:val="en-GB"/>
        </w:rPr>
        <w:t>Bioscience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, vol.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50</w:t>
      </w:r>
      <w:r w:rsidR="00307526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, No. </w:t>
      </w:r>
      <w:r w:rsidR="001174E4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1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(2000), pp.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53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–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65.</w:t>
      </w:r>
    </w:p>
    <w:p w:rsidR="0012321A" w:rsidRDefault="002D5264" w:rsidP="005B136B">
      <w:pPr>
        <w:tabs>
          <w:tab w:val="left" w:pos="-720"/>
        </w:tabs>
        <w:suppressAutoHyphens/>
        <w:spacing w:after="120" w:line="240" w:lineRule="auto"/>
        <w:ind w:left="1247"/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en-GB"/>
        </w:rPr>
      </w:pP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D</w:t>
      </w:r>
      <w:r w:rsidR="00B6325C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avid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Pimentel, 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R</w:t>
      </w:r>
      <w:r w:rsidR="00B6325C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o</w:t>
      </w:r>
      <w:r w:rsidR="001174E4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d</w:t>
      </w:r>
      <w:r w:rsidR="00B6325C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olfo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Zuniga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</w:t>
      </w:r>
      <w:r w:rsidR="000365E2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et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D</w:t>
      </w:r>
      <w:r w:rsidR="00B6325C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oug 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Morrison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,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“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Update on the environmental and economic costs associated with alien</w:t>
      </w:r>
      <w:r w:rsidR="001174E4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invasive species in the </w:t>
      </w:r>
      <w:smartTag w:uri="urn:schemas-microsoft-com:office:smarttags" w:element="country-region">
        <w:smartTag w:uri="urn:schemas-microsoft-com:office:smarttags" w:element="place">
          <w:r w:rsidR="000F47EE" w:rsidRPr="001A1175">
            <w:rPr>
              <w:rFonts w:ascii="Times New Roman" w:hAnsi="Times New Roman"/>
              <w:sz w:val="20"/>
              <w:szCs w:val="20"/>
              <w:shd w:val="clear" w:color="auto" w:fill="FFFFFF"/>
              <w:lang w:val="en-GB"/>
            </w:rPr>
            <w:t>United States</w:t>
          </w:r>
        </w:smartTag>
      </w:smartTag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”,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</w:t>
      </w:r>
      <w:r w:rsidR="000F47EE" w:rsidRPr="001A1175">
        <w:rPr>
          <w:rFonts w:ascii="Times New Roman" w:hAnsi="Times New Roman"/>
          <w:i/>
          <w:sz w:val="20"/>
          <w:szCs w:val="20"/>
          <w:shd w:val="clear" w:color="auto" w:fill="FFFFFF"/>
          <w:lang w:val="en-GB"/>
        </w:rPr>
        <w:t>Ecological Economics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, vol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. 52</w:t>
      </w:r>
      <w:r w:rsidR="00307526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, No. </w:t>
      </w:r>
      <w:r w:rsidR="001174E4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3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 (2005), pp.</w:t>
      </w:r>
      <w:r w:rsidR="001174E4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 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273</w:t>
      </w:r>
      <w:r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–</w:t>
      </w:r>
      <w:r w:rsidR="000F47EE" w:rsidRPr="001A1175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288.</w:t>
      </w:r>
    </w:p>
    <w:p w:rsidR="000F47EE" w:rsidRPr="001A1175" w:rsidRDefault="00306052" w:rsidP="005B136B">
      <w:pPr>
        <w:tabs>
          <w:tab w:val="left" w:pos="-720"/>
        </w:tabs>
        <w:suppressAutoHyphens/>
        <w:spacing w:after="120" w:line="240" w:lineRule="auto"/>
        <w:ind w:left="1247"/>
        <w:rPr>
          <w:rFonts w:ascii="Times New Roman" w:hAnsi="Times New Roman"/>
          <w:spacing w:val="-3"/>
          <w:sz w:val="20"/>
          <w:szCs w:val="20"/>
          <w:lang w:val="en-GB"/>
        </w:rPr>
      </w:pP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>G</w:t>
      </w:r>
      <w:r w:rsidR="004508DE" w:rsidRPr="001A1175">
        <w:rPr>
          <w:rFonts w:ascii="Times New Roman" w:hAnsi="Times New Roman"/>
          <w:spacing w:val="-3"/>
          <w:sz w:val="20"/>
          <w:szCs w:val="20"/>
          <w:lang w:val="en-GB"/>
        </w:rPr>
        <w:t>ordon</w:t>
      </w: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="004508DE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H. 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Rodda</w:t>
      </w: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="000365E2">
        <w:rPr>
          <w:rFonts w:ascii="Times New Roman" w:hAnsi="Times New Roman"/>
          <w:spacing w:val="-3"/>
          <w:sz w:val="20"/>
          <w:szCs w:val="20"/>
          <w:lang w:val="en-GB"/>
        </w:rPr>
        <w:t>et</w:t>
      </w: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T</w:t>
      </w:r>
      <w:r w:rsidR="004508DE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homas 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H. Fritts</w:t>
      </w:r>
      <w:r w:rsidR="00B6325C" w:rsidRPr="001A1175">
        <w:rPr>
          <w:rFonts w:ascii="Times New Roman" w:hAnsi="Times New Roman"/>
          <w:spacing w:val="-3"/>
          <w:sz w:val="20"/>
          <w:szCs w:val="20"/>
          <w:lang w:val="en-GB"/>
        </w:rPr>
        <w:t>,</w:t>
      </w: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="00B6325C" w:rsidRPr="001A1175">
        <w:rPr>
          <w:rFonts w:ascii="Times New Roman" w:hAnsi="Times New Roman"/>
          <w:spacing w:val="-3"/>
          <w:sz w:val="20"/>
          <w:szCs w:val="20"/>
          <w:lang w:val="en-GB"/>
        </w:rPr>
        <w:t>“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The brown tree snake on Pacific islands</w:t>
      </w:r>
      <w:r w:rsidR="00B6325C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”, </w:t>
      </w:r>
      <w:r w:rsidR="000F47EE" w:rsidRPr="001A1175">
        <w:rPr>
          <w:rFonts w:ascii="Times New Roman" w:hAnsi="Times New Roman"/>
          <w:i/>
          <w:spacing w:val="-3"/>
          <w:sz w:val="20"/>
          <w:szCs w:val="20"/>
          <w:lang w:val="en-GB"/>
        </w:rPr>
        <w:t>Pacific Science Association Information Bulletin</w:t>
      </w:r>
      <w:r w:rsidR="00B6325C" w:rsidRPr="001A1175">
        <w:rPr>
          <w:rFonts w:ascii="Times New Roman" w:hAnsi="Times New Roman"/>
          <w:spacing w:val="-3"/>
          <w:sz w:val="20"/>
          <w:szCs w:val="20"/>
          <w:lang w:val="en-GB"/>
        </w:rPr>
        <w:t>, vol.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45</w:t>
      </w:r>
      <w:r w:rsidR="00307526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, No. 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3</w:t>
      </w:r>
      <w:r w:rsidR="00B6325C" w:rsidRPr="001A1175">
        <w:rPr>
          <w:rFonts w:ascii="Times New Roman" w:hAnsi="Times New Roman"/>
          <w:spacing w:val="-3"/>
          <w:sz w:val="20"/>
          <w:szCs w:val="20"/>
          <w:lang w:val="en-GB"/>
        </w:rPr>
        <w:t>–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4</w:t>
      </w:r>
      <w:r w:rsidR="001174E4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(Sept.</w:t>
      </w:r>
      <w:r w:rsidR="00B6325C" w:rsidRPr="001A1175">
        <w:rPr>
          <w:rFonts w:ascii="Times New Roman" w:hAnsi="Times New Roman"/>
          <w:spacing w:val="-3"/>
          <w:sz w:val="20"/>
          <w:szCs w:val="20"/>
          <w:lang w:val="en-GB"/>
        </w:rPr>
        <w:t>–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Dec.</w:t>
      </w:r>
      <w:r w:rsidR="0087228E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1993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)</w:t>
      </w:r>
      <w:r w:rsidR="00B6325C" w:rsidRPr="001A1175">
        <w:rPr>
          <w:rFonts w:ascii="Times New Roman" w:hAnsi="Times New Roman"/>
          <w:spacing w:val="-3"/>
          <w:sz w:val="20"/>
          <w:szCs w:val="20"/>
          <w:lang w:val="en-GB"/>
        </w:rPr>
        <w:t>, pp.</w:t>
      </w:r>
      <w:r w:rsidR="001174E4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1</w:t>
      </w:r>
      <w:r w:rsidR="00B6325C" w:rsidRPr="001A1175">
        <w:rPr>
          <w:rFonts w:ascii="Times New Roman" w:hAnsi="Times New Roman"/>
          <w:spacing w:val="-3"/>
          <w:sz w:val="20"/>
          <w:szCs w:val="20"/>
          <w:lang w:val="en-GB"/>
        </w:rPr>
        <w:t>–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3.</w:t>
      </w:r>
    </w:p>
    <w:p w:rsidR="000F47EE" w:rsidRPr="001A1175" w:rsidRDefault="004508DE" w:rsidP="005B136B">
      <w:pPr>
        <w:tabs>
          <w:tab w:val="left" w:pos="-720"/>
        </w:tabs>
        <w:suppressAutoHyphens/>
        <w:spacing w:after="120" w:line="240" w:lineRule="auto"/>
        <w:ind w:left="1247"/>
        <w:rPr>
          <w:rFonts w:ascii="Times New Roman" w:hAnsi="Times New Roman"/>
          <w:spacing w:val="-3"/>
          <w:sz w:val="20"/>
          <w:szCs w:val="20"/>
          <w:lang w:val="en-GB"/>
        </w:rPr>
      </w:pP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>D</w:t>
      </w:r>
      <w:r w:rsidR="00A368E5" w:rsidRPr="001A1175">
        <w:rPr>
          <w:rFonts w:ascii="Times New Roman" w:hAnsi="Times New Roman"/>
          <w:spacing w:val="-3"/>
          <w:sz w:val="20"/>
          <w:szCs w:val="20"/>
          <w:lang w:val="en-GB"/>
        </w:rPr>
        <w:t>aniel</w:t>
      </w: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Simberloff</w:t>
      </w: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="000365E2" w:rsidRPr="000365E2">
        <w:rPr>
          <w:rFonts w:ascii="Times New Roman" w:hAnsi="Times New Roman"/>
          <w:i/>
          <w:spacing w:val="-3"/>
          <w:sz w:val="20"/>
          <w:szCs w:val="20"/>
          <w:lang w:val="en-GB"/>
        </w:rPr>
        <w:t>et al</w:t>
      </w:r>
      <w:r w:rsidR="007174D1">
        <w:rPr>
          <w:rFonts w:ascii="Times New Roman" w:hAnsi="Times New Roman"/>
          <w:i/>
          <w:spacing w:val="-3"/>
          <w:sz w:val="20"/>
          <w:szCs w:val="20"/>
          <w:lang w:val="en-GB"/>
        </w:rPr>
        <w:t>.</w:t>
      </w: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>,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>“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Impacts of biological invasions: what’s what and the way forward</w:t>
      </w:r>
      <w:r w:rsidRPr="001A1175">
        <w:rPr>
          <w:rFonts w:ascii="Times New Roman" w:hAnsi="Times New Roman"/>
          <w:spacing w:val="-3"/>
          <w:sz w:val="20"/>
          <w:szCs w:val="20"/>
          <w:lang w:val="en-GB"/>
        </w:rPr>
        <w:t>”,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</w:t>
      </w:r>
      <w:r w:rsidR="000F47EE" w:rsidRPr="001A1175">
        <w:rPr>
          <w:rFonts w:ascii="Times New Roman" w:hAnsi="Times New Roman"/>
          <w:i/>
          <w:spacing w:val="-3"/>
          <w:sz w:val="20"/>
          <w:szCs w:val="20"/>
          <w:lang w:val="en-GB"/>
        </w:rPr>
        <w:t xml:space="preserve">Trends in </w:t>
      </w:r>
      <w:r w:rsidR="00A368E5" w:rsidRPr="001A1175">
        <w:rPr>
          <w:rFonts w:ascii="Times New Roman" w:hAnsi="Times New Roman"/>
          <w:i/>
          <w:spacing w:val="-3"/>
          <w:sz w:val="20"/>
          <w:szCs w:val="20"/>
          <w:lang w:val="en-GB"/>
        </w:rPr>
        <w:t>E</w:t>
      </w:r>
      <w:r w:rsidR="000F47EE" w:rsidRPr="001A1175">
        <w:rPr>
          <w:rFonts w:ascii="Times New Roman" w:hAnsi="Times New Roman"/>
          <w:i/>
          <w:spacing w:val="-3"/>
          <w:sz w:val="20"/>
          <w:szCs w:val="20"/>
          <w:lang w:val="en-GB"/>
        </w:rPr>
        <w:t xml:space="preserve">cology 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&amp;</w:t>
      </w:r>
      <w:r w:rsidR="000F47EE" w:rsidRPr="001A1175">
        <w:rPr>
          <w:rFonts w:ascii="Times New Roman" w:hAnsi="Times New Roman"/>
          <w:i/>
          <w:spacing w:val="-3"/>
          <w:sz w:val="20"/>
          <w:szCs w:val="20"/>
          <w:lang w:val="en-GB"/>
        </w:rPr>
        <w:t xml:space="preserve"> </w:t>
      </w:r>
      <w:r w:rsidR="00A368E5" w:rsidRPr="001A1175">
        <w:rPr>
          <w:rFonts w:ascii="Times New Roman" w:hAnsi="Times New Roman"/>
          <w:i/>
          <w:spacing w:val="-3"/>
          <w:sz w:val="20"/>
          <w:szCs w:val="20"/>
          <w:lang w:val="en-GB"/>
        </w:rPr>
        <w:t>E</w:t>
      </w:r>
      <w:r w:rsidR="000F47EE" w:rsidRPr="001A1175">
        <w:rPr>
          <w:rFonts w:ascii="Times New Roman" w:hAnsi="Times New Roman"/>
          <w:i/>
          <w:spacing w:val="-3"/>
          <w:sz w:val="20"/>
          <w:szCs w:val="20"/>
          <w:lang w:val="en-GB"/>
        </w:rPr>
        <w:t>volution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, </w:t>
      </w:r>
      <w:r w:rsidR="00865157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vol. 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28</w:t>
      </w:r>
      <w:r w:rsidR="00307526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, No. </w:t>
      </w:r>
      <w:r w:rsidR="004074B9" w:rsidRPr="001A1175">
        <w:rPr>
          <w:rFonts w:ascii="Times New Roman" w:hAnsi="Times New Roman"/>
          <w:spacing w:val="-3"/>
          <w:sz w:val="20"/>
          <w:szCs w:val="20"/>
          <w:lang w:val="en-GB"/>
        </w:rPr>
        <w:t>1</w:t>
      </w:r>
      <w:r w:rsidR="00865157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 (2013)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, </w:t>
      </w:r>
      <w:r w:rsidR="00865157" w:rsidRPr="001A1175">
        <w:rPr>
          <w:rFonts w:ascii="Times New Roman" w:hAnsi="Times New Roman"/>
          <w:spacing w:val="-3"/>
          <w:sz w:val="20"/>
          <w:szCs w:val="20"/>
          <w:lang w:val="en-GB"/>
        </w:rPr>
        <w:t xml:space="preserve">pp. </w:t>
      </w:r>
      <w:r w:rsidR="000F47EE" w:rsidRPr="001A1175">
        <w:rPr>
          <w:rFonts w:ascii="Times New Roman" w:hAnsi="Times New Roman"/>
          <w:spacing w:val="-3"/>
          <w:sz w:val="20"/>
          <w:szCs w:val="20"/>
          <w:lang w:val="en-GB"/>
        </w:rPr>
        <w:t>58–66.</w:t>
      </w:r>
    </w:p>
    <w:p w:rsidR="000F47EE" w:rsidRPr="001A1175" w:rsidRDefault="000F47EE" w:rsidP="005B136B">
      <w:pPr>
        <w:tabs>
          <w:tab w:val="left" w:pos="1560"/>
          <w:tab w:val="left" w:pos="1920"/>
        </w:tabs>
        <w:spacing w:after="120" w:line="240" w:lineRule="auto"/>
        <w:ind w:left="1247" w:right="120"/>
        <w:rPr>
          <w:rFonts w:ascii="Times New Roman" w:hAnsi="Times New Roman"/>
          <w:bCs/>
          <w:sz w:val="20"/>
          <w:szCs w:val="20"/>
          <w:lang w:val="en-GB"/>
        </w:rPr>
      </w:pPr>
      <w:r w:rsidRPr="001A1175">
        <w:rPr>
          <w:rFonts w:ascii="Times New Roman" w:hAnsi="Times New Roman"/>
          <w:bCs/>
          <w:sz w:val="20"/>
          <w:szCs w:val="20"/>
          <w:lang w:val="en-GB"/>
        </w:rPr>
        <w:t>U</w:t>
      </w:r>
      <w:r w:rsidR="00502C85" w:rsidRPr="001A1175">
        <w:rPr>
          <w:rFonts w:ascii="Times New Roman" w:hAnsi="Times New Roman"/>
          <w:bCs/>
          <w:sz w:val="20"/>
          <w:szCs w:val="20"/>
          <w:lang w:val="en-GB"/>
        </w:rPr>
        <w:t xml:space="preserve">nited </w:t>
      </w:r>
      <w:r w:rsidRPr="001A1175">
        <w:rPr>
          <w:rFonts w:ascii="Times New Roman" w:hAnsi="Times New Roman"/>
          <w:bCs/>
          <w:sz w:val="20"/>
          <w:szCs w:val="20"/>
          <w:lang w:val="en-GB"/>
        </w:rPr>
        <w:t>S</w:t>
      </w:r>
      <w:r w:rsidR="00502C85" w:rsidRPr="001A1175">
        <w:rPr>
          <w:rFonts w:ascii="Times New Roman" w:hAnsi="Times New Roman"/>
          <w:bCs/>
          <w:sz w:val="20"/>
          <w:szCs w:val="20"/>
          <w:lang w:val="en-GB"/>
        </w:rPr>
        <w:t>tates</w:t>
      </w:r>
      <w:r w:rsidRPr="001A1175">
        <w:rPr>
          <w:rFonts w:ascii="Times New Roman" w:hAnsi="Times New Roman"/>
          <w:bCs/>
          <w:sz w:val="20"/>
          <w:szCs w:val="20"/>
          <w:lang w:val="en-GB"/>
        </w:rPr>
        <w:t xml:space="preserve"> Forest Service, </w:t>
      </w:r>
      <w:r w:rsidR="00502C85" w:rsidRPr="001A1175">
        <w:rPr>
          <w:rFonts w:ascii="Times New Roman" w:hAnsi="Times New Roman"/>
          <w:bCs/>
          <w:sz w:val="20"/>
          <w:szCs w:val="20"/>
          <w:lang w:val="en-GB"/>
        </w:rPr>
        <w:t>“</w:t>
      </w:r>
      <w:r w:rsidRPr="001A1175">
        <w:rPr>
          <w:rFonts w:ascii="Times New Roman" w:hAnsi="Times New Roman"/>
          <w:bCs/>
          <w:sz w:val="20"/>
          <w:szCs w:val="20"/>
          <w:lang w:val="en-GB"/>
        </w:rPr>
        <w:t>Pacific Island Ecosystems at Risk (PIER)</w:t>
      </w:r>
      <w:r w:rsidR="00502C85" w:rsidRPr="001A1175">
        <w:rPr>
          <w:rFonts w:ascii="Times New Roman" w:hAnsi="Times New Roman"/>
          <w:bCs/>
          <w:sz w:val="20"/>
          <w:szCs w:val="20"/>
          <w:lang w:val="en-GB"/>
        </w:rPr>
        <w:t>”,</w:t>
      </w:r>
      <w:r w:rsidRPr="001A1175">
        <w:rPr>
          <w:rFonts w:ascii="Times New Roman" w:hAnsi="Times New Roman"/>
          <w:bCs/>
          <w:sz w:val="20"/>
          <w:szCs w:val="20"/>
          <w:lang w:val="en-GB"/>
        </w:rPr>
        <w:t xml:space="preserve"> </w:t>
      </w:r>
      <w:r w:rsidR="000365E2">
        <w:rPr>
          <w:rFonts w:ascii="Times New Roman" w:hAnsi="Times New Roman"/>
          <w:bCs/>
          <w:sz w:val="20"/>
          <w:szCs w:val="20"/>
          <w:lang w:val="en-GB"/>
        </w:rPr>
        <w:t>accessible à</w:t>
      </w:r>
      <w:r w:rsidR="007174D1">
        <w:rPr>
          <w:rFonts w:ascii="Times New Roman" w:hAnsi="Times New Roman"/>
          <w:bCs/>
          <w:sz w:val="20"/>
          <w:szCs w:val="20"/>
          <w:lang w:val="en-GB"/>
        </w:rPr>
        <w:t xml:space="preserve"> l’adresse</w:t>
      </w:r>
      <w:r w:rsidR="000365E2">
        <w:rPr>
          <w:rFonts w:ascii="Times New Roman" w:hAnsi="Times New Roman"/>
          <w:bCs/>
          <w:sz w:val="20"/>
          <w:szCs w:val="20"/>
          <w:lang w:val="en-GB"/>
        </w:rPr>
        <w:t> :</w:t>
      </w:r>
      <w:r w:rsidRPr="001A1175">
        <w:rPr>
          <w:rFonts w:ascii="Times New Roman" w:hAnsi="Times New Roman"/>
          <w:bCs/>
          <w:sz w:val="20"/>
          <w:szCs w:val="20"/>
          <w:lang w:val="en-GB"/>
        </w:rPr>
        <w:t xml:space="preserve"> </w:t>
      </w:r>
      <w:r w:rsidR="00415911" w:rsidRPr="001A1175">
        <w:rPr>
          <w:rFonts w:ascii="Times New Roman" w:hAnsi="Times New Roman"/>
          <w:sz w:val="20"/>
          <w:szCs w:val="20"/>
          <w:lang w:val="en-GB"/>
        </w:rPr>
        <w:t>http://www.hear.org/pier</w:t>
      </w:r>
      <w:r w:rsidR="00415911" w:rsidRPr="001A1175">
        <w:rPr>
          <w:lang w:val="en-GB"/>
        </w:rPr>
        <w:t xml:space="preserve"> </w:t>
      </w:r>
      <w:r w:rsidR="0056035C" w:rsidRPr="001A1175">
        <w:rPr>
          <w:rFonts w:ascii="Times New Roman" w:hAnsi="Times New Roman"/>
          <w:bCs/>
          <w:sz w:val="20"/>
          <w:szCs w:val="20"/>
          <w:lang w:val="en-GB"/>
        </w:rPr>
        <w:t>(</w:t>
      </w:r>
      <w:r w:rsidR="0056035C" w:rsidRPr="006A626C">
        <w:rPr>
          <w:rFonts w:ascii="Times New Roman" w:hAnsi="Times New Roman"/>
          <w:bCs/>
          <w:sz w:val="20"/>
          <w:szCs w:val="20"/>
          <w:lang w:val="en-CA"/>
        </w:rPr>
        <w:t>a</w:t>
      </w:r>
      <w:r w:rsidRPr="006A626C">
        <w:rPr>
          <w:rFonts w:ascii="Times New Roman" w:hAnsi="Times New Roman"/>
          <w:bCs/>
          <w:sz w:val="20"/>
          <w:szCs w:val="20"/>
          <w:lang w:val="en-CA"/>
        </w:rPr>
        <w:t>cc</w:t>
      </w:r>
      <w:r w:rsidR="000365E2" w:rsidRPr="006A626C">
        <w:rPr>
          <w:rFonts w:ascii="Times New Roman" w:hAnsi="Times New Roman"/>
          <w:bCs/>
          <w:sz w:val="20"/>
          <w:szCs w:val="20"/>
          <w:lang w:val="en-CA"/>
        </w:rPr>
        <w:t>ès</w:t>
      </w:r>
      <w:r w:rsidRPr="006A626C">
        <w:rPr>
          <w:rFonts w:ascii="Times New Roman" w:hAnsi="Times New Roman"/>
          <w:bCs/>
          <w:sz w:val="20"/>
          <w:szCs w:val="20"/>
          <w:lang w:val="en-CA"/>
        </w:rPr>
        <w:t xml:space="preserve"> </w:t>
      </w:r>
      <w:r w:rsidR="006A626C" w:rsidRPr="006A626C">
        <w:rPr>
          <w:rFonts w:ascii="Times New Roman" w:hAnsi="Times New Roman"/>
          <w:bCs/>
          <w:sz w:val="20"/>
          <w:szCs w:val="20"/>
          <w:lang w:val="en-CA"/>
        </w:rPr>
        <w:t>2 </w:t>
      </w:r>
      <w:r w:rsidR="006A626C">
        <w:rPr>
          <w:rFonts w:ascii="Times New Roman" w:hAnsi="Times New Roman"/>
          <w:bCs/>
          <w:sz w:val="20"/>
          <w:szCs w:val="20"/>
          <w:lang w:val="en-CA"/>
        </w:rPr>
        <w:t>octobre </w:t>
      </w:r>
      <w:r w:rsidR="00502C85" w:rsidRPr="006A626C">
        <w:rPr>
          <w:rFonts w:ascii="Times New Roman" w:hAnsi="Times New Roman"/>
          <w:bCs/>
          <w:sz w:val="20"/>
          <w:szCs w:val="20"/>
          <w:lang w:val="en-CA"/>
        </w:rPr>
        <w:t>2013)</w:t>
      </w:r>
      <w:r w:rsidRPr="006A626C">
        <w:rPr>
          <w:rFonts w:ascii="Times New Roman" w:hAnsi="Times New Roman"/>
          <w:bCs/>
          <w:sz w:val="20"/>
          <w:szCs w:val="20"/>
          <w:lang w:val="en-CA"/>
        </w:rPr>
        <w:t>.</w:t>
      </w:r>
    </w:p>
    <w:p w:rsidR="000F47EE" w:rsidRPr="001A1175" w:rsidRDefault="00CC4719" w:rsidP="005B136B">
      <w:pPr>
        <w:autoSpaceDE w:val="0"/>
        <w:autoSpaceDN w:val="0"/>
        <w:adjustRightInd w:val="0"/>
        <w:spacing w:after="120" w:line="240" w:lineRule="auto"/>
        <w:ind w:left="1247"/>
        <w:rPr>
          <w:rFonts w:ascii="Times New Roman" w:hAnsi="Times New Roman"/>
          <w:sz w:val="20"/>
          <w:szCs w:val="20"/>
          <w:lang w:val="en-GB" w:eastAsia="fr-FR"/>
        </w:rPr>
      </w:pPr>
      <w:r w:rsidRPr="001A1175">
        <w:rPr>
          <w:rFonts w:ascii="Times New Roman" w:hAnsi="Times New Roman"/>
          <w:sz w:val="20"/>
          <w:szCs w:val="20"/>
          <w:lang w:val="en-GB" w:eastAsia="fr-FR"/>
        </w:rPr>
        <w:t>K</w:t>
      </w:r>
      <w:r w:rsidR="001D35A8" w:rsidRPr="001A1175">
        <w:rPr>
          <w:rFonts w:ascii="Times New Roman" w:hAnsi="Times New Roman"/>
          <w:sz w:val="20"/>
          <w:szCs w:val="20"/>
          <w:lang w:val="en-GB" w:eastAsia="fr-FR"/>
        </w:rPr>
        <w:t>endra</w:t>
      </w:r>
      <w:r w:rsidR="001466BD" w:rsidRPr="001A1175">
        <w:rPr>
          <w:rFonts w:ascii="Times New Roman" w:hAnsi="Times New Roman"/>
          <w:sz w:val="20"/>
          <w:szCs w:val="20"/>
          <w:lang w:val="en-GB" w:eastAsia="fr-FR"/>
        </w:rPr>
        <w:t xml:space="preserve"> 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 xml:space="preserve">L. 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 xml:space="preserve">Walker, 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“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 xml:space="preserve">Impact of the little fire ant, </w:t>
      </w:r>
      <w:r w:rsidR="000F47EE" w:rsidRPr="001A1175">
        <w:rPr>
          <w:rFonts w:ascii="Times New Roman" w:hAnsi="Times New Roman"/>
          <w:i/>
          <w:iCs/>
          <w:sz w:val="20"/>
          <w:szCs w:val="20"/>
          <w:lang w:val="en-GB" w:eastAsia="fr-FR"/>
        </w:rPr>
        <w:t>Wasmannia auropunctata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 xml:space="preserve">, on native forest ants in </w:t>
      </w:r>
      <w:smartTag w:uri="urn:schemas-microsoft-com:office:smarttags" w:element="place">
        <w:smartTag w:uri="urn:schemas-microsoft-com:office:smarttags" w:element="country-region">
          <w:r w:rsidR="000F47EE" w:rsidRPr="001A1175">
            <w:rPr>
              <w:rFonts w:ascii="Times New Roman" w:hAnsi="Times New Roman"/>
              <w:sz w:val="20"/>
              <w:szCs w:val="20"/>
              <w:lang w:val="en-GB" w:eastAsia="fr-FR"/>
            </w:rPr>
            <w:t>Gabon</w:t>
          </w:r>
        </w:smartTag>
      </w:smartTag>
      <w:r w:rsidR="001466BD" w:rsidRPr="001A1175">
        <w:rPr>
          <w:rFonts w:ascii="Times New Roman" w:hAnsi="Times New Roman"/>
          <w:sz w:val="20"/>
          <w:szCs w:val="20"/>
          <w:lang w:val="en-GB" w:eastAsia="fr-FR"/>
        </w:rPr>
        <w:t>”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,</w:t>
      </w:r>
      <w:r w:rsidR="008C4605" w:rsidRPr="001A1175">
        <w:rPr>
          <w:rFonts w:ascii="Times New Roman" w:hAnsi="Times New Roman"/>
          <w:sz w:val="20"/>
          <w:szCs w:val="20"/>
          <w:lang w:val="en-GB" w:eastAsia="fr-FR"/>
        </w:rPr>
        <w:t xml:space="preserve"> </w:t>
      </w:r>
      <w:r w:rsidR="000F47EE" w:rsidRPr="001A1175">
        <w:rPr>
          <w:rFonts w:ascii="Times New Roman" w:hAnsi="Times New Roman"/>
          <w:i/>
          <w:sz w:val="20"/>
          <w:szCs w:val="20"/>
          <w:lang w:val="en-GB" w:eastAsia="fr-FR"/>
        </w:rPr>
        <w:t>Biotropica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,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 xml:space="preserve"> 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 xml:space="preserve">vol. 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>38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 xml:space="preserve">, </w:t>
      </w:r>
      <w:r w:rsidR="00307526" w:rsidRPr="001A1175">
        <w:rPr>
          <w:rFonts w:ascii="Times New Roman" w:hAnsi="Times New Roman"/>
          <w:sz w:val="20"/>
          <w:szCs w:val="20"/>
          <w:lang w:val="en-GB" w:eastAsia="fr-FR"/>
        </w:rPr>
        <w:t>N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o.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 xml:space="preserve"> 5</w:t>
      </w:r>
      <w:r w:rsidR="00543F2D" w:rsidRPr="001A1175">
        <w:rPr>
          <w:rFonts w:ascii="Times New Roman" w:hAnsi="Times New Roman"/>
          <w:sz w:val="20"/>
          <w:szCs w:val="20"/>
          <w:lang w:val="en-GB" w:eastAsia="fr-FR"/>
        </w:rPr>
        <w:t xml:space="preserve"> (2006)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,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 xml:space="preserve"> 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 xml:space="preserve">pp. 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>666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–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>673.</w:t>
      </w:r>
    </w:p>
    <w:p w:rsidR="000F47EE" w:rsidRPr="001A1175" w:rsidRDefault="003D3FE4" w:rsidP="005B136B">
      <w:pPr>
        <w:autoSpaceDE w:val="0"/>
        <w:autoSpaceDN w:val="0"/>
        <w:adjustRightInd w:val="0"/>
        <w:spacing w:after="120" w:line="240" w:lineRule="auto"/>
        <w:ind w:left="1247"/>
        <w:rPr>
          <w:rFonts w:ascii="Times New Roman" w:hAnsi="Times New Roman"/>
          <w:sz w:val="20"/>
          <w:szCs w:val="20"/>
          <w:lang w:val="en-GB" w:eastAsia="fr-FR"/>
        </w:rPr>
      </w:pPr>
      <w:r w:rsidRPr="001A1175">
        <w:rPr>
          <w:rFonts w:ascii="Times New Roman" w:hAnsi="Times New Roman"/>
          <w:sz w:val="20"/>
          <w:szCs w:val="20"/>
          <w:lang w:val="en-GB" w:eastAsia="fr-FR"/>
        </w:rPr>
        <w:t>J</w:t>
      </w:r>
      <w:r w:rsidR="00FA4BC6" w:rsidRPr="001A1175">
        <w:rPr>
          <w:rFonts w:ascii="Times New Roman" w:hAnsi="Times New Roman"/>
          <w:sz w:val="20"/>
          <w:szCs w:val="20"/>
          <w:lang w:val="en-GB" w:eastAsia="fr-FR"/>
        </w:rPr>
        <w:t>ames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 xml:space="preserve"> K. 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>Wetterer,</w:t>
      </w:r>
      <w:r w:rsidR="005463C9" w:rsidRPr="001A1175">
        <w:rPr>
          <w:rFonts w:ascii="Times New Roman" w:hAnsi="Times New Roman"/>
          <w:sz w:val="20"/>
          <w:szCs w:val="20"/>
          <w:lang w:val="en-GB" w:eastAsia="fr-FR"/>
        </w:rPr>
        <w:t xml:space="preserve"> P. D. Walsh </w:t>
      </w:r>
      <w:r w:rsidR="000365E2">
        <w:rPr>
          <w:rFonts w:ascii="Times New Roman" w:hAnsi="Times New Roman"/>
          <w:sz w:val="20"/>
          <w:szCs w:val="20"/>
          <w:lang w:val="en-GB" w:eastAsia="fr-FR"/>
        </w:rPr>
        <w:t>et</w:t>
      </w:r>
      <w:r w:rsidR="005463C9" w:rsidRPr="001A1175">
        <w:rPr>
          <w:rFonts w:ascii="Times New Roman" w:hAnsi="Times New Roman"/>
          <w:sz w:val="20"/>
          <w:szCs w:val="20"/>
          <w:lang w:val="en-GB" w:eastAsia="fr-FR"/>
        </w:rPr>
        <w:t xml:space="preserve"> L. J. T. White,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 xml:space="preserve"> 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“</w:t>
      </w:r>
      <w:r w:rsidR="000F47EE" w:rsidRPr="001A1175">
        <w:rPr>
          <w:rFonts w:ascii="Times New Roman" w:hAnsi="Times New Roman"/>
          <w:i/>
          <w:iCs/>
          <w:sz w:val="20"/>
          <w:szCs w:val="20"/>
          <w:lang w:val="en-GB" w:eastAsia="fr-FR"/>
        </w:rPr>
        <w:t xml:space="preserve">Wasmannia auropunctata 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 xml:space="preserve">(Roger) (Hymenoptera: Formicidae), a destructive tramp-ant, in wildlife refuges of </w:t>
      </w:r>
      <w:smartTag w:uri="urn:schemas-microsoft-com:office:smarttags" w:element="place">
        <w:smartTag w:uri="urn:schemas-microsoft-com:office:smarttags" w:element="country-region">
          <w:r w:rsidR="000F47EE" w:rsidRPr="001A1175">
            <w:rPr>
              <w:rFonts w:ascii="Times New Roman" w:hAnsi="Times New Roman"/>
              <w:sz w:val="20"/>
              <w:szCs w:val="20"/>
              <w:lang w:val="en-GB" w:eastAsia="fr-FR"/>
            </w:rPr>
            <w:t>Gabon</w:t>
          </w:r>
        </w:smartTag>
      </w:smartTag>
      <w:r w:rsidRPr="001A1175">
        <w:rPr>
          <w:rFonts w:ascii="Times New Roman" w:hAnsi="Times New Roman"/>
          <w:sz w:val="20"/>
          <w:szCs w:val="20"/>
          <w:lang w:val="en-GB" w:eastAsia="fr-FR"/>
        </w:rPr>
        <w:t>”,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 xml:space="preserve"> </w:t>
      </w:r>
      <w:r w:rsidR="000F47EE" w:rsidRPr="001A1175">
        <w:rPr>
          <w:rFonts w:ascii="Times New Roman" w:hAnsi="Times New Roman"/>
          <w:i/>
          <w:sz w:val="20"/>
          <w:szCs w:val="20"/>
          <w:lang w:val="en-GB" w:eastAsia="fr-FR"/>
        </w:rPr>
        <w:t>Afr</w:t>
      </w:r>
      <w:r w:rsidRPr="001A1175">
        <w:rPr>
          <w:rFonts w:ascii="Times New Roman" w:hAnsi="Times New Roman"/>
          <w:i/>
          <w:sz w:val="20"/>
          <w:szCs w:val="20"/>
          <w:lang w:val="en-GB" w:eastAsia="fr-FR"/>
        </w:rPr>
        <w:t>ican</w:t>
      </w:r>
      <w:r w:rsidR="000F47EE" w:rsidRPr="001A1175">
        <w:rPr>
          <w:rFonts w:ascii="Times New Roman" w:hAnsi="Times New Roman"/>
          <w:i/>
          <w:sz w:val="20"/>
          <w:szCs w:val="20"/>
          <w:lang w:val="en-GB" w:eastAsia="fr-FR"/>
        </w:rPr>
        <w:t>. Entomol</w:t>
      </w:r>
      <w:r w:rsidRPr="001A1175">
        <w:rPr>
          <w:rFonts w:ascii="Times New Roman" w:hAnsi="Times New Roman"/>
          <w:i/>
          <w:sz w:val="20"/>
          <w:szCs w:val="20"/>
          <w:lang w:val="en-GB" w:eastAsia="fr-FR"/>
        </w:rPr>
        <w:t>ogy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, vol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>. 7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 xml:space="preserve">, </w:t>
      </w:r>
      <w:r w:rsidR="00307526" w:rsidRPr="001A1175">
        <w:rPr>
          <w:rFonts w:ascii="Times New Roman" w:hAnsi="Times New Roman"/>
          <w:sz w:val="20"/>
          <w:szCs w:val="20"/>
          <w:lang w:val="en-GB" w:eastAsia="fr-FR"/>
        </w:rPr>
        <w:t>N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o. 2</w:t>
      </w:r>
      <w:r w:rsidR="00FA4BC6" w:rsidRPr="001A1175">
        <w:rPr>
          <w:rFonts w:ascii="Times New Roman" w:hAnsi="Times New Roman"/>
          <w:sz w:val="20"/>
          <w:szCs w:val="20"/>
          <w:lang w:val="en-GB" w:eastAsia="fr-FR"/>
        </w:rPr>
        <w:t xml:space="preserve"> (1999)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, pp.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 xml:space="preserve"> 292</w:t>
      </w:r>
      <w:r w:rsidRPr="001A1175">
        <w:rPr>
          <w:rFonts w:ascii="Times New Roman" w:hAnsi="Times New Roman"/>
          <w:sz w:val="20"/>
          <w:szCs w:val="20"/>
          <w:lang w:val="en-GB" w:eastAsia="fr-FR"/>
        </w:rPr>
        <w:t>–</w:t>
      </w:r>
      <w:r w:rsidR="00582ADE" w:rsidRPr="001A1175">
        <w:rPr>
          <w:rFonts w:ascii="Times New Roman" w:hAnsi="Times New Roman"/>
          <w:sz w:val="20"/>
          <w:szCs w:val="20"/>
          <w:lang w:val="en-GB" w:eastAsia="fr-FR"/>
        </w:rPr>
        <w:t>294</w:t>
      </w:r>
      <w:r w:rsidR="000F47EE" w:rsidRPr="001A1175">
        <w:rPr>
          <w:rFonts w:ascii="Times New Roman" w:hAnsi="Times New Roman"/>
          <w:sz w:val="20"/>
          <w:szCs w:val="20"/>
          <w:lang w:val="en-GB" w:eastAsia="fr-FR"/>
        </w:rPr>
        <w:t>.</w:t>
      </w:r>
    </w:p>
    <w:p w:rsidR="000F47EE" w:rsidRPr="001A1175" w:rsidRDefault="00FA4BC6" w:rsidP="005B136B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en-GB"/>
        </w:rPr>
      </w:pPr>
      <w:r w:rsidRPr="001A1175">
        <w:rPr>
          <w:rFonts w:ascii="Times New Roman" w:hAnsi="Times New Roman"/>
          <w:sz w:val="20"/>
          <w:szCs w:val="20"/>
          <w:lang w:val="en-GB"/>
        </w:rPr>
        <w:t xml:space="preserve">James K. 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 xml:space="preserve">Wetterer, </w:t>
      </w:r>
      <w:r w:rsidR="00C223A7" w:rsidRPr="001A1175">
        <w:rPr>
          <w:rFonts w:ascii="Times New Roman" w:hAnsi="Times New Roman"/>
          <w:sz w:val="20"/>
          <w:szCs w:val="20"/>
          <w:lang w:val="en-GB"/>
        </w:rPr>
        <w:t>“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 xml:space="preserve">Worldwide spread of the destroyer ant, </w:t>
      </w:r>
      <w:r w:rsidR="000F47EE" w:rsidRPr="001A1175">
        <w:rPr>
          <w:rFonts w:ascii="Times New Roman" w:hAnsi="Times New Roman"/>
          <w:i/>
          <w:sz w:val="20"/>
          <w:szCs w:val="20"/>
          <w:lang w:val="en-GB"/>
        </w:rPr>
        <w:t>Monomorium destructor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 xml:space="preserve"> (Hymenoptera: Formicidae)</w:t>
      </w:r>
      <w:r w:rsidR="00C223A7" w:rsidRPr="001A1175">
        <w:rPr>
          <w:rFonts w:ascii="Times New Roman" w:hAnsi="Times New Roman"/>
          <w:sz w:val="20"/>
          <w:szCs w:val="20"/>
          <w:lang w:val="en-GB"/>
        </w:rPr>
        <w:t>”,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F47EE" w:rsidRPr="001A1175">
        <w:rPr>
          <w:rFonts w:ascii="Times New Roman" w:hAnsi="Times New Roman"/>
          <w:i/>
          <w:sz w:val="20"/>
          <w:szCs w:val="20"/>
          <w:lang w:val="en-GB"/>
        </w:rPr>
        <w:t>Myrmecological News</w:t>
      </w:r>
      <w:r w:rsidR="00C223A7" w:rsidRPr="001A1175">
        <w:rPr>
          <w:rFonts w:ascii="Times New Roman" w:hAnsi="Times New Roman"/>
          <w:sz w:val="20"/>
          <w:szCs w:val="20"/>
          <w:lang w:val="en-GB"/>
        </w:rPr>
        <w:t>, vol.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 xml:space="preserve"> 12</w:t>
      </w:r>
      <w:r w:rsidR="00C223A7" w:rsidRPr="001A1175">
        <w:rPr>
          <w:rFonts w:ascii="Times New Roman" w:hAnsi="Times New Roman"/>
          <w:sz w:val="20"/>
          <w:szCs w:val="20"/>
          <w:lang w:val="en-GB"/>
        </w:rPr>
        <w:t xml:space="preserve"> (2009), pp.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 xml:space="preserve"> 97</w:t>
      </w:r>
      <w:r w:rsidR="00C223A7" w:rsidRPr="001A1175">
        <w:rPr>
          <w:rFonts w:ascii="Times New Roman" w:hAnsi="Times New Roman"/>
          <w:sz w:val="20"/>
          <w:szCs w:val="20"/>
          <w:lang w:val="en-GB"/>
        </w:rPr>
        <w:t>–</w:t>
      </w:r>
      <w:r w:rsidR="000F47EE" w:rsidRPr="001A1175">
        <w:rPr>
          <w:rFonts w:ascii="Times New Roman" w:hAnsi="Times New Roman"/>
          <w:sz w:val="20"/>
          <w:szCs w:val="20"/>
          <w:lang w:val="en-GB"/>
        </w:rPr>
        <w:t>118.</w:t>
      </w:r>
    </w:p>
    <w:p w:rsidR="002D5E9B" w:rsidRPr="001A1175" w:rsidRDefault="000F47EE" w:rsidP="005B136B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en-GB"/>
        </w:rPr>
      </w:pPr>
      <w:r w:rsidRPr="001A1175">
        <w:rPr>
          <w:rFonts w:ascii="Times New Roman" w:hAnsi="Times New Roman"/>
          <w:sz w:val="20"/>
          <w:szCs w:val="20"/>
          <w:lang w:val="en-GB"/>
        </w:rPr>
        <w:t>U</w:t>
      </w:r>
      <w:r w:rsidR="00E61D69" w:rsidRPr="001A1175">
        <w:rPr>
          <w:rFonts w:ascii="Times New Roman" w:hAnsi="Times New Roman"/>
          <w:sz w:val="20"/>
          <w:szCs w:val="20"/>
          <w:lang w:val="en-GB"/>
        </w:rPr>
        <w:t xml:space="preserve">nited </w:t>
      </w:r>
      <w:r w:rsidRPr="001A1175">
        <w:rPr>
          <w:rFonts w:ascii="Times New Roman" w:hAnsi="Times New Roman"/>
          <w:sz w:val="20"/>
          <w:szCs w:val="20"/>
          <w:lang w:val="en-GB"/>
        </w:rPr>
        <w:t>S</w:t>
      </w:r>
      <w:r w:rsidR="00E61D69" w:rsidRPr="001A1175">
        <w:rPr>
          <w:rFonts w:ascii="Times New Roman" w:hAnsi="Times New Roman"/>
          <w:sz w:val="20"/>
          <w:szCs w:val="20"/>
          <w:lang w:val="en-GB"/>
        </w:rPr>
        <w:t xml:space="preserve">tates </w:t>
      </w:r>
      <w:r w:rsidRPr="001A1175">
        <w:rPr>
          <w:rFonts w:ascii="Times New Roman" w:hAnsi="Times New Roman"/>
          <w:sz w:val="20"/>
          <w:szCs w:val="20"/>
          <w:lang w:val="en-GB"/>
        </w:rPr>
        <w:t>G</w:t>
      </w:r>
      <w:r w:rsidR="00E61D69" w:rsidRPr="001A1175">
        <w:rPr>
          <w:rFonts w:ascii="Times New Roman" w:hAnsi="Times New Roman"/>
          <w:sz w:val="20"/>
          <w:szCs w:val="20"/>
          <w:lang w:val="en-GB"/>
        </w:rPr>
        <w:t xml:space="preserve">eological </w:t>
      </w:r>
      <w:r w:rsidRPr="001A1175">
        <w:rPr>
          <w:rFonts w:ascii="Times New Roman" w:hAnsi="Times New Roman"/>
          <w:sz w:val="20"/>
          <w:szCs w:val="20"/>
          <w:lang w:val="en-GB"/>
        </w:rPr>
        <w:t>S</w:t>
      </w:r>
      <w:r w:rsidR="00E61D69" w:rsidRPr="001A1175">
        <w:rPr>
          <w:rFonts w:ascii="Times New Roman" w:hAnsi="Times New Roman"/>
          <w:sz w:val="20"/>
          <w:szCs w:val="20"/>
          <w:lang w:val="en-GB"/>
        </w:rPr>
        <w:t>urvey</w:t>
      </w:r>
      <w:r w:rsidRPr="001A1175">
        <w:rPr>
          <w:rFonts w:ascii="Times New Roman" w:hAnsi="Times New Roman"/>
          <w:sz w:val="20"/>
          <w:szCs w:val="20"/>
          <w:lang w:val="en-GB"/>
        </w:rPr>
        <w:t xml:space="preserve"> Invasive Specie</w:t>
      </w:r>
      <w:r w:rsidR="00E61D69" w:rsidRPr="001A1175">
        <w:rPr>
          <w:rFonts w:ascii="Times New Roman" w:hAnsi="Times New Roman"/>
          <w:sz w:val="20"/>
          <w:szCs w:val="20"/>
          <w:lang w:val="en-GB"/>
        </w:rPr>
        <w:t>s Programme</w:t>
      </w:r>
      <w:r w:rsidR="000365E2">
        <w:rPr>
          <w:rFonts w:ascii="Times New Roman" w:hAnsi="Times New Roman"/>
          <w:sz w:val="20"/>
          <w:szCs w:val="20"/>
          <w:lang w:val="en-GB"/>
        </w:rPr>
        <w:t>, accessible à</w:t>
      </w:r>
      <w:r w:rsidR="007174D1">
        <w:rPr>
          <w:rFonts w:ascii="Times New Roman" w:hAnsi="Times New Roman"/>
          <w:sz w:val="20"/>
          <w:szCs w:val="20"/>
          <w:lang w:val="en-GB"/>
        </w:rPr>
        <w:t xml:space="preserve"> l’adresse</w:t>
      </w:r>
      <w:r w:rsidR="000365E2">
        <w:rPr>
          <w:rFonts w:ascii="Times New Roman" w:hAnsi="Times New Roman"/>
          <w:sz w:val="20"/>
          <w:szCs w:val="20"/>
          <w:lang w:val="en-GB"/>
        </w:rPr>
        <w:t> :</w:t>
      </w:r>
      <w:r w:rsidR="001F0557" w:rsidRPr="001A1175">
        <w:rPr>
          <w:rFonts w:ascii="Times New Roman" w:hAnsi="Times New Roman"/>
          <w:sz w:val="20"/>
          <w:szCs w:val="20"/>
          <w:lang w:val="en-GB"/>
        </w:rPr>
        <w:t xml:space="preserve"> www.usgs.gov/ecosystems/invasive_species/.</w:t>
      </w:r>
    </w:p>
    <w:p w:rsidR="00D3520E" w:rsidRPr="001A1175" w:rsidRDefault="00D3520E" w:rsidP="00D3520E">
      <w:pPr>
        <w:pStyle w:val="Normal-pool"/>
      </w:pPr>
    </w:p>
    <w:tbl>
      <w:tblPr>
        <w:tblW w:w="0" w:type="auto"/>
        <w:tblLook w:val="01E0"/>
      </w:tblPr>
      <w:tblGrid>
        <w:gridCol w:w="3237"/>
        <w:gridCol w:w="3237"/>
        <w:gridCol w:w="3238"/>
      </w:tblGrid>
      <w:tr w:rsidR="00D3520E" w:rsidRPr="001A1175" w:rsidTr="00D3520E">
        <w:tc>
          <w:tcPr>
            <w:tcW w:w="3237" w:type="dxa"/>
          </w:tcPr>
          <w:p w:rsidR="00D3520E" w:rsidRPr="001A1175" w:rsidRDefault="00D3520E" w:rsidP="00D3520E">
            <w:pPr>
              <w:pStyle w:val="Normal-pool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D3520E" w:rsidRPr="001A1175" w:rsidRDefault="00D3520E" w:rsidP="00D3520E">
            <w:pPr>
              <w:pStyle w:val="Normal-pool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</w:tcPr>
          <w:p w:rsidR="00D3520E" w:rsidRPr="001A1175" w:rsidRDefault="00D3520E" w:rsidP="00D3520E">
            <w:pPr>
              <w:pStyle w:val="Normal-pool"/>
              <w:rPr>
                <w:sz w:val="18"/>
                <w:szCs w:val="18"/>
                <w:lang w:eastAsia="en-US"/>
              </w:rPr>
            </w:pPr>
          </w:p>
        </w:tc>
      </w:tr>
    </w:tbl>
    <w:p w:rsidR="00D3520E" w:rsidRPr="001A1175" w:rsidRDefault="00D3520E" w:rsidP="00D3520E">
      <w:pPr>
        <w:pStyle w:val="Normal-pool"/>
        <w:rPr>
          <w:sz w:val="18"/>
          <w:szCs w:val="18"/>
        </w:rPr>
      </w:pPr>
    </w:p>
    <w:sectPr w:rsidR="00D3520E" w:rsidRPr="001A1175" w:rsidSect="00E9220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907" w:right="992" w:bottom="1418" w:left="1418" w:header="539" w:footer="9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45" w:rsidRDefault="00023E45" w:rsidP="000F47EE">
      <w:pPr>
        <w:spacing w:after="0" w:line="240" w:lineRule="auto"/>
      </w:pPr>
      <w:r>
        <w:separator/>
      </w:r>
    </w:p>
  </w:endnote>
  <w:endnote w:type="continuationSeparator" w:id="0">
    <w:p w:rsidR="00023E45" w:rsidRDefault="00023E45" w:rsidP="000F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48" w:rsidRPr="005B136B" w:rsidRDefault="00D11A48">
    <w:pPr>
      <w:pStyle w:val="Footer"/>
      <w:rPr>
        <w:rFonts w:ascii="Times New Roman" w:hAnsi="Times New Roman"/>
        <w:b/>
        <w:sz w:val="18"/>
        <w:szCs w:val="18"/>
      </w:rPr>
    </w:pPr>
    <w:r w:rsidRPr="005B136B">
      <w:rPr>
        <w:rFonts w:ascii="Times New Roman" w:hAnsi="Times New Roman"/>
        <w:b/>
        <w:sz w:val="18"/>
        <w:szCs w:val="18"/>
      </w:rPr>
      <w:fldChar w:fldCharType="begin"/>
    </w:r>
    <w:r w:rsidRPr="005B136B">
      <w:rPr>
        <w:rFonts w:ascii="Times New Roman" w:hAnsi="Times New Roman"/>
        <w:b/>
        <w:sz w:val="18"/>
        <w:szCs w:val="18"/>
      </w:rPr>
      <w:instrText xml:space="preserve"> PAGE   \* MERGEFORMAT </w:instrText>
    </w:r>
    <w:r w:rsidRPr="005B136B">
      <w:rPr>
        <w:rFonts w:ascii="Times New Roman" w:hAnsi="Times New Roman"/>
        <w:b/>
        <w:sz w:val="18"/>
        <w:szCs w:val="18"/>
      </w:rPr>
      <w:fldChar w:fldCharType="separate"/>
    </w:r>
    <w:r w:rsidR="00141293">
      <w:rPr>
        <w:rFonts w:ascii="Times New Roman" w:hAnsi="Times New Roman"/>
        <w:b/>
        <w:noProof/>
        <w:sz w:val="18"/>
        <w:szCs w:val="18"/>
      </w:rPr>
      <w:t>8</w:t>
    </w:r>
    <w:r w:rsidRPr="005B136B">
      <w:rPr>
        <w:rFonts w:ascii="Times New Roman" w:hAnsi="Times New Roman"/>
        <w:b/>
        <w:noProof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48" w:rsidRPr="005B136B" w:rsidRDefault="00D11A48">
    <w:pPr>
      <w:pStyle w:val="Footer"/>
      <w:jc w:val="right"/>
      <w:rPr>
        <w:rFonts w:ascii="Times New Roman" w:hAnsi="Times New Roman"/>
        <w:b/>
        <w:sz w:val="18"/>
        <w:szCs w:val="18"/>
      </w:rPr>
    </w:pPr>
    <w:r w:rsidRPr="005B136B">
      <w:rPr>
        <w:rFonts w:ascii="Times New Roman" w:hAnsi="Times New Roman"/>
        <w:b/>
        <w:sz w:val="18"/>
        <w:szCs w:val="18"/>
      </w:rPr>
      <w:fldChar w:fldCharType="begin"/>
    </w:r>
    <w:r w:rsidRPr="005B136B">
      <w:rPr>
        <w:rFonts w:ascii="Times New Roman" w:hAnsi="Times New Roman"/>
        <w:b/>
        <w:sz w:val="18"/>
        <w:szCs w:val="18"/>
      </w:rPr>
      <w:instrText xml:space="preserve"> PAGE   \* MERGEFORMAT </w:instrText>
    </w:r>
    <w:r w:rsidRPr="005B136B">
      <w:rPr>
        <w:rFonts w:ascii="Times New Roman" w:hAnsi="Times New Roman"/>
        <w:b/>
        <w:sz w:val="18"/>
        <w:szCs w:val="18"/>
      </w:rPr>
      <w:fldChar w:fldCharType="separate"/>
    </w:r>
    <w:r w:rsidR="00141293">
      <w:rPr>
        <w:rFonts w:ascii="Times New Roman" w:hAnsi="Times New Roman"/>
        <w:b/>
        <w:noProof/>
        <w:sz w:val="18"/>
        <w:szCs w:val="18"/>
      </w:rPr>
      <w:t>7</w:t>
    </w:r>
    <w:r w:rsidRPr="005B136B">
      <w:rPr>
        <w:rFonts w:ascii="Times New Roman" w:hAnsi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48" w:rsidRPr="00F812BE" w:rsidRDefault="00B525B0" w:rsidP="00A8379C">
    <w:pPr>
      <w:pStyle w:val="Footer"/>
      <w:tabs>
        <w:tab w:val="clear" w:pos="4680"/>
        <w:tab w:val="clear" w:pos="9360"/>
        <w:tab w:val="left" w:pos="624"/>
      </w:tabs>
      <w:spacing w:before="20" w:after="4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K1353340</w:t>
    </w:r>
    <w:r>
      <w:rPr>
        <w:rFonts w:ascii="Times New Roman" w:hAnsi="Times New Roman"/>
        <w:sz w:val="18"/>
        <w:szCs w:val="18"/>
      </w:rPr>
      <w:tab/>
      <w:t>15</w:t>
    </w:r>
    <w:r w:rsidR="00971587">
      <w:rPr>
        <w:rFonts w:ascii="Times New Roman" w:hAnsi="Times New Roman"/>
        <w:sz w:val="18"/>
        <w:szCs w:val="18"/>
      </w:rPr>
      <w:t>11</w:t>
    </w:r>
    <w:r w:rsidR="00D11A48" w:rsidRPr="00F812BE">
      <w:rPr>
        <w:rFonts w:ascii="Times New Roman" w:hAnsi="Times New Roman"/>
        <w:sz w:val="18"/>
        <w:szCs w:val="18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45" w:rsidRDefault="00023E45" w:rsidP="000F47EE">
      <w:pPr>
        <w:spacing w:after="0" w:line="240" w:lineRule="auto"/>
      </w:pPr>
      <w:r>
        <w:separator/>
      </w:r>
    </w:p>
  </w:footnote>
  <w:footnote w:type="continuationSeparator" w:id="0">
    <w:p w:rsidR="00023E45" w:rsidRDefault="00023E45" w:rsidP="000F47EE">
      <w:pPr>
        <w:spacing w:after="0" w:line="240" w:lineRule="auto"/>
      </w:pPr>
      <w:r>
        <w:continuationSeparator/>
      </w:r>
    </w:p>
  </w:footnote>
  <w:footnote w:id="1">
    <w:p w:rsidR="00D11A48" w:rsidRPr="00FE0DD8" w:rsidRDefault="00D11A48" w:rsidP="00F812BE">
      <w:pPr>
        <w:pStyle w:val="FootnoteText"/>
        <w:tabs>
          <w:tab w:val="left" w:pos="624"/>
        </w:tabs>
        <w:spacing w:before="20" w:after="40"/>
        <w:ind w:left="1247"/>
        <w:rPr>
          <w:rFonts w:ascii="Times New Roman" w:hAnsi="Times New Roman"/>
          <w:sz w:val="18"/>
          <w:szCs w:val="18"/>
        </w:rPr>
      </w:pPr>
      <w:r w:rsidRPr="00FE0DD8">
        <w:rPr>
          <w:rStyle w:val="FootnoteReference"/>
          <w:rFonts w:ascii="Times New Roman" w:hAnsi="Times New Roman"/>
          <w:sz w:val="18"/>
          <w:szCs w:val="18"/>
        </w:rPr>
        <w:sym w:font="Symbol" w:char="F02A"/>
      </w:r>
      <w:r w:rsidRPr="00FE0DD8">
        <w:rPr>
          <w:rFonts w:ascii="Times New Roman" w:hAnsi="Times New Roman"/>
          <w:sz w:val="18"/>
          <w:szCs w:val="18"/>
        </w:rPr>
        <w:t xml:space="preserve"> IPBES/</w:t>
      </w:r>
      <w:r w:rsidRPr="00FE0DD8">
        <w:rPr>
          <w:rFonts w:ascii="Times New Roman" w:hAnsi="Times New Roman"/>
          <w:sz w:val="18"/>
          <w:szCs w:val="18"/>
          <w:lang w:eastAsia="ja-JP"/>
        </w:rPr>
        <w:t>2/1.</w:t>
      </w:r>
    </w:p>
  </w:footnote>
  <w:footnote w:id="2">
    <w:p w:rsidR="00D11A48" w:rsidRPr="006E2D70" w:rsidRDefault="00D11A48" w:rsidP="006E2D70">
      <w:pPr>
        <w:pStyle w:val="FootnoteText"/>
        <w:tabs>
          <w:tab w:val="left" w:pos="624"/>
        </w:tabs>
        <w:spacing w:before="20" w:after="40"/>
        <w:ind w:left="1247"/>
        <w:rPr>
          <w:rFonts w:ascii="Times New Roman" w:hAnsi="Times New Roman"/>
          <w:sz w:val="18"/>
          <w:szCs w:val="18"/>
          <w:lang w:val="fr-CA"/>
        </w:rPr>
      </w:pPr>
      <w:r w:rsidRPr="00FE0DD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E2D70">
        <w:rPr>
          <w:rFonts w:ascii="Times New Roman" w:hAnsi="Times New Roman"/>
          <w:sz w:val="18"/>
          <w:szCs w:val="18"/>
          <w:lang w:val="fr-CA"/>
        </w:rPr>
        <w:t xml:space="preserve"> Accessible</w:t>
      </w:r>
      <w:r>
        <w:rPr>
          <w:rFonts w:ascii="Times New Roman" w:hAnsi="Times New Roman"/>
          <w:sz w:val="18"/>
          <w:szCs w:val="18"/>
          <w:lang w:val="fr-CA"/>
        </w:rPr>
        <w:t>s</w:t>
      </w:r>
      <w:r w:rsidRPr="006E2D70">
        <w:rPr>
          <w:rFonts w:ascii="Times New Roman" w:hAnsi="Times New Roman"/>
          <w:sz w:val="18"/>
          <w:szCs w:val="18"/>
          <w:lang w:val="fr-CA"/>
        </w:rPr>
        <w:t xml:space="preserve"> à</w:t>
      </w:r>
      <w:r>
        <w:rPr>
          <w:rFonts w:ascii="Times New Roman" w:hAnsi="Times New Roman"/>
          <w:sz w:val="18"/>
          <w:szCs w:val="18"/>
          <w:lang w:val="fr-CA"/>
        </w:rPr>
        <w:t xml:space="preserve"> l’adresse: </w:t>
      </w:r>
      <w:r w:rsidRPr="006E2D70">
        <w:rPr>
          <w:rFonts w:ascii="Times New Roman" w:hAnsi="Times New Roman"/>
          <w:sz w:val="18"/>
          <w:szCs w:val="18"/>
          <w:lang w:val="fr-CA"/>
        </w:rPr>
        <w:t>//www.cbd.int/sp/targets.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48" w:rsidRPr="00F812BE" w:rsidRDefault="00D11A48" w:rsidP="00D3520E">
    <w:pPr>
      <w:pStyle w:val="BBTitle"/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3332"/>
      </w:tabs>
      <w:spacing w:before="0" w:after="0"/>
      <w:ind w:left="0" w:right="49"/>
      <w:rPr>
        <w:sz w:val="18"/>
        <w:szCs w:val="18"/>
      </w:rPr>
    </w:pPr>
    <w:r w:rsidRPr="00F812BE">
      <w:rPr>
        <w:sz w:val="18"/>
        <w:szCs w:val="18"/>
      </w:rPr>
      <w:t>IPBES/2/16/Add.3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48" w:rsidRPr="00F812BE" w:rsidRDefault="00D11A48" w:rsidP="00D3520E">
    <w:pPr>
      <w:pStyle w:val="BBTitle"/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3332"/>
      </w:tabs>
      <w:spacing w:before="0" w:after="0"/>
      <w:ind w:left="0" w:right="49"/>
      <w:jc w:val="right"/>
      <w:rPr>
        <w:sz w:val="18"/>
        <w:szCs w:val="18"/>
      </w:rPr>
    </w:pPr>
    <w:r w:rsidRPr="00F812BE">
      <w:rPr>
        <w:sz w:val="18"/>
        <w:szCs w:val="18"/>
      </w:rPr>
      <w:t>IPBES/2/16/Add.3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C3C"/>
    <w:multiLevelType w:val="hybridMultilevel"/>
    <w:tmpl w:val="62A018B6"/>
    <w:lvl w:ilvl="0" w:tplc="0409000F">
      <w:start w:val="1"/>
      <w:numFmt w:val="decimal"/>
      <w:lvlText w:val="%1."/>
      <w:lvlJc w:val="left"/>
      <w:pPr>
        <w:ind w:left="7920" w:hanging="360"/>
      </w:pPr>
    </w:lvl>
    <w:lvl w:ilvl="1" w:tplc="04090019">
      <w:start w:val="1"/>
      <w:numFmt w:val="lowerLetter"/>
      <w:lvlText w:val="%2."/>
      <w:lvlJc w:val="left"/>
      <w:pPr>
        <w:ind w:left="4577" w:hanging="360"/>
      </w:pPr>
    </w:lvl>
    <w:lvl w:ilvl="2" w:tplc="0409001B" w:tentative="1">
      <w:start w:val="1"/>
      <w:numFmt w:val="lowerRoman"/>
      <w:lvlText w:val="%3."/>
      <w:lvlJc w:val="right"/>
      <w:pPr>
        <w:ind w:left="5297" w:hanging="180"/>
      </w:pPr>
    </w:lvl>
    <w:lvl w:ilvl="3" w:tplc="0409000F" w:tentative="1">
      <w:start w:val="1"/>
      <w:numFmt w:val="decimal"/>
      <w:lvlText w:val="%4."/>
      <w:lvlJc w:val="left"/>
      <w:pPr>
        <w:ind w:left="6017" w:hanging="360"/>
      </w:pPr>
    </w:lvl>
    <w:lvl w:ilvl="4" w:tplc="04090019" w:tentative="1">
      <w:start w:val="1"/>
      <w:numFmt w:val="lowerLetter"/>
      <w:lvlText w:val="%5."/>
      <w:lvlJc w:val="left"/>
      <w:pPr>
        <w:ind w:left="6737" w:hanging="360"/>
      </w:pPr>
    </w:lvl>
    <w:lvl w:ilvl="5" w:tplc="0409001B" w:tentative="1">
      <w:start w:val="1"/>
      <w:numFmt w:val="lowerRoman"/>
      <w:lvlText w:val="%6."/>
      <w:lvlJc w:val="right"/>
      <w:pPr>
        <w:ind w:left="7457" w:hanging="180"/>
      </w:pPr>
    </w:lvl>
    <w:lvl w:ilvl="6" w:tplc="0409000F" w:tentative="1">
      <w:start w:val="1"/>
      <w:numFmt w:val="decimal"/>
      <w:lvlText w:val="%7."/>
      <w:lvlJc w:val="left"/>
      <w:pPr>
        <w:ind w:left="8177" w:hanging="360"/>
      </w:pPr>
    </w:lvl>
    <w:lvl w:ilvl="7" w:tplc="04090019" w:tentative="1">
      <w:start w:val="1"/>
      <w:numFmt w:val="lowerLetter"/>
      <w:lvlText w:val="%8."/>
      <w:lvlJc w:val="left"/>
      <w:pPr>
        <w:ind w:left="8897" w:hanging="360"/>
      </w:pPr>
    </w:lvl>
    <w:lvl w:ilvl="8" w:tplc="0409001B" w:tentative="1">
      <w:start w:val="1"/>
      <w:numFmt w:val="lowerRoman"/>
      <w:lvlText w:val="%9."/>
      <w:lvlJc w:val="right"/>
      <w:pPr>
        <w:ind w:left="9617" w:hanging="180"/>
      </w:pPr>
    </w:lvl>
  </w:abstractNum>
  <w:abstractNum w:abstractNumId="1">
    <w:nsid w:val="0FD6290E"/>
    <w:multiLevelType w:val="hybridMultilevel"/>
    <w:tmpl w:val="FCA2944C"/>
    <w:lvl w:ilvl="0" w:tplc="8C9CCDD4">
      <w:start w:val="1"/>
      <w:numFmt w:val="lowerLetter"/>
      <w:lvlText w:val="(%1)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>
    <w:nsid w:val="0FDD4802"/>
    <w:multiLevelType w:val="hybridMultilevel"/>
    <w:tmpl w:val="9E1C06CA"/>
    <w:lvl w:ilvl="0" w:tplc="EC483968">
      <w:start w:val="1"/>
      <w:numFmt w:val="upperLetter"/>
      <w:lvlText w:val="%1."/>
      <w:lvlJc w:val="left"/>
      <w:pPr>
        <w:ind w:left="147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171113A7"/>
    <w:multiLevelType w:val="multilevel"/>
    <w:tmpl w:val="927E7298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>
    <w:nsid w:val="1AD0660F"/>
    <w:multiLevelType w:val="hybridMultilevel"/>
    <w:tmpl w:val="2A78A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7517"/>
    <w:multiLevelType w:val="hybridMultilevel"/>
    <w:tmpl w:val="7B866AFE"/>
    <w:lvl w:ilvl="0" w:tplc="200A72E6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BA25D6"/>
    <w:multiLevelType w:val="hybridMultilevel"/>
    <w:tmpl w:val="5B6C959C"/>
    <w:lvl w:ilvl="0" w:tplc="83C808FE">
      <w:start w:val="1"/>
      <w:numFmt w:val="lowerLetter"/>
      <w:lvlText w:val="(%1)"/>
      <w:lvlJc w:val="left"/>
      <w:pPr>
        <w:ind w:left="3125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5" w:hanging="360"/>
      </w:pPr>
    </w:lvl>
    <w:lvl w:ilvl="2" w:tplc="0409001B" w:tentative="1">
      <w:start w:val="1"/>
      <w:numFmt w:val="lowerRoman"/>
      <w:lvlText w:val="%3."/>
      <w:lvlJc w:val="right"/>
      <w:pPr>
        <w:ind w:left="4295" w:hanging="180"/>
      </w:pPr>
    </w:lvl>
    <w:lvl w:ilvl="3" w:tplc="0409000F" w:tentative="1">
      <w:start w:val="1"/>
      <w:numFmt w:val="decimal"/>
      <w:lvlText w:val="%4."/>
      <w:lvlJc w:val="left"/>
      <w:pPr>
        <w:ind w:left="5015" w:hanging="360"/>
      </w:pPr>
    </w:lvl>
    <w:lvl w:ilvl="4" w:tplc="04090019" w:tentative="1">
      <w:start w:val="1"/>
      <w:numFmt w:val="lowerLetter"/>
      <w:lvlText w:val="%5."/>
      <w:lvlJc w:val="left"/>
      <w:pPr>
        <w:ind w:left="5735" w:hanging="360"/>
      </w:pPr>
    </w:lvl>
    <w:lvl w:ilvl="5" w:tplc="0409001B" w:tentative="1">
      <w:start w:val="1"/>
      <w:numFmt w:val="lowerRoman"/>
      <w:lvlText w:val="%6."/>
      <w:lvlJc w:val="right"/>
      <w:pPr>
        <w:ind w:left="6455" w:hanging="180"/>
      </w:pPr>
    </w:lvl>
    <w:lvl w:ilvl="6" w:tplc="0409000F" w:tentative="1">
      <w:start w:val="1"/>
      <w:numFmt w:val="decimal"/>
      <w:lvlText w:val="%7."/>
      <w:lvlJc w:val="left"/>
      <w:pPr>
        <w:ind w:left="7175" w:hanging="360"/>
      </w:pPr>
    </w:lvl>
    <w:lvl w:ilvl="7" w:tplc="04090019" w:tentative="1">
      <w:start w:val="1"/>
      <w:numFmt w:val="lowerLetter"/>
      <w:lvlText w:val="%8."/>
      <w:lvlJc w:val="left"/>
      <w:pPr>
        <w:ind w:left="7895" w:hanging="360"/>
      </w:pPr>
    </w:lvl>
    <w:lvl w:ilvl="8" w:tplc="0409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7">
    <w:nsid w:val="317B7E0A"/>
    <w:multiLevelType w:val="hybridMultilevel"/>
    <w:tmpl w:val="1B0630EA"/>
    <w:lvl w:ilvl="0" w:tplc="2CD4310C">
      <w:start w:val="22"/>
      <w:numFmt w:val="lowerLetter"/>
      <w:lvlText w:val="(%1)"/>
      <w:lvlJc w:val="left"/>
      <w:pPr>
        <w:ind w:left="2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5" w:hanging="360"/>
      </w:pPr>
    </w:lvl>
    <w:lvl w:ilvl="2" w:tplc="0409001B" w:tentative="1">
      <w:start w:val="1"/>
      <w:numFmt w:val="lowerRoman"/>
      <w:lvlText w:val="%3."/>
      <w:lvlJc w:val="right"/>
      <w:pPr>
        <w:ind w:left="4295" w:hanging="180"/>
      </w:pPr>
    </w:lvl>
    <w:lvl w:ilvl="3" w:tplc="0409000F" w:tentative="1">
      <w:start w:val="1"/>
      <w:numFmt w:val="decimal"/>
      <w:lvlText w:val="%4."/>
      <w:lvlJc w:val="left"/>
      <w:pPr>
        <w:ind w:left="5015" w:hanging="360"/>
      </w:pPr>
    </w:lvl>
    <w:lvl w:ilvl="4" w:tplc="04090019" w:tentative="1">
      <w:start w:val="1"/>
      <w:numFmt w:val="lowerLetter"/>
      <w:lvlText w:val="%5."/>
      <w:lvlJc w:val="left"/>
      <w:pPr>
        <w:ind w:left="5735" w:hanging="360"/>
      </w:pPr>
    </w:lvl>
    <w:lvl w:ilvl="5" w:tplc="0409001B" w:tentative="1">
      <w:start w:val="1"/>
      <w:numFmt w:val="lowerRoman"/>
      <w:lvlText w:val="%6."/>
      <w:lvlJc w:val="right"/>
      <w:pPr>
        <w:ind w:left="6455" w:hanging="180"/>
      </w:pPr>
    </w:lvl>
    <w:lvl w:ilvl="6" w:tplc="0409000F" w:tentative="1">
      <w:start w:val="1"/>
      <w:numFmt w:val="decimal"/>
      <w:lvlText w:val="%7."/>
      <w:lvlJc w:val="left"/>
      <w:pPr>
        <w:ind w:left="7175" w:hanging="360"/>
      </w:pPr>
    </w:lvl>
    <w:lvl w:ilvl="7" w:tplc="04090019" w:tentative="1">
      <w:start w:val="1"/>
      <w:numFmt w:val="lowerLetter"/>
      <w:lvlText w:val="%8."/>
      <w:lvlJc w:val="left"/>
      <w:pPr>
        <w:ind w:left="7895" w:hanging="360"/>
      </w:pPr>
    </w:lvl>
    <w:lvl w:ilvl="8" w:tplc="0409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8">
    <w:nsid w:val="320B165C"/>
    <w:multiLevelType w:val="hybridMultilevel"/>
    <w:tmpl w:val="5934B428"/>
    <w:lvl w:ilvl="0" w:tplc="7AA0D4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BA56DD"/>
    <w:multiLevelType w:val="hybridMultilevel"/>
    <w:tmpl w:val="2CF64F8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34E27CF8"/>
    <w:multiLevelType w:val="hybridMultilevel"/>
    <w:tmpl w:val="FFCE4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F5EA5"/>
    <w:multiLevelType w:val="hybridMultilevel"/>
    <w:tmpl w:val="5086AAE8"/>
    <w:lvl w:ilvl="0" w:tplc="68BA0E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3">
    <w:nsid w:val="6078355A"/>
    <w:multiLevelType w:val="hybridMultilevel"/>
    <w:tmpl w:val="F3F22250"/>
    <w:lvl w:ilvl="0" w:tplc="56265ED8">
      <w:start w:val="1"/>
      <w:numFmt w:val="upperRoman"/>
      <w:lvlText w:val="%1."/>
      <w:lvlJc w:val="left"/>
      <w:pPr>
        <w:ind w:left="19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4">
    <w:nsid w:val="656654DA"/>
    <w:multiLevelType w:val="hybridMultilevel"/>
    <w:tmpl w:val="F7B0B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709F4"/>
    <w:multiLevelType w:val="hybridMultilevel"/>
    <w:tmpl w:val="92A425F6"/>
    <w:lvl w:ilvl="0" w:tplc="0BBA1BE6">
      <w:start w:val="9"/>
      <w:numFmt w:val="lowerLetter"/>
      <w:lvlText w:val="(%1)"/>
      <w:lvlJc w:val="left"/>
      <w:pPr>
        <w:ind w:left="2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5" w:hanging="360"/>
      </w:pPr>
    </w:lvl>
    <w:lvl w:ilvl="2" w:tplc="0409001B" w:tentative="1">
      <w:start w:val="1"/>
      <w:numFmt w:val="lowerRoman"/>
      <w:lvlText w:val="%3."/>
      <w:lvlJc w:val="right"/>
      <w:pPr>
        <w:ind w:left="4295" w:hanging="180"/>
      </w:pPr>
    </w:lvl>
    <w:lvl w:ilvl="3" w:tplc="0409000F" w:tentative="1">
      <w:start w:val="1"/>
      <w:numFmt w:val="decimal"/>
      <w:lvlText w:val="%4."/>
      <w:lvlJc w:val="left"/>
      <w:pPr>
        <w:ind w:left="5015" w:hanging="360"/>
      </w:pPr>
    </w:lvl>
    <w:lvl w:ilvl="4" w:tplc="04090019" w:tentative="1">
      <w:start w:val="1"/>
      <w:numFmt w:val="lowerLetter"/>
      <w:lvlText w:val="%5."/>
      <w:lvlJc w:val="left"/>
      <w:pPr>
        <w:ind w:left="5735" w:hanging="360"/>
      </w:pPr>
    </w:lvl>
    <w:lvl w:ilvl="5" w:tplc="0409001B" w:tentative="1">
      <w:start w:val="1"/>
      <w:numFmt w:val="lowerRoman"/>
      <w:lvlText w:val="%6."/>
      <w:lvlJc w:val="right"/>
      <w:pPr>
        <w:ind w:left="6455" w:hanging="180"/>
      </w:pPr>
    </w:lvl>
    <w:lvl w:ilvl="6" w:tplc="0409000F" w:tentative="1">
      <w:start w:val="1"/>
      <w:numFmt w:val="decimal"/>
      <w:lvlText w:val="%7."/>
      <w:lvlJc w:val="left"/>
      <w:pPr>
        <w:ind w:left="7175" w:hanging="360"/>
      </w:pPr>
    </w:lvl>
    <w:lvl w:ilvl="7" w:tplc="04090019" w:tentative="1">
      <w:start w:val="1"/>
      <w:numFmt w:val="lowerLetter"/>
      <w:lvlText w:val="%8."/>
      <w:lvlJc w:val="left"/>
      <w:pPr>
        <w:ind w:left="7895" w:hanging="360"/>
      </w:pPr>
    </w:lvl>
    <w:lvl w:ilvl="8" w:tplc="0409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16">
    <w:nsid w:val="6CD27F88"/>
    <w:multiLevelType w:val="hybridMultilevel"/>
    <w:tmpl w:val="98EAF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">
    <w:abstractNumId w:val="13"/>
  </w:num>
  <w:num w:numId="13">
    <w:abstractNumId w:val="6"/>
  </w:num>
  <w:num w:numId="14">
    <w:abstractNumId w:val="5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624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dgnword-docGUID" w:val="{0A0F9FCA-61DE-4514-A3CF-4B385807CEC1}"/>
    <w:docVar w:name="dgnword-eventsink" w:val="100825472"/>
  </w:docVars>
  <w:rsids>
    <w:rsidRoot w:val="000F47EE"/>
    <w:rsid w:val="00002B91"/>
    <w:rsid w:val="00003E2C"/>
    <w:rsid w:val="00004200"/>
    <w:rsid w:val="00023E45"/>
    <w:rsid w:val="00026D31"/>
    <w:rsid w:val="000365E2"/>
    <w:rsid w:val="0004422D"/>
    <w:rsid w:val="0005076E"/>
    <w:rsid w:val="00057B42"/>
    <w:rsid w:val="00077E48"/>
    <w:rsid w:val="00083353"/>
    <w:rsid w:val="00084213"/>
    <w:rsid w:val="000A34C4"/>
    <w:rsid w:val="000A5B81"/>
    <w:rsid w:val="000A7C85"/>
    <w:rsid w:val="000C4463"/>
    <w:rsid w:val="000C6CA3"/>
    <w:rsid w:val="000D41D9"/>
    <w:rsid w:val="000E56E4"/>
    <w:rsid w:val="000F072C"/>
    <w:rsid w:val="000F104A"/>
    <w:rsid w:val="000F47EE"/>
    <w:rsid w:val="000F7176"/>
    <w:rsid w:val="00102BFD"/>
    <w:rsid w:val="0010331C"/>
    <w:rsid w:val="001174E4"/>
    <w:rsid w:val="0012321A"/>
    <w:rsid w:val="0012550A"/>
    <w:rsid w:val="001259A7"/>
    <w:rsid w:val="00126BB9"/>
    <w:rsid w:val="001350CC"/>
    <w:rsid w:val="00137B3B"/>
    <w:rsid w:val="00141293"/>
    <w:rsid w:val="00141ADD"/>
    <w:rsid w:val="0014249F"/>
    <w:rsid w:val="001466BD"/>
    <w:rsid w:val="00152C1C"/>
    <w:rsid w:val="00164E9D"/>
    <w:rsid w:val="00166350"/>
    <w:rsid w:val="00170D8B"/>
    <w:rsid w:val="001718CA"/>
    <w:rsid w:val="00174F80"/>
    <w:rsid w:val="00181225"/>
    <w:rsid w:val="00182518"/>
    <w:rsid w:val="001860A8"/>
    <w:rsid w:val="00193C85"/>
    <w:rsid w:val="00194113"/>
    <w:rsid w:val="001A05FB"/>
    <w:rsid w:val="001A1175"/>
    <w:rsid w:val="001A36FD"/>
    <w:rsid w:val="001B12B4"/>
    <w:rsid w:val="001B4EBA"/>
    <w:rsid w:val="001C7262"/>
    <w:rsid w:val="001D0453"/>
    <w:rsid w:val="001D35A8"/>
    <w:rsid w:val="001E2AFD"/>
    <w:rsid w:val="001E3C26"/>
    <w:rsid w:val="001F0557"/>
    <w:rsid w:val="001F118E"/>
    <w:rsid w:val="001F2EF0"/>
    <w:rsid w:val="001F3A51"/>
    <w:rsid w:val="001F41D5"/>
    <w:rsid w:val="00201691"/>
    <w:rsid w:val="002032B8"/>
    <w:rsid w:val="00215B44"/>
    <w:rsid w:val="00215EEE"/>
    <w:rsid w:val="0022709D"/>
    <w:rsid w:val="00240F53"/>
    <w:rsid w:val="00245929"/>
    <w:rsid w:val="00247381"/>
    <w:rsid w:val="00257885"/>
    <w:rsid w:val="002612BC"/>
    <w:rsid w:val="002706E8"/>
    <w:rsid w:val="00275092"/>
    <w:rsid w:val="00283DBC"/>
    <w:rsid w:val="00283E89"/>
    <w:rsid w:val="00286E0E"/>
    <w:rsid w:val="00292EFF"/>
    <w:rsid w:val="0029430A"/>
    <w:rsid w:val="002A4EB9"/>
    <w:rsid w:val="002A504C"/>
    <w:rsid w:val="002B1BC6"/>
    <w:rsid w:val="002B4E65"/>
    <w:rsid w:val="002D4C5A"/>
    <w:rsid w:val="002D5264"/>
    <w:rsid w:val="002D5E9B"/>
    <w:rsid w:val="002E268B"/>
    <w:rsid w:val="002E7059"/>
    <w:rsid w:val="002F1D1A"/>
    <w:rsid w:val="002F4179"/>
    <w:rsid w:val="00306052"/>
    <w:rsid w:val="00307526"/>
    <w:rsid w:val="00316B33"/>
    <w:rsid w:val="003209D9"/>
    <w:rsid w:val="0032436E"/>
    <w:rsid w:val="00330237"/>
    <w:rsid w:val="0033139F"/>
    <w:rsid w:val="00347974"/>
    <w:rsid w:val="003507C4"/>
    <w:rsid w:val="00355AE8"/>
    <w:rsid w:val="003565A3"/>
    <w:rsid w:val="0036462A"/>
    <w:rsid w:val="003703E7"/>
    <w:rsid w:val="00376E97"/>
    <w:rsid w:val="00380574"/>
    <w:rsid w:val="0038419D"/>
    <w:rsid w:val="003A0714"/>
    <w:rsid w:val="003A490A"/>
    <w:rsid w:val="003B062C"/>
    <w:rsid w:val="003C2FC7"/>
    <w:rsid w:val="003C3CB5"/>
    <w:rsid w:val="003C5A06"/>
    <w:rsid w:val="003C7637"/>
    <w:rsid w:val="003D24F7"/>
    <w:rsid w:val="003D3FE4"/>
    <w:rsid w:val="003E128C"/>
    <w:rsid w:val="003E7A16"/>
    <w:rsid w:val="003F68A2"/>
    <w:rsid w:val="00400911"/>
    <w:rsid w:val="00400EDB"/>
    <w:rsid w:val="004074B9"/>
    <w:rsid w:val="00410A31"/>
    <w:rsid w:val="00415911"/>
    <w:rsid w:val="004201A8"/>
    <w:rsid w:val="004230BB"/>
    <w:rsid w:val="00433479"/>
    <w:rsid w:val="00433FE4"/>
    <w:rsid w:val="00440D75"/>
    <w:rsid w:val="00446070"/>
    <w:rsid w:val="004508DE"/>
    <w:rsid w:val="0045136F"/>
    <w:rsid w:val="00456C17"/>
    <w:rsid w:val="00460E55"/>
    <w:rsid w:val="004653AB"/>
    <w:rsid w:val="00473C97"/>
    <w:rsid w:val="00473FC9"/>
    <w:rsid w:val="0047576F"/>
    <w:rsid w:val="004811B3"/>
    <w:rsid w:val="00484955"/>
    <w:rsid w:val="00496BDE"/>
    <w:rsid w:val="004A103F"/>
    <w:rsid w:val="004A7781"/>
    <w:rsid w:val="004B7C3A"/>
    <w:rsid w:val="004D116C"/>
    <w:rsid w:val="00502C85"/>
    <w:rsid w:val="00521F51"/>
    <w:rsid w:val="00522D59"/>
    <w:rsid w:val="00524B4A"/>
    <w:rsid w:val="00535AF0"/>
    <w:rsid w:val="00536838"/>
    <w:rsid w:val="00543F2D"/>
    <w:rsid w:val="005463C9"/>
    <w:rsid w:val="00552857"/>
    <w:rsid w:val="0056035C"/>
    <w:rsid w:val="005674F6"/>
    <w:rsid w:val="0058009A"/>
    <w:rsid w:val="0058129F"/>
    <w:rsid w:val="00582ADE"/>
    <w:rsid w:val="00582AE2"/>
    <w:rsid w:val="00586F83"/>
    <w:rsid w:val="00591051"/>
    <w:rsid w:val="0059667B"/>
    <w:rsid w:val="00596C4C"/>
    <w:rsid w:val="005A33CE"/>
    <w:rsid w:val="005A41BC"/>
    <w:rsid w:val="005B136B"/>
    <w:rsid w:val="005B1BDF"/>
    <w:rsid w:val="005B59BF"/>
    <w:rsid w:val="005D391C"/>
    <w:rsid w:val="005D639F"/>
    <w:rsid w:val="005D7CC3"/>
    <w:rsid w:val="005E63E1"/>
    <w:rsid w:val="005E6C39"/>
    <w:rsid w:val="0060041F"/>
    <w:rsid w:val="00600A2D"/>
    <w:rsid w:val="006020AE"/>
    <w:rsid w:val="00604612"/>
    <w:rsid w:val="006151EE"/>
    <w:rsid w:val="00625719"/>
    <w:rsid w:val="0063074C"/>
    <w:rsid w:val="006314B1"/>
    <w:rsid w:val="00636800"/>
    <w:rsid w:val="00636903"/>
    <w:rsid w:val="006435AD"/>
    <w:rsid w:val="00645511"/>
    <w:rsid w:val="006516C6"/>
    <w:rsid w:val="00651F18"/>
    <w:rsid w:val="00655501"/>
    <w:rsid w:val="00664434"/>
    <w:rsid w:val="00664C30"/>
    <w:rsid w:val="0066715F"/>
    <w:rsid w:val="00667DD2"/>
    <w:rsid w:val="006748D8"/>
    <w:rsid w:val="00686E4A"/>
    <w:rsid w:val="006A626C"/>
    <w:rsid w:val="006C4211"/>
    <w:rsid w:val="006C489E"/>
    <w:rsid w:val="006C627D"/>
    <w:rsid w:val="006C7370"/>
    <w:rsid w:val="006E2D70"/>
    <w:rsid w:val="006F5B0B"/>
    <w:rsid w:val="00704F74"/>
    <w:rsid w:val="007062B5"/>
    <w:rsid w:val="007142D5"/>
    <w:rsid w:val="007174D1"/>
    <w:rsid w:val="0072137A"/>
    <w:rsid w:val="0072150B"/>
    <w:rsid w:val="00733121"/>
    <w:rsid w:val="007358DA"/>
    <w:rsid w:val="007671FB"/>
    <w:rsid w:val="007737AC"/>
    <w:rsid w:val="0077533B"/>
    <w:rsid w:val="00775BD3"/>
    <w:rsid w:val="00780B93"/>
    <w:rsid w:val="00796602"/>
    <w:rsid w:val="007A0E94"/>
    <w:rsid w:val="007B5FFA"/>
    <w:rsid w:val="007E69D2"/>
    <w:rsid w:val="007F1F94"/>
    <w:rsid w:val="007F31EC"/>
    <w:rsid w:val="007F4970"/>
    <w:rsid w:val="00800977"/>
    <w:rsid w:val="008252A7"/>
    <w:rsid w:val="008355F4"/>
    <w:rsid w:val="00835C13"/>
    <w:rsid w:val="00837DA8"/>
    <w:rsid w:val="00844728"/>
    <w:rsid w:val="00844E7C"/>
    <w:rsid w:val="00845458"/>
    <w:rsid w:val="00847B11"/>
    <w:rsid w:val="00865157"/>
    <w:rsid w:val="0087228E"/>
    <w:rsid w:val="00883B24"/>
    <w:rsid w:val="00886520"/>
    <w:rsid w:val="0089570F"/>
    <w:rsid w:val="008A01FA"/>
    <w:rsid w:val="008A5A0A"/>
    <w:rsid w:val="008B4DE7"/>
    <w:rsid w:val="008C4605"/>
    <w:rsid w:val="008E79F9"/>
    <w:rsid w:val="009029AF"/>
    <w:rsid w:val="009044DF"/>
    <w:rsid w:val="009157F5"/>
    <w:rsid w:val="0091603B"/>
    <w:rsid w:val="00925015"/>
    <w:rsid w:val="0092600A"/>
    <w:rsid w:val="00927A63"/>
    <w:rsid w:val="00956AD1"/>
    <w:rsid w:val="00961B5C"/>
    <w:rsid w:val="00971587"/>
    <w:rsid w:val="009739B5"/>
    <w:rsid w:val="00973F40"/>
    <w:rsid w:val="00987DDB"/>
    <w:rsid w:val="009A0020"/>
    <w:rsid w:val="009B25A2"/>
    <w:rsid w:val="009B381A"/>
    <w:rsid w:val="009C2507"/>
    <w:rsid w:val="009C2ACE"/>
    <w:rsid w:val="009C40AA"/>
    <w:rsid w:val="009C4FA7"/>
    <w:rsid w:val="009C6BD5"/>
    <w:rsid w:val="009D4AD9"/>
    <w:rsid w:val="009D5C31"/>
    <w:rsid w:val="009D6F09"/>
    <w:rsid w:val="009D7AC0"/>
    <w:rsid w:val="009E7B4B"/>
    <w:rsid w:val="00A03B38"/>
    <w:rsid w:val="00A067C2"/>
    <w:rsid w:val="00A107AD"/>
    <w:rsid w:val="00A1302B"/>
    <w:rsid w:val="00A1544E"/>
    <w:rsid w:val="00A16BF2"/>
    <w:rsid w:val="00A20391"/>
    <w:rsid w:val="00A35CB8"/>
    <w:rsid w:val="00A365D6"/>
    <w:rsid w:val="00A368E5"/>
    <w:rsid w:val="00A53932"/>
    <w:rsid w:val="00A54B9C"/>
    <w:rsid w:val="00A6116F"/>
    <w:rsid w:val="00A64805"/>
    <w:rsid w:val="00A80479"/>
    <w:rsid w:val="00A8379C"/>
    <w:rsid w:val="00A93B94"/>
    <w:rsid w:val="00AD3A7B"/>
    <w:rsid w:val="00AD62BE"/>
    <w:rsid w:val="00AE1A42"/>
    <w:rsid w:val="00AE74E9"/>
    <w:rsid w:val="00AF1A28"/>
    <w:rsid w:val="00AF49C8"/>
    <w:rsid w:val="00B05DA1"/>
    <w:rsid w:val="00B06C7E"/>
    <w:rsid w:val="00B1436B"/>
    <w:rsid w:val="00B20358"/>
    <w:rsid w:val="00B22911"/>
    <w:rsid w:val="00B25386"/>
    <w:rsid w:val="00B278D4"/>
    <w:rsid w:val="00B30F89"/>
    <w:rsid w:val="00B32DC0"/>
    <w:rsid w:val="00B33FA6"/>
    <w:rsid w:val="00B3433B"/>
    <w:rsid w:val="00B4770E"/>
    <w:rsid w:val="00B525B0"/>
    <w:rsid w:val="00B52CC4"/>
    <w:rsid w:val="00B53CE7"/>
    <w:rsid w:val="00B54FED"/>
    <w:rsid w:val="00B56C57"/>
    <w:rsid w:val="00B6325C"/>
    <w:rsid w:val="00B641CF"/>
    <w:rsid w:val="00B73BF8"/>
    <w:rsid w:val="00B8773B"/>
    <w:rsid w:val="00B90739"/>
    <w:rsid w:val="00B960F4"/>
    <w:rsid w:val="00B9636F"/>
    <w:rsid w:val="00BA003A"/>
    <w:rsid w:val="00BA7E00"/>
    <w:rsid w:val="00BB0C3C"/>
    <w:rsid w:val="00BC04E4"/>
    <w:rsid w:val="00BC5739"/>
    <w:rsid w:val="00BC7B27"/>
    <w:rsid w:val="00BD295C"/>
    <w:rsid w:val="00BD3C49"/>
    <w:rsid w:val="00BE0521"/>
    <w:rsid w:val="00BE23D0"/>
    <w:rsid w:val="00BE68EA"/>
    <w:rsid w:val="00C00F1C"/>
    <w:rsid w:val="00C042A6"/>
    <w:rsid w:val="00C12A3D"/>
    <w:rsid w:val="00C12A95"/>
    <w:rsid w:val="00C137E4"/>
    <w:rsid w:val="00C13F19"/>
    <w:rsid w:val="00C14290"/>
    <w:rsid w:val="00C223A7"/>
    <w:rsid w:val="00C25577"/>
    <w:rsid w:val="00C27221"/>
    <w:rsid w:val="00C3599F"/>
    <w:rsid w:val="00C36AD7"/>
    <w:rsid w:val="00C45B57"/>
    <w:rsid w:val="00C6102C"/>
    <w:rsid w:val="00C6474E"/>
    <w:rsid w:val="00C6640F"/>
    <w:rsid w:val="00C716D2"/>
    <w:rsid w:val="00C801E7"/>
    <w:rsid w:val="00C8217E"/>
    <w:rsid w:val="00C959C8"/>
    <w:rsid w:val="00CA5790"/>
    <w:rsid w:val="00CA7947"/>
    <w:rsid w:val="00CB15E2"/>
    <w:rsid w:val="00CB69E4"/>
    <w:rsid w:val="00CC1679"/>
    <w:rsid w:val="00CC4719"/>
    <w:rsid w:val="00CE5D36"/>
    <w:rsid w:val="00CE6529"/>
    <w:rsid w:val="00D02C20"/>
    <w:rsid w:val="00D031A4"/>
    <w:rsid w:val="00D059DE"/>
    <w:rsid w:val="00D11A48"/>
    <w:rsid w:val="00D16435"/>
    <w:rsid w:val="00D24BE5"/>
    <w:rsid w:val="00D26618"/>
    <w:rsid w:val="00D328D4"/>
    <w:rsid w:val="00D3520E"/>
    <w:rsid w:val="00D36F27"/>
    <w:rsid w:val="00D46DCF"/>
    <w:rsid w:val="00D71904"/>
    <w:rsid w:val="00D7323E"/>
    <w:rsid w:val="00D77101"/>
    <w:rsid w:val="00D8798A"/>
    <w:rsid w:val="00D90984"/>
    <w:rsid w:val="00D933CC"/>
    <w:rsid w:val="00DB76E8"/>
    <w:rsid w:val="00DC0926"/>
    <w:rsid w:val="00DE11B0"/>
    <w:rsid w:val="00DE2BD5"/>
    <w:rsid w:val="00DF50E3"/>
    <w:rsid w:val="00E04AC0"/>
    <w:rsid w:val="00E13B75"/>
    <w:rsid w:val="00E1724B"/>
    <w:rsid w:val="00E214D7"/>
    <w:rsid w:val="00E21EC5"/>
    <w:rsid w:val="00E233EF"/>
    <w:rsid w:val="00E30C19"/>
    <w:rsid w:val="00E34883"/>
    <w:rsid w:val="00E401AC"/>
    <w:rsid w:val="00E40B8B"/>
    <w:rsid w:val="00E4118C"/>
    <w:rsid w:val="00E54020"/>
    <w:rsid w:val="00E5727B"/>
    <w:rsid w:val="00E61D69"/>
    <w:rsid w:val="00E73882"/>
    <w:rsid w:val="00E762D7"/>
    <w:rsid w:val="00E9220E"/>
    <w:rsid w:val="00E934E6"/>
    <w:rsid w:val="00E97F4F"/>
    <w:rsid w:val="00EA2E33"/>
    <w:rsid w:val="00EA6A13"/>
    <w:rsid w:val="00EA7663"/>
    <w:rsid w:val="00EB5971"/>
    <w:rsid w:val="00EB5D22"/>
    <w:rsid w:val="00EC2A9D"/>
    <w:rsid w:val="00ED1FD3"/>
    <w:rsid w:val="00EE60FF"/>
    <w:rsid w:val="00EF026C"/>
    <w:rsid w:val="00EF3023"/>
    <w:rsid w:val="00EF40B5"/>
    <w:rsid w:val="00F33CF3"/>
    <w:rsid w:val="00F439CC"/>
    <w:rsid w:val="00F43D0D"/>
    <w:rsid w:val="00F4562B"/>
    <w:rsid w:val="00F5136E"/>
    <w:rsid w:val="00F538CA"/>
    <w:rsid w:val="00F54015"/>
    <w:rsid w:val="00F54BCA"/>
    <w:rsid w:val="00F56BAC"/>
    <w:rsid w:val="00F74389"/>
    <w:rsid w:val="00F812BE"/>
    <w:rsid w:val="00F81C75"/>
    <w:rsid w:val="00F86C26"/>
    <w:rsid w:val="00F87EA0"/>
    <w:rsid w:val="00F92817"/>
    <w:rsid w:val="00F975C6"/>
    <w:rsid w:val="00F976A0"/>
    <w:rsid w:val="00FA4996"/>
    <w:rsid w:val="00FA4BC6"/>
    <w:rsid w:val="00FA4E32"/>
    <w:rsid w:val="00FB4CA3"/>
    <w:rsid w:val="00FC0678"/>
    <w:rsid w:val="00FC2C9F"/>
    <w:rsid w:val="00FC603B"/>
    <w:rsid w:val="00FD42E4"/>
    <w:rsid w:val="00FD662A"/>
    <w:rsid w:val="00FE0DD8"/>
    <w:rsid w:val="00FE178C"/>
    <w:rsid w:val="00FE2E26"/>
    <w:rsid w:val="00FE5B36"/>
    <w:rsid w:val="00FE5CAE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EE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0F47EE"/>
    <w:pPr>
      <w:ind w:left="720"/>
      <w:contextualSpacing/>
    </w:pPr>
    <w:rPr>
      <w:rFonts w:eastAsia="Calibri"/>
    </w:rPr>
  </w:style>
  <w:style w:type="character" w:styleId="Hyperlink">
    <w:name w:val="Hyperlink"/>
    <w:unhideWhenUsed/>
    <w:rsid w:val="000F47EE"/>
    <w:rPr>
      <w:color w:val="0000FF"/>
      <w:u w:val="single"/>
    </w:rPr>
  </w:style>
  <w:style w:type="table" w:styleId="TableGrid">
    <w:name w:val="Table Grid"/>
    <w:basedOn w:val="TableNormal"/>
    <w:uiPriority w:val="59"/>
    <w:rsid w:val="000F47EE"/>
    <w:rPr>
      <w:lang w:val="nb-NO"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rsid w:val="000F47EE"/>
  </w:style>
  <w:style w:type="character" w:customStyle="1" w:styleId="apple-converted-space">
    <w:name w:val="apple-converted-space"/>
    <w:basedOn w:val="DefaultParagraphFont"/>
    <w:rsid w:val="000F47EE"/>
  </w:style>
  <w:style w:type="paragraph" w:styleId="FootnoteText">
    <w:name w:val="footnote text"/>
    <w:basedOn w:val="Normal"/>
    <w:link w:val="FootnoteTextChar"/>
    <w:uiPriority w:val="99"/>
    <w:semiHidden/>
    <w:unhideWhenUsed/>
    <w:rsid w:val="000F47EE"/>
    <w:pPr>
      <w:spacing w:after="0" w:line="240" w:lineRule="auto"/>
    </w:pPr>
    <w:rPr>
      <w:sz w:val="20"/>
      <w:szCs w:val="20"/>
      <w:lang w:val="en-NZ" w:eastAsia="en-NZ"/>
    </w:rPr>
  </w:style>
  <w:style w:type="character" w:customStyle="1" w:styleId="FootnoteTextChar">
    <w:name w:val="Footnote Text Char"/>
    <w:link w:val="FootnoteText"/>
    <w:uiPriority w:val="99"/>
    <w:semiHidden/>
    <w:rsid w:val="000F47EE"/>
    <w:rPr>
      <w:rFonts w:eastAsia="Times New Roman"/>
      <w:sz w:val="20"/>
      <w:szCs w:val="20"/>
      <w:lang w:val="en-NZ" w:eastAsia="en-NZ"/>
    </w:rPr>
  </w:style>
  <w:style w:type="character" w:styleId="FootnoteReference">
    <w:name w:val="footnote reference"/>
    <w:uiPriority w:val="99"/>
    <w:semiHidden/>
    <w:unhideWhenUsed/>
    <w:rsid w:val="000F47E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F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7EE"/>
    <w:pPr>
      <w:spacing w:line="240" w:lineRule="auto"/>
    </w:pPr>
    <w:rPr>
      <w:sz w:val="20"/>
      <w:szCs w:val="20"/>
      <w:lang w:val="en-NZ" w:eastAsia="en-NZ"/>
    </w:rPr>
  </w:style>
  <w:style w:type="character" w:customStyle="1" w:styleId="CommentTextChar">
    <w:name w:val="Comment Text Char"/>
    <w:link w:val="CommentText"/>
    <w:uiPriority w:val="99"/>
    <w:semiHidden/>
    <w:rsid w:val="000F47EE"/>
    <w:rPr>
      <w:rFonts w:eastAsia="Times New Roman"/>
      <w:sz w:val="20"/>
      <w:szCs w:val="20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EE"/>
    <w:pPr>
      <w:spacing w:after="0" w:line="240" w:lineRule="auto"/>
    </w:pPr>
    <w:rPr>
      <w:rFonts w:ascii="Tahoma" w:hAnsi="Tahoma"/>
      <w:sz w:val="16"/>
      <w:szCs w:val="16"/>
      <w:lang w:val="en-NZ" w:eastAsia="en-NZ"/>
    </w:rPr>
  </w:style>
  <w:style w:type="character" w:customStyle="1" w:styleId="BalloonTextChar">
    <w:name w:val="Balloon Text Char"/>
    <w:link w:val="BalloonText"/>
    <w:uiPriority w:val="99"/>
    <w:semiHidden/>
    <w:rsid w:val="000F47EE"/>
    <w:rPr>
      <w:rFonts w:ascii="Tahoma" w:eastAsia="Times New Roman" w:hAnsi="Tahoma" w:cs="Tahoma"/>
      <w:sz w:val="16"/>
      <w:szCs w:val="16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9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0911"/>
    <w:rPr>
      <w:rFonts w:eastAsia="Times New Roman"/>
      <w:b/>
      <w:bCs/>
      <w:sz w:val="20"/>
      <w:szCs w:val="20"/>
      <w:lang w:val="en-NZ" w:eastAsia="en-NZ"/>
    </w:rPr>
  </w:style>
  <w:style w:type="paragraph" w:customStyle="1" w:styleId="BBTitle">
    <w:name w:val="BB_Title"/>
    <w:basedOn w:val="Normal"/>
    <w:rsid w:val="007142D5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 w:line="240" w:lineRule="auto"/>
      <w:ind w:left="1247" w:right="567"/>
    </w:pPr>
    <w:rPr>
      <w:rFonts w:ascii="Times New Roman" w:hAnsi="Times New Roman"/>
      <w:b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142D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NZ" w:eastAsia="en-NZ"/>
    </w:rPr>
  </w:style>
  <w:style w:type="character" w:customStyle="1" w:styleId="HeaderChar">
    <w:name w:val="Header Char"/>
    <w:link w:val="Header"/>
    <w:uiPriority w:val="99"/>
    <w:rsid w:val="007142D5"/>
    <w:rPr>
      <w:rFonts w:eastAsia="Times New Roman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7142D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NZ" w:eastAsia="en-NZ"/>
    </w:rPr>
  </w:style>
  <w:style w:type="character" w:customStyle="1" w:styleId="FooterChar">
    <w:name w:val="Footer Char"/>
    <w:link w:val="Footer"/>
    <w:uiPriority w:val="99"/>
    <w:rsid w:val="007142D5"/>
    <w:rPr>
      <w:rFonts w:eastAsia="Times New Roman"/>
      <w:lang w:val="en-NZ" w:eastAsia="en-NZ"/>
    </w:rPr>
  </w:style>
  <w:style w:type="paragraph" w:customStyle="1" w:styleId="AATitle">
    <w:name w:val="AA_Title"/>
    <w:basedOn w:val="Normal"/>
    <w:rsid w:val="00FE0DD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0" w:line="240" w:lineRule="auto"/>
      <w:ind w:right="5103"/>
    </w:pPr>
    <w:rPr>
      <w:rFonts w:ascii="Times New Roman" w:hAnsi="Times New Roman"/>
      <w:b/>
      <w:sz w:val="20"/>
      <w:szCs w:val="20"/>
      <w:lang w:val="fr-CA"/>
    </w:rPr>
  </w:style>
  <w:style w:type="paragraph" w:customStyle="1" w:styleId="AATitle2">
    <w:name w:val="AA_Title2"/>
    <w:basedOn w:val="AATitle"/>
    <w:rsid w:val="00FE0DD8"/>
    <w:pPr>
      <w:tabs>
        <w:tab w:val="clear" w:pos="4082"/>
      </w:tabs>
      <w:spacing w:before="120" w:after="120"/>
      <w:ind w:right="4536"/>
    </w:pPr>
  </w:style>
  <w:style w:type="paragraph" w:customStyle="1" w:styleId="CH2">
    <w:name w:val="CH2"/>
    <w:basedOn w:val="Normal"/>
    <w:next w:val="Normal"/>
    <w:rsid w:val="005D7CC3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 w:line="240" w:lineRule="auto"/>
      <w:ind w:left="1247" w:right="284" w:hanging="1247"/>
    </w:pPr>
    <w:rPr>
      <w:rFonts w:ascii="Times New Roman" w:hAnsi="Times New Roman"/>
      <w:b/>
      <w:sz w:val="24"/>
      <w:szCs w:val="24"/>
      <w:lang w:val="fr-CA"/>
    </w:rPr>
  </w:style>
  <w:style w:type="paragraph" w:customStyle="1" w:styleId="Normalnumber">
    <w:name w:val="Normal_number"/>
    <w:basedOn w:val="Normal"/>
    <w:link w:val="NormalnumberChar"/>
    <w:rsid w:val="005D7CC3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 w:line="240" w:lineRule="auto"/>
    </w:pPr>
    <w:rPr>
      <w:rFonts w:ascii="Times New Roman" w:hAnsi="Times New Roman"/>
      <w:sz w:val="20"/>
      <w:szCs w:val="20"/>
      <w:lang w:val="fr-CA"/>
    </w:rPr>
  </w:style>
  <w:style w:type="paragraph" w:customStyle="1" w:styleId="ZZAnxheader">
    <w:name w:val="ZZ_Anx_header"/>
    <w:basedOn w:val="Normal"/>
    <w:rsid w:val="005B136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hAnsi="Times New Roman"/>
      <w:b/>
      <w:bCs/>
      <w:sz w:val="28"/>
      <w:lang w:val="fr-CA"/>
    </w:rPr>
  </w:style>
  <w:style w:type="paragraph" w:customStyle="1" w:styleId="ZZAnxtitle">
    <w:name w:val="ZZ_Anx_title"/>
    <w:basedOn w:val="Normal"/>
    <w:rsid w:val="005B136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 w:line="240" w:lineRule="auto"/>
      <w:ind w:left="1247"/>
    </w:pPr>
    <w:rPr>
      <w:rFonts w:ascii="Times New Roman" w:hAnsi="Times New Roman"/>
      <w:b/>
      <w:bCs/>
      <w:sz w:val="28"/>
      <w:szCs w:val="26"/>
      <w:lang w:val="fr-CA"/>
    </w:rPr>
  </w:style>
  <w:style w:type="paragraph" w:customStyle="1" w:styleId="Normal-pool">
    <w:name w:val="Normal-pool"/>
    <w:link w:val="Normal-poolChar"/>
    <w:rsid w:val="00D3520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ascii="Times New Roman" w:hAnsi="Times New Roman"/>
      <w:lang w:val="en-GB" w:eastAsia="fr-CA"/>
    </w:rPr>
  </w:style>
  <w:style w:type="character" w:customStyle="1" w:styleId="Normal-poolChar">
    <w:name w:val="Normal-pool Char"/>
    <w:link w:val="Normal-pool"/>
    <w:rsid w:val="00D3520E"/>
    <w:rPr>
      <w:rFonts w:ascii="Times New Roman" w:hAnsi="Times New Roman"/>
      <w:lang w:val="en-GB" w:eastAsia="fr-CA" w:bidi="ar-SA"/>
    </w:rPr>
  </w:style>
  <w:style w:type="paragraph" w:customStyle="1" w:styleId="CH1">
    <w:name w:val="CH1"/>
    <w:basedOn w:val="Normal"/>
    <w:next w:val="CH2"/>
    <w:rsid w:val="00E73882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 w:line="240" w:lineRule="auto"/>
      <w:ind w:left="1247" w:right="284" w:hanging="1247"/>
    </w:pPr>
    <w:rPr>
      <w:rFonts w:ascii="Times New Roman" w:hAnsi="Times New Roman"/>
      <w:b/>
      <w:sz w:val="28"/>
      <w:szCs w:val="28"/>
      <w:lang w:val="fr-CA"/>
    </w:rPr>
  </w:style>
  <w:style w:type="paragraph" w:customStyle="1" w:styleId="CH3">
    <w:name w:val="CH3"/>
    <w:basedOn w:val="Normal"/>
    <w:next w:val="Normalnumber"/>
    <w:rsid w:val="00E73882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 w:line="240" w:lineRule="auto"/>
      <w:ind w:left="1247" w:right="284" w:hanging="1247"/>
    </w:pPr>
    <w:rPr>
      <w:rFonts w:ascii="Times New Roman" w:hAnsi="Times New Roman"/>
      <w:b/>
      <w:sz w:val="20"/>
      <w:szCs w:val="20"/>
      <w:lang w:val="fr-CA"/>
    </w:rPr>
  </w:style>
  <w:style w:type="paragraph" w:customStyle="1" w:styleId="CH4">
    <w:name w:val="CH4"/>
    <w:basedOn w:val="Normal"/>
    <w:next w:val="Normalnumber"/>
    <w:rsid w:val="00E73882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 w:line="240" w:lineRule="auto"/>
      <w:ind w:left="1247" w:right="284" w:hanging="1247"/>
    </w:pPr>
    <w:rPr>
      <w:rFonts w:ascii="Times New Roman" w:hAnsi="Times New Roman"/>
      <w:b/>
      <w:sz w:val="20"/>
      <w:szCs w:val="20"/>
      <w:lang w:val="fr-CA"/>
    </w:rPr>
  </w:style>
  <w:style w:type="character" w:customStyle="1" w:styleId="NormalnumberChar">
    <w:name w:val="Normal_number Char"/>
    <w:link w:val="Normalnumber"/>
    <w:rsid w:val="00664434"/>
    <w:rPr>
      <w:rFonts w:ascii="Times New Roman" w:eastAsia="Times New Roman" w:hAnsi="Times New Roman" w:cs="Times New Roman"/>
      <w:sz w:val="20"/>
      <w:szCs w:val="20"/>
      <w:lang w:val="fr-CA"/>
    </w:rPr>
  </w:style>
  <w:style w:type="numbering" w:customStyle="1" w:styleId="Normallist">
    <w:name w:val="Normal_list"/>
    <w:basedOn w:val="NoList"/>
    <w:rsid w:val="0066443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3826</Words>
  <Characters>21810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</vt:lpstr>
      <vt:lpstr>UNITED</vt:lpstr>
    </vt:vector>
  </TitlesOfParts>
  <Company>Toshiba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</dc:title>
  <dc:creator>Thaman_r</dc:creator>
  <cp:lastModifiedBy>Rohan</cp:lastModifiedBy>
  <cp:revision>2</cp:revision>
  <cp:lastPrinted>2013-10-25T06:04:00Z</cp:lastPrinted>
  <dcterms:created xsi:type="dcterms:W3CDTF">2013-11-19T14:20:00Z</dcterms:created>
  <dcterms:modified xsi:type="dcterms:W3CDTF">2013-11-19T14:20:00Z</dcterms:modified>
</cp:coreProperties>
</file>