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24" w:space="0" w:color="auto"/>
          <w:insideH w:val="single" w:sz="8" w:space="0" w:color="auto"/>
        </w:tblBorders>
        <w:tblLayout w:type="fixed"/>
        <w:tblLook w:val="000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r w:rsidRPr="001844E3">
              <w:rPr>
                <w:rFonts w:ascii="Arial" w:hAnsi="Arial" w:cs="Arial"/>
                <w:b/>
                <w:sz w:val="64"/>
                <w:szCs w:val="64"/>
              </w:rPr>
              <w:t>EP</w:t>
            </w:r>
          </w:p>
        </w:tc>
        <w:tc>
          <w:tcPr>
            <w:tcW w:w="6933" w:type="dxa"/>
            <w:gridSpan w:val="2"/>
            <w:tcBorders>
              <w:bottom w:val="nil"/>
            </w:tcBorders>
          </w:tcPr>
          <w:p w:rsidR="00B86C1A" w:rsidRPr="00B86C1A" w:rsidRDefault="00B86C1A" w:rsidP="00B86C1A">
            <w:pPr>
              <w:spacing w:line="480" w:lineRule="exact"/>
              <w:jc w:val="both"/>
              <w:rPr>
                <w:rFonts w:cs="Traditional Arabic" w:hint="cs"/>
                <w:b/>
                <w:bCs/>
                <w:sz w:val="48"/>
                <w:szCs w:val="48"/>
                <w:rtl/>
              </w:rPr>
            </w:pPr>
            <w:r w:rsidRPr="00B86C1A">
              <w:rPr>
                <w:rFonts w:cs="Traditional Arabic" w:hint="cs"/>
                <w:b/>
                <w:bCs/>
                <w:sz w:val="48"/>
                <w:szCs w:val="48"/>
                <w:rtl/>
              </w:rPr>
              <w:t>الأمم</w:t>
            </w:r>
          </w:p>
          <w:p w:rsidR="00DE796A" w:rsidRPr="000844F9" w:rsidRDefault="00DE796A" w:rsidP="00B86C1A">
            <w:pPr>
              <w:spacing w:line="480" w:lineRule="exact"/>
              <w:jc w:val="both"/>
              <w:rPr>
                <w:rFonts w:cs="Traditional Arabic" w:hint="cs"/>
                <w:b/>
                <w:bCs/>
                <w:sz w:val="44"/>
                <w:szCs w:val="44"/>
              </w:rPr>
            </w:pPr>
            <w:r w:rsidRPr="00B86C1A">
              <w:rPr>
                <w:rFonts w:cs="Traditional Arabic" w:hint="cs"/>
                <w:b/>
                <w:bCs/>
                <w:sz w:val="48"/>
                <w:szCs w:val="48"/>
                <w:rtl/>
              </w:rPr>
              <w:t>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A64ABB">
            <w:pPr>
              <w:bidi w:val="0"/>
              <w:spacing w:before="120"/>
              <w:rPr>
                <w:rFonts w:cs="Times New Roman"/>
                <w:b/>
                <w:bCs/>
                <w:sz w:val="20"/>
                <w:szCs w:val="20"/>
              </w:rPr>
            </w:pPr>
            <w:r w:rsidRPr="00B86C1A">
              <w:rPr>
                <w:rFonts w:cs="Times New Roman"/>
                <w:b/>
                <w:bCs/>
                <w:sz w:val="28"/>
              </w:rPr>
              <w:t>IPBES</w:t>
            </w:r>
            <w:r>
              <w:rPr>
                <w:rFonts w:cs="Times New Roman"/>
                <w:sz w:val="20"/>
                <w:szCs w:val="20"/>
              </w:rPr>
              <w:t>/</w:t>
            </w:r>
            <w:r w:rsidR="007F304D">
              <w:rPr>
                <w:rFonts w:cs="Times New Roman"/>
                <w:sz w:val="20"/>
                <w:szCs w:val="20"/>
              </w:rPr>
              <w:t>2</w:t>
            </w:r>
            <w:r w:rsidR="00955980">
              <w:rPr>
                <w:rFonts w:cs="Times New Roman"/>
                <w:sz w:val="20"/>
                <w:szCs w:val="20"/>
              </w:rPr>
              <w:t>/</w:t>
            </w:r>
            <w:r w:rsidR="00A64ABB">
              <w:rPr>
                <w:rFonts w:cs="Times New Roman"/>
                <w:sz w:val="20"/>
                <w:szCs w:val="20"/>
              </w:rPr>
              <w:t>16/Add.1</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B86C1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B86C1A">
            <w:pPr>
              <w:bidi w:val="0"/>
              <w:spacing w:before="12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A64ABB" w:rsidP="00A64ABB">
            <w:pPr>
              <w:bidi w:val="0"/>
              <w:jc w:val="both"/>
              <w:rPr>
                <w:rFonts w:cs="Times New Roman"/>
                <w:sz w:val="20"/>
                <w:szCs w:val="20"/>
              </w:rPr>
            </w:pPr>
            <w:r>
              <w:rPr>
                <w:rFonts w:cs="Times New Roman"/>
                <w:sz w:val="20"/>
                <w:szCs w:val="20"/>
              </w:rPr>
              <w:t>1 October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B86C1A" w:rsidRDefault="00DE796A" w:rsidP="00B86C1A">
            <w:pPr>
              <w:spacing w:line="700" w:lineRule="exact"/>
              <w:ind w:left="164" w:firstLine="17"/>
              <w:rPr>
                <w:rFonts w:cs="Traditional Arabic"/>
                <w:b/>
                <w:bCs/>
                <w:sz w:val="52"/>
                <w:szCs w:val="52"/>
              </w:rPr>
            </w:pPr>
            <w:r w:rsidRPr="00E760C7">
              <w:rPr>
                <w:rFonts w:cs="Traditional Arabic" w:hint="cs"/>
                <w:b/>
                <w:bCs/>
                <w:sz w:val="52"/>
                <w:szCs w:val="52"/>
                <w:rtl/>
              </w:rPr>
              <w:t>برنامج الأمم</w:t>
            </w:r>
          </w:p>
          <w:p w:rsidR="00DE796A" w:rsidRDefault="00DE796A" w:rsidP="00B86C1A">
            <w:pPr>
              <w:spacing w:line="700" w:lineRule="exact"/>
              <w:ind w:left="164" w:firstLine="17"/>
              <w:rPr>
                <w:rFonts w:hint="cs"/>
                <w:rtl/>
              </w:rPr>
            </w:pP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D77BF9" w:rsidP="007B173A">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19050" t="0" r="0" b="0"/>
                  <wp:wrapTight wrapText="bothSides">
                    <wp:wrapPolygon edited="0">
                      <wp:start x="-539" y="0"/>
                      <wp:lineTo x="-539" y="21180"/>
                      <wp:lineTo x="21564" y="21180"/>
                      <wp:lineTo x="21564" y="0"/>
                      <wp:lineTo x="-539"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srcRect/>
                          <a:stretch>
                            <a:fillRect/>
                          </a:stretch>
                        </pic:blipFill>
                        <pic:spPr bwMode="auto">
                          <a:xfrm>
                            <a:off x="0" y="0"/>
                            <a:ext cx="763270" cy="718820"/>
                          </a:xfrm>
                          <a:prstGeom prst="rect">
                            <a:avLst/>
                          </a:prstGeom>
                          <a:noFill/>
                          <a:ln w="9525">
                            <a:noFill/>
                            <a:miter lim="800000"/>
                            <a:headEnd/>
                            <a:tailEnd/>
                          </a:ln>
                        </pic:spPr>
                      </pic:pic>
                    </a:graphicData>
                  </a:graphic>
                </wp:anchor>
              </w:drawing>
            </w:r>
          </w:p>
          <w:p w:rsidR="00DE796A" w:rsidRDefault="00D77BF9"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9727"/>
                          <a:stretch>
                            <a:fillRect/>
                          </a:stretch>
                        </pic:blipFill>
                        <pic:spPr bwMode="auto">
                          <a:xfrm>
                            <a:off x="0" y="0"/>
                            <a:ext cx="819150" cy="765175"/>
                          </a:xfrm>
                          <a:prstGeom prst="rect">
                            <a:avLst/>
                          </a:prstGeom>
                          <a:noFill/>
                          <a:ln w="9525">
                            <a:noFill/>
                            <a:miter lim="800000"/>
                            <a:headEnd/>
                            <a:tailEnd/>
                          </a:ln>
                        </pic:spPr>
                      </pic:pic>
                    </a:graphicData>
                  </a:graphic>
                </wp:anchor>
              </w:drawing>
            </w:r>
          </w:p>
        </w:tc>
      </w:tr>
    </w:tbl>
    <w:p w:rsidR="00B86C1A" w:rsidRPr="00B86C1A" w:rsidRDefault="00B86C1A" w:rsidP="00B86C1A">
      <w:pPr>
        <w:spacing w:before="40" w:line="340" w:lineRule="exact"/>
        <w:ind w:left="176"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B86C1A" w:rsidRPr="00B86C1A" w:rsidRDefault="00B86C1A" w:rsidP="00B86C1A">
      <w:pPr>
        <w:spacing w:line="340" w:lineRule="exact"/>
        <w:ind w:left="176"/>
        <w:jc w:val="both"/>
        <w:rPr>
          <w:rFonts w:ascii="Times New Roman Bold" w:hAnsi="Times New Roman Bold" w:cs="Traditional Arabic" w:hint="cs"/>
          <w:w w:val="97"/>
          <w:sz w:val="28"/>
          <w:rtl/>
        </w:rPr>
      </w:pPr>
      <w:r w:rsidRPr="00B86C1A">
        <w:rPr>
          <w:rFonts w:ascii="Times New Roman Bold" w:hAnsi="Times New Roman Bold" w:cs="Traditional Arabic" w:hint="cs"/>
          <w:b/>
          <w:bCs/>
          <w:w w:val="97"/>
          <w:sz w:val="28"/>
          <w:rtl/>
        </w:rPr>
        <w:t>الدورة الثانية</w:t>
      </w:r>
    </w:p>
    <w:p w:rsidR="00B86C1A" w:rsidRPr="00B86C1A" w:rsidRDefault="00B86C1A" w:rsidP="00B86C1A">
      <w:pPr>
        <w:spacing w:after="40" w:line="340" w:lineRule="exact"/>
        <w:ind w:left="176"/>
        <w:jc w:val="both"/>
        <w:rPr>
          <w:rFonts w:cs="Traditional Arabic" w:hint="cs"/>
          <w:sz w:val="28"/>
          <w:rtl/>
        </w:rPr>
      </w:pPr>
      <w:r w:rsidRPr="00B86C1A">
        <w:rPr>
          <w:rFonts w:cs="Traditional Arabic" w:hint="cs"/>
          <w:sz w:val="28"/>
          <w:rtl/>
        </w:rPr>
        <w:t>أنطاليا، تركيا، 9-14 كانون الأول/ديسمبر 2013</w:t>
      </w:r>
    </w:p>
    <w:p w:rsidR="009C5B87" w:rsidRPr="009C5B87" w:rsidRDefault="00B86C1A" w:rsidP="000714FA">
      <w:pPr>
        <w:spacing w:line="340" w:lineRule="exact"/>
        <w:ind w:left="176"/>
        <w:jc w:val="both"/>
        <w:rPr>
          <w:rFonts w:hint="cs"/>
          <w:vanish/>
        </w:rPr>
      </w:pPr>
      <w:r w:rsidRPr="00B86C1A">
        <w:rPr>
          <w:rFonts w:cs="Traditional Arabic" w:hint="cs"/>
          <w:sz w:val="28"/>
          <w:rtl/>
        </w:rPr>
        <w:t xml:space="preserve">البند </w:t>
      </w:r>
      <w:r w:rsidR="00A64ABB">
        <w:rPr>
          <w:rFonts w:cs="Traditional Arabic" w:hint="cs"/>
          <w:sz w:val="28"/>
          <w:rtl/>
        </w:rPr>
        <w:t>4 (أ)</w:t>
      </w:r>
      <w:r w:rsidRPr="00B86C1A">
        <w:rPr>
          <w:rFonts w:cs="Traditional Arabic" w:hint="cs"/>
          <w:sz w:val="28"/>
          <w:rtl/>
        </w:rPr>
        <w:t xml:space="preserve"> من جدول الأعمال المؤقت</w:t>
      </w:r>
      <w:r w:rsidRPr="000714FA">
        <w:rPr>
          <w:rStyle w:val="FootnoteReference"/>
          <w:rFonts w:cs="Times New Roman"/>
          <w:szCs w:val="22"/>
          <w:rtl/>
        </w:rPr>
        <w:footnoteReference w:customMarkFollows="1" w:id="1"/>
        <w:t>*</w:t>
      </w:r>
    </w:p>
    <w:p w:rsidR="002323CD" w:rsidRDefault="00A64ABB" w:rsidP="000714FA">
      <w:pPr>
        <w:spacing w:before="40" w:line="360" w:lineRule="exact"/>
        <w:ind w:left="176" w:right="5670"/>
        <w:jc w:val="both"/>
        <w:rPr>
          <w:rFonts w:cs="Traditional Arabic" w:hint="cs"/>
          <w:b/>
          <w:bCs/>
          <w:sz w:val="34"/>
          <w:szCs w:val="34"/>
          <w:rtl/>
        </w:rPr>
      </w:pPr>
      <w:r w:rsidRPr="002E3451">
        <w:rPr>
          <w:rFonts w:cs="Traditional Arabic" w:hint="cs"/>
          <w:b/>
          <w:bCs/>
          <w:szCs w:val="30"/>
          <w:rtl/>
        </w:rPr>
        <w:t>برنامج العمل الأولي للمنبر: برنامج العمل للفترة 2014 - 2018</w:t>
      </w:r>
    </w:p>
    <w:p w:rsidR="00A64ABB" w:rsidRDefault="00A64ABB" w:rsidP="000714FA">
      <w:pPr>
        <w:spacing w:before="600" w:after="360" w:line="400" w:lineRule="exact"/>
        <w:ind w:left="1134"/>
        <w:jc w:val="both"/>
        <w:rPr>
          <w:rFonts w:cs="Traditional Arabic" w:hint="cs"/>
          <w:b/>
          <w:bCs/>
          <w:sz w:val="34"/>
          <w:szCs w:val="34"/>
          <w:rtl/>
        </w:rPr>
      </w:pPr>
      <w:r>
        <w:rPr>
          <w:rFonts w:cs="Traditional Arabic" w:hint="cs"/>
          <w:b/>
          <w:bCs/>
          <w:sz w:val="34"/>
          <w:szCs w:val="34"/>
          <w:rtl/>
        </w:rPr>
        <w:t>تحديد النطاق الأولي للتقييم المواضيعي السريع لعملية التلقيح وإنتاج الغذاء</w:t>
      </w:r>
    </w:p>
    <w:p w:rsidR="00A64ABB" w:rsidRDefault="00A64ABB" w:rsidP="000714FA">
      <w:pPr>
        <w:spacing w:after="120" w:line="400" w:lineRule="exact"/>
        <w:ind w:left="1134"/>
        <w:jc w:val="both"/>
        <w:rPr>
          <w:rFonts w:cs="Traditional Arabic" w:hint="cs"/>
          <w:b/>
          <w:bCs/>
          <w:sz w:val="24"/>
          <w:szCs w:val="32"/>
          <w:rtl/>
        </w:rPr>
      </w:pPr>
      <w:r w:rsidRPr="00B2039B">
        <w:rPr>
          <w:rFonts w:cs="Traditional Arabic" w:hint="cs"/>
          <w:b/>
          <w:bCs/>
          <w:sz w:val="24"/>
          <w:szCs w:val="32"/>
          <w:rtl/>
        </w:rPr>
        <w:t>مذكرة من الأمانة</w:t>
      </w:r>
    </w:p>
    <w:p w:rsidR="00A64ABB" w:rsidRPr="00B2039B" w:rsidRDefault="00A64ABB" w:rsidP="000714FA">
      <w:pPr>
        <w:spacing w:after="120" w:line="400" w:lineRule="exact"/>
        <w:ind w:left="1134" w:hanging="851"/>
        <w:jc w:val="both"/>
        <w:rPr>
          <w:rFonts w:cs="Traditional Arabic" w:hint="cs"/>
          <w:b/>
          <w:bCs/>
          <w:sz w:val="24"/>
          <w:szCs w:val="32"/>
          <w:rtl/>
        </w:rPr>
      </w:pPr>
      <w:r>
        <w:rPr>
          <w:rFonts w:cs="Traditional Arabic" w:hint="cs"/>
          <w:b/>
          <w:bCs/>
          <w:sz w:val="24"/>
          <w:szCs w:val="32"/>
          <w:rtl/>
        </w:rPr>
        <w:t>أولاً -</w:t>
      </w:r>
      <w:r>
        <w:rPr>
          <w:rFonts w:cs="Traditional Arabic" w:hint="cs"/>
          <w:b/>
          <w:bCs/>
          <w:sz w:val="24"/>
          <w:szCs w:val="32"/>
          <w:rtl/>
        </w:rPr>
        <w:tab/>
        <w:t>مقدمة</w:t>
      </w:r>
    </w:p>
    <w:p w:rsidR="00A64ABB" w:rsidRDefault="00A64ABB" w:rsidP="00932271">
      <w:pPr>
        <w:spacing w:after="120" w:line="400" w:lineRule="exact"/>
        <w:ind w:left="1134"/>
        <w:jc w:val="both"/>
        <w:rPr>
          <w:rFonts w:cs="Traditional Arabic" w:hint="cs"/>
          <w:szCs w:val="30"/>
          <w:rtl/>
        </w:rPr>
      </w:pPr>
      <w:r>
        <w:rPr>
          <w:rFonts w:cs="Traditional Arabic" w:hint="cs"/>
          <w:szCs w:val="30"/>
          <w:rtl/>
        </w:rPr>
        <w:t>1 -</w:t>
      </w:r>
      <w:r>
        <w:rPr>
          <w:rFonts w:cs="Traditional Arabic" w:hint="cs"/>
          <w:szCs w:val="30"/>
          <w:rtl/>
        </w:rPr>
        <w:tab/>
        <w:t xml:space="preserve">إدراكا لأنه سيكون من الضروري تحقيق تقدم في برنامج العمل للفترة 2014-2018 بعد أن يوافق عليه الاجتماع العام للمنبر الحكومي الدولي للعلوم والسياسات في مجال التنوع البيولوجي وخدمات النظم الإيكولوجية في دورته الثانية، اتفق المكتب وفريق الخبراء المتعدد التخصصات على إعداد عدد من وثائق تحديد النطاق الأولي، استناداً إلى ترتيب أولويات الطلبات والمقترحات المدخلات التي تقدم للمنبر، والنواتج الواردة في مشروع برنامج العمل </w:t>
      </w:r>
      <w:r w:rsidRPr="00762016">
        <w:rPr>
          <w:sz w:val="20"/>
          <w:szCs w:val="20"/>
          <w:lang w:val="en-GB"/>
        </w:rPr>
        <w:t>(IPBES/2/2)</w:t>
      </w:r>
      <w:r>
        <w:rPr>
          <w:rFonts w:cs="Traditional Arabic" w:hint="cs"/>
          <w:szCs w:val="30"/>
          <w:rtl/>
        </w:rPr>
        <w:t xml:space="preserve"> لينظر فيها الاجتماع العام في تلك الدورة. وتورد هذه المذكرة تحديد النطاق الأولي لتقييم مواضيعي سريع مقترح للتلقيح وإنتاج الغذاء. وقد وضعت وفقاً لمشروع إجراءات إعداد نواتج المنبر </w:t>
      </w:r>
      <w:r w:rsidRPr="00443D01">
        <w:rPr>
          <w:rFonts w:cs="Times New Roman"/>
          <w:sz w:val="20"/>
          <w:szCs w:val="20"/>
          <w:rtl/>
        </w:rPr>
        <w:t>(</w:t>
      </w:r>
      <w:r w:rsidRPr="00443D01">
        <w:rPr>
          <w:rFonts w:cs="Times New Roman"/>
          <w:sz w:val="20"/>
          <w:szCs w:val="20"/>
          <w:lang w:val="en-GB"/>
        </w:rPr>
        <w:t>IPBES/2/9</w:t>
      </w:r>
      <w:r w:rsidRPr="00443D01">
        <w:rPr>
          <w:rFonts w:cs="Times New Roman"/>
          <w:sz w:val="20"/>
          <w:szCs w:val="20"/>
          <w:rtl/>
        </w:rPr>
        <w:t>)</w:t>
      </w:r>
      <w:r>
        <w:rPr>
          <w:rFonts w:cs="Traditional Arabic" w:hint="cs"/>
          <w:szCs w:val="30"/>
          <w:rtl/>
        </w:rPr>
        <w:t>.</w:t>
      </w:r>
    </w:p>
    <w:p w:rsidR="00A64ABB" w:rsidRPr="003A1726" w:rsidRDefault="00A64ABB" w:rsidP="00932271">
      <w:pPr>
        <w:spacing w:after="120" w:line="400" w:lineRule="exact"/>
        <w:ind w:left="1132" w:hanging="850"/>
        <w:jc w:val="both"/>
        <w:rPr>
          <w:rFonts w:cs="Traditional Arabic" w:hint="cs"/>
          <w:b/>
          <w:bCs/>
          <w:sz w:val="24"/>
          <w:szCs w:val="32"/>
          <w:rtl/>
        </w:rPr>
      </w:pPr>
      <w:r>
        <w:rPr>
          <w:rFonts w:cs="Traditional Arabic"/>
          <w:b/>
          <w:bCs/>
          <w:sz w:val="24"/>
          <w:szCs w:val="32"/>
          <w:rtl/>
        </w:rPr>
        <w:br w:type="page"/>
      </w:r>
      <w:r>
        <w:rPr>
          <w:rFonts w:cs="Traditional Arabic" w:hint="cs"/>
          <w:b/>
          <w:bCs/>
          <w:sz w:val="24"/>
          <w:szCs w:val="32"/>
          <w:rtl/>
        </w:rPr>
        <w:lastRenderedPageBreak/>
        <w:t xml:space="preserve">ثانياً </w:t>
      </w:r>
      <w:r w:rsidRPr="003A1726">
        <w:rPr>
          <w:rFonts w:cs="Traditional Arabic" w:hint="cs"/>
          <w:b/>
          <w:bCs/>
          <w:sz w:val="24"/>
          <w:szCs w:val="32"/>
          <w:rtl/>
        </w:rPr>
        <w:t>-</w:t>
      </w:r>
      <w:r w:rsidRPr="003A1726">
        <w:rPr>
          <w:rFonts w:cs="Traditional Arabic" w:hint="cs"/>
          <w:b/>
          <w:bCs/>
          <w:sz w:val="24"/>
          <w:szCs w:val="32"/>
          <w:rtl/>
        </w:rPr>
        <w:tab/>
        <w:t xml:space="preserve">النطاق والأساس المنطقي </w:t>
      </w:r>
      <w:r>
        <w:rPr>
          <w:rFonts w:cs="Traditional Arabic" w:hint="cs"/>
          <w:b/>
          <w:bCs/>
          <w:sz w:val="24"/>
          <w:szCs w:val="32"/>
          <w:rtl/>
        </w:rPr>
        <w:t>والفوائد</w:t>
      </w:r>
      <w:r w:rsidRPr="003A1726">
        <w:rPr>
          <w:rFonts w:cs="Traditional Arabic" w:hint="cs"/>
          <w:b/>
          <w:bCs/>
          <w:sz w:val="24"/>
          <w:szCs w:val="32"/>
          <w:rtl/>
        </w:rPr>
        <w:t xml:space="preserve"> والافتراضات</w:t>
      </w:r>
    </w:p>
    <w:p w:rsidR="00A64ABB" w:rsidRPr="003A1726" w:rsidRDefault="00A64ABB" w:rsidP="00932271">
      <w:pPr>
        <w:spacing w:after="120" w:line="400" w:lineRule="exact"/>
        <w:ind w:left="1132" w:hanging="708"/>
        <w:jc w:val="both"/>
        <w:rPr>
          <w:rFonts w:cs="Traditional Arabic" w:hint="cs"/>
          <w:b/>
          <w:bCs/>
          <w:szCs w:val="30"/>
          <w:rtl/>
        </w:rPr>
      </w:pPr>
      <w:r w:rsidRPr="003A1726">
        <w:rPr>
          <w:rFonts w:cs="Traditional Arabic" w:hint="cs"/>
          <w:b/>
          <w:bCs/>
          <w:szCs w:val="30"/>
          <w:rtl/>
        </w:rPr>
        <w:t>ألف</w:t>
      </w:r>
      <w:r>
        <w:rPr>
          <w:rFonts w:cs="Traditional Arabic" w:hint="cs"/>
          <w:b/>
          <w:bCs/>
          <w:szCs w:val="30"/>
          <w:rtl/>
        </w:rPr>
        <w:t xml:space="preserve"> </w:t>
      </w:r>
      <w:r w:rsidRPr="003A1726">
        <w:rPr>
          <w:rFonts w:cs="Traditional Arabic" w:hint="cs"/>
          <w:b/>
          <w:bCs/>
          <w:szCs w:val="30"/>
          <w:rtl/>
        </w:rPr>
        <w:t>-</w:t>
      </w:r>
      <w:r w:rsidRPr="003A1726">
        <w:rPr>
          <w:rFonts w:cs="Traditional Arabic" w:hint="cs"/>
          <w:b/>
          <w:bCs/>
          <w:szCs w:val="30"/>
          <w:rtl/>
        </w:rPr>
        <w:tab/>
        <w:t>النطاق</w:t>
      </w:r>
    </w:p>
    <w:p w:rsidR="00A64ABB" w:rsidRDefault="00A64ABB" w:rsidP="00932271">
      <w:pPr>
        <w:spacing w:after="120" w:line="400" w:lineRule="exact"/>
        <w:ind w:left="1134"/>
        <w:jc w:val="both"/>
        <w:rPr>
          <w:rFonts w:cs="Traditional Arabic" w:hint="cs"/>
          <w:szCs w:val="30"/>
          <w:rtl/>
        </w:rPr>
      </w:pPr>
      <w:r>
        <w:rPr>
          <w:rFonts w:cs="Traditional Arabic" w:hint="cs"/>
          <w:szCs w:val="30"/>
          <w:rtl/>
        </w:rPr>
        <w:t>2 -</w:t>
      </w:r>
      <w:r>
        <w:rPr>
          <w:rFonts w:cs="Traditional Arabic" w:hint="cs"/>
          <w:szCs w:val="30"/>
          <w:rtl/>
        </w:rPr>
        <w:tab/>
        <w:t>يهدف التقييم المواضيعي السريع المقترح للتلقيح وإنتاج الغذاء إلى تقييم التغيرات في عملية التلقيح بوصفها خدمة تنظيمية من خدمات النظام الإيكولوجي مهمة في إنتاج الغذاء في سياق دورها في دعم رفاه الإنسان والحفاظ على التنوع البيولوجي على نحو أوسع نطاقاً، مع التركيز على وضع واتجاهات ديناميات وتنوع العوامل الملقحة والتلقيح، والعوامل الدافعة للتغيير، والتأثيرات على رفاه الإنسان الناتجة عن انخفاض عدد العوامل الملقحة ونقصانها ومدى فعالية الاستجابة لانخفاض عدد العوامل الملقحة وانخفاض فعاليتها.</w:t>
      </w:r>
    </w:p>
    <w:p w:rsidR="00A64ABB" w:rsidRPr="003A1726" w:rsidRDefault="00A64ABB" w:rsidP="00932271">
      <w:pPr>
        <w:spacing w:after="120" w:line="400" w:lineRule="exact"/>
        <w:ind w:left="1132" w:hanging="708"/>
        <w:jc w:val="both"/>
        <w:rPr>
          <w:rFonts w:cs="Traditional Arabic" w:hint="cs"/>
          <w:b/>
          <w:bCs/>
          <w:szCs w:val="30"/>
          <w:rtl/>
        </w:rPr>
      </w:pPr>
      <w:r w:rsidRPr="003A1726">
        <w:rPr>
          <w:rFonts w:cs="Traditional Arabic" w:hint="cs"/>
          <w:b/>
          <w:bCs/>
          <w:szCs w:val="30"/>
          <w:rtl/>
        </w:rPr>
        <w:t>باء</w:t>
      </w:r>
      <w:r>
        <w:rPr>
          <w:rFonts w:cs="Traditional Arabic" w:hint="cs"/>
          <w:b/>
          <w:bCs/>
          <w:szCs w:val="30"/>
          <w:rtl/>
        </w:rPr>
        <w:t xml:space="preserve"> </w:t>
      </w:r>
      <w:r w:rsidRPr="003A1726">
        <w:rPr>
          <w:rFonts w:cs="Traditional Arabic" w:hint="cs"/>
          <w:b/>
          <w:bCs/>
          <w:szCs w:val="30"/>
          <w:rtl/>
        </w:rPr>
        <w:t>-</w:t>
      </w:r>
      <w:r>
        <w:rPr>
          <w:rFonts w:cs="Traditional Arabic" w:hint="cs"/>
          <w:b/>
          <w:bCs/>
          <w:szCs w:val="30"/>
          <w:rtl/>
        </w:rPr>
        <w:tab/>
      </w:r>
      <w:r w:rsidRPr="003A1726">
        <w:rPr>
          <w:rFonts w:cs="Traditional Arabic" w:hint="cs"/>
          <w:b/>
          <w:bCs/>
          <w:szCs w:val="30"/>
          <w:rtl/>
        </w:rPr>
        <w:t>الأساس المنطقي</w:t>
      </w:r>
    </w:p>
    <w:p w:rsidR="00A64ABB" w:rsidRDefault="00A64ABB" w:rsidP="00932271">
      <w:pPr>
        <w:spacing w:after="120" w:line="400" w:lineRule="exact"/>
        <w:ind w:left="1134"/>
        <w:jc w:val="both"/>
        <w:rPr>
          <w:rFonts w:cs="Traditional Arabic" w:hint="cs"/>
          <w:szCs w:val="30"/>
          <w:rtl/>
        </w:rPr>
      </w:pPr>
      <w:r>
        <w:rPr>
          <w:rFonts w:cs="Traditional Arabic" w:hint="cs"/>
          <w:szCs w:val="30"/>
          <w:rtl/>
        </w:rPr>
        <w:t>3 -</w:t>
      </w:r>
      <w:r>
        <w:rPr>
          <w:rFonts w:cs="Traditional Arabic" w:hint="cs"/>
          <w:szCs w:val="30"/>
          <w:rtl/>
        </w:rPr>
        <w:tab/>
        <w:t>إن تقييماً من النوع المقترح ضروري بوصفه وسيلةً تيسر تحسين الاستجابات السياساتية للانخفاض في مستوى التلقيح وتدني جودته بوصفه خدمة تنظيمية ضرورية من خدمات النظام الإيكولوجي التي تعزز إنتاج الغذاء ورفاه الإنسان. وقد قُدِّرت القيمة الاقتصادية على المستوى العالمي لخدمة التلقيح التي توفرها الحشرات الملقحة - النحل بصورة رئيسية - بمبلغ سنوي في عام 2005 قدره 153 بليون يورو (217 بليون دولار) للمحاصيل الرئيسية التي توفر الغذاء للعالم. وهذا يعادل نحو 9,5 في المائة من القيمة الكلية لإنتاج الغذاء الزراعي في العالم.</w:t>
      </w:r>
      <w:r>
        <w:rPr>
          <w:rFonts w:cs="Traditional Arabic" w:hint="cs"/>
          <w:szCs w:val="30"/>
          <w:vertAlign w:val="superscript"/>
          <w:rtl/>
        </w:rPr>
        <w:t>(</w:t>
      </w:r>
      <w:r>
        <w:rPr>
          <w:rStyle w:val="FootnoteReference"/>
          <w:rFonts w:cs="Traditional Arabic"/>
          <w:szCs w:val="30"/>
          <w:rtl/>
        </w:rPr>
        <w:footnoteReference w:id="2"/>
      </w:r>
      <w:r>
        <w:rPr>
          <w:rFonts w:cs="Traditional Arabic" w:hint="cs"/>
          <w:szCs w:val="30"/>
          <w:vertAlign w:val="superscript"/>
          <w:rtl/>
        </w:rPr>
        <w:t>)</w:t>
      </w:r>
    </w:p>
    <w:p w:rsidR="00A64ABB" w:rsidRPr="003A1726" w:rsidRDefault="00A64ABB" w:rsidP="00932271">
      <w:pPr>
        <w:spacing w:after="120" w:line="400" w:lineRule="exact"/>
        <w:ind w:left="1132" w:hanging="708"/>
        <w:jc w:val="both"/>
        <w:rPr>
          <w:rFonts w:cs="Traditional Arabic" w:hint="cs"/>
          <w:b/>
          <w:bCs/>
          <w:szCs w:val="30"/>
          <w:rtl/>
        </w:rPr>
      </w:pPr>
      <w:r w:rsidRPr="003A1726">
        <w:rPr>
          <w:rFonts w:cs="Traditional Arabic" w:hint="cs"/>
          <w:b/>
          <w:bCs/>
          <w:szCs w:val="30"/>
          <w:rtl/>
        </w:rPr>
        <w:t>جيم</w:t>
      </w:r>
      <w:r>
        <w:rPr>
          <w:rFonts w:cs="Traditional Arabic" w:hint="cs"/>
          <w:b/>
          <w:bCs/>
          <w:szCs w:val="30"/>
          <w:rtl/>
        </w:rPr>
        <w:t xml:space="preserve"> </w:t>
      </w:r>
      <w:r w:rsidRPr="003A1726">
        <w:rPr>
          <w:rFonts w:cs="Traditional Arabic" w:hint="cs"/>
          <w:b/>
          <w:bCs/>
          <w:szCs w:val="30"/>
          <w:rtl/>
        </w:rPr>
        <w:t>-</w:t>
      </w:r>
      <w:r w:rsidRPr="003A1726">
        <w:rPr>
          <w:rFonts w:cs="Traditional Arabic" w:hint="cs"/>
          <w:b/>
          <w:bCs/>
          <w:szCs w:val="30"/>
          <w:rtl/>
        </w:rPr>
        <w:tab/>
      </w:r>
      <w:r>
        <w:rPr>
          <w:rFonts w:cs="Traditional Arabic" w:hint="cs"/>
          <w:b/>
          <w:bCs/>
          <w:szCs w:val="30"/>
          <w:rtl/>
        </w:rPr>
        <w:t>الفوائد</w:t>
      </w:r>
    </w:p>
    <w:p w:rsidR="00A64ABB" w:rsidRDefault="00A64ABB" w:rsidP="00932271">
      <w:pPr>
        <w:spacing w:after="120" w:line="400" w:lineRule="exact"/>
        <w:ind w:left="1134"/>
        <w:jc w:val="both"/>
        <w:rPr>
          <w:rFonts w:cs="Traditional Arabic" w:hint="cs"/>
          <w:szCs w:val="30"/>
          <w:rtl/>
        </w:rPr>
      </w:pPr>
      <w:r>
        <w:rPr>
          <w:rFonts w:cs="Traditional Arabic" w:hint="cs"/>
          <w:szCs w:val="30"/>
          <w:rtl/>
        </w:rPr>
        <w:t>4 -</w:t>
      </w:r>
      <w:r>
        <w:rPr>
          <w:rFonts w:cs="Traditional Arabic" w:hint="cs"/>
          <w:szCs w:val="30"/>
          <w:rtl/>
        </w:rPr>
        <w:tab/>
        <w:t>يؤدي التقييم المقترح إلى تحديد النتائج ذات الصلة بالسياسات التي تساعد في صنع القرارات من جانب الحكومات والقطاع الخاص والمجتمع المدني في مجال يتسم بوتيرة تغير سريعة، والمساهمة في تنفيذ الهدف 14 من أهداف إيتشي المتعلقة بالتنوع البيولوجي ضمن اتفاقية التنوع البيولوجي، ويُظهر التقييم المقترح ويسمح بمواصلة استعراض الكيفية التي تساهم بها خدمة ضرورية ومعرضة للمخاطر من خدمات النظام الإيكولوجي في تنفيذ جدول أعمال التنمية لما بعد عام 2015، ويشكل ناتجاً مبكراً من نواتج المنبر يظهر بجلاء الكيفية التي يمكن أن يساهم بها المنبر في الجهود الرامية لحماية التنوع البيولوجي وتعزيز التنمية المستدامة.</w:t>
      </w:r>
    </w:p>
    <w:p w:rsidR="00A64ABB" w:rsidRPr="003A1726" w:rsidRDefault="00A64ABB" w:rsidP="00932271">
      <w:pPr>
        <w:spacing w:after="120" w:line="400" w:lineRule="exact"/>
        <w:ind w:left="1132" w:hanging="708"/>
        <w:jc w:val="both"/>
        <w:rPr>
          <w:rFonts w:cs="Traditional Arabic" w:hint="cs"/>
          <w:b/>
          <w:bCs/>
          <w:szCs w:val="30"/>
          <w:rtl/>
        </w:rPr>
      </w:pPr>
      <w:r w:rsidRPr="003A1726">
        <w:rPr>
          <w:rFonts w:cs="Traditional Arabic" w:hint="cs"/>
          <w:b/>
          <w:bCs/>
          <w:szCs w:val="30"/>
          <w:rtl/>
        </w:rPr>
        <w:t>دال</w:t>
      </w:r>
      <w:r>
        <w:rPr>
          <w:rFonts w:cs="Traditional Arabic" w:hint="cs"/>
          <w:b/>
          <w:bCs/>
          <w:szCs w:val="30"/>
          <w:rtl/>
        </w:rPr>
        <w:t xml:space="preserve"> </w:t>
      </w:r>
      <w:r w:rsidRPr="003A1726">
        <w:rPr>
          <w:rFonts w:cs="Traditional Arabic" w:hint="cs"/>
          <w:b/>
          <w:bCs/>
          <w:szCs w:val="30"/>
          <w:rtl/>
        </w:rPr>
        <w:t>-</w:t>
      </w:r>
      <w:r>
        <w:rPr>
          <w:rFonts w:cs="Traditional Arabic" w:hint="cs"/>
          <w:b/>
          <w:bCs/>
          <w:szCs w:val="30"/>
          <w:rtl/>
        </w:rPr>
        <w:tab/>
      </w:r>
      <w:r w:rsidRPr="003A1726">
        <w:rPr>
          <w:rFonts w:cs="Traditional Arabic" w:hint="cs"/>
          <w:b/>
          <w:bCs/>
          <w:szCs w:val="30"/>
          <w:rtl/>
        </w:rPr>
        <w:t>الافتراضات</w:t>
      </w:r>
    </w:p>
    <w:p w:rsidR="00A64ABB" w:rsidRDefault="00A64ABB" w:rsidP="00932271">
      <w:pPr>
        <w:spacing w:after="120" w:line="400" w:lineRule="exact"/>
        <w:ind w:left="1134"/>
        <w:jc w:val="both"/>
        <w:rPr>
          <w:rFonts w:cs="Traditional Arabic" w:hint="cs"/>
          <w:szCs w:val="30"/>
          <w:rtl/>
        </w:rPr>
      </w:pPr>
      <w:r>
        <w:rPr>
          <w:rFonts w:cs="Traditional Arabic" w:hint="cs"/>
          <w:szCs w:val="30"/>
          <w:rtl/>
        </w:rPr>
        <w:t>5 -</w:t>
      </w:r>
      <w:r>
        <w:rPr>
          <w:rFonts w:cs="Traditional Arabic" w:hint="cs"/>
          <w:szCs w:val="30"/>
          <w:rtl/>
        </w:rPr>
        <w:tab/>
        <w:t>سيستند التقييم المقترح إلى المؤلفات العلمية القائمة ويستفيد من أعمال المؤسسات القائمة مثل منظمة الأمم المتحدة للأغذية والزراعة (الفاو)، من خلال عملها في مجال العمل العالمي على صعيد خدمات التلقيح من أجل الزراعة المستدامة</w:t>
      </w:r>
      <w:r>
        <w:rPr>
          <w:rFonts w:cs="Traditional Arabic" w:hint="cs"/>
          <w:szCs w:val="30"/>
          <w:vertAlign w:val="superscript"/>
          <w:rtl/>
        </w:rPr>
        <w:t>(</w:t>
      </w:r>
      <w:r>
        <w:rPr>
          <w:rStyle w:val="FootnoteReference"/>
          <w:rFonts w:cs="Traditional Arabic"/>
          <w:szCs w:val="30"/>
          <w:rtl/>
        </w:rPr>
        <w:footnoteReference w:id="3"/>
      </w:r>
      <w:r>
        <w:rPr>
          <w:rFonts w:cs="Traditional Arabic" w:hint="cs"/>
          <w:szCs w:val="30"/>
          <w:vertAlign w:val="superscript"/>
          <w:rtl/>
        </w:rPr>
        <w:t>)</w:t>
      </w:r>
      <w:r>
        <w:rPr>
          <w:rFonts w:cs="Traditional Arabic" w:hint="cs"/>
          <w:szCs w:val="30"/>
          <w:rtl/>
        </w:rPr>
        <w:t>، والمرفق العالمي لمعلومات التنوع البيولوجي</w:t>
      </w:r>
      <w:r>
        <w:rPr>
          <w:rFonts w:cs="Traditional Arabic" w:hint="cs"/>
          <w:szCs w:val="30"/>
          <w:vertAlign w:val="superscript"/>
          <w:rtl/>
        </w:rPr>
        <w:t>(</w:t>
      </w:r>
      <w:r>
        <w:rPr>
          <w:rStyle w:val="FootnoteReference"/>
          <w:rFonts w:cs="Traditional Arabic"/>
          <w:szCs w:val="30"/>
          <w:rtl/>
        </w:rPr>
        <w:footnoteReference w:id="4"/>
      </w:r>
      <w:r>
        <w:rPr>
          <w:rFonts w:cs="Traditional Arabic" w:hint="cs"/>
          <w:szCs w:val="30"/>
          <w:vertAlign w:val="superscript"/>
          <w:rtl/>
        </w:rPr>
        <w:t>)</w:t>
      </w:r>
      <w:r>
        <w:rPr>
          <w:rFonts w:cs="Traditional Arabic" w:hint="cs"/>
          <w:szCs w:val="30"/>
          <w:rtl/>
        </w:rPr>
        <w:t>، ومشروع ألارم (’’مشروع تقييم المخاطر الكبيرة على التنوع البيولوجي باستخدام طرائق مختبَرة‘‘) التابع لمركز البحوث الزراعية البيئية</w:t>
      </w:r>
      <w:r>
        <w:rPr>
          <w:rFonts w:cs="Traditional Arabic" w:hint="cs"/>
          <w:szCs w:val="30"/>
          <w:vertAlign w:val="superscript"/>
          <w:rtl/>
        </w:rPr>
        <w:t>(</w:t>
      </w:r>
      <w:r>
        <w:rPr>
          <w:rStyle w:val="FootnoteReference"/>
          <w:rFonts w:cs="Traditional Arabic"/>
          <w:szCs w:val="30"/>
          <w:rtl/>
        </w:rPr>
        <w:footnoteReference w:id="5"/>
      </w:r>
      <w:r>
        <w:rPr>
          <w:rFonts w:cs="Traditional Arabic" w:hint="cs"/>
          <w:szCs w:val="30"/>
          <w:vertAlign w:val="superscript"/>
          <w:rtl/>
        </w:rPr>
        <w:t>)</w:t>
      </w:r>
      <w:r>
        <w:rPr>
          <w:rFonts w:cs="Traditional Arabic" w:hint="cs"/>
          <w:szCs w:val="30"/>
          <w:rtl/>
        </w:rPr>
        <w:t>، ومشروع ’’حالة واتجاهات عوامل التلقيح الأوروبية‘‘</w:t>
      </w:r>
      <w:r w:rsidRPr="00FA05E3">
        <w:rPr>
          <w:rFonts w:cs="Traditional Arabic" w:hint="cs"/>
          <w:szCs w:val="30"/>
          <w:vertAlign w:val="superscript"/>
          <w:rtl/>
        </w:rPr>
        <w:t>(</w:t>
      </w:r>
      <w:r>
        <w:rPr>
          <w:rStyle w:val="FootnoteReference"/>
          <w:rFonts w:cs="Traditional Arabic"/>
          <w:szCs w:val="30"/>
          <w:rtl/>
        </w:rPr>
        <w:footnoteReference w:id="6"/>
      </w:r>
      <w:r>
        <w:rPr>
          <w:rFonts w:cs="Traditional Arabic" w:hint="cs"/>
          <w:szCs w:val="30"/>
          <w:vertAlign w:val="superscript"/>
          <w:rtl/>
        </w:rPr>
        <w:t>)</w:t>
      </w:r>
      <w:r>
        <w:rPr>
          <w:rFonts w:cs="Traditional Arabic" w:hint="cs"/>
          <w:szCs w:val="30"/>
          <w:rtl/>
        </w:rPr>
        <w:t>، وأعمال مشروع رأس المال الطبيعي</w:t>
      </w:r>
      <w:r>
        <w:rPr>
          <w:rFonts w:cs="Traditional Arabic" w:hint="cs"/>
          <w:szCs w:val="30"/>
          <w:vertAlign w:val="superscript"/>
          <w:rtl/>
        </w:rPr>
        <w:t>(</w:t>
      </w:r>
      <w:r>
        <w:rPr>
          <w:rStyle w:val="FootnoteReference"/>
          <w:rFonts w:cs="Traditional Arabic"/>
          <w:szCs w:val="30"/>
          <w:rtl/>
        </w:rPr>
        <w:footnoteReference w:id="7"/>
      </w:r>
      <w:r>
        <w:rPr>
          <w:rFonts w:cs="Traditional Arabic" w:hint="cs"/>
          <w:szCs w:val="30"/>
          <w:vertAlign w:val="superscript"/>
          <w:rtl/>
        </w:rPr>
        <w:t>)</w:t>
      </w:r>
      <w:r>
        <w:rPr>
          <w:rFonts w:cs="Traditional Arabic" w:hint="cs"/>
          <w:szCs w:val="30"/>
          <w:rtl/>
        </w:rPr>
        <w:t xml:space="preserve">، بما في ذلك برنامج </w:t>
      </w:r>
      <w:r>
        <w:rPr>
          <w:rFonts w:cs="Traditional Arabic" w:hint="cs"/>
          <w:szCs w:val="30"/>
          <w:rtl/>
        </w:rPr>
        <w:lastRenderedPageBreak/>
        <w:t>إنفيست للنمذجة (’’التقييم المتكامل لخدمات النظام الإيكولوجي وعمليات المعاوضة‘‘) الذي صممه هذا المشروع لتخطيط وتقييم خدمات النظام البيئي.</w:t>
      </w:r>
    </w:p>
    <w:p w:rsidR="00A64ABB" w:rsidRPr="003A1726" w:rsidRDefault="00A64ABB" w:rsidP="00932271">
      <w:pPr>
        <w:spacing w:after="120" w:line="400" w:lineRule="exact"/>
        <w:ind w:firstLine="565"/>
        <w:jc w:val="both"/>
        <w:rPr>
          <w:rFonts w:cs="Traditional Arabic" w:hint="cs"/>
          <w:b/>
          <w:bCs/>
          <w:sz w:val="24"/>
          <w:szCs w:val="32"/>
          <w:rtl/>
        </w:rPr>
      </w:pPr>
      <w:r>
        <w:rPr>
          <w:rFonts w:cs="Traditional Arabic" w:hint="cs"/>
          <w:b/>
          <w:bCs/>
          <w:sz w:val="24"/>
          <w:szCs w:val="32"/>
          <w:rtl/>
        </w:rPr>
        <w:t xml:space="preserve">ثالثاً </w:t>
      </w:r>
      <w:r w:rsidRPr="003A1726">
        <w:rPr>
          <w:rFonts w:cs="Traditional Arabic" w:hint="cs"/>
          <w:b/>
          <w:bCs/>
          <w:sz w:val="24"/>
          <w:szCs w:val="32"/>
          <w:rtl/>
        </w:rPr>
        <w:t>-</w:t>
      </w:r>
      <w:r w:rsidRPr="003A1726">
        <w:rPr>
          <w:rFonts w:cs="Traditional Arabic" w:hint="cs"/>
          <w:b/>
          <w:bCs/>
          <w:sz w:val="24"/>
          <w:szCs w:val="32"/>
          <w:rtl/>
        </w:rPr>
        <w:tab/>
        <w:t>مخطط الفصول</w:t>
      </w:r>
    </w:p>
    <w:p w:rsidR="00A64ABB" w:rsidRDefault="00A64ABB" w:rsidP="00932271">
      <w:pPr>
        <w:spacing w:after="120" w:line="400" w:lineRule="exact"/>
        <w:ind w:left="1134"/>
        <w:jc w:val="both"/>
        <w:rPr>
          <w:rFonts w:cs="Traditional Arabic" w:hint="cs"/>
          <w:szCs w:val="30"/>
          <w:rtl/>
        </w:rPr>
      </w:pPr>
      <w:r>
        <w:rPr>
          <w:rFonts w:cs="Traditional Arabic" w:hint="cs"/>
          <w:szCs w:val="30"/>
          <w:rtl/>
        </w:rPr>
        <w:t>6 -</w:t>
      </w:r>
      <w:r>
        <w:rPr>
          <w:rFonts w:cs="Traditional Arabic" w:hint="cs"/>
          <w:szCs w:val="30"/>
          <w:rtl/>
        </w:rPr>
        <w:tab/>
        <w:t>من المزمع أن تُعرض نتائج التقييم المواضيعي السريع في تقرير من خمسة فصول على النحو المبين أدناه.</w:t>
      </w:r>
    </w:p>
    <w:p w:rsidR="00A64ABB" w:rsidRDefault="00A64ABB" w:rsidP="00932271">
      <w:pPr>
        <w:spacing w:after="120" w:line="400" w:lineRule="exact"/>
        <w:ind w:left="1134"/>
        <w:jc w:val="both"/>
        <w:rPr>
          <w:rFonts w:cs="Traditional Arabic" w:hint="cs"/>
          <w:szCs w:val="30"/>
          <w:rtl/>
        </w:rPr>
      </w:pPr>
      <w:r>
        <w:rPr>
          <w:rFonts w:cs="Traditional Arabic" w:hint="cs"/>
          <w:szCs w:val="30"/>
          <w:rtl/>
        </w:rPr>
        <w:t>7 -</w:t>
      </w:r>
      <w:r>
        <w:rPr>
          <w:rFonts w:cs="Traditional Arabic" w:hint="cs"/>
          <w:szCs w:val="30"/>
          <w:rtl/>
        </w:rPr>
        <w:tab/>
        <w:t>الفصل 1 سيتضمن عرضاً وجيزاً عن تنوع عوامل التلقيح ونظم التلقيح ودورها في دعم إنتاج الغذاء تحديداً ورفاه الإنسان والحفاظ على التنوع البيولوجي بصورة أعم. وسيقيِّم الفصل حالة واتجاهات العناصر والوظائف البيولوجية التي تتفاعل لتوفر خدمات التلقيح. وسيتضمن التقييم دور عوامل التلقيح المستوطنة والدخيلة، بما في ذلك الحشرات والخفافيش والثدييات الأخرى والطيور والزواحف. علاوةً على ذلك سيؤخذ في الاعتبار دور العوامل المتعددة عبر النطاقات المكانية، مثل التركيب الوظيفي للعشائر النباتية، وتنوع عوامل التلقيح وخصوصيتها، وموسمية المناخ وتقلباته، وتركيب المناظر الطبيعية المرتبط بعمليتي الانتشار والقابلية للحركة.</w:t>
      </w:r>
    </w:p>
    <w:p w:rsidR="00A64ABB" w:rsidRDefault="00A64ABB" w:rsidP="00932271">
      <w:pPr>
        <w:spacing w:after="120" w:line="400" w:lineRule="exact"/>
        <w:ind w:left="1134"/>
        <w:jc w:val="both"/>
        <w:rPr>
          <w:rFonts w:cs="Traditional Arabic" w:hint="cs"/>
          <w:szCs w:val="30"/>
          <w:rtl/>
        </w:rPr>
      </w:pPr>
      <w:r>
        <w:rPr>
          <w:rFonts w:cs="Traditional Arabic" w:hint="cs"/>
          <w:szCs w:val="30"/>
          <w:rtl/>
        </w:rPr>
        <w:t>8 -</w:t>
      </w:r>
      <w:r>
        <w:rPr>
          <w:rFonts w:cs="Traditional Arabic" w:hint="cs"/>
          <w:szCs w:val="30"/>
          <w:rtl/>
        </w:rPr>
        <w:tab/>
        <w:t xml:space="preserve">الفصل 2 سيقيِّم العوامل الدافعة للتغيير في عوامل التلقيح وخدمات التلقيح، خصوصاً العوامل ذات الأهمية في إنتاج الغذاء. وسيشتمل على تقييم لعوامل التغيير الدافعة غير المباشرة، بما في ذلك التجارة والسياسات في مجالات مثل الزراعة والتخطيط المكاني. وسيقيم الفصل أيضاً العوامل المباشرة الدافعة للتغيير في مجال التلقيح، بما في ذلك المخاطر الناجمة عن تغير المناخ، والأنواع والأمراض الغازية، والتغيرات في مجال استغلال الأراضي، والممارسات الزراعية المتغيرة واستخدام المواد الكيميائية، بما في ذلك مبيدات الفطريات والمبيدات الحشرية مثل المبيدات الشبيهة بالنيكوتين </w:t>
      </w:r>
      <w:r w:rsidRPr="00443D01">
        <w:rPr>
          <w:rFonts w:cs="Times New Roman"/>
          <w:sz w:val="20"/>
          <w:szCs w:val="20"/>
          <w:rtl/>
        </w:rPr>
        <w:t>(</w:t>
      </w:r>
      <w:r w:rsidRPr="00443D01">
        <w:rPr>
          <w:rFonts w:cs="Times New Roman"/>
          <w:sz w:val="20"/>
          <w:szCs w:val="20"/>
          <w:lang w:val="en-GB"/>
        </w:rPr>
        <w:t>Neonicotinoids</w:t>
      </w:r>
      <w:r w:rsidRPr="00443D01">
        <w:rPr>
          <w:rFonts w:cs="Times New Roman"/>
          <w:sz w:val="20"/>
          <w:szCs w:val="20"/>
          <w:rtl/>
        </w:rPr>
        <w:t>)</w:t>
      </w:r>
      <w:r>
        <w:rPr>
          <w:rFonts w:cs="Traditional Arabic" w:hint="cs"/>
          <w:szCs w:val="30"/>
          <w:rtl/>
        </w:rPr>
        <w:t>.</w:t>
      </w:r>
    </w:p>
    <w:p w:rsidR="00A64ABB" w:rsidRDefault="00A64ABB" w:rsidP="00932271">
      <w:pPr>
        <w:spacing w:after="120" w:line="400" w:lineRule="exact"/>
        <w:ind w:left="1134"/>
        <w:jc w:val="both"/>
        <w:rPr>
          <w:rFonts w:cs="Traditional Arabic" w:hint="cs"/>
          <w:szCs w:val="30"/>
          <w:rtl/>
        </w:rPr>
      </w:pPr>
      <w:r>
        <w:rPr>
          <w:rFonts w:cs="Traditional Arabic" w:hint="cs"/>
          <w:szCs w:val="30"/>
          <w:rtl/>
        </w:rPr>
        <w:t>9 -</w:t>
      </w:r>
      <w:r>
        <w:rPr>
          <w:rFonts w:cs="Traditional Arabic" w:hint="cs"/>
          <w:szCs w:val="30"/>
          <w:rtl/>
        </w:rPr>
        <w:tab/>
        <w:t>الفصل 3 سوف يقيم حالة واتجاهات التلقيح بوصفه عملية رئيسية في النظام الإيكولوجي البري الذي يديره الإنسان والنظام الإيكولوجي البري الطبيعي. وسوف يركز هذا الفصل على مساهمة التلقيح الذي تقوم به شتى مجموعات العشائر الملقحة في رفاه الإنسان، استناداً إلى دور التلقيح في الحفاظ على التنوع البيولوجي الزراعي والطبيعي وحماية المجتمعات المحلية التي تعتمد على استخدام الموارد الطبيعية، بما في ذلك الاستخدام الطبي. وسيتم التركيز على الدور المهم للتلقيح في المساهمة في الأمن الغذائي، بما في ذلك فيما يتعلق بنوعية واستقرار وتوفر الغذاء ودوره في توليد الدخل. وسيقيّم الفصل كيف يمكن تحديد تدني نوعية التلقيح وما هي المناطق والنظم الزراعية المعرضة لانخفاض فعالية التلقيح ونقصان أعداد العوامل الملقحة.</w:t>
      </w:r>
    </w:p>
    <w:p w:rsidR="00A64ABB" w:rsidRDefault="00A64ABB" w:rsidP="00932271">
      <w:pPr>
        <w:spacing w:after="120" w:line="400" w:lineRule="exact"/>
        <w:ind w:left="1134"/>
        <w:jc w:val="both"/>
        <w:rPr>
          <w:rFonts w:cs="Traditional Arabic" w:hint="cs"/>
          <w:szCs w:val="30"/>
          <w:rtl/>
        </w:rPr>
      </w:pPr>
      <w:r>
        <w:rPr>
          <w:rFonts w:cs="Traditional Arabic" w:hint="cs"/>
          <w:szCs w:val="30"/>
          <w:rtl/>
        </w:rPr>
        <w:t>10 -</w:t>
      </w:r>
      <w:r>
        <w:rPr>
          <w:rFonts w:cs="Traditional Arabic" w:hint="cs"/>
          <w:szCs w:val="30"/>
          <w:rtl/>
        </w:rPr>
        <w:tab/>
        <w:t>الفصل 4 سيقيم المنهجيات الاقتصادية لتحديد قيمة عملية التلقيح لإنتاج الغذاء والآثار الاقتصادية لانخفاض أعداد عوامل التلقيح ذات الصلة بإنتاج الغذاء. وسيقيم الفصل مدى إظهار التقديرات الحالية، للقيمة الاقتصادية للتلقيح لإنتاج الغذاء، لمساهمات التلقيح في الأمن الغذائي والتنمية وفق ما هو محدد في الفصل 3، كما سيقيم المنهجيات والنُّهُج لإجراء هذه التقييمات على المستويين الوطني والمحلي.</w:t>
      </w:r>
    </w:p>
    <w:p w:rsidR="00A64ABB" w:rsidRDefault="00A64ABB" w:rsidP="00932271">
      <w:pPr>
        <w:spacing w:after="120" w:line="400" w:lineRule="exact"/>
        <w:ind w:left="1134"/>
        <w:jc w:val="both"/>
        <w:rPr>
          <w:rFonts w:cs="Traditional Arabic" w:hint="cs"/>
          <w:szCs w:val="30"/>
          <w:rtl/>
        </w:rPr>
      </w:pPr>
      <w:r>
        <w:rPr>
          <w:rFonts w:cs="Traditional Arabic" w:hint="cs"/>
          <w:szCs w:val="30"/>
          <w:rtl/>
        </w:rPr>
        <w:t>11 -</w:t>
      </w:r>
      <w:r>
        <w:rPr>
          <w:rFonts w:cs="Traditional Arabic" w:hint="cs"/>
          <w:szCs w:val="30"/>
          <w:rtl/>
        </w:rPr>
        <w:tab/>
        <w:t xml:space="preserve">الفصل 5 سيقيم الاستجابات للمخاطر المرتبطة بتدهور خدمات التلقيح وفرص استعادة وتعزيز هذه الخدمات. وستخضع التجارب في مجال استخدام الأدوات والمنهجيات للتخطيط والنمذجة وتحليل خيارات العمل، للتقييم استناداً إلى العمل الحالي الذي تقوم به جهات فاعلة منها منظمة الأغذية والزراعة، بما في ذلك من خلال تقييم الكيفية التي يمكن بها إدارة أوجه عدم اليقين الإيكولوجية وتلبية الاحتياجات في مجال البحوث والرصد. وسيقيم الفصل مرة أخرى كيف يمكن لفهم الانخفاض في مستوى التلقيح وتدني فعاليته أن يساعد في </w:t>
      </w:r>
      <w:r>
        <w:rPr>
          <w:rFonts w:cs="Traditional Arabic" w:hint="cs"/>
          <w:szCs w:val="30"/>
          <w:rtl/>
        </w:rPr>
        <w:lastRenderedPageBreak/>
        <w:t>دفع الممارسات والسياسات، خصوصاً في مجال إدارة استغلال الأراضي، والبستنة والزراعة، بما في ذلك من خلال نُهُج ابتكارية مثل الزراعة الشديدة التركيز على الجانب الإيكولوجي. وسيتضمن تقييم خيارات الاستجابة اعتبارات عمليات المقايضة في السياسات العامة.</w:t>
      </w:r>
    </w:p>
    <w:p w:rsidR="00A64ABB" w:rsidRPr="003A1726" w:rsidRDefault="00A64ABB" w:rsidP="000714FA">
      <w:pPr>
        <w:spacing w:after="120" w:line="400" w:lineRule="exact"/>
        <w:ind w:left="1134" w:hanging="852"/>
        <w:jc w:val="both"/>
        <w:rPr>
          <w:rFonts w:cs="Traditional Arabic" w:hint="cs"/>
          <w:b/>
          <w:bCs/>
          <w:sz w:val="24"/>
          <w:szCs w:val="32"/>
          <w:rtl/>
        </w:rPr>
      </w:pPr>
      <w:r>
        <w:rPr>
          <w:rFonts w:cs="Traditional Arabic" w:hint="cs"/>
          <w:b/>
          <w:bCs/>
          <w:sz w:val="24"/>
          <w:szCs w:val="32"/>
          <w:rtl/>
        </w:rPr>
        <w:t xml:space="preserve">رابعاً </w:t>
      </w:r>
      <w:r w:rsidRPr="003A1726">
        <w:rPr>
          <w:rFonts w:cs="Traditional Arabic" w:hint="cs"/>
          <w:b/>
          <w:bCs/>
          <w:sz w:val="24"/>
          <w:szCs w:val="32"/>
          <w:rtl/>
        </w:rPr>
        <w:t>-</w:t>
      </w:r>
      <w:r w:rsidRPr="003A1726">
        <w:rPr>
          <w:rFonts w:cs="Traditional Arabic" w:hint="cs"/>
          <w:b/>
          <w:bCs/>
          <w:sz w:val="24"/>
          <w:szCs w:val="32"/>
          <w:rtl/>
        </w:rPr>
        <w:tab/>
        <w:t>العملية والجدول الزمني</w:t>
      </w:r>
    </w:p>
    <w:p w:rsidR="00A64ABB" w:rsidRDefault="00A64ABB" w:rsidP="000714FA">
      <w:pPr>
        <w:spacing w:after="120" w:line="400" w:lineRule="exact"/>
        <w:ind w:left="1134"/>
        <w:jc w:val="both"/>
        <w:rPr>
          <w:rFonts w:cs="Traditional Arabic" w:hint="cs"/>
          <w:szCs w:val="30"/>
          <w:rtl/>
        </w:rPr>
      </w:pPr>
      <w:r>
        <w:rPr>
          <w:rFonts w:cs="Traditional Arabic" w:hint="cs"/>
          <w:szCs w:val="30"/>
          <w:rtl/>
        </w:rPr>
        <w:t>12 -</w:t>
      </w:r>
      <w:r>
        <w:rPr>
          <w:rFonts w:cs="Traditional Arabic" w:hint="cs"/>
          <w:szCs w:val="30"/>
          <w:rtl/>
        </w:rPr>
        <w:tab/>
        <w:t>ترد في الجدول التالي العملية المقترحة لإجراء التقييم المواضيعي السريع والجدول الزمني لتنفيذها.</w:t>
      </w:r>
    </w:p>
    <w:tbl>
      <w:tblPr>
        <w:bidiVisual/>
        <w:tblW w:w="8538" w:type="dxa"/>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6695"/>
      </w:tblGrid>
      <w:tr w:rsidR="00A64ABB" w:rsidRPr="00A91646" w:rsidTr="00A17CC6">
        <w:trPr>
          <w:trHeight w:val="584"/>
          <w:tblHeader/>
        </w:trPr>
        <w:tc>
          <w:tcPr>
            <w:tcW w:w="1843" w:type="dxa"/>
            <w:gridSpan w:val="2"/>
            <w:shd w:val="clear" w:color="auto" w:fill="FFFFFF"/>
            <w:vAlign w:val="center"/>
          </w:tcPr>
          <w:p w:rsidR="00A64ABB" w:rsidRPr="00BE1451" w:rsidRDefault="00A64ABB" w:rsidP="00A17CC6">
            <w:pPr>
              <w:pStyle w:val="Normal-pool"/>
              <w:tabs>
                <w:tab w:val="clear" w:pos="1247"/>
              </w:tabs>
              <w:bidi/>
              <w:spacing w:before="40" w:after="40" w:line="360" w:lineRule="exact"/>
              <w:jc w:val="center"/>
              <w:rPr>
                <w:rFonts w:ascii="Traditional Arabic" w:eastAsia="SimSun" w:hAnsi="Traditional Arabic" w:cs="Traditional Arabic" w:hint="cs"/>
                <w:i/>
                <w:iCs/>
                <w:sz w:val="24"/>
                <w:szCs w:val="24"/>
                <w:rtl/>
                <w:lang w:val="en-US" w:eastAsia="zh-CN"/>
              </w:rPr>
            </w:pPr>
            <w:r w:rsidRPr="00BE1451">
              <w:rPr>
                <w:rFonts w:ascii="Traditional Arabic" w:eastAsia="SimSun" w:hAnsi="Traditional Arabic" w:cs="Traditional Arabic" w:hint="cs"/>
                <w:i/>
                <w:iCs/>
                <w:sz w:val="24"/>
                <w:szCs w:val="24"/>
                <w:rtl/>
                <w:lang w:val="en-US" w:eastAsia="zh-CN"/>
              </w:rPr>
              <w:t>الإطار الزمني</w:t>
            </w:r>
          </w:p>
        </w:tc>
        <w:tc>
          <w:tcPr>
            <w:tcW w:w="6695" w:type="dxa"/>
            <w:shd w:val="clear" w:color="auto" w:fill="FFFFFF"/>
            <w:vAlign w:val="center"/>
          </w:tcPr>
          <w:p w:rsidR="00A64ABB" w:rsidRPr="00BE1451" w:rsidRDefault="00A64ABB" w:rsidP="00A17CC6">
            <w:pPr>
              <w:pStyle w:val="Normal-pool"/>
              <w:tabs>
                <w:tab w:val="clear" w:pos="1247"/>
                <w:tab w:val="clear" w:pos="1814"/>
                <w:tab w:val="clear" w:pos="2381"/>
                <w:tab w:val="clear" w:pos="2948"/>
                <w:tab w:val="clear" w:pos="3515"/>
              </w:tabs>
              <w:bidi/>
              <w:spacing w:before="40" w:after="40" w:line="360" w:lineRule="exact"/>
              <w:ind w:left="459"/>
              <w:jc w:val="both"/>
              <w:rPr>
                <w:rFonts w:ascii="Traditional Arabic" w:hAnsi="Traditional Arabic" w:cs="Traditional Arabic" w:hint="cs"/>
                <w:i/>
                <w:iCs/>
                <w:sz w:val="24"/>
                <w:szCs w:val="24"/>
                <w:rtl/>
              </w:rPr>
            </w:pPr>
            <w:r w:rsidRPr="00BE1451">
              <w:rPr>
                <w:rFonts w:ascii="Traditional Arabic" w:hAnsi="Traditional Arabic" w:cs="Traditional Arabic" w:hint="cs"/>
                <w:i/>
                <w:iCs/>
                <w:sz w:val="24"/>
                <w:szCs w:val="24"/>
                <w:rtl/>
              </w:rPr>
              <w:t>الإجراءات</w:t>
            </w:r>
          </w:p>
        </w:tc>
      </w:tr>
      <w:tr w:rsidR="00A64ABB" w:rsidRPr="00A91646" w:rsidTr="00A17CC6">
        <w:trPr>
          <w:trHeight w:val="584"/>
        </w:trPr>
        <w:tc>
          <w:tcPr>
            <w:tcW w:w="851" w:type="dxa"/>
            <w:vMerge w:val="restart"/>
            <w:shd w:val="clear" w:color="auto" w:fill="auto"/>
            <w:vAlign w:val="center"/>
          </w:tcPr>
          <w:p w:rsidR="00A64ABB" w:rsidRDefault="00A64ABB" w:rsidP="00A17CC6">
            <w:pPr>
              <w:pStyle w:val="Normal-pool"/>
              <w:bidi/>
              <w:spacing w:before="40" w:after="40" w:line="360" w:lineRule="exact"/>
              <w:rPr>
                <w:rFonts w:ascii="Traditional Arabic" w:eastAsia="SimSun" w:hAnsi="Traditional Arabic" w:cs="Traditional Arabic" w:hint="cs"/>
                <w:sz w:val="24"/>
                <w:szCs w:val="24"/>
                <w:rtl/>
                <w:lang w:val="en-US" w:eastAsia="zh-CN"/>
              </w:rPr>
            </w:pPr>
            <w:r>
              <w:rPr>
                <w:rFonts w:ascii="Traditional Arabic" w:eastAsia="SimSun" w:hAnsi="Traditional Arabic" w:cs="Traditional Arabic" w:hint="cs"/>
                <w:sz w:val="24"/>
                <w:szCs w:val="24"/>
                <w:rtl/>
                <w:lang w:val="en-US" w:eastAsia="zh-CN"/>
              </w:rPr>
              <w:t>2013</w:t>
            </w:r>
          </w:p>
        </w:tc>
        <w:tc>
          <w:tcPr>
            <w:tcW w:w="992" w:type="dxa"/>
            <w:vMerge w:val="restart"/>
            <w:shd w:val="clear" w:color="auto" w:fill="auto"/>
            <w:vAlign w:val="center"/>
          </w:tcPr>
          <w:p w:rsidR="00A64ABB" w:rsidRDefault="00A64ABB" w:rsidP="00A17CC6">
            <w:pPr>
              <w:pStyle w:val="Normal-pool"/>
              <w:bidi/>
              <w:spacing w:before="40" w:after="40" w:line="360" w:lineRule="exact"/>
              <w:rPr>
                <w:rFonts w:ascii="Traditional Arabic" w:eastAsia="SimSun" w:hAnsi="Traditional Arabic" w:cs="Traditional Arabic" w:hint="cs"/>
                <w:sz w:val="24"/>
                <w:szCs w:val="24"/>
                <w:rtl/>
                <w:lang w:val="en-US" w:eastAsia="zh-CN"/>
              </w:rPr>
            </w:pPr>
            <w:r>
              <w:rPr>
                <w:rFonts w:ascii="Traditional Arabic" w:eastAsia="SimSun" w:hAnsi="Traditional Arabic" w:cs="Traditional Arabic" w:hint="cs"/>
                <w:sz w:val="24"/>
                <w:szCs w:val="24"/>
                <w:rtl/>
                <w:lang w:val="en-US" w:eastAsia="zh-CN"/>
              </w:rPr>
              <w:t>الربع الرابع</w:t>
            </w:r>
          </w:p>
        </w:tc>
        <w:tc>
          <w:tcPr>
            <w:tcW w:w="6695" w:type="dxa"/>
            <w:shd w:val="clear" w:color="auto" w:fill="auto"/>
            <w:vAlign w:val="center"/>
          </w:tcPr>
          <w:p w:rsidR="00A64ABB" w:rsidRDefault="00A64ABB" w:rsidP="00A17CC6">
            <w:pPr>
              <w:pStyle w:val="Normal-pool"/>
              <w:bidi/>
              <w:spacing w:before="40" w:after="40" w:line="360" w:lineRule="exact"/>
              <w:jc w:val="both"/>
              <w:rPr>
                <w:rFonts w:ascii="Traditional Arabic" w:hAnsi="Traditional Arabic" w:cs="Traditional Arabic" w:hint="cs"/>
                <w:sz w:val="24"/>
                <w:szCs w:val="24"/>
                <w:rtl/>
              </w:rPr>
            </w:pPr>
            <w:r>
              <w:rPr>
                <w:rFonts w:ascii="Traditional Arabic" w:hAnsi="Traditional Arabic" w:cs="Traditional Arabic" w:hint="cs"/>
                <w:sz w:val="24"/>
                <w:szCs w:val="24"/>
                <w:rtl/>
              </w:rPr>
              <w:t>يستعرض الاجتماع العام ويوافق على عملية التحديد الأولي للنطاق التي يعدها فريق الخبراء المتعدد الاختصاصات (14 كانون الأول/ديسمبر 2013).</w:t>
            </w:r>
          </w:p>
        </w:tc>
      </w:tr>
      <w:tr w:rsidR="00A64ABB" w:rsidRPr="00A91646" w:rsidTr="00A17CC6">
        <w:trPr>
          <w:trHeight w:val="584"/>
        </w:trPr>
        <w:tc>
          <w:tcPr>
            <w:tcW w:w="851" w:type="dxa"/>
            <w:vMerge/>
            <w:shd w:val="clear" w:color="auto" w:fill="auto"/>
            <w:vAlign w:val="center"/>
          </w:tcPr>
          <w:p w:rsidR="00A64ABB" w:rsidRDefault="00A64ABB" w:rsidP="00A17CC6">
            <w:pPr>
              <w:pStyle w:val="Normal-pool"/>
              <w:bidi/>
              <w:spacing w:before="40" w:after="40" w:line="360" w:lineRule="exact"/>
              <w:rPr>
                <w:rFonts w:ascii="Traditional Arabic" w:eastAsia="SimSun" w:hAnsi="Traditional Arabic" w:cs="Traditional Arabic" w:hint="cs"/>
                <w:sz w:val="24"/>
                <w:szCs w:val="24"/>
                <w:rtl/>
                <w:lang w:val="en-US" w:eastAsia="zh-CN"/>
              </w:rPr>
            </w:pPr>
          </w:p>
        </w:tc>
        <w:tc>
          <w:tcPr>
            <w:tcW w:w="992" w:type="dxa"/>
            <w:vMerge/>
            <w:shd w:val="clear" w:color="auto" w:fill="auto"/>
            <w:vAlign w:val="center"/>
          </w:tcPr>
          <w:p w:rsidR="00A64ABB" w:rsidRDefault="00A64ABB" w:rsidP="00A17CC6">
            <w:pPr>
              <w:pStyle w:val="Normal-pool"/>
              <w:bidi/>
              <w:spacing w:before="40" w:after="40" w:line="360" w:lineRule="exact"/>
              <w:rPr>
                <w:rFonts w:ascii="Traditional Arabic" w:eastAsia="SimSun" w:hAnsi="Traditional Arabic" w:cs="Traditional Arabic" w:hint="cs"/>
                <w:sz w:val="24"/>
                <w:szCs w:val="24"/>
                <w:rtl/>
                <w:lang w:val="en-US" w:eastAsia="zh-CN"/>
              </w:rPr>
            </w:pPr>
          </w:p>
        </w:tc>
        <w:tc>
          <w:tcPr>
            <w:tcW w:w="6695" w:type="dxa"/>
            <w:shd w:val="clear" w:color="auto" w:fill="auto"/>
            <w:vAlign w:val="center"/>
          </w:tcPr>
          <w:p w:rsidR="00A64ABB" w:rsidRDefault="00A64ABB" w:rsidP="00A17CC6">
            <w:pPr>
              <w:pStyle w:val="Normal-pool"/>
              <w:bidi/>
              <w:spacing w:before="40" w:after="40" w:line="360" w:lineRule="exact"/>
              <w:jc w:val="both"/>
              <w:rPr>
                <w:rFonts w:ascii="Traditional Arabic" w:hAnsi="Traditional Arabic" w:cs="Traditional Arabic" w:hint="cs"/>
                <w:sz w:val="24"/>
                <w:szCs w:val="24"/>
                <w:rtl/>
              </w:rPr>
            </w:pPr>
            <w:r>
              <w:rPr>
                <w:rFonts w:ascii="Traditional Arabic" w:hAnsi="Traditional Arabic" w:cs="Traditional Arabic" w:hint="cs"/>
                <w:sz w:val="24"/>
                <w:szCs w:val="24"/>
                <w:rtl/>
              </w:rPr>
              <w:t>يصدر الفريق نداءً، عبر الأمانة، إلى الحكومات وأصحاب المصلحة الآخرين لترشيح خبراء (رؤساء مشاركين لتقرير التقييم ومؤلفين رئيسيين منسقين ومؤلفين رئيسيين ومحررين مراجعين) لإجراء التقييم استناداً إلى نتائح عملية تحديد النطاق التي وافق عليها الاجتماع العام (9 كانون الأول/ديسمبر 2013 - 10 كانون الثاني/يناير 2014).</w:t>
            </w:r>
          </w:p>
        </w:tc>
      </w:tr>
      <w:tr w:rsidR="00A64ABB" w:rsidRPr="00A91646" w:rsidTr="00A17CC6">
        <w:trPr>
          <w:trHeight w:val="584"/>
        </w:trPr>
        <w:tc>
          <w:tcPr>
            <w:tcW w:w="851" w:type="dxa"/>
            <w:vMerge w:val="restart"/>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hint="cs"/>
                <w:sz w:val="24"/>
                <w:szCs w:val="24"/>
                <w:lang w:eastAsia="zh-CN"/>
              </w:rPr>
            </w:pPr>
            <w:r>
              <w:rPr>
                <w:rFonts w:ascii="Traditional Arabic" w:eastAsia="SimSun" w:hAnsi="Traditional Arabic" w:cs="Traditional Arabic" w:hint="cs"/>
                <w:sz w:val="24"/>
                <w:szCs w:val="24"/>
                <w:rtl/>
                <w:lang w:eastAsia="zh-CN"/>
              </w:rPr>
              <w:t>2014</w:t>
            </w:r>
          </w:p>
        </w:tc>
        <w:tc>
          <w:tcPr>
            <w:tcW w:w="992" w:type="dxa"/>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hint="cs"/>
                <w:sz w:val="24"/>
                <w:szCs w:val="24"/>
                <w:rtl/>
                <w:lang w:val="en-US" w:eastAsia="zh-CN"/>
              </w:rPr>
            </w:pPr>
            <w:r>
              <w:rPr>
                <w:rFonts w:ascii="Traditional Arabic" w:eastAsia="SimSun" w:hAnsi="Traditional Arabic" w:cs="Traditional Arabic" w:hint="cs"/>
                <w:sz w:val="24"/>
                <w:szCs w:val="24"/>
                <w:rtl/>
                <w:lang w:val="en-US" w:eastAsia="zh-CN"/>
              </w:rPr>
              <w:t>الربع الأول</w:t>
            </w:r>
          </w:p>
        </w:tc>
        <w:tc>
          <w:tcPr>
            <w:tcW w:w="6695" w:type="dxa"/>
            <w:shd w:val="clear" w:color="auto" w:fill="auto"/>
            <w:vAlign w:val="center"/>
          </w:tcPr>
          <w:p w:rsidR="00A64ABB" w:rsidRPr="00A91646" w:rsidRDefault="00A64ABB" w:rsidP="00A17CC6">
            <w:pPr>
              <w:pStyle w:val="Normal-pool"/>
              <w:bidi/>
              <w:spacing w:before="40" w:after="40" w:line="360" w:lineRule="exact"/>
              <w:jc w:val="both"/>
              <w:rPr>
                <w:rFonts w:ascii="Traditional Arabic" w:hAnsi="Traditional Arabic" w:cs="Traditional Arabic"/>
                <w:sz w:val="24"/>
                <w:szCs w:val="24"/>
              </w:rPr>
            </w:pPr>
            <w:r>
              <w:rPr>
                <w:rFonts w:ascii="Traditional Arabic" w:hAnsi="Traditional Arabic" w:cs="Traditional Arabic" w:hint="cs"/>
                <w:sz w:val="24"/>
                <w:szCs w:val="24"/>
                <w:rtl/>
              </w:rPr>
              <w:t>يختار الفريق، عبر البريد الإلكتروني والتحاور عن بعد، الرؤساء المشاركين والمؤلفين الرئيسيين المنسقين والمؤلفين</w:t>
            </w:r>
            <w:r w:rsidDel="00AE7683">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 xml:space="preserve">الرئيسيين والمحررين المراجعين باستخدام معايير الاختيار المعتمدة (أنظر </w:t>
            </w:r>
            <w:r w:rsidRPr="00932271">
              <w:rPr>
                <w:sz w:val="18"/>
                <w:szCs w:val="18"/>
              </w:rPr>
              <w:t>IPBES/2/9</w:t>
            </w:r>
            <w:r>
              <w:rPr>
                <w:rFonts w:ascii="Traditional Arabic" w:hAnsi="Traditional Arabic" w:cs="Traditional Arabic" w:hint="cs"/>
                <w:sz w:val="24"/>
                <w:szCs w:val="24"/>
                <w:rtl/>
              </w:rPr>
              <w:t>) (11 - 24 كانون الثاني/يناير).</w:t>
            </w:r>
          </w:p>
        </w:tc>
      </w:tr>
      <w:tr w:rsidR="00A64ABB" w:rsidRPr="00A91646" w:rsidTr="00A17CC6">
        <w:trPr>
          <w:trHeight w:val="584"/>
        </w:trPr>
        <w:tc>
          <w:tcPr>
            <w:tcW w:w="851" w:type="dxa"/>
            <w:vMerge/>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p>
        </w:tc>
        <w:tc>
          <w:tcPr>
            <w:tcW w:w="992" w:type="dxa"/>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hint="cs"/>
                <w:sz w:val="24"/>
                <w:szCs w:val="24"/>
                <w:rtl/>
                <w:lang w:val="en-US" w:eastAsia="zh-CN"/>
              </w:rPr>
            </w:pPr>
            <w:r>
              <w:rPr>
                <w:rFonts w:ascii="Traditional Arabic" w:eastAsia="SimSun" w:hAnsi="Traditional Arabic" w:cs="Traditional Arabic" w:hint="cs"/>
                <w:sz w:val="24"/>
                <w:szCs w:val="24"/>
                <w:rtl/>
                <w:lang w:val="en-US" w:eastAsia="zh-CN"/>
              </w:rPr>
              <w:t>الربع الأول/ الثاني/الثالث</w:t>
            </w:r>
          </w:p>
        </w:tc>
        <w:tc>
          <w:tcPr>
            <w:tcW w:w="6695" w:type="dxa"/>
            <w:shd w:val="clear" w:color="auto" w:fill="auto"/>
            <w:vAlign w:val="center"/>
          </w:tcPr>
          <w:p w:rsidR="00A64ABB" w:rsidRPr="00A91646" w:rsidRDefault="00A64ABB" w:rsidP="00A17CC6">
            <w:pPr>
              <w:pStyle w:val="Normal-pool"/>
              <w:bidi/>
              <w:spacing w:before="40" w:after="40" w:line="360" w:lineRule="exact"/>
              <w:jc w:val="both"/>
              <w:rPr>
                <w:rFonts w:ascii="Traditional Arabic" w:hAnsi="Traditional Arabic" w:cs="Traditional Arabic"/>
                <w:sz w:val="24"/>
                <w:szCs w:val="24"/>
              </w:rPr>
            </w:pPr>
            <w:r>
              <w:rPr>
                <w:rFonts w:ascii="Traditional Arabic" w:hAnsi="Traditional Arabic" w:cs="Traditional Arabic" w:hint="cs"/>
                <w:sz w:val="24"/>
                <w:szCs w:val="24"/>
                <w:rtl/>
              </w:rPr>
              <w:t xml:space="preserve">يعد الرؤساء المشاركون للتقرير والمؤلفون الرئيسيون المنسقون والمؤلفون الرئيسيون والمحررون المراجعون أول مشروع تقرير وموجز لمقرري السياسات (25 كانون الثاني/يناير - 25 تموز/يوليه). ويجتمع المؤلفون الرئيسيون في شهر شباط/فبراير للاستمرار في وضع المخطط المشروح والأجزاء والفصول الموكلة إليهم كما يجتمعون مرة أخرى في تموز/يوليه لوضع الصيغة النهائية للتقرير وإعداد الموجز الخاص بمقرري السياسات. </w:t>
            </w:r>
          </w:p>
        </w:tc>
      </w:tr>
      <w:tr w:rsidR="00A64ABB" w:rsidRPr="00A91646" w:rsidTr="00A17CC6">
        <w:trPr>
          <w:trHeight w:val="584"/>
        </w:trPr>
        <w:tc>
          <w:tcPr>
            <w:tcW w:w="851" w:type="dxa"/>
            <w:vMerge/>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p>
        </w:tc>
        <w:tc>
          <w:tcPr>
            <w:tcW w:w="992" w:type="dxa"/>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hint="cs"/>
                <w:sz w:val="24"/>
                <w:szCs w:val="24"/>
                <w:rtl/>
                <w:lang w:val="en-US" w:eastAsia="zh-CN"/>
              </w:rPr>
            </w:pPr>
            <w:r>
              <w:rPr>
                <w:rFonts w:ascii="Traditional Arabic" w:eastAsia="SimSun" w:hAnsi="Traditional Arabic" w:cs="Traditional Arabic" w:hint="cs"/>
                <w:sz w:val="24"/>
                <w:szCs w:val="24"/>
                <w:rtl/>
                <w:lang w:val="en-US" w:eastAsia="zh-CN"/>
              </w:rPr>
              <w:t>الربع الثالث</w:t>
            </w:r>
          </w:p>
        </w:tc>
        <w:tc>
          <w:tcPr>
            <w:tcW w:w="6695" w:type="dxa"/>
            <w:shd w:val="clear" w:color="auto" w:fill="auto"/>
            <w:vAlign w:val="center"/>
          </w:tcPr>
          <w:p w:rsidR="00A64ABB" w:rsidRPr="00A91646" w:rsidRDefault="00A64ABB" w:rsidP="00A17CC6">
            <w:pPr>
              <w:pStyle w:val="Normal-pool"/>
              <w:bidi/>
              <w:spacing w:before="40" w:after="40" w:line="360" w:lineRule="exact"/>
              <w:jc w:val="both"/>
              <w:rPr>
                <w:rFonts w:ascii="Traditional Arabic" w:hAnsi="Traditional Arabic" w:cs="Traditional Arabic"/>
                <w:sz w:val="24"/>
                <w:szCs w:val="24"/>
              </w:rPr>
            </w:pPr>
            <w:r>
              <w:rPr>
                <w:rFonts w:ascii="Traditional Arabic" w:hAnsi="Traditional Arabic" w:cs="Traditional Arabic" w:hint="cs"/>
                <w:sz w:val="24"/>
                <w:szCs w:val="24"/>
                <w:rtl/>
              </w:rPr>
              <w:t xml:space="preserve">يستعرض الخبراء والحكومات وأصحاب المصلحة الآخرون مشروع التقرير </w:t>
            </w:r>
            <w:r w:rsidRPr="00BE6FCB">
              <w:rPr>
                <w:rFonts w:ascii="Traditional Arabic" w:hAnsi="Traditional Arabic" w:cs="Traditional Arabic" w:hint="cs"/>
                <w:sz w:val="24"/>
                <w:szCs w:val="24"/>
                <w:rtl/>
              </w:rPr>
              <w:t xml:space="preserve">وموجز مقرري السياسات </w:t>
            </w:r>
            <w:r>
              <w:rPr>
                <w:rFonts w:ascii="Traditional Arabic" w:hAnsi="Traditional Arabic" w:cs="Traditional Arabic" w:hint="cs"/>
                <w:sz w:val="24"/>
                <w:szCs w:val="24"/>
                <w:rtl/>
              </w:rPr>
              <w:t>(26 تموز/يوليه - 12 أيلول/سبتمبر).</w:t>
            </w:r>
          </w:p>
        </w:tc>
      </w:tr>
      <w:tr w:rsidR="00A64ABB" w:rsidRPr="00A91646" w:rsidTr="00A17CC6">
        <w:trPr>
          <w:trHeight w:val="120"/>
        </w:trPr>
        <w:tc>
          <w:tcPr>
            <w:tcW w:w="851" w:type="dxa"/>
            <w:vMerge/>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p>
        </w:tc>
        <w:tc>
          <w:tcPr>
            <w:tcW w:w="992" w:type="dxa"/>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val="en-US" w:eastAsia="zh-CN"/>
              </w:rPr>
            </w:pPr>
            <w:r>
              <w:rPr>
                <w:rFonts w:ascii="Traditional Arabic" w:eastAsia="SimSun" w:hAnsi="Traditional Arabic" w:cs="Traditional Arabic" w:hint="cs"/>
                <w:sz w:val="24"/>
                <w:szCs w:val="24"/>
                <w:rtl/>
                <w:lang w:val="en-US" w:eastAsia="zh-CN"/>
              </w:rPr>
              <w:t>الربع الثالث/</w:t>
            </w:r>
            <w:r w:rsidR="00A17CC6">
              <w:rPr>
                <w:rFonts w:ascii="Traditional Arabic" w:eastAsia="SimSun" w:hAnsi="Traditional Arabic" w:cs="Traditional Arabic" w:hint="cs"/>
                <w:sz w:val="24"/>
                <w:szCs w:val="24"/>
                <w:rtl/>
                <w:lang w:val="en-US" w:eastAsia="zh-CN"/>
              </w:rPr>
              <w:t xml:space="preserve"> </w:t>
            </w:r>
            <w:r>
              <w:rPr>
                <w:rFonts w:ascii="Traditional Arabic" w:eastAsia="SimSun" w:hAnsi="Traditional Arabic" w:cs="Traditional Arabic" w:hint="cs"/>
                <w:sz w:val="24"/>
                <w:szCs w:val="24"/>
                <w:rtl/>
                <w:lang w:val="en-US" w:eastAsia="zh-CN"/>
              </w:rPr>
              <w:t>الرابع</w:t>
            </w:r>
          </w:p>
        </w:tc>
        <w:tc>
          <w:tcPr>
            <w:tcW w:w="6695" w:type="dxa"/>
            <w:shd w:val="clear" w:color="auto" w:fill="auto"/>
            <w:vAlign w:val="center"/>
          </w:tcPr>
          <w:p w:rsidR="00A64ABB" w:rsidRPr="00A91646" w:rsidRDefault="00A64ABB" w:rsidP="00A17CC6">
            <w:pPr>
              <w:pStyle w:val="Normal-pool"/>
              <w:bidi/>
              <w:spacing w:before="40" w:after="40" w:line="360" w:lineRule="exact"/>
              <w:jc w:val="both"/>
              <w:rPr>
                <w:rFonts w:ascii="Traditional Arabic" w:hAnsi="Traditional Arabic" w:cs="Traditional Arabic"/>
                <w:sz w:val="24"/>
                <w:szCs w:val="24"/>
              </w:rPr>
            </w:pPr>
            <w:r>
              <w:rPr>
                <w:rFonts w:ascii="Traditional Arabic" w:hAnsi="Traditional Arabic" w:cs="Traditional Arabic" w:hint="cs"/>
                <w:sz w:val="24"/>
                <w:szCs w:val="24"/>
                <w:rtl/>
              </w:rPr>
              <w:t xml:space="preserve">ينقح الرؤساء المشاركون للتقرير والمؤلفون الرئيسيون المنسقون المؤلفون الرئيسيون المشروع الأول للتقرير وموجز مقرري السياسات بناءً على توجيهات المحررين المراجعين والفريق. ويجتمع المؤلفون والمحررون المراجعون، مع عدد قليل من أعضاء الفريق، مرة واحدة لإعداد المشروع النهائي للتقرير وموجز مقرري السياسات (13 أيلول/سبتمبر - 7 تشرين الثاني/نوفمبر). </w:t>
            </w:r>
          </w:p>
        </w:tc>
      </w:tr>
      <w:tr w:rsidR="00A64ABB" w:rsidRPr="00A91646" w:rsidTr="00A17CC6">
        <w:trPr>
          <w:trHeight w:val="584"/>
        </w:trPr>
        <w:tc>
          <w:tcPr>
            <w:tcW w:w="851" w:type="dxa"/>
            <w:vMerge/>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p>
        </w:tc>
        <w:tc>
          <w:tcPr>
            <w:tcW w:w="992" w:type="dxa"/>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الربع الرابع</w:t>
            </w:r>
          </w:p>
        </w:tc>
        <w:tc>
          <w:tcPr>
            <w:tcW w:w="6695" w:type="dxa"/>
            <w:shd w:val="clear" w:color="auto" w:fill="auto"/>
            <w:vAlign w:val="center"/>
          </w:tcPr>
          <w:p w:rsidR="00A64ABB" w:rsidRPr="00A91646" w:rsidRDefault="00A64ABB" w:rsidP="00A17CC6">
            <w:pPr>
              <w:pStyle w:val="Normal-pool"/>
              <w:bidi/>
              <w:spacing w:before="40" w:after="40" w:line="360" w:lineRule="exact"/>
              <w:jc w:val="both"/>
              <w:rPr>
                <w:rFonts w:ascii="Traditional Arabic" w:hAnsi="Traditional Arabic" w:cs="Traditional Arabic"/>
                <w:sz w:val="24"/>
                <w:szCs w:val="24"/>
              </w:rPr>
            </w:pPr>
            <w:r>
              <w:rPr>
                <w:rFonts w:ascii="Traditional Arabic" w:hAnsi="Traditional Arabic" w:cs="Traditional Arabic" w:hint="cs"/>
                <w:sz w:val="24"/>
                <w:szCs w:val="24"/>
                <w:rtl/>
              </w:rPr>
              <w:t xml:space="preserve">يُترجَم موجز مقرري السياسات إلى جميع لغات الأمم المتحدة الرسمية (8 تشرين الثاني/نوفمبر - 5 كانون الأول/ديسمبر). </w:t>
            </w:r>
          </w:p>
        </w:tc>
      </w:tr>
      <w:tr w:rsidR="00A64ABB" w:rsidRPr="00A91646" w:rsidTr="00A17CC6">
        <w:trPr>
          <w:trHeight w:val="584"/>
        </w:trPr>
        <w:tc>
          <w:tcPr>
            <w:tcW w:w="851" w:type="dxa"/>
            <w:vMerge/>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p>
        </w:tc>
        <w:tc>
          <w:tcPr>
            <w:tcW w:w="992" w:type="dxa"/>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الربع الرابع</w:t>
            </w:r>
          </w:p>
        </w:tc>
        <w:tc>
          <w:tcPr>
            <w:tcW w:w="6695" w:type="dxa"/>
            <w:shd w:val="clear" w:color="auto" w:fill="auto"/>
            <w:vAlign w:val="center"/>
          </w:tcPr>
          <w:p w:rsidR="00A64ABB" w:rsidRPr="00A91646" w:rsidRDefault="00A64ABB" w:rsidP="00A17CC6">
            <w:pPr>
              <w:pStyle w:val="Normal-pool"/>
              <w:bidi/>
              <w:spacing w:before="40" w:after="40" w:line="360" w:lineRule="exact"/>
              <w:jc w:val="both"/>
              <w:rPr>
                <w:rFonts w:ascii="Traditional Arabic" w:hAnsi="Traditional Arabic" w:cs="Traditional Arabic"/>
                <w:sz w:val="24"/>
                <w:szCs w:val="24"/>
              </w:rPr>
            </w:pPr>
            <w:r>
              <w:rPr>
                <w:rFonts w:ascii="Traditional Arabic" w:hAnsi="Traditional Arabic" w:cs="Traditional Arabic" w:hint="cs"/>
                <w:sz w:val="24"/>
                <w:szCs w:val="24"/>
                <w:rtl/>
              </w:rPr>
              <w:t>يُرسَل المشروع النهائي للتقرير وموجز مقرري السياسات إلى الحكومات وأصحاب المصلحة الآخرين لاستعراضه بشكل نهائي (6 كانون الأول/ديسمبر - 6 شباط/فبراير).</w:t>
            </w:r>
          </w:p>
        </w:tc>
      </w:tr>
      <w:tr w:rsidR="00A64ABB" w:rsidRPr="00A91646" w:rsidTr="00A17CC6">
        <w:trPr>
          <w:trHeight w:val="504"/>
        </w:trPr>
        <w:tc>
          <w:tcPr>
            <w:tcW w:w="851" w:type="dxa"/>
            <w:vMerge w:val="restart"/>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2015</w:t>
            </w:r>
          </w:p>
        </w:tc>
        <w:tc>
          <w:tcPr>
            <w:tcW w:w="992" w:type="dxa"/>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الربع الأول</w:t>
            </w:r>
          </w:p>
        </w:tc>
        <w:tc>
          <w:tcPr>
            <w:tcW w:w="6695" w:type="dxa"/>
            <w:shd w:val="clear" w:color="auto" w:fill="auto"/>
            <w:vAlign w:val="center"/>
          </w:tcPr>
          <w:p w:rsidR="00A64ABB" w:rsidRPr="00A91646" w:rsidRDefault="00A64ABB" w:rsidP="00A17CC6">
            <w:pPr>
              <w:pStyle w:val="Normal-pool"/>
              <w:bidi/>
              <w:spacing w:before="40" w:after="40" w:line="360" w:lineRule="exact"/>
              <w:jc w:val="both"/>
              <w:rPr>
                <w:rFonts w:ascii="Traditional Arabic" w:hAnsi="Traditional Arabic" w:cs="Traditional Arabic"/>
                <w:b/>
                <w:sz w:val="24"/>
                <w:szCs w:val="24"/>
              </w:rPr>
            </w:pPr>
            <w:r>
              <w:rPr>
                <w:rFonts w:ascii="Traditional Arabic" w:hAnsi="Traditional Arabic" w:cs="Traditional Arabic" w:hint="cs"/>
                <w:b/>
                <w:sz w:val="24"/>
                <w:szCs w:val="24"/>
                <w:rtl/>
              </w:rPr>
              <w:t xml:space="preserve">ترسل الحكومات تعليقات مكتوبة بشأن موجز مقرري السياسات إلى الأمانة بحلول 31 كانون الثاني/يناير. </w:t>
            </w:r>
          </w:p>
        </w:tc>
      </w:tr>
      <w:tr w:rsidR="00A64ABB" w:rsidRPr="00A91646" w:rsidTr="00A17CC6">
        <w:trPr>
          <w:trHeight w:val="567"/>
        </w:trPr>
        <w:tc>
          <w:tcPr>
            <w:tcW w:w="851" w:type="dxa"/>
            <w:vMerge/>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p>
        </w:tc>
        <w:tc>
          <w:tcPr>
            <w:tcW w:w="992" w:type="dxa"/>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الربع الأول</w:t>
            </w:r>
          </w:p>
        </w:tc>
        <w:tc>
          <w:tcPr>
            <w:tcW w:w="6695" w:type="dxa"/>
            <w:shd w:val="clear" w:color="auto" w:fill="auto"/>
            <w:vAlign w:val="center"/>
          </w:tcPr>
          <w:p w:rsidR="00A64ABB" w:rsidRPr="00A91646" w:rsidRDefault="00A64ABB" w:rsidP="00A17CC6">
            <w:pPr>
              <w:pStyle w:val="Normal-pool"/>
              <w:bidi/>
              <w:spacing w:before="40" w:after="40" w:line="360" w:lineRule="exact"/>
              <w:jc w:val="both"/>
              <w:rPr>
                <w:rFonts w:ascii="Traditional Arabic" w:hAnsi="Traditional Arabic" w:cs="Traditional Arabic"/>
                <w:sz w:val="24"/>
                <w:szCs w:val="24"/>
              </w:rPr>
            </w:pPr>
            <w:r>
              <w:rPr>
                <w:rFonts w:ascii="Traditional Arabic" w:hAnsi="Traditional Arabic" w:cs="Traditional Arabic" w:hint="cs"/>
                <w:sz w:val="24"/>
                <w:szCs w:val="24"/>
                <w:rtl/>
              </w:rPr>
              <w:t>يستعرض الاجتماع العام التقرير ويقبله ويوافق على موجز مقرري السياسات (يبدأ ذلك بعد 8 شباط/فبراير).</w:t>
            </w:r>
          </w:p>
        </w:tc>
      </w:tr>
    </w:tbl>
    <w:p w:rsidR="00A17CC6" w:rsidRDefault="00A17CC6" w:rsidP="000714FA">
      <w:pPr>
        <w:spacing w:before="240" w:after="120" w:line="400" w:lineRule="exact"/>
        <w:ind w:left="1134"/>
        <w:jc w:val="both"/>
        <w:rPr>
          <w:rFonts w:cs="Traditional Arabic"/>
          <w:b/>
          <w:bCs/>
          <w:sz w:val="24"/>
          <w:szCs w:val="32"/>
          <w:rtl/>
        </w:rPr>
      </w:pPr>
    </w:p>
    <w:p w:rsidR="00A64ABB" w:rsidRPr="003A1726" w:rsidRDefault="00A17CC6" w:rsidP="00A17CC6">
      <w:pPr>
        <w:spacing w:before="240" w:after="120" w:line="400" w:lineRule="exact"/>
        <w:ind w:left="282"/>
        <w:jc w:val="both"/>
        <w:rPr>
          <w:rFonts w:cs="Traditional Arabic" w:hint="cs"/>
          <w:b/>
          <w:bCs/>
          <w:sz w:val="24"/>
          <w:szCs w:val="32"/>
          <w:rtl/>
        </w:rPr>
      </w:pPr>
      <w:r>
        <w:rPr>
          <w:rFonts w:cs="Traditional Arabic"/>
          <w:b/>
          <w:bCs/>
          <w:sz w:val="24"/>
          <w:szCs w:val="32"/>
          <w:rtl/>
        </w:rPr>
        <w:br w:type="page"/>
      </w:r>
      <w:r w:rsidR="00A64ABB">
        <w:rPr>
          <w:rFonts w:cs="Traditional Arabic" w:hint="cs"/>
          <w:b/>
          <w:bCs/>
          <w:sz w:val="24"/>
          <w:szCs w:val="32"/>
          <w:rtl/>
        </w:rPr>
        <w:lastRenderedPageBreak/>
        <w:t xml:space="preserve">خامساً </w:t>
      </w:r>
      <w:r w:rsidR="00A64ABB" w:rsidRPr="003A1726">
        <w:rPr>
          <w:rFonts w:cs="Traditional Arabic" w:hint="cs"/>
          <w:b/>
          <w:bCs/>
          <w:sz w:val="24"/>
          <w:szCs w:val="32"/>
          <w:rtl/>
        </w:rPr>
        <w:t>-</w:t>
      </w:r>
      <w:r w:rsidR="00A64ABB" w:rsidRPr="003A1726">
        <w:rPr>
          <w:rFonts w:cs="Traditional Arabic" w:hint="cs"/>
          <w:b/>
          <w:bCs/>
          <w:sz w:val="24"/>
          <w:szCs w:val="32"/>
          <w:rtl/>
        </w:rPr>
        <w:tab/>
      </w:r>
      <w:r w:rsidR="00A64ABB">
        <w:rPr>
          <w:rFonts w:cs="Traditional Arabic" w:hint="cs"/>
          <w:b/>
          <w:bCs/>
          <w:sz w:val="24"/>
          <w:szCs w:val="32"/>
          <w:rtl/>
        </w:rPr>
        <w:t>تقدير التكاليف</w:t>
      </w:r>
    </w:p>
    <w:p w:rsidR="00A64ABB" w:rsidRDefault="00A64ABB" w:rsidP="000714FA">
      <w:pPr>
        <w:spacing w:line="400" w:lineRule="exact"/>
        <w:ind w:left="1134"/>
        <w:jc w:val="both"/>
        <w:rPr>
          <w:rFonts w:cs="Traditional Arabic" w:hint="cs"/>
          <w:szCs w:val="30"/>
          <w:rtl/>
        </w:rPr>
      </w:pPr>
      <w:r>
        <w:rPr>
          <w:rFonts w:cs="Traditional Arabic" w:hint="cs"/>
          <w:szCs w:val="30"/>
          <w:rtl/>
        </w:rPr>
        <w:t>13 -</w:t>
      </w:r>
      <w:r>
        <w:rPr>
          <w:rFonts w:cs="Traditional Arabic" w:hint="cs"/>
          <w:szCs w:val="30"/>
          <w:rtl/>
        </w:rPr>
        <w:tab/>
        <w:t>يبين الجدول أدناه التكاليف التقديرية لإجراء التقييم وإعداد تقرير التقييم.</w:t>
      </w:r>
    </w:p>
    <w:p w:rsidR="00A64ABB" w:rsidRDefault="00A64ABB" w:rsidP="00A17CC6">
      <w:pPr>
        <w:spacing w:after="240" w:line="400" w:lineRule="exact"/>
        <w:ind w:left="1134"/>
        <w:jc w:val="both"/>
        <w:rPr>
          <w:rFonts w:cs="Traditional Arabic" w:hint="cs"/>
          <w:szCs w:val="30"/>
          <w:rtl/>
        </w:rPr>
      </w:pPr>
      <w:r>
        <w:rPr>
          <w:rFonts w:cs="Traditional Arabic" w:hint="cs"/>
          <w:szCs w:val="30"/>
          <w:rtl/>
        </w:rPr>
        <w:t>(بدولارات الولايات المتحدة)</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18"/>
        <w:gridCol w:w="2952"/>
        <w:gridCol w:w="1051"/>
      </w:tblGrid>
      <w:tr w:rsidR="00A64ABB" w:rsidRPr="00A91646" w:rsidTr="00A17CC6">
        <w:tc>
          <w:tcPr>
            <w:tcW w:w="851" w:type="dxa"/>
            <w:shd w:val="clear" w:color="auto" w:fill="auto"/>
            <w:vAlign w:val="center"/>
          </w:tcPr>
          <w:p w:rsidR="00A64ABB" w:rsidRPr="00001DD5" w:rsidRDefault="00A64ABB" w:rsidP="00A17CC6">
            <w:pPr>
              <w:pStyle w:val="Normal-pool"/>
              <w:keepNext/>
              <w:keepLines/>
              <w:bidi/>
              <w:spacing w:before="40" w:after="40" w:line="360" w:lineRule="exact"/>
              <w:rPr>
                <w:rFonts w:ascii="Traditional Arabic" w:eastAsia="SimSun" w:hAnsi="Traditional Arabic" w:cs="Traditional Arabic"/>
                <w:b/>
                <w:i/>
                <w:iCs/>
                <w:sz w:val="24"/>
                <w:szCs w:val="24"/>
                <w:lang w:eastAsia="zh-CN"/>
              </w:rPr>
            </w:pPr>
            <w:r w:rsidRPr="00001DD5">
              <w:rPr>
                <w:rFonts w:ascii="Traditional Arabic" w:eastAsia="SimSun" w:hAnsi="Traditional Arabic" w:cs="Traditional Arabic" w:hint="cs"/>
                <w:b/>
                <w:i/>
                <w:iCs/>
                <w:sz w:val="24"/>
                <w:szCs w:val="24"/>
                <w:rtl/>
                <w:lang w:eastAsia="zh-CN"/>
              </w:rPr>
              <w:t>السنة</w:t>
            </w:r>
          </w:p>
        </w:tc>
        <w:tc>
          <w:tcPr>
            <w:tcW w:w="3618" w:type="dxa"/>
            <w:shd w:val="clear" w:color="auto" w:fill="auto"/>
            <w:vAlign w:val="center"/>
          </w:tcPr>
          <w:p w:rsidR="00A64ABB" w:rsidRPr="00001DD5" w:rsidRDefault="00A64ABB" w:rsidP="00A17CC6">
            <w:pPr>
              <w:pStyle w:val="Normal-pool"/>
              <w:keepNext/>
              <w:keepLines/>
              <w:bidi/>
              <w:spacing w:before="40" w:after="40" w:line="360" w:lineRule="exact"/>
              <w:rPr>
                <w:rFonts w:ascii="Traditional Arabic" w:eastAsia="SimSun" w:hAnsi="Traditional Arabic" w:cs="Traditional Arabic"/>
                <w:b/>
                <w:i/>
                <w:iCs/>
                <w:sz w:val="24"/>
                <w:szCs w:val="24"/>
                <w:lang w:eastAsia="zh-CN"/>
              </w:rPr>
            </w:pPr>
            <w:r w:rsidRPr="00001DD5">
              <w:rPr>
                <w:rFonts w:ascii="Traditional Arabic" w:eastAsia="SimSun" w:hAnsi="Traditional Arabic" w:cs="Traditional Arabic" w:hint="cs"/>
                <w:b/>
                <w:i/>
                <w:iCs/>
                <w:sz w:val="24"/>
                <w:szCs w:val="24"/>
                <w:rtl/>
                <w:lang w:eastAsia="zh-CN"/>
              </w:rPr>
              <w:t>بند التكلفة</w:t>
            </w:r>
          </w:p>
        </w:tc>
        <w:tc>
          <w:tcPr>
            <w:tcW w:w="2952" w:type="dxa"/>
            <w:shd w:val="clear" w:color="auto" w:fill="auto"/>
            <w:vAlign w:val="center"/>
          </w:tcPr>
          <w:p w:rsidR="00A64ABB" w:rsidRPr="00001DD5" w:rsidRDefault="00A64ABB" w:rsidP="00A17CC6">
            <w:pPr>
              <w:pStyle w:val="Normal-pool"/>
              <w:keepNext/>
              <w:keepLines/>
              <w:bidi/>
              <w:spacing w:before="40" w:after="40" w:line="360" w:lineRule="exact"/>
              <w:rPr>
                <w:rFonts w:ascii="Traditional Arabic" w:eastAsia="SimSun" w:hAnsi="Traditional Arabic" w:cs="Traditional Arabic"/>
                <w:b/>
                <w:i/>
                <w:iCs/>
                <w:sz w:val="24"/>
                <w:szCs w:val="24"/>
                <w:lang w:eastAsia="zh-CN"/>
              </w:rPr>
            </w:pPr>
            <w:r w:rsidRPr="00001DD5">
              <w:rPr>
                <w:rFonts w:ascii="Traditional Arabic" w:eastAsia="SimSun" w:hAnsi="Traditional Arabic" w:cs="Traditional Arabic" w:hint="cs"/>
                <w:b/>
                <w:i/>
                <w:iCs/>
                <w:sz w:val="24"/>
                <w:szCs w:val="24"/>
                <w:rtl/>
                <w:lang w:eastAsia="zh-CN"/>
              </w:rPr>
              <w:t>الافتراضات</w:t>
            </w:r>
          </w:p>
        </w:tc>
        <w:tc>
          <w:tcPr>
            <w:tcW w:w="1051" w:type="dxa"/>
            <w:shd w:val="clear" w:color="auto" w:fill="auto"/>
            <w:vAlign w:val="center"/>
          </w:tcPr>
          <w:p w:rsidR="00A64ABB" w:rsidRPr="00001DD5" w:rsidRDefault="00A64ABB" w:rsidP="00A17CC6">
            <w:pPr>
              <w:pStyle w:val="Normal-pool"/>
              <w:keepNext/>
              <w:keepLines/>
              <w:bidi/>
              <w:spacing w:before="40" w:after="40" w:line="360" w:lineRule="exact"/>
              <w:rPr>
                <w:rFonts w:ascii="Traditional Arabic" w:eastAsia="SimSun" w:hAnsi="Traditional Arabic" w:cs="Traditional Arabic"/>
                <w:b/>
                <w:i/>
                <w:iCs/>
                <w:sz w:val="24"/>
                <w:szCs w:val="24"/>
                <w:lang w:eastAsia="zh-CN"/>
              </w:rPr>
            </w:pPr>
            <w:r w:rsidRPr="00001DD5">
              <w:rPr>
                <w:rFonts w:ascii="Traditional Arabic" w:eastAsia="SimSun" w:hAnsi="Traditional Arabic" w:cs="Traditional Arabic" w:hint="cs"/>
                <w:b/>
                <w:i/>
                <w:iCs/>
                <w:sz w:val="24"/>
                <w:szCs w:val="24"/>
                <w:rtl/>
                <w:lang w:eastAsia="zh-CN"/>
              </w:rPr>
              <w:t>التكلفة</w:t>
            </w:r>
          </w:p>
        </w:tc>
      </w:tr>
      <w:tr w:rsidR="00A64ABB" w:rsidRPr="00A91646" w:rsidTr="00A17CC6">
        <w:tc>
          <w:tcPr>
            <w:tcW w:w="851" w:type="dxa"/>
            <w:vMerge w:val="restart"/>
            <w:shd w:val="clear" w:color="auto" w:fill="auto"/>
            <w:vAlign w:val="center"/>
          </w:tcPr>
          <w:p w:rsidR="00A64ABB" w:rsidRPr="00A91646" w:rsidRDefault="00A64ABB" w:rsidP="00A17CC6">
            <w:pPr>
              <w:pStyle w:val="Normal-pool"/>
              <w:keepNext/>
              <w:keepLines/>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2014</w:t>
            </w:r>
          </w:p>
        </w:tc>
        <w:tc>
          <w:tcPr>
            <w:tcW w:w="3618" w:type="dxa"/>
            <w:vMerge w:val="restart"/>
            <w:shd w:val="clear" w:color="auto" w:fill="auto"/>
            <w:vAlign w:val="center"/>
          </w:tcPr>
          <w:p w:rsidR="00A64ABB" w:rsidRPr="00A91646" w:rsidRDefault="00A64ABB" w:rsidP="00A17CC6">
            <w:pPr>
              <w:pStyle w:val="ListParagraph"/>
              <w:keepNext/>
              <w:keepLines/>
              <w:tabs>
                <w:tab w:val="left" w:pos="426"/>
              </w:tabs>
              <w:autoSpaceDE w:val="0"/>
              <w:autoSpaceDN w:val="0"/>
              <w:bidi/>
              <w:adjustRightInd w:val="0"/>
              <w:spacing w:before="40" w:after="40" w:line="360" w:lineRule="exact"/>
              <w:ind w:left="0"/>
              <w:contextualSpacing w:val="0"/>
              <w:jc w:val="both"/>
              <w:rPr>
                <w:rFonts w:ascii="Traditional Arabic" w:eastAsia="SimSun" w:hAnsi="Traditional Arabic" w:cs="Traditional Arabic"/>
                <w:sz w:val="24"/>
                <w:szCs w:val="24"/>
                <w:lang w:val="en-US" w:eastAsia="zh-CN"/>
              </w:rPr>
            </w:pPr>
            <w:r>
              <w:rPr>
                <w:rFonts w:ascii="Traditional Arabic" w:eastAsia="SimSun" w:hAnsi="Traditional Arabic" w:cs="Traditional Arabic" w:hint="cs"/>
                <w:sz w:val="24"/>
                <w:szCs w:val="24"/>
                <w:rtl/>
                <w:lang w:val="en-US" w:eastAsia="zh-CN"/>
              </w:rPr>
              <w:t>الاجتماع الأول للمؤلفين (75 رئيساً مشاركاً، ومؤلفا رئيسياً منسقاً ومنسقا رئيسياً زائدا 4 من أعضاء فريق الخبراء المتعدد التخصصات/المكتب زائدا 1 موظف دعم تقني)</w:t>
            </w:r>
          </w:p>
        </w:tc>
        <w:tc>
          <w:tcPr>
            <w:tcW w:w="2952" w:type="dxa"/>
            <w:shd w:val="clear" w:color="auto" w:fill="auto"/>
            <w:vAlign w:val="center"/>
          </w:tcPr>
          <w:p w:rsidR="00A64ABB" w:rsidRPr="003D2DFE" w:rsidRDefault="00A64ABB" w:rsidP="00A17CC6">
            <w:pPr>
              <w:pStyle w:val="ListParagraph"/>
              <w:keepNext/>
              <w:keepLines/>
              <w:tabs>
                <w:tab w:val="left" w:pos="426"/>
              </w:tabs>
              <w:autoSpaceDE w:val="0"/>
              <w:autoSpaceDN w:val="0"/>
              <w:bidi/>
              <w:adjustRightInd w:val="0"/>
              <w:spacing w:before="40" w:after="40" w:line="360" w:lineRule="exact"/>
              <w:ind w:left="0"/>
              <w:contextualSpacing w:val="0"/>
              <w:jc w:val="both"/>
              <w:rPr>
                <w:rFonts w:ascii="Traditional Arabic" w:eastAsia="SimSun" w:hAnsi="Traditional Arabic" w:cs="Traditional Arabic"/>
                <w:sz w:val="24"/>
                <w:szCs w:val="24"/>
                <w:lang w:val="en-US" w:eastAsia="zh-CN"/>
              </w:rPr>
            </w:pPr>
            <w:r>
              <w:rPr>
                <w:rFonts w:ascii="Traditional Arabic" w:eastAsia="SimSun" w:hAnsi="Traditional Arabic" w:cs="Traditional Arabic" w:hint="cs"/>
                <w:sz w:val="24"/>
                <w:szCs w:val="24"/>
                <w:rtl/>
                <w:lang w:val="en-US" w:eastAsia="zh-CN"/>
              </w:rPr>
              <w:t>تكاليف الاجتماع (أسبوع واحد، 80 مشاركاً) (نسبة 25 في المائة عينية)</w:t>
            </w:r>
          </w:p>
        </w:tc>
        <w:tc>
          <w:tcPr>
            <w:tcW w:w="1051" w:type="dxa"/>
            <w:shd w:val="clear" w:color="auto" w:fill="auto"/>
            <w:vAlign w:val="center"/>
          </w:tcPr>
          <w:p w:rsidR="00A64ABB" w:rsidRPr="00A91646" w:rsidRDefault="00A64ABB" w:rsidP="00A17CC6">
            <w:pPr>
              <w:pStyle w:val="Normal-pool"/>
              <w:keepNext/>
              <w:keepLines/>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000 15</w:t>
            </w:r>
          </w:p>
        </w:tc>
      </w:tr>
      <w:tr w:rsidR="00A64ABB" w:rsidRPr="00A91646" w:rsidTr="00A17CC6">
        <w:trPr>
          <w:trHeight w:val="337"/>
        </w:trPr>
        <w:tc>
          <w:tcPr>
            <w:tcW w:w="851" w:type="dxa"/>
            <w:vMerge/>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360" w:lineRule="exact"/>
              <w:ind w:left="0"/>
              <w:contextualSpacing w:val="0"/>
              <w:rPr>
                <w:rFonts w:ascii="Traditional Arabic" w:eastAsia="SimSun" w:hAnsi="Traditional Arabic" w:cs="Traditional Arabic"/>
                <w:sz w:val="24"/>
                <w:szCs w:val="24"/>
                <w:lang w:eastAsia="zh-CN"/>
              </w:rPr>
            </w:pPr>
          </w:p>
        </w:tc>
        <w:tc>
          <w:tcPr>
            <w:tcW w:w="3618" w:type="dxa"/>
            <w:vMerge/>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360" w:lineRule="exact"/>
              <w:ind w:left="0"/>
              <w:contextualSpacing w:val="0"/>
              <w:jc w:val="both"/>
              <w:rPr>
                <w:rFonts w:ascii="Traditional Arabic" w:eastAsia="SimSun" w:hAnsi="Traditional Arabic" w:cs="Traditional Arabic"/>
                <w:sz w:val="24"/>
                <w:szCs w:val="24"/>
                <w:lang w:eastAsia="zh-CN"/>
              </w:rPr>
            </w:pPr>
          </w:p>
        </w:tc>
        <w:tc>
          <w:tcPr>
            <w:tcW w:w="2952" w:type="dxa"/>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360" w:lineRule="exact"/>
              <w:ind w:left="0"/>
              <w:contextualSpacing w:val="0"/>
              <w:jc w:val="both"/>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السفر و</w:t>
            </w:r>
            <w:r w:rsidR="000714FA">
              <w:rPr>
                <w:rFonts w:ascii="Traditional Arabic" w:eastAsia="SimSun" w:hAnsi="Traditional Arabic" w:cs="Traditional Arabic" w:hint="cs"/>
                <w:sz w:val="24"/>
                <w:szCs w:val="24"/>
                <w:rtl/>
                <w:lang w:eastAsia="zh-CN"/>
              </w:rPr>
              <w:t>بدل الإقامة</w:t>
            </w:r>
            <w:r>
              <w:rPr>
                <w:rFonts w:ascii="Traditional Arabic" w:eastAsia="SimSun" w:hAnsi="Traditional Arabic" w:cs="Traditional Arabic" w:hint="cs"/>
                <w:sz w:val="24"/>
                <w:szCs w:val="24"/>
                <w:rtl/>
                <w:lang w:eastAsia="zh-CN"/>
              </w:rPr>
              <w:t xml:space="preserve"> اليومي (60 × 3000 دولار)</w:t>
            </w:r>
          </w:p>
        </w:tc>
        <w:tc>
          <w:tcPr>
            <w:tcW w:w="1051" w:type="dxa"/>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000 180</w:t>
            </w:r>
          </w:p>
        </w:tc>
      </w:tr>
      <w:tr w:rsidR="00A64ABB" w:rsidRPr="00A91646" w:rsidTr="00A17CC6">
        <w:tc>
          <w:tcPr>
            <w:tcW w:w="851" w:type="dxa"/>
            <w:vMerge/>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360" w:lineRule="exact"/>
              <w:ind w:left="0"/>
              <w:contextualSpacing w:val="0"/>
              <w:rPr>
                <w:rFonts w:ascii="Traditional Arabic" w:eastAsia="SimSun" w:hAnsi="Traditional Arabic" w:cs="Traditional Arabic"/>
                <w:sz w:val="24"/>
                <w:szCs w:val="24"/>
                <w:lang w:eastAsia="zh-CN"/>
              </w:rPr>
            </w:pPr>
          </w:p>
        </w:tc>
        <w:tc>
          <w:tcPr>
            <w:tcW w:w="3618" w:type="dxa"/>
            <w:vMerge w:val="restart"/>
            <w:shd w:val="clear" w:color="auto" w:fill="auto"/>
            <w:vAlign w:val="center"/>
          </w:tcPr>
          <w:p w:rsidR="00A64ABB" w:rsidRPr="00A91646" w:rsidRDefault="00A64ABB" w:rsidP="00A17CC6">
            <w:pPr>
              <w:pStyle w:val="Normal-pool"/>
              <w:bidi/>
              <w:spacing w:before="40" w:after="40" w:line="360" w:lineRule="exact"/>
              <w:jc w:val="both"/>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val="en-US" w:eastAsia="zh-CN"/>
              </w:rPr>
              <w:t>الاجتماع الثاني للمؤلفين (75 رئيساً مشاركاً، ومؤلفا رئيسياً منسقاً ومؤلفا رئيسياً زائدا أعضاء الفريق/المكتب زائداً 1 موظف دعم تقني)</w:t>
            </w:r>
          </w:p>
        </w:tc>
        <w:tc>
          <w:tcPr>
            <w:tcW w:w="2952" w:type="dxa"/>
            <w:shd w:val="clear" w:color="auto" w:fill="auto"/>
            <w:vAlign w:val="center"/>
          </w:tcPr>
          <w:p w:rsidR="00A64ABB" w:rsidRPr="003D2DFE" w:rsidRDefault="00A64ABB" w:rsidP="00A17CC6">
            <w:pPr>
              <w:pStyle w:val="ListParagraph"/>
              <w:keepNext/>
              <w:keepLines/>
              <w:tabs>
                <w:tab w:val="left" w:pos="426"/>
              </w:tabs>
              <w:autoSpaceDE w:val="0"/>
              <w:autoSpaceDN w:val="0"/>
              <w:bidi/>
              <w:adjustRightInd w:val="0"/>
              <w:spacing w:before="40" w:after="40" w:line="360" w:lineRule="exact"/>
              <w:ind w:left="0"/>
              <w:contextualSpacing w:val="0"/>
              <w:jc w:val="both"/>
              <w:rPr>
                <w:rFonts w:ascii="Traditional Arabic" w:eastAsia="SimSun" w:hAnsi="Traditional Arabic" w:cs="Traditional Arabic"/>
                <w:sz w:val="24"/>
                <w:szCs w:val="24"/>
                <w:lang w:val="en-US" w:eastAsia="zh-CN"/>
              </w:rPr>
            </w:pPr>
            <w:r>
              <w:rPr>
                <w:rFonts w:ascii="Traditional Arabic" w:eastAsia="SimSun" w:hAnsi="Traditional Arabic" w:cs="Traditional Arabic" w:hint="cs"/>
                <w:sz w:val="24"/>
                <w:szCs w:val="24"/>
                <w:rtl/>
                <w:lang w:val="en-US" w:eastAsia="zh-CN"/>
              </w:rPr>
              <w:t>تكاليف الاجتماع (أسبوع واحد، 80 مشاركاً) (نسبة 25 في المائة عينية)</w:t>
            </w:r>
          </w:p>
        </w:tc>
        <w:tc>
          <w:tcPr>
            <w:tcW w:w="1051" w:type="dxa"/>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000 15</w:t>
            </w:r>
          </w:p>
        </w:tc>
      </w:tr>
      <w:tr w:rsidR="00A64ABB" w:rsidRPr="00A91646" w:rsidTr="00A17CC6">
        <w:trPr>
          <w:trHeight w:val="337"/>
        </w:trPr>
        <w:tc>
          <w:tcPr>
            <w:tcW w:w="851" w:type="dxa"/>
            <w:vMerge/>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360" w:lineRule="exact"/>
              <w:ind w:left="0"/>
              <w:contextualSpacing w:val="0"/>
              <w:rPr>
                <w:rFonts w:ascii="Traditional Arabic" w:eastAsia="SimSun" w:hAnsi="Traditional Arabic" w:cs="Traditional Arabic"/>
                <w:sz w:val="24"/>
                <w:szCs w:val="24"/>
                <w:lang w:eastAsia="zh-CN"/>
              </w:rPr>
            </w:pPr>
          </w:p>
        </w:tc>
        <w:tc>
          <w:tcPr>
            <w:tcW w:w="3618" w:type="dxa"/>
            <w:vMerge/>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360" w:lineRule="exact"/>
              <w:ind w:left="0"/>
              <w:contextualSpacing w:val="0"/>
              <w:jc w:val="both"/>
              <w:rPr>
                <w:rFonts w:ascii="Traditional Arabic" w:eastAsia="SimSun" w:hAnsi="Traditional Arabic" w:cs="Traditional Arabic"/>
                <w:sz w:val="24"/>
                <w:szCs w:val="24"/>
                <w:lang w:eastAsia="zh-CN"/>
              </w:rPr>
            </w:pPr>
          </w:p>
        </w:tc>
        <w:tc>
          <w:tcPr>
            <w:tcW w:w="2952" w:type="dxa"/>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360" w:lineRule="exact"/>
              <w:ind w:left="0"/>
              <w:contextualSpacing w:val="0"/>
              <w:jc w:val="both"/>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السفر و</w:t>
            </w:r>
            <w:r w:rsidR="000714FA">
              <w:rPr>
                <w:rFonts w:ascii="Traditional Arabic" w:eastAsia="SimSun" w:hAnsi="Traditional Arabic" w:cs="Traditional Arabic" w:hint="cs"/>
                <w:sz w:val="24"/>
                <w:szCs w:val="24"/>
                <w:rtl/>
                <w:lang w:eastAsia="zh-CN"/>
              </w:rPr>
              <w:t>بدل الإقامة</w:t>
            </w:r>
            <w:r>
              <w:rPr>
                <w:rFonts w:ascii="Traditional Arabic" w:eastAsia="SimSun" w:hAnsi="Traditional Arabic" w:cs="Traditional Arabic" w:hint="cs"/>
                <w:sz w:val="24"/>
                <w:szCs w:val="24"/>
                <w:rtl/>
                <w:lang w:eastAsia="zh-CN"/>
              </w:rPr>
              <w:t xml:space="preserve"> اليومي (60 × 3000 دولار)</w:t>
            </w:r>
          </w:p>
        </w:tc>
        <w:tc>
          <w:tcPr>
            <w:tcW w:w="1051" w:type="dxa"/>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000 180</w:t>
            </w:r>
          </w:p>
        </w:tc>
      </w:tr>
      <w:tr w:rsidR="00A64ABB" w:rsidRPr="00A91646" w:rsidTr="00A17CC6">
        <w:tc>
          <w:tcPr>
            <w:tcW w:w="851" w:type="dxa"/>
            <w:vMerge/>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360" w:lineRule="exact"/>
              <w:ind w:left="0"/>
              <w:contextualSpacing w:val="0"/>
              <w:rPr>
                <w:rFonts w:ascii="Traditional Arabic" w:eastAsia="SimSun" w:hAnsi="Traditional Arabic" w:cs="Traditional Arabic"/>
                <w:sz w:val="24"/>
                <w:szCs w:val="24"/>
                <w:lang w:eastAsia="zh-CN"/>
              </w:rPr>
            </w:pPr>
          </w:p>
        </w:tc>
        <w:tc>
          <w:tcPr>
            <w:tcW w:w="3618" w:type="dxa"/>
            <w:vMerge w:val="restart"/>
            <w:shd w:val="clear" w:color="auto" w:fill="auto"/>
            <w:vAlign w:val="center"/>
          </w:tcPr>
          <w:p w:rsidR="00A64ABB" w:rsidRPr="00A91646" w:rsidRDefault="00A64ABB" w:rsidP="00A17CC6">
            <w:pPr>
              <w:pStyle w:val="Normal-pool"/>
              <w:bidi/>
              <w:spacing w:before="40" w:after="40" w:line="360" w:lineRule="exact"/>
              <w:jc w:val="both"/>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val="en-US" w:eastAsia="zh-CN"/>
              </w:rPr>
              <w:t>الاجتماع الثالث للمؤلفين (75 رئيساً مشاركاً، ومؤلفا رئيسياً منسقاً ومؤلفا رئيسياً زائدا12 محرراً مراجعاً زائدا 4 من أعضاء الفريق /المكتب زائداً 1 موظف دعم تقني)</w:t>
            </w:r>
          </w:p>
        </w:tc>
        <w:tc>
          <w:tcPr>
            <w:tcW w:w="2952" w:type="dxa"/>
            <w:shd w:val="clear" w:color="auto" w:fill="auto"/>
            <w:vAlign w:val="center"/>
          </w:tcPr>
          <w:p w:rsidR="00A64ABB" w:rsidRPr="003D2DFE" w:rsidRDefault="00A64ABB" w:rsidP="00A17CC6">
            <w:pPr>
              <w:pStyle w:val="ListParagraph"/>
              <w:keepNext/>
              <w:keepLines/>
              <w:tabs>
                <w:tab w:val="left" w:pos="426"/>
              </w:tabs>
              <w:autoSpaceDE w:val="0"/>
              <w:autoSpaceDN w:val="0"/>
              <w:bidi/>
              <w:adjustRightInd w:val="0"/>
              <w:spacing w:before="40" w:after="40" w:line="360" w:lineRule="exact"/>
              <w:ind w:left="0"/>
              <w:contextualSpacing w:val="0"/>
              <w:jc w:val="both"/>
              <w:rPr>
                <w:rFonts w:ascii="Traditional Arabic" w:eastAsia="SimSun" w:hAnsi="Traditional Arabic" w:cs="Traditional Arabic"/>
                <w:sz w:val="24"/>
                <w:szCs w:val="24"/>
                <w:lang w:val="en-US" w:eastAsia="zh-CN"/>
              </w:rPr>
            </w:pPr>
            <w:r>
              <w:rPr>
                <w:rFonts w:ascii="Traditional Arabic" w:eastAsia="SimSun" w:hAnsi="Traditional Arabic" w:cs="Traditional Arabic" w:hint="cs"/>
                <w:sz w:val="24"/>
                <w:szCs w:val="24"/>
                <w:rtl/>
                <w:lang w:val="en-US" w:eastAsia="zh-CN"/>
              </w:rPr>
              <w:t>تكاليف الاجتماع (أسبوع واحد، 92 مشاركاً) (نسبة 25 في المائة عينية)</w:t>
            </w:r>
          </w:p>
        </w:tc>
        <w:tc>
          <w:tcPr>
            <w:tcW w:w="1051" w:type="dxa"/>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750 18</w:t>
            </w:r>
          </w:p>
        </w:tc>
      </w:tr>
      <w:tr w:rsidR="00A64ABB" w:rsidRPr="00A91646" w:rsidTr="00A17CC6">
        <w:trPr>
          <w:trHeight w:val="339"/>
        </w:trPr>
        <w:tc>
          <w:tcPr>
            <w:tcW w:w="851" w:type="dxa"/>
            <w:vMerge/>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360" w:lineRule="exact"/>
              <w:ind w:left="0"/>
              <w:contextualSpacing w:val="0"/>
              <w:rPr>
                <w:rFonts w:ascii="Traditional Arabic" w:eastAsia="SimSun" w:hAnsi="Traditional Arabic" w:cs="Traditional Arabic"/>
                <w:sz w:val="24"/>
                <w:szCs w:val="24"/>
                <w:lang w:eastAsia="zh-CN"/>
              </w:rPr>
            </w:pPr>
          </w:p>
        </w:tc>
        <w:tc>
          <w:tcPr>
            <w:tcW w:w="3618" w:type="dxa"/>
            <w:vMerge/>
            <w:tcBorders>
              <w:bottom w:val="single" w:sz="4" w:space="0" w:color="auto"/>
            </w:tcBorders>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360" w:lineRule="exact"/>
              <w:ind w:left="0"/>
              <w:contextualSpacing w:val="0"/>
              <w:jc w:val="both"/>
              <w:rPr>
                <w:rFonts w:ascii="Traditional Arabic" w:eastAsia="SimSun" w:hAnsi="Traditional Arabic" w:cs="Traditional Arabic"/>
                <w:sz w:val="24"/>
                <w:szCs w:val="24"/>
                <w:lang w:eastAsia="zh-CN"/>
              </w:rPr>
            </w:pPr>
          </w:p>
        </w:tc>
        <w:tc>
          <w:tcPr>
            <w:tcW w:w="2952" w:type="dxa"/>
            <w:tcBorders>
              <w:bottom w:val="single" w:sz="4" w:space="0" w:color="auto"/>
            </w:tcBorders>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360" w:lineRule="exact"/>
              <w:ind w:left="0"/>
              <w:contextualSpacing w:val="0"/>
              <w:jc w:val="both"/>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السفر وبدل الإقامة اليومي (69 × 3000 دولار)</w:t>
            </w:r>
          </w:p>
        </w:tc>
        <w:tc>
          <w:tcPr>
            <w:tcW w:w="1051" w:type="dxa"/>
            <w:tcBorders>
              <w:bottom w:val="single" w:sz="4" w:space="0" w:color="auto"/>
            </w:tcBorders>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000 207</w:t>
            </w:r>
          </w:p>
        </w:tc>
      </w:tr>
      <w:tr w:rsidR="00A64ABB" w:rsidRPr="00A91646" w:rsidTr="00A17CC6">
        <w:trPr>
          <w:trHeight w:val="361"/>
        </w:trPr>
        <w:tc>
          <w:tcPr>
            <w:tcW w:w="851" w:type="dxa"/>
            <w:vMerge/>
            <w:tcBorders>
              <w:bottom w:val="single" w:sz="4" w:space="0" w:color="auto"/>
            </w:tcBorders>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360" w:lineRule="exact"/>
              <w:ind w:left="0"/>
              <w:contextualSpacing w:val="0"/>
              <w:rPr>
                <w:rFonts w:ascii="Traditional Arabic" w:eastAsia="SimSun" w:hAnsi="Traditional Arabic" w:cs="Traditional Arabic"/>
                <w:sz w:val="24"/>
                <w:szCs w:val="24"/>
                <w:lang w:eastAsia="zh-CN"/>
              </w:rPr>
            </w:pPr>
          </w:p>
        </w:tc>
        <w:tc>
          <w:tcPr>
            <w:tcW w:w="3618" w:type="dxa"/>
            <w:shd w:val="clear" w:color="auto" w:fill="auto"/>
            <w:vAlign w:val="center"/>
          </w:tcPr>
          <w:p w:rsidR="00A64ABB" w:rsidRPr="00A91646" w:rsidRDefault="00A64ABB" w:rsidP="00A17CC6">
            <w:pPr>
              <w:pStyle w:val="Normal-pool"/>
              <w:bidi/>
              <w:spacing w:before="40" w:after="40" w:line="360" w:lineRule="exact"/>
              <w:jc w:val="both"/>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الدعم التقني</w:t>
            </w:r>
          </w:p>
        </w:tc>
        <w:tc>
          <w:tcPr>
            <w:tcW w:w="2952" w:type="dxa"/>
            <w:shd w:val="clear" w:color="auto" w:fill="auto"/>
            <w:vAlign w:val="center"/>
          </w:tcPr>
          <w:p w:rsidR="00A64ABB" w:rsidRPr="00A91646" w:rsidRDefault="000C6C8E" w:rsidP="000C6C8E">
            <w:pPr>
              <w:pStyle w:val="Normal-pool"/>
              <w:bidi/>
              <w:spacing w:before="40" w:after="40" w:line="360" w:lineRule="exact"/>
              <w:jc w:val="both"/>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ما يعادل وظيفة م</w:t>
            </w:r>
            <w:r w:rsidR="00A64ABB">
              <w:rPr>
                <w:rFonts w:ascii="Traditional Arabic" w:eastAsia="SimSun" w:hAnsi="Traditional Arabic" w:cs="Traditional Arabic" w:hint="cs"/>
                <w:sz w:val="24"/>
                <w:szCs w:val="24"/>
                <w:rtl/>
                <w:lang w:eastAsia="zh-CN"/>
              </w:rPr>
              <w:t xml:space="preserve">تفرغ </w:t>
            </w:r>
            <w:r>
              <w:rPr>
                <w:rFonts w:ascii="Traditional Arabic" w:eastAsia="SimSun" w:hAnsi="Traditional Arabic" w:cs="Traditional Arabic" w:hint="cs"/>
                <w:sz w:val="24"/>
                <w:szCs w:val="24"/>
                <w:rtl/>
                <w:lang w:eastAsia="zh-CN"/>
              </w:rPr>
              <w:t>من الفئة الفنية</w:t>
            </w:r>
            <w:r w:rsidR="00A64ABB">
              <w:rPr>
                <w:rFonts w:ascii="Traditional Arabic" w:eastAsia="SimSun" w:hAnsi="Traditional Arabic" w:cs="Traditional Arabic" w:hint="cs"/>
                <w:sz w:val="24"/>
                <w:szCs w:val="24"/>
                <w:rtl/>
                <w:lang w:eastAsia="zh-CN"/>
              </w:rPr>
              <w:t xml:space="preserve"> </w:t>
            </w:r>
            <w:r w:rsidR="00A64ABB">
              <w:rPr>
                <w:rFonts w:ascii="Traditional Arabic" w:eastAsia="SimSun" w:hAnsi="Traditional Arabic" w:cs="Traditional Arabic" w:hint="cs"/>
                <w:sz w:val="24"/>
                <w:szCs w:val="24"/>
                <w:rtl/>
                <w:lang w:val="en-US" w:eastAsia="zh-CN"/>
              </w:rPr>
              <w:t>(نسبة 50 في المائة عينية)</w:t>
            </w:r>
          </w:p>
        </w:tc>
        <w:tc>
          <w:tcPr>
            <w:tcW w:w="1051" w:type="dxa"/>
            <w:tcBorders>
              <w:bottom w:val="single" w:sz="4" w:space="0" w:color="auto"/>
            </w:tcBorders>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000 75</w:t>
            </w:r>
          </w:p>
        </w:tc>
      </w:tr>
      <w:tr w:rsidR="00A64ABB" w:rsidRPr="00A91646" w:rsidTr="00A17CC6">
        <w:trPr>
          <w:trHeight w:val="317"/>
        </w:trPr>
        <w:tc>
          <w:tcPr>
            <w:tcW w:w="851" w:type="dxa"/>
            <w:vMerge w:val="restart"/>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2015</w:t>
            </w:r>
          </w:p>
        </w:tc>
        <w:tc>
          <w:tcPr>
            <w:tcW w:w="3618" w:type="dxa"/>
            <w:shd w:val="clear" w:color="auto" w:fill="auto"/>
            <w:vAlign w:val="center"/>
          </w:tcPr>
          <w:p w:rsidR="00A64ABB" w:rsidRPr="00A91646" w:rsidRDefault="00A64ABB" w:rsidP="00A17CC6">
            <w:pPr>
              <w:pStyle w:val="Normal-pool"/>
              <w:bidi/>
              <w:spacing w:before="40" w:after="40" w:line="360" w:lineRule="exact"/>
              <w:jc w:val="both"/>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المشاركة في الدورة الثالثة للاجتماع العام برئيسين مشاركين ومؤلفين رئيسيَين منسقَين اثنين</w:t>
            </w:r>
          </w:p>
        </w:tc>
        <w:tc>
          <w:tcPr>
            <w:tcW w:w="2952" w:type="dxa"/>
            <w:shd w:val="clear" w:color="auto" w:fill="auto"/>
            <w:vAlign w:val="center"/>
          </w:tcPr>
          <w:p w:rsidR="00A64ABB" w:rsidRPr="00A91646" w:rsidRDefault="00A64ABB" w:rsidP="00A17CC6">
            <w:pPr>
              <w:pStyle w:val="Normal-pool"/>
              <w:bidi/>
              <w:spacing w:before="40" w:after="40" w:line="360" w:lineRule="exact"/>
              <w:jc w:val="both"/>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السفر و</w:t>
            </w:r>
            <w:r w:rsidR="000714FA">
              <w:rPr>
                <w:rFonts w:ascii="Traditional Arabic" w:eastAsia="SimSun" w:hAnsi="Traditional Arabic" w:cs="Traditional Arabic" w:hint="cs"/>
                <w:sz w:val="24"/>
                <w:szCs w:val="24"/>
                <w:rtl/>
                <w:lang w:eastAsia="zh-CN"/>
              </w:rPr>
              <w:t>بدل الإقامة</w:t>
            </w:r>
            <w:r>
              <w:rPr>
                <w:rFonts w:ascii="Traditional Arabic" w:eastAsia="SimSun" w:hAnsi="Traditional Arabic" w:cs="Traditional Arabic" w:hint="cs"/>
                <w:sz w:val="24"/>
                <w:szCs w:val="24"/>
                <w:rtl/>
                <w:lang w:eastAsia="zh-CN"/>
              </w:rPr>
              <w:t xml:space="preserve"> اليومي (3 × 3000 دولار)</w:t>
            </w:r>
          </w:p>
        </w:tc>
        <w:tc>
          <w:tcPr>
            <w:tcW w:w="1051" w:type="dxa"/>
            <w:shd w:val="clear" w:color="auto" w:fill="auto"/>
            <w:vAlign w:val="center"/>
          </w:tcPr>
          <w:p w:rsidR="00A64ABB" w:rsidRPr="00A91646"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000 9</w:t>
            </w:r>
          </w:p>
        </w:tc>
      </w:tr>
      <w:tr w:rsidR="00A64ABB" w:rsidRPr="00A91646" w:rsidDel="001E184E" w:rsidTr="00A17CC6">
        <w:trPr>
          <w:trHeight w:val="560"/>
        </w:trPr>
        <w:tc>
          <w:tcPr>
            <w:tcW w:w="851" w:type="dxa"/>
            <w:vMerge/>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360" w:lineRule="exact"/>
              <w:ind w:left="0"/>
              <w:contextualSpacing w:val="0"/>
              <w:rPr>
                <w:rFonts w:ascii="Traditional Arabic" w:eastAsia="SimSun" w:hAnsi="Traditional Arabic" w:cs="Traditional Arabic"/>
                <w:sz w:val="24"/>
                <w:szCs w:val="24"/>
                <w:lang w:eastAsia="zh-CN"/>
              </w:rPr>
            </w:pPr>
          </w:p>
        </w:tc>
        <w:tc>
          <w:tcPr>
            <w:tcW w:w="3618" w:type="dxa"/>
            <w:shd w:val="clear" w:color="auto" w:fill="auto"/>
            <w:vAlign w:val="center"/>
          </w:tcPr>
          <w:p w:rsidR="00A64ABB" w:rsidRPr="00A91646" w:rsidRDefault="00A64ABB" w:rsidP="00A17CC6">
            <w:pPr>
              <w:pStyle w:val="Normal-pool"/>
              <w:bidi/>
              <w:spacing w:before="40" w:after="40" w:line="360" w:lineRule="exact"/>
              <w:jc w:val="both"/>
              <w:rPr>
                <w:rFonts w:ascii="Traditional Arabic" w:eastAsia="SimSun" w:hAnsi="Traditional Arabic" w:cs="Traditional Arabic"/>
                <w:b/>
                <w:sz w:val="24"/>
                <w:szCs w:val="24"/>
                <w:lang w:eastAsia="zh-CN"/>
              </w:rPr>
            </w:pPr>
            <w:r>
              <w:rPr>
                <w:rFonts w:ascii="Traditional Arabic" w:eastAsia="SimSun" w:hAnsi="Traditional Arabic" w:cs="Traditional Arabic" w:hint="cs"/>
                <w:b/>
                <w:sz w:val="24"/>
                <w:szCs w:val="24"/>
                <w:rtl/>
                <w:lang w:eastAsia="zh-CN"/>
              </w:rPr>
              <w:t>التوزيع التوعية (موجز مقرري السياسات (10 صفحات) وتقرير (200 صفحة))</w:t>
            </w:r>
          </w:p>
        </w:tc>
        <w:tc>
          <w:tcPr>
            <w:tcW w:w="2952" w:type="dxa"/>
            <w:shd w:val="clear" w:color="auto" w:fill="auto"/>
            <w:vAlign w:val="center"/>
          </w:tcPr>
          <w:p w:rsidR="00A64ABB" w:rsidRPr="00A91646" w:rsidRDefault="00A64ABB" w:rsidP="00932271">
            <w:pPr>
              <w:pStyle w:val="Normal-pool"/>
              <w:bidi/>
              <w:spacing w:before="40" w:after="40" w:line="360" w:lineRule="exact"/>
              <w:jc w:val="both"/>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 xml:space="preserve">ترجمة موجز مقرري السياسات بلغات الأمم المتحدة الرسمية </w:t>
            </w:r>
            <w:r w:rsidR="00932271">
              <w:rPr>
                <w:rFonts w:ascii="Traditional Arabic" w:eastAsia="SimSun" w:hAnsi="Traditional Arabic" w:cs="Traditional Arabic" w:hint="cs"/>
                <w:sz w:val="24"/>
                <w:szCs w:val="24"/>
                <w:rtl/>
                <w:lang w:eastAsia="zh-CN"/>
              </w:rPr>
              <w:t>والنشر</w:t>
            </w:r>
            <w:r>
              <w:rPr>
                <w:rFonts w:ascii="Traditional Arabic" w:eastAsia="SimSun" w:hAnsi="Traditional Arabic" w:cs="Traditional Arabic" w:hint="cs"/>
                <w:sz w:val="24"/>
                <w:szCs w:val="24"/>
                <w:rtl/>
                <w:lang w:eastAsia="zh-CN"/>
              </w:rPr>
              <w:t xml:space="preserve"> والتوعية </w:t>
            </w:r>
          </w:p>
        </w:tc>
        <w:tc>
          <w:tcPr>
            <w:tcW w:w="1051" w:type="dxa"/>
            <w:shd w:val="clear" w:color="auto" w:fill="auto"/>
            <w:vAlign w:val="center"/>
          </w:tcPr>
          <w:p w:rsidR="00A64ABB" w:rsidRPr="00A91646" w:rsidDel="001E184E" w:rsidRDefault="00A64ABB" w:rsidP="00A17CC6">
            <w:pPr>
              <w:pStyle w:val="Normal-pool"/>
              <w:bidi/>
              <w:spacing w:before="40" w:after="40" w:line="360" w:lineRule="exact"/>
              <w:rPr>
                <w:rFonts w:ascii="Traditional Arabic" w:eastAsia="SimSun" w:hAnsi="Traditional Arabic" w:cs="Traditional Arabic"/>
                <w:sz w:val="24"/>
                <w:szCs w:val="24"/>
                <w:lang w:eastAsia="zh-CN"/>
              </w:rPr>
            </w:pPr>
            <w:r>
              <w:rPr>
                <w:rFonts w:ascii="Traditional Arabic" w:eastAsia="SimSun" w:hAnsi="Traditional Arabic" w:cs="Traditional Arabic" w:hint="cs"/>
                <w:sz w:val="24"/>
                <w:szCs w:val="24"/>
                <w:rtl/>
                <w:lang w:eastAsia="zh-CN"/>
              </w:rPr>
              <w:t>000 117</w:t>
            </w:r>
          </w:p>
        </w:tc>
      </w:tr>
      <w:tr w:rsidR="00A64ABB" w:rsidRPr="00A91646" w:rsidTr="00A17CC6">
        <w:tc>
          <w:tcPr>
            <w:tcW w:w="851" w:type="dxa"/>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400" w:lineRule="exact"/>
              <w:ind w:left="0"/>
              <w:contextualSpacing w:val="0"/>
              <w:rPr>
                <w:rFonts w:ascii="Traditional Arabic" w:eastAsia="SimSun" w:hAnsi="Traditional Arabic" w:cs="Traditional Arabic"/>
                <w:b/>
                <w:sz w:val="24"/>
                <w:szCs w:val="24"/>
                <w:lang w:eastAsia="zh-CN"/>
              </w:rPr>
            </w:pPr>
            <w:r w:rsidRPr="003A1726">
              <w:rPr>
                <w:rFonts w:ascii="Traditional Arabic" w:eastAsia="SimSun" w:hAnsi="Traditional Arabic" w:cs="Traditional Arabic" w:hint="cs"/>
                <w:bCs/>
                <w:sz w:val="24"/>
                <w:szCs w:val="24"/>
                <w:rtl/>
                <w:lang w:eastAsia="zh-CN"/>
              </w:rPr>
              <w:t>المجموع</w:t>
            </w:r>
          </w:p>
        </w:tc>
        <w:tc>
          <w:tcPr>
            <w:tcW w:w="3618" w:type="dxa"/>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400" w:lineRule="exact"/>
              <w:ind w:left="0"/>
              <w:contextualSpacing w:val="0"/>
              <w:jc w:val="both"/>
              <w:rPr>
                <w:rFonts w:ascii="Traditional Arabic" w:eastAsia="SimSun" w:hAnsi="Traditional Arabic" w:cs="Traditional Arabic"/>
                <w:sz w:val="24"/>
                <w:szCs w:val="24"/>
                <w:lang w:eastAsia="zh-CN"/>
              </w:rPr>
            </w:pPr>
          </w:p>
        </w:tc>
        <w:tc>
          <w:tcPr>
            <w:tcW w:w="2952" w:type="dxa"/>
            <w:shd w:val="clear" w:color="auto" w:fill="auto"/>
            <w:vAlign w:val="center"/>
          </w:tcPr>
          <w:p w:rsidR="00A64ABB" w:rsidRPr="00A91646" w:rsidRDefault="00A64ABB" w:rsidP="00A17CC6">
            <w:pPr>
              <w:pStyle w:val="ListParagraph"/>
              <w:tabs>
                <w:tab w:val="left" w:pos="426"/>
              </w:tabs>
              <w:autoSpaceDE w:val="0"/>
              <w:autoSpaceDN w:val="0"/>
              <w:bidi/>
              <w:adjustRightInd w:val="0"/>
              <w:spacing w:before="40" w:after="40" w:line="400" w:lineRule="exact"/>
              <w:ind w:left="0"/>
              <w:contextualSpacing w:val="0"/>
              <w:jc w:val="both"/>
              <w:rPr>
                <w:rFonts w:ascii="Traditional Arabic" w:eastAsia="SimSun" w:hAnsi="Traditional Arabic" w:cs="Traditional Arabic"/>
                <w:sz w:val="24"/>
                <w:szCs w:val="24"/>
                <w:lang w:eastAsia="zh-CN"/>
              </w:rPr>
            </w:pPr>
          </w:p>
        </w:tc>
        <w:tc>
          <w:tcPr>
            <w:tcW w:w="1051" w:type="dxa"/>
            <w:shd w:val="clear" w:color="auto" w:fill="auto"/>
            <w:vAlign w:val="center"/>
          </w:tcPr>
          <w:p w:rsidR="00A64ABB" w:rsidRPr="003A1726" w:rsidRDefault="00A64ABB" w:rsidP="00A17CC6">
            <w:pPr>
              <w:pStyle w:val="ListParagraph"/>
              <w:tabs>
                <w:tab w:val="left" w:pos="426"/>
              </w:tabs>
              <w:autoSpaceDE w:val="0"/>
              <w:autoSpaceDN w:val="0"/>
              <w:bidi/>
              <w:adjustRightInd w:val="0"/>
              <w:spacing w:before="40" w:after="40" w:line="400" w:lineRule="exact"/>
              <w:ind w:left="0"/>
              <w:contextualSpacing w:val="0"/>
              <w:rPr>
                <w:rFonts w:ascii="Traditional Arabic" w:eastAsia="SimSun" w:hAnsi="Traditional Arabic" w:cs="Traditional Arabic"/>
                <w:bCs/>
                <w:sz w:val="24"/>
                <w:szCs w:val="24"/>
                <w:lang w:eastAsia="zh-CN"/>
              </w:rPr>
            </w:pPr>
            <w:r w:rsidRPr="003A1726">
              <w:rPr>
                <w:rFonts w:ascii="Traditional Arabic" w:eastAsia="SimSun" w:hAnsi="Traditional Arabic" w:cs="Traditional Arabic" w:hint="cs"/>
                <w:bCs/>
                <w:sz w:val="24"/>
                <w:szCs w:val="24"/>
                <w:rtl/>
                <w:lang w:eastAsia="zh-CN"/>
              </w:rPr>
              <w:t>750 816</w:t>
            </w:r>
          </w:p>
        </w:tc>
      </w:tr>
    </w:tbl>
    <w:p w:rsidR="00451ABD" w:rsidRDefault="00A64ABB" w:rsidP="00A17CC6">
      <w:pPr>
        <w:spacing w:before="120" w:after="120" w:line="400" w:lineRule="exact"/>
        <w:ind w:left="1440"/>
        <w:jc w:val="center"/>
        <w:rPr>
          <w:rFonts w:cs="Traditional Arabic"/>
          <w:sz w:val="30"/>
          <w:szCs w:val="30"/>
        </w:rPr>
      </w:pPr>
      <w:r>
        <w:rPr>
          <w:rFonts w:cs="Traditional Arabic" w:hint="cs"/>
          <w:szCs w:val="30"/>
          <w:rtl/>
        </w:rPr>
        <w:t>_____________</w:t>
      </w:r>
    </w:p>
    <w:sectPr w:rsidR="00451ABD" w:rsidSect="00955980">
      <w:headerReference w:type="even" r:id="rId10"/>
      <w:headerReference w:type="default" r:id="rId11"/>
      <w:footerReference w:type="even" r:id="rId12"/>
      <w:footerReference w:type="default" r:id="rId13"/>
      <w:headerReference w:type="firs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D9" w:rsidRDefault="00841BD9">
      <w:r>
        <w:separator/>
      </w:r>
    </w:p>
  </w:endnote>
  <w:endnote w:type="continuationSeparator" w:id="0">
    <w:p w:rsidR="00841BD9" w:rsidRDefault="00841BD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E3" w:rsidRPr="00B86C1A" w:rsidRDefault="001844E3"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D77BF9">
      <w:rPr>
        <w:rStyle w:val="PageNumber"/>
        <w:rFonts w:ascii="Times New Roman" w:hAnsi="Times New Roman" w:cs="Times New Roman"/>
        <w:sz w:val="18"/>
        <w:szCs w:val="18"/>
      </w:rPr>
      <w:t>4</w:t>
    </w:r>
    <w:r w:rsidRPr="00B86C1A">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E3" w:rsidRPr="00B86C1A" w:rsidRDefault="001844E3"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D77BF9">
      <w:rPr>
        <w:rStyle w:val="PageNumber"/>
        <w:rFonts w:ascii="Times New Roman" w:hAnsi="Times New Roman" w:cs="Times New Roman"/>
        <w:sz w:val="18"/>
        <w:szCs w:val="18"/>
      </w:rPr>
      <w:t>5</w:t>
    </w:r>
    <w:r w:rsidRPr="00B86C1A">
      <w:rPr>
        <w:rStyle w:val="PageNumber"/>
        <w:rFonts w:ascii="Times New Roman" w:hAnsi="Times New Roman" w:cs="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E3" w:rsidRDefault="001844E3" w:rsidP="00932271">
    <w:pPr>
      <w:pStyle w:val="Footer"/>
      <w:tabs>
        <w:tab w:val="clear" w:pos="4153"/>
        <w:tab w:val="clear" w:pos="8306"/>
      </w:tabs>
      <w:jc w:val="left"/>
    </w:pPr>
    <w:r>
      <w:rPr>
        <w:rStyle w:val="PageNumber"/>
      </w:rPr>
      <w:t>K1353</w:t>
    </w:r>
    <w:r w:rsidR="00A64ABB">
      <w:rPr>
        <w:rStyle w:val="PageNumber"/>
      </w:rPr>
      <w:t>322</w:t>
    </w:r>
    <w:r>
      <w:rPr>
        <w:rStyle w:val="PageNumber"/>
      </w:rPr>
      <w:tab/>
    </w:r>
    <w:r w:rsidR="00932271">
      <w:rPr>
        <w:rStyle w:val="PageNumber"/>
      </w:rPr>
      <w:t>0511</w:t>
    </w:r>
    <w:r>
      <w:rPr>
        <w:rStyle w:val="PageNumber"/>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D9" w:rsidRDefault="00841BD9" w:rsidP="00684243">
      <w:pPr>
        <w:ind w:left="720"/>
      </w:pPr>
      <w:r>
        <w:separator/>
      </w:r>
    </w:p>
  </w:footnote>
  <w:footnote w:type="continuationSeparator" w:id="0">
    <w:p w:rsidR="00841BD9" w:rsidRDefault="00841BD9">
      <w:r>
        <w:continuationSeparator/>
      </w:r>
    </w:p>
  </w:footnote>
  <w:footnote w:id="1">
    <w:p w:rsidR="00B86C1A" w:rsidRPr="009E46DF" w:rsidRDefault="00B86C1A" w:rsidP="000714FA">
      <w:pPr>
        <w:pStyle w:val="FootnoteText"/>
        <w:spacing w:line="300" w:lineRule="exact"/>
        <w:ind w:left="1134"/>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00E82EF9">
        <w:rPr>
          <w:rFonts w:ascii="Traditional Arabic" w:hAnsi="Traditional Arabic" w:cs="Traditional Arabic" w:hint="cs"/>
          <w:sz w:val="26"/>
          <w:szCs w:val="26"/>
          <w:rtl/>
        </w:rPr>
        <w:t xml:space="preserve"> </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 w:id="2">
    <w:p w:rsidR="00A64ABB" w:rsidRPr="00FA05E3" w:rsidRDefault="00A64ABB" w:rsidP="000714FA">
      <w:pPr>
        <w:pStyle w:val="FootnoteText"/>
        <w:spacing w:after="40" w:line="300" w:lineRule="exact"/>
        <w:ind w:left="1134"/>
        <w:jc w:val="both"/>
        <w:rPr>
          <w:rFonts w:ascii="Traditional Arabic" w:hAnsi="Traditional Arabic" w:cs="Traditional Arabic"/>
          <w:sz w:val="26"/>
          <w:szCs w:val="26"/>
          <w:rtl/>
        </w:rPr>
      </w:pPr>
      <w:r w:rsidRPr="00FA05E3">
        <w:rPr>
          <w:rFonts w:cs="Traditional Arabic"/>
          <w:szCs w:val="26"/>
          <w:rtl/>
        </w:rPr>
        <w:t>(</w:t>
      </w:r>
      <w:r w:rsidRPr="00FA05E3">
        <w:rPr>
          <w:rStyle w:val="FootnoteReference"/>
          <w:rFonts w:cs="Traditional Arabic"/>
          <w:szCs w:val="26"/>
          <w:vertAlign w:val="baseline"/>
          <w:rtl/>
        </w:rPr>
        <w:footnoteRef/>
      </w:r>
      <w:r w:rsidRPr="00FA05E3">
        <w:rPr>
          <w:rFonts w:cs="Traditional Arabic"/>
          <w:szCs w:val="26"/>
          <w:rtl/>
        </w:rPr>
        <w:t>)</w:t>
      </w:r>
      <w:r w:rsidRPr="00FA05E3">
        <w:rPr>
          <w:rFonts w:cs="Traditional Arabic" w:hint="cs"/>
          <w:noProof w:val="0"/>
          <w:szCs w:val="26"/>
          <w:rtl/>
        </w:rPr>
        <w:t xml:space="preserve">  </w:t>
      </w:r>
      <w:r w:rsidRPr="00FA05E3">
        <w:rPr>
          <w:sz w:val="18"/>
          <w:szCs w:val="16"/>
          <w:lang w:val="en-GB"/>
        </w:rPr>
        <w:t>http://www.sciencedaily.com/releases/2008/09/080915122725.htm</w:t>
      </w:r>
      <w:r>
        <w:rPr>
          <w:rFonts w:ascii="Traditional Arabic" w:hAnsi="Traditional Arabic" w:cs="Traditional Arabic" w:hint="cs"/>
          <w:sz w:val="26"/>
          <w:szCs w:val="26"/>
          <w:rtl/>
          <w:lang w:val="en-GB"/>
        </w:rPr>
        <w:t>.</w:t>
      </w:r>
    </w:p>
  </w:footnote>
  <w:footnote w:id="3">
    <w:p w:rsidR="00A64ABB" w:rsidRPr="00FA05E3" w:rsidRDefault="00A64ABB" w:rsidP="000714FA">
      <w:pPr>
        <w:pStyle w:val="FootnoteText"/>
        <w:spacing w:after="40" w:line="300" w:lineRule="exact"/>
        <w:ind w:left="1134"/>
        <w:jc w:val="both"/>
        <w:rPr>
          <w:rFonts w:ascii="Traditional Arabic" w:hAnsi="Traditional Arabic" w:cs="Traditional Arabic"/>
          <w:sz w:val="26"/>
          <w:szCs w:val="26"/>
          <w:rtl/>
        </w:rPr>
      </w:pPr>
      <w:r w:rsidRPr="00FA05E3">
        <w:rPr>
          <w:rFonts w:cs="Traditional Arabic"/>
          <w:sz w:val="26"/>
          <w:szCs w:val="26"/>
          <w:rtl/>
        </w:rPr>
        <w:t>(</w:t>
      </w:r>
      <w:r w:rsidRPr="00FA05E3">
        <w:rPr>
          <w:rStyle w:val="FootnoteReference"/>
          <w:rFonts w:cs="Traditional Arabic"/>
          <w:sz w:val="26"/>
          <w:szCs w:val="26"/>
          <w:vertAlign w:val="baseline"/>
          <w:rtl/>
        </w:rPr>
        <w:footnoteRef/>
      </w:r>
      <w:r w:rsidRPr="00FA05E3">
        <w:rPr>
          <w:rFonts w:cs="Traditional Arabic"/>
          <w:sz w:val="26"/>
          <w:szCs w:val="26"/>
          <w:rtl/>
        </w:rPr>
        <w:t>)</w:t>
      </w:r>
      <w:r w:rsidRPr="00FA05E3">
        <w:rPr>
          <w:rFonts w:cs="Traditional Arabic" w:hint="cs"/>
          <w:noProof w:val="0"/>
          <w:sz w:val="26"/>
          <w:szCs w:val="26"/>
          <w:rtl/>
        </w:rPr>
        <w:t xml:space="preserve">  </w:t>
      </w:r>
      <w:r w:rsidRPr="00FA05E3">
        <w:rPr>
          <w:rFonts w:ascii="Traditional Arabic" w:hAnsi="Traditional Arabic" w:cs="Traditional Arabic"/>
          <w:sz w:val="26"/>
          <w:szCs w:val="26"/>
          <w:rtl/>
        </w:rPr>
        <w:t xml:space="preserve">بيرنارد فيسيير، وبرينو فريتاس، وباربرا جيميل هارن، </w:t>
      </w:r>
      <w:r w:rsidRPr="00FA05E3">
        <w:rPr>
          <w:rFonts w:ascii="Traditional Arabic" w:hAnsi="Traditional Arabic" w:cs="Traditional Arabic"/>
          <w:i/>
          <w:iCs/>
          <w:sz w:val="26"/>
          <w:szCs w:val="26"/>
          <w:rtl/>
        </w:rPr>
        <w:t>بروتوكول لك</w:t>
      </w:r>
      <w:r w:rsidRPr="00FA05E3">
        <w:rPr>
          <w:rFonts w:ascii="Traditional Arabic" w:hAnsi="Traditional Arabic" w:cs="Traditional Arabic" w:hint="cs"/>
          <w:i/>
          <w:iCs/>
          <w:sz w:val="26"/>
          <w:szCs w:val="26"/>
          <w:rtl/>
        </w:rPr>
        <w:t>ش</w:t>
      </w:r>
      <w:r w:rsidRPr="00FA05E3">
        <w:rPr>
          <w:rFonts w:ascii="Traditional Arabic" w:hAnsi="Traditional Arabic" w:cs="Traditional Arabic"/>
          <w:i/>
          <w:iCs/>
          <w:sz w:val="26"/>
          <w:szCs w:val="26"/>
          <w:rtl/>
        </w:rPr>
        <w:t>ف وتقييم عيوب التلقيح في المحاصيل: دليل للاستخدام</w:t>
      </w:r>
      <w:r w:rsidRPr="00FA05E3">
        <w:rPr>
          <w:rFonts w:ascii="Traditional Arabic" w:hAnsi="Traditional Arabic" w:cs="Traditional Arabic"/>
          <w:sz w:val="26"/>
          <w:szCs w:val="26"/>
          <w:rtl/>
        </w:rPr>
        <w:t xml:space="preserve"> (مرفق البيئة العالمية، برنامج الأمم المتحدة للبيئة ومنظمة </w:t>
      </w:r>
      <w:r w:rsidRPr="00FA05E3">
        <w:rPr>
          <w:rFonts w:ascii="Traditional Arabic" w:hAnsi="Traditional Arabic" w:cs="Traditional Arabic" w:hint="cs"/>
          <w:sz w:val="26"/>
          <w:szCs w:val="26"/>
          <w:rtl/>
        </w:rPr>
        <w:t>الأمم المتحدة للأغذية والزراعة</w:t>
      </w:r>
      <w:r w:rsidRPr="00FA05E3">
        <w:rPr>
          <w:rFonts w:ascii="Traditional Arabic" w:hAnsi="Traditional Arabic" w:cs="Traditional Arabic"/>
          <w:sz w:val="26"/>
          <w:szCs w:val="26"/>
          <w:rtl/>
        </w:rPr>
        <w:t>، 2011).</w:t>
      </w:r>
    </w:p>
  </w:footnote>
  <w:footnote w:id="4">
    <w:p w:rsidR="00A64ABB" w:rsidRPr="00FA05E3" w:rsidRDefault="00A64ABB" w:rsidP="000714FA">
      <w:pPr>
        <w:pStyle w:val="FootnoteText"/>
        <w:spacing w:after="40" w:line="300" w:lineRule="exact"/>
        <w:ind w:left="1134"/>
        <w:jc w:val="both"/>
        <w:rPr>
          <w:rFonts w:ascii="Traditional Arabic" w:hAnsi="Traditional Arabic" w:cs="Traditional Arabic" w:hint="cs"/>
          <w:sz w:val="26"/>
          <w:szCs w:val="26"/>
          <w:rtl/>
        </w:rPr>
      </w:pPr>
      <w:r w:rsidRPr="00FA05E3">
        <w:rPr>
          <w:rFonts w:cs="Traditional Arabic"/>
          <w:sz w:val="26"/>
          <w:szCs w:val="26"/>
          <w:rtl/>
        </w:rPr>
        <w:t>(</w:t>
      </w:r>
      <w:r w:rsidRPr="00FA05E3">
        <w:rPr>
          <w:rStyle w:val="FootnoteReference"/>
          <w:rFonts w:cs="Traditional Arabic"/>
          <w:sz w:val="26"/>
          <w:szCs w:val="26"/>
          <w:vertAlign w:val="baseline"/>
          <w:rtl/>
        </w:rPr>
        <w:footnoteRef/>
      </w:r>
      <w:r w:rsidRPr="00FA05E3">
        <w:rPr>
          <w:rFonts w:cs="Traditional Arabic"/>
          <w:sz w:val="26"/>
          <w:szCs w:val="26"/>
          <w:rtl/>
        </w:rPr>
        <w:t>)</w:t>
      </w:r>
      <w:r w:rsidRPr="00FA05E3">
        <w:rPr>
          <w:rFonts w:cs="Traditional Arabic" w:hint="cs"/>
          <w:noProof w:val="0"/>
          <w:sz w:val="26"/>
          <w:szCs w:val="26"/>
          <w:rtl/>
        </w:rPr>
        <w:t xml:space="preserve">  </w:t>
      </w:r>
      <w:r w:rsidRPr="00FA05E3">
        <w:rPr>
          <w:rFonts w:ascii="Traditional Arabic" w:hAnsi="Traditional Arabic" w:cs="Traditional Arabic" w:hint="cs"/>
          <w:sz w:val="26"/>
          <w:szCs w:val="26"/>
          <w:rtl/>
        </w:rPr>
        <w:t>يوفر المرفق العالمي لمعلومات التنوع البيولوجي خدمة الوصول إلى ما يزيد عن 300 مليون سجل من سجلات التنوع البيولوجي الأساسية الموحدة على المستوى العالمي.</w:t>
      </w:r>
    </w:p>
  </w:footnote>
  <w:footnote w:id="5">
    <w:p w:rsidR="00A64ABB" w:rsidRPr="00FA05E3" w:rsidRDefault="00A64ABB" w:rsidP="000714FA">
      <w:pPr>
        <w:pStyle w:val="FootnoteText"/>
        <w:spacing w:after="40" w:line="300" w:lineRule="exact"/>
        <w:ind w:left="1134"/>
        <w:jc w:val="both"/>
        <w:rPr>
          <w:rFonts w:ascii="Traditional Arabic" w:hAnsi="Traditional Arabic" w:cs="Traditional Arabic"/>
          <w:sz w:val="26"/>
          <w:szCs w:val="26"/>
          <w:rtl/>
        </w:rPr>
      </w:pPr>
      <w:r w:rsidRPr="00FA05E3">
        <w:rPr>
          <w:rFonts w:cs="Traditional Arabic"/>
          <w:szCs w:val="26"/>
          <w:rtl/>
        </w:rPr>
        <w:t>(</w:t>
      </w:r>
      <w:r w:rsidRPr="00FA05E3">
        <w:rPr>
          <w:rStyle w:val="FootnoteReference"/>
          <w:rFonts w:cs="Traditional Arabic"/>
          <w:szCs w:val="26"/>
          <w:vertAlign w:val="baseline"/>
          <w:rtl/>
        </w:rPr>
        <w:footnoteRef/>
      </w:r>
      <w:r w:rsidRPr="00FA05E3">
        <w:rPr>
          <w:rFonts w:cs="Traditional Arabic"/>
          <w:szCs w:val="26"/>
          <w:rtl/>
        </w:rPr>
        <w:t>)</w:t>
      </w:r>
      <w:r w:rsidRPr="00FA05E3">
        <w:rPr>
          <w:rFonts w:cs="Traditional Arabic" w:hint="cs"/>
          <w:noProof w:val="0"/>
          <w:szCs w:val="26"/>
          <w:rtl/>
        </w:rPr>
        <w:t xml:space="preserve">  </w:t>
      </w:r>
      <w:hyperlink r:id="rId1" w:history="1">
        <w:r w:rsidRPr="003C5211">
          <w:rPr>
            <w:rStyle w:val="Hyperlink"/>
            <w:sz w:val="18"/>
            <w:szCs w:val="18"/>
            <w:lang w:val="en-GB"/>
          </w:rPr>
          <w:t>http://www.reading.ac.uk/caer/project_alarm.html</w:t>
        </w:r>
      </w:hyperlink>
      <w:r>
        <w:rPr>
          <w:rStyle w:val="Hyperlink"/>
          <w:rFonts w:ascii="Traditional Arabic" w:hAnsi="Traditional Arabic" w:cs="Traditional Arabic" w:hint="cs"/>
          <w:sz w:val="26"/>
          <w:szCs w:val="26"/>
          <w:rtl/>
          <w:lang w:val="en-GB"/>
        </w:rPr>
        <w:t>.</w:t>
      </w:r>
    </w:p>
  </w:footnote>
  <w:footnote w:id="6">
    <w:p w:rsidR="00A64ABB" w:rsidRPr="00FA05E3" w:rsidRDefault="00A64ABB" w:rsidP="000714FA">
      <w:pPr>
        <w:pStyle w:val="FootnoteText"/>
        <w:spacing w:after="40" w:line="300" w:lineRule="exact"/>
        <w:ind w:left="1134"/>
        <w:jc w:val="both"/>
        <w:rPr>
          <w:rFonts w:ascii="Traditional Arabic" w:hAnsi="Traditional Arabic" w:cs="Traditional Arabic"/>
          <w:rtl/>
        </w:rPr>
      </w:pPr>
      <w:r w:rsidRPr="00FA05E3">
        <w:rPr>
          <w:rFonts w:cs="Traditional Arabic"/>
          <w:szCs w:val="26"/>
          <w:rtl/>
        </w:rPr>
        <w:t>(</w:t>
      </w:r>
      <w:r w:rsidRPr="00FA05E3">
        <w:rPr>
          <w:rStyle w:val="FootnoteReference"/>
          <w:rFonts w:cs="Traditional Arabic"/>
          <w:szCs w:val="26"/>
          <w:vertAlign w:val="baseline"/>
          <w:rtl/>
        </w:rPr>
        <w:footnoteRef/>
      </w:r>
      <w:r w:rsidRPr="00FA05E3">
        <w:rPr>
          <w:rFonts w:cs="Traditional Arabic"/>
          <w:szCs w:val="26"/>
          <w:rtl/>
        </w:rPr>
        <w:t>)</w:t>
      </w:r>
      <w:r w:rsidRPr="00FA05E3">
        <w:rPr>
          <w:rFonts w:cs="Traditional Arabic" w:hint="cs"/>
          <w:noProof w:val="0"/>
          <w:szCs w:val="26"/>
          <w:rtl/>
        </w:rPr>
        <w:t xml:space="preserve">  </w:t>
      </w:r>
      <w:hyperlink r:id="rId2" w:history="1">
        <w:r w:rsidRPr="00B172F7">
          <w:rPr>
            <w:rStyle w:val="Hyperlink"/>
            <w:sz w:val="18"/>
            <w:szCs w:val="18"/>
          </w:rPr>
          <w:t>http://www.step-project.net/</w:t>
        </w:r>
      </w:hyperlink>
      <w:r>
        <w:rPr>
          <w:rStyle w:val="Hyperlink"/>
          <w:rFonts w:ascii="Traditional Arabic" w:hAnsi="Traditional Arabic" w:cs="Traditional Arabic" w:hint="cs"/>
          <w:rtl/>
        </w:rPr>
        <w:t>.</w:t>
      </w:r>
    </w:p>
  </w:footnote>
  <w:footnote w:id="7">
    <w:p w:rsidR="00A64ABB" w:rsidRPr="00FA05E3" w:rsidRDefault="00A64ABB" w:rsidP="000714FA">
      <w:pPr>
        <w:pStyle w:val="FootnoteText"/>
        <w:spacing w:after="40" w:line="300" w:lineRule="exact"/>
        <w:ind w:left="1134"/>
        <w:jc w:val="both"/>
        <w:rPr>
          <w:rFonts w:ascii="Traditional Arabic" w:hAnsi="Traditional Arabic" w:cs="Traditional Arabic" w:hint="cs"/>
          <w:sz w:val="26"/>
          <w:szCs w:val="26"/>
          <w:rtl/>
        </w:rPr>
      </w:pPr>
      <w:r w:rsidRPr="00FA05E3">
        <w:rPr>
          <w:rFonts w:cs="Traditional Arabic"/>
          <w:szCs w:val="26"/>
          <w:rtl/>
        </w:rPr>
        <w:t>(</w:t>
      </w:r>
      <w:r w:rsidRPr="00FA05E3">
        <w:rPr>
          <w:rStyle w:val="FootnoteReference"/>
          <w:rFonts w:cs="Traditional Arabic"/>
          <w:szCs w:val="26"/>
          <w:vertAlign w:val="baseline"/>
          <w:rtl/>
        </w:rPr>
        <w:footnoteRef/>
      </w:r>
      <w:r w:rsidRPr="00FA05E3">
        <w:rPr>
          <w:rFonts w:cs="Traditional Arabic"/>
          <w:szCs w:val="26"/>
          <w:rtl/>
        </w:rPr>
        <w:t>)</w:t>
      </w:r>
      <w:r w:rsidRPr="00FA05E3">
        <w:rPr>
          <w:rFonts w:cs="Traditional Arabic" w:hint="cs"/>
          <w:noProof w:val="0"/>
          <w:szCs w:val="26"/>
          <w:rtl/>
        </w:rPr>
        <w:t xml:space="preserve">  </w:t>
      </w:r>
      <w:r w:rsidRPr="00612E85">
        <w:rPr>
          <w:sz w:val="18"/>
          <w:szCs w:val="16"/>
        </w:rPr>
        <w:t>www.naturalcapitalproject.org</w:t>
      </w:r>
      <w:r>
        <w:rPr>
          <w:rFonts w:ascii="Traditional Arabic" w:hAnsi="Traditional Arabic" w:cs="Traditional Arabic" w:hint="cs"/>
          <w:sz w:val="26"/>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E3" w:rsidRPr="00B86C1A" w:rsidRDefault="001844E3" w:rsidP="00A64ABB">
    <w:pPr>
      <w:pBdr>
        <w:bottom w:val="single" w:sz="4" w:space="0" w:color="auto"/>
      </w:pBdr>
      <w:spacing w:before="20" w:after="40" w:line="180" w:lineRule="exact"/>
      <w:rPr>
        <w:rFonts w:hint="cs"/>
        <w:b/>
        <w:bCs/>
        <w:sz w:val="18"/>
        <w:szCs w:val="18"/>
        <w:rtl/>
        <w:lang w:val="fr-FR"/>
      </w:rPr>
    </w:pPr>
    <w:r w:rsidRPr="00B86C1A">
      <w:rPr>
        <w:rStyle w:val="PageNumber"/>
        <w:rFonts w:cs="Times New Roman"/>
        <w:b/>
        <w:bCs/>
        <w:sz w:val="18"/>
        <w:szCs w:val="18"/>
        <w:lang w:val="fr-FR"/>
      </w:rPr>
      <w:t>IPBES/2</w:t>
    </w:r>
    <w:r w:rsidR="002323CD" w:rsidRPr="00B86C1A">
      <w:rPr>
        <w:rStyle w:val="PageNumber"/>
        <w:rFonts w:cs="Times New Roman"/>
        <w:b/>
        <w:bCs/>
        <w:sz w:val="18"/>
        <w:szCs w:val="18"/>
        <w:lang w:val="fr-FR"/>
      </w:rPr>
      <w:t>/</w:t>
    </w:r>
    <w:r w:rsidR="00A64ABB">
      <w:rPr>
        <w:rStyle w:val="PageNumber"/>
        <w:rFonts w:cs="Times New Roman"/>
        <w:b/>
        <w:bCs/>
        <w:sz w:val="18"/>
        <w:szCs w:val="18"/>
        <w:lang w:val="fr-FR"/>
      </w:rPr>
      <w:t>16/Add.1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E3" w:rsidRPr="00B86C1A" w:rsidRDefault="001844E3" w:rsidP="00A64ABB">
    <w:pPr>
      <w:pBdr>
        <w:bottom w:val="single" w:sz="4" w:space="1" w:color="auto"/>
      </w:pBdr>
      <w:bidi w:val="0"/>
      <w:spacing w:before="20" w:after="40" w:line="180" w:lineRule="exact"/>
      <w:rPr>
        <w:b/>
        <w:bCs/>
        <w:sz w:val="18"/>
        <w:szCs w:val="18"/>
        <w:rtl/>
        <w:lang w:val="fr-FR"/>
      </w:rPr>
    </w:pPr>
    <w:r w:rsidRPr="00B86C1A">
      <w:rPr>
        <w:rStyle w:val="PageNumber"/>
        <w:rFonts w:cs="Times New Roman"/>
        <w:b/>
        <w:bCs/>
        <w:sz w:val="18"/>
        <w:szCs w:val="18"/>
        <w:lang w:val="fr-FR"/>
      </w:rPr>
      <w:t>IPBES/</w:t>
    </w:r>
    <w:r w:rsidR="002323CD" w:rsidRPr="00B86C1A">
      <w:rPr>
        <w:rStyle w:val="PageNumber"/>
        <w:rFonts w:cs="Times New Roman"/>
        <w:b/>
        <w:bCs/>
        <w:sz w:val="18"/>
        <w:szCs w:val="18"/>
        <w:lang w:val="fr-FR"/>
      </w:rPr>
      <w:t>2</w:t>
    </w:r>
    <w:r w:rsidRPr="00B86C1A">
      <w:rPr>
        <w:rStyle w:val="PageNumber"/>
        <w:rFonts w:cs="Times New Roman"/>
        <w:b/>
        <w:bCs/>
        <w:sz w:val="18"/>
        <w:szCs w:val="18"/>
        <w:lang w:val="fr-FR"/>
      </w:rPr>
      <w:t>/</w:t>
    </w:r>
    <w:r w:rsidR="00A64ABB">
      <w:rPr>
        <w:rStyle w:val="PageNumber"/>
        <w:rFonts w:cs="Times New Roman"/>
        <w:b/>
        <w:bCs/>
        <w:sz w:val="18"/>
        <w:szCs w:val="18"/>
        <w:lang w:val="fr-FR"/>
      </w:rPr>
      <w:t>16/Add.1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E3" w:rsidRDefault="001844E3" w:rsidP="00955980">
    <w:pPr>
      <w:pStyle w:val="Header"/>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624"/>
  <w:evenAndOddHeaders/>
  <w:drawingGridHorizontalSpacing w:val="171"/>
  <w:drawingGridVerticalSpacing w:val="233"/>
  <w:displayHorizontalDrawingGridEvery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rsids>
    <w:rsidRoot w:val="0090002B"/>
    <w:rsid w:val="000242CB"/>
    <w:rsid w:val="0003131F"/>
    <w:rsid w:val="00033595"/>
    <w:rsid w:val="00033A5C"/>
    <w:rsid w:val="0006021A"/>
    <w:rsid w:val="000650E5"/>
    <w:rsid w:val="000714FA"/>
    <w:rsid w:val="0008088A"/>
    <w:rsid w:val="000844F9"/>
    <w:rsid w:val="000C6AF1"/>
    <w:rsid w:val="000C6C8E"/>
    <w:rsid w:val="000C72D5"/>
    <w:rsid w:val="000F083C"/>
    <w:rsid w:val="000F39C0"/>
    <w:rsid w:val="000F712A"/>
    <w:rsid w:val="00102A11"/>
    <w:rsid w:val="00111DDA"/>
    <w:rsid w:val="0012040B"/>
    <w:rsid w:val="001223A2"/>
    <w:rsid w:val="00124CC4"/>
    <w:rsid w:val="00131CE1"/>
    <w:rsid w:val="001367EA"/>
    <w:rsid w:val="001368B8"/>
    <w:rsid w:val="0014278C"/>
    <w:rsid w:val="00153644"/>
    <w:rsid w:val="00154CC2"/>
    <w:rsid w:val="00165BE3"/>
    <w:rsid w:val="0017427B"/>
    <w:rsid w:val="00177C0C"/>
    <w:rsid w:val="001841AD"/>
    <w:rsid w:val="001844E3"/>
    <w:rsid w:val="00186DE2"/>
    <w:rsid w:val="001A0F83"/>
    <w:rsid w:val="001B03D9"/>
    <w:rsid w:val="001D3A25"/>
    <w:rsid w:val="001E4795"/>
    <w:rsid w:val="001E6E8E"/>
    <w:rsid w:val="001F0C9C"/>
    <w:rsid w:val="001F171C"/>
    <w:rsid w:val="001F390D"/>
    <w:rsid w:val="002079F8"/>
    <w:rsid w:val="0023160B"/>
    <w:rsid w:val="002323CD"/>
    <w:rsid w:val="00260C3B"/>
    <w:rsid w:val="00261451"/>
    <w:rsid w:val="00267DA8"/>
    <w:rsid w:val="002A2B7B"/>
    <w:rsid w:val="002B14DB"/>
    <w:rsid w:val="002C60AD"/>
    <w:rsid w:val="002E7390"/>
    <w:rsid w:val="002F11C2"/>
    <w:rsid w:val="002F74A0"/>
    <w:rsid w:val="00317E61"/>
    <w:rsid w:val="003501E1"/>
    <w:rsid w:val="003553DB"/>
    <w:rsid w:val="0038322E"/>
    <w:rsid w:val="00386BD3"/>
    <w:rsid w:val="00390CD8"/>
    <w:rsid w:val="003923ED"/>
    <w:rsid w:val="00397363"/>
    <w:rsid w:val="003B507C"/>
    <w:rsid w:val="003D355A"/>
    <w:rsid w:val="003E4E41"/>
    <w:rsid w:val="003F77FF"/>
    <w:rsid w:val="0040218B"/>
    <w:rsid w:val="00402F3D"/>
    <w:rsid w:val="00405211"/>
    <w:rsid w:val="00451081"/>
    <w:rsid w:val="00451ABD"/>
    <w:rsid w:val="004606CA"/>
    <w:rsid w:val="00472C66"/>
    <w:rsid w:val="00485260"/>
    <w:rsid w:val="004916B5"/>
    <w:rsid w:val="00495361"/>
    <w:rsid w:val="004B0A17"/>
    <w:rsid w:val="004D2B12"/>
    <w:rsid w:val="004E001B"/>
    <w:rsid w:val="004E1EDE"/>
    <w:rsid w:val="004E5370"/>
    <w:rsid w:val="004E7B30"/>
    <w:rsid w:val="00522932"/>
    <w:rsid w:val="005234DB"/>
    <w:rsid w:val="00530F46"/>
    <w:rsid w:val="00540949"/>
    <w:rsid w:val="005668AB"/>
    <w:rsid w:val="00591B8E"/>
    <w:rsid w:val="005945AA"/>
    <w:rsid w:val="005A6A53"/>
    <w:rsid w:val="005B198D"/>
    <w:rsid w:val="005B25B0"/>
    <w:rsid w:val="005C55FF"/>
    <w:rsid w:val="005E06C5"/>
    <w:rsid w:val="005E2737"/>
    <w:rsid w:val="005F3809"/>
    <w:rsid w:val="005F5925"/>
    <w:rsid w:val="0060772E"/>
    <w:rsid w:val="00615461"/>
    <w:rsid w:val="006160A4"/>
    <w:rsid w:val="006227F4"/>
    <w:rsid w:val="0063685D"/>
    <w:rsid w:val="00671875"/>
    <w:rsid w:val="00684243"/>
    <w:rsid w:val="00696059"/>
    <w:rsid w:val="006A7E4F"/>
    <w:rsid w:val="006B54B1"/>
    <w:rsid w:val="006C560D"/>
    <w:rsid w:val="006E4BE0"/>
    <w:rsid w:val="006F036C"/>
    <w:rsid w:val="00706852"/>
    <w:rsid w:val="00712158"/>
    <w:rsid w:val="0075378C"/>
    <w:rsid w:val="007565D2"/>
    <w:rsid w:val="00783165"/>
    <w:rsid w:val="007A671B"/>
    <w:rsid w:val="007B173A"/>
    <w:rsid w:val="007B5F59"/>
    <w:rsid w:val="007B7061"/>
    <w:rsid w:val="007C62EE"/>
    <w:rsid w:val="007E0C9A"/>
    <w:rsid w:val="007F304D"/>
    <w:rsid w:val="00802B63"/>
    <w:rsid w:val="00805014"/>
    <w:rsid w:val="00822614"/>
    <w:rsid w:val="00841BD9"/>
    <w:rsid w:val="008500FB"/>
    <w:rsid w:val="00852F12"/>
    <w:rsid w:val="00873A40"/>
    <w:rsid w:val="00887CE8"/>
    <w:rsid w:val="00890A6A"/>
    <w:rsid w:val="0089216B"/>
    <w:rsid w:val="0089620E"/>
    <w:rsid w:val="008A5EBB"/>
    <w:rsid w:val="008F633B"/>
    <w:rsid w:val="0090002B"/>
    <w:rsid w:val="0092522D"/>
    <w:rsid w:val="00926C1F"/>
    <w:rsid w:val="00931CC7"/>
    <w:rsid w:val="00932271"/>
    <w:rsid w:val="00934EBC"/>
    <w:rsid w:val="00955980"/>
    <w:rsid w:val="00980B82"/>
    <w:rsid w:val="009819E2"/>
    <w:rsid w:val="009A052E"/>
    <w:rsid w:val="009A1FDF"/>
    <w:rsid w:val="009B2A75"/>
    <w:rsid w:val="009C5B87"/>
    <w:rsid w:val="009D58E8"/>
    <w:rsid w:val="009E2CE5"/>
    <w:rsid w:val="009E46DF"/>
    <w:rsid w:val="009E6EAB"/>
    <w:rsid w:val="00A108BD"/>
    <w:rsid w:val="00A17CC6"/>
    <w:rsid w:val="00A26E11"/>
    <w:rsid w:val="00A34C1A"/>
    <w:rsid w:val="00A579D1"/>
    <w:rsid w:val="00A64ABB"/>
    <w:rsid w:val="00A76B59"/>
    <w:rsid w:val="00A83F8C"/>
    <w:rsid w:val="00A969A0"/>
    <w:rsid w:val="00AB1E5D"/>
    <w:rsid w:val="00AC47AC"/>
    <w:rsid w:val="00AE4729"/>
    <w:rsid w:val="00AF0DF6"/>
    <w:rsid w:val="00B179A4"/>
    <w:rsid w:val="00B602AD"/>
    <w:rsid w:val="00B77EDA"/>
    <w:rsid w:val="00B83776"/>
    <w:rsid w:val="00B86C1A"/>
    <w:rsid w:val="00B87B65"/>
    <w:rsid w:val="00B97A52"/>
    <w:rsid w:val="00BA25F3"/>
    <w:rsid w:val="00BA66F1"/>
    <w:rsid w:val="00BA6ED1"/>
    <w:rsid w:val="00BB0629"/>
    <w:rsid w:val="00BD1906"/>
    <w:rsid w:val="00BD4A65"/>
    <w:rsid w:val="00BF64C6"/>
    <w:rsid w:val="00BF7F42"/>
    <w:rsid w:val="00C0594F"/>
    <w:rsid w:val="00C1200F"/>
    <w:rsid w:val="00C227E2"/>
    <w:rsid w:val="00C34FDE"/>
    <w:rsid w:val="00C56205"/>
    <w:rsid w:val="00C712BF"/>
    <w:rsid w:val="00C85728"/>
    <w:rsid w:val="00C86BDC"/>
    <w:rsid w:val="00CA4F8C"/>
    <w:rsid w:val="00CB79F1"/>
    <w:rsid w:val="00CD25C4"/>
    <w:rsid w:val="00CD399B"/>
    <w:rsid w:val="00D12FDA"/>
    <w:rsid w:val="00D444E7"/>
    <w:rsid w:val="00D44CE3"/>
    <w:rsid w:val="00D578BF"/>
    <w:rsid w:val="00D66C66"/>
    <w:rsid w:val="00D70490"/>
    <w:rsid w:val="00D71822"/>
    <w:rsid w:val="00D77BF9"/>
    <w:rsid w:val="00D9173E"/>
    <w:rsid w:val="00D91942"/>
    <w:rsid w:val="00D958DE"/>
    <w:rsid w:val="00DA1588"/>
    <w:rsid w:val="00DA494E"/>
    <w:rsid w:val="00DB6958"/>
    <w:rsid w:val="00DC590D"/>
    <w:rsid w:val="00DE796A"/>
    <w:rsid w:val="00E015AC"/>
    <w:rsid w:val="00E26AB7"/>
    <w:rsid w:val="00E369DB"/>
    <w:rsid w:val="00E36EB2"/>
    <w:rsid w:val="00E53625"/>
    <w:rsid w:val="00E63CFD"/>
    <w:rsid w:val="00E760C7"/>
    <w:rsid w:val="00E82EF9"/>
    <w:rsid w:val="00E90558"/>
    <w:rsid w:val="00E96DEF"/>
    <w:rsid w:val="00EA0788"/>
    <w:rsid w:val="00EB71F5"/>
    <w:rsid w:val="00EC3A5F"/>
    <w:rsid w:val="00ED77A3"/>
    <w:rsid w:val="00EE026C"/>
    <w:rsid w:val="00F12DD6"/>
    <w:rsid w:val="00F240DC"/>
    <w:rsid w:val="00F47390"/>
    <w:rsid w:val="00F50135"/>
    <w:rsid w:val="00F61AB5"/>
    <w:rsid w:val="00F64BB3"/>
    <w:rsid w:val="00F7639B"/>
    <w:rsid w:val="00FE2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uiPriority w:val="99"/>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link w:val="FootnoteText"/>
    <w:uiPriority w:val="99"/>
    <w:semiHidden/>
    <w:rsid w:val="00A64ABB"/>
    <w:rPr>
      <w:rFonts w:ascii="Times" w:hAnsi="Times" w:cs="Simplified Arabic"/>
      <w:noProof/>
    </w:rPr>
  </w:style>
  <w:style w:type="paragraph" w:styleId="ListParagraph">
    <w:name w:val="List Paragraph"/>
    <w:basedOn w:val="Normal"/>
    <w:uiPriority w:val="34"/>
    <w:qFormat/>
    <w:rsid w:val="00A64ABB"/>
    <w:pPr>
      <w:bidi w:val="0"/>
      <w:spacing w:after="200" w:line="276" w:lineRule="auto"/>
      <w:ind w:left="720"/>
      <w:contextualSpacing/>
    </w:pPr>
    <w:rPr>
      <w:rFonts w:ascii="Calibri" w:eastAsia="Calibri" w:hAnsi="Calibri" w:cs="Times New Roman"/>
      <w:szCs w:val="22"/>
      <w:lang w:val="en-GB"/>
    </w:rPr>
  </w:style>
  <w:style w:type="character" w:styleId="Hyperlink">
    <w:name w:val="Hyperlink"/>
    <w:uiPriority w:val="99"/>
    <w:rsid w:val="00A64ABB"/>
    <w:rPr>
      <w:rFonts w:ascii="Times New Roman" w:hAnsi="Times New Roman"/>
      <w:color w:val="auto"/>
      <w:sz w:val="20"/>
      <w:szCs w:val="20"/>
      <w:u w:val="none"/>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step-project.net/" TargetMode="External"/><Relationship Id="rId1" Type="http://schemas.openxmlformats.org/officeDocument/2006/relationships/hyperlink" Target="http://www.reading.ac.uk/caer/project_ala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1668-6131-4066-B195-EE691E5F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10268</CharactersWithSpaces>
  <SharedDoc>false</SharedDoc>
  <HLinks>
    <vt:vector size="12" baseType="variant">
      <vt:variant>
        <vt:i4>983104</vt:i4>
      </vt:variant>
      <vt:variant>
        <vt:i4>3</vt:i4>
      </vt:variant>
      <vt:variant>
        <vt:i4>0</vt:i4>
      </vt:variant>
      <vt:variant>
        <vt:i4>5</vt:i4>
      </vt:variant>
      <vt:variant>
        <vt:lpwstr>http://www.step-project.net/</vt:lpwstr>
      </vt:variant>
      <vt:variant>
        <vt:lpwstr/>
      </vt:variant>
      <vt:variant>
        <vt:i4>3604573</vt:i4>
      </vt:variant>
      <vt:variant>
        <vt:i4>0</vt:i4>
      </vt:variant>
      <vt:variant>
        <vt:i4>0</vt:i4>
      </vt:variant>
      <vt:variant>
        <vt:i4>5</vt:i4>
      </vt:variant>
      <vt:variant>
        <vt:lpwstr>http://www.reading.ac.uk/caer/project_alarm.html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cp:lastModifiedBy>
  <cp:revision>2</cp:revision>
  <cp:lastPrinted>2011-11-23T19:22:00Z</cp:lastPrinted>
  <dcterms:created xsi:type="dcterms:W3CDTF">2013-11-06T17:58:00Z</dcterms:created>
  <dcterms:modified xsi:type="dcterms:W3CDTF">2013-11-06T17:58:00Z</dcterms:modified>
</cp:coreProperties>
</file>