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F222" w14:textId="120B4CC3" w:rsidR="00317210" w:rsidRPr="001459B4" w:rsidRDefault="00537478" w:rsidP="008A7B6E">
      <w:pPr>
        <w:pStyle w:val="Title"/>
        <w:rPr>
          <w:rFonts w:asciiTheme="minorHAnsi" w:hAnsiTheme="minorHAnsi" w:cstheme="minorHAnsi"/>
          <w:b/>
          <w:sz w:val="30"/>
          <w:szCs w:val="30"/>
        </w:rPr>
      </w:pPr>
      <w:r w:rsidRPr="001459B4">
        <w:rPr>
          <w:rFonts w:asciiTheme="minorHAnsi" w:hAnsiTheme="minorHAnsi" w:cstheme="minorHAnsi"/>
          <w:b/>
          <w:sz w:val="30"/>
          <w:szCs w:val="30"/>
        </w:rPr>
        <w:t xml:space="preserve">Template </w:t>
      </w:r>
      <w:r w:rsidR="00C31DCC" w:rsidRPr="001459B4">
        <w:rPr>
          <w:rFonts w:asciiTheme="minorHAnsi" w:hAnsiTheme="minorHAnsi" w:cstheme="minorHAnsi"/>
          <w:b/>
          <w:sz w:val="30"/>
          <w:szCs w:val="30"/>
        </w:rPr>
        <w:t xml:space="preserve">for </w:t>
      </w:r>
      <w:r w:rsidR="001459B4">
        <w:rPr>
          <w:rFonts w:asciiTheme="minorHAnsi" w:hAnsiTheme="minorHAnsi" w:cstheme="minorHAnsi"/>
          <w:b/>
          <w:sz w:val="30"/>
          <w:szCs w:val="30"/>
        </w:rPr>
        <w:t>application to</w:t>
      </w:r>
      <w:r w:rsidR="008A0ED5" w:rsidRPr="001459B4">
        <w:rPr>
          <w:rFonts w:asciiTheme="minorHAnsi" w:hAnsiTheme="minorHAnsi" w:cstheme="minorHAnsi"/>
          <w:b/>
          <w:sz w:val="30"/>
          <w:szCs w:val="30"/>
        </w:rPr>
        <w:t xml:space="preserve"> host the</w:t>
      </w:r>
      <w:r w:rsidR="00C31DCC" w:rsidRPr="001459B4">
        <w:rPr>
          <w:rFonts w:asciiTheme="minorHAnsi" w:hAnsiTheme="minorHAnsi" w:cstheme="minorHAnsi"/>
          <w:b/>
          <w:sz w:val="30"/>
          <w:szCs w:val="30"/>
        </w:rPr>
        <w:t xml:space="preserve"> </w:t>
      </w:r>
      <w:r w:rsidR="00643DAA" w:rsidRPr="001459B4">
        <w:rPr>
          <w:rFonts w:asciiTheme="minorHAnsi" w:hAnsiTheme="minorHAnsi" w:cstheme="minorHAnsi"/>
          <w:b/>
          <w:sz w:val="30"/>
          <w:szCs w:val="30"/>
        </w:rPr>
        <w:t>t</w:t>
      </w:r>
      <w:r w:rsidR="00C31DCC" w:rsidRPr="001459B4">
        <w:rPr>
          <w:rFonts w:asciiTheme="minorHAnsi" w:hAnsiTheme="minorHAnsi" w:cstheme="minorHAnsi"/>
          <w:b/>
          <w:sz w:val="30"/>
          <w:szCs w:val="30"/>
        </w:rPr>
        <w:t xml:space="preserve">echnical </w:t>
      </w:r>
      <w:r w:rsidR="00643DAA" w:rsidRPr="001459B4">
        <w:rPr>
          <w:rFonts w:asciiTheme="minorHAnsi" w:hAnsiTheme="minorHAnsi" w:cstheme="minorHAnsi"/>
          <w:b/>
          <w:sz w:val="30"/>
          <w:szCs w:val="30"/>
        </w:rPr>
        <w:t>s</w:t>
      </w:r>
      <w:r w:rsidR="00C31DCC" w:rsidRPr="001459B4">
        <w:rPr>
          <w:rFonts w:asciiTheme="minorHAnsi" w:hAnsiTheme="minorHAnsi" w:cstheme="minorHAnsi"/>
          <w:b/>
          <w:sz w:val="30"/>
          <w:szCs w:val="30"/>
        </w:rPr>
        <w:t xml:space="preserve">upport </w:t>
      </w:r>
      <w:r w:rsidR="00643DAA" w:rsidRPr="001459B4">
        <w:rPr>
          <w:rFonts w:asciiTheme="minorHAnsi" w:hAnsiTheme="minorHAnsi" w:cstheme="minorHAnsi"/>
          <w:b/>
          <w:sz w:val="30"/>
          <w:szCs w:val="30"/>
        </w:rPr>
        <w:t>u</w:t>
      </w:r>
      <w:r w:rsidR="00C31DCC" w:rsidRPr="001459B4">
        <w:rPr>
          <w:rFonts w:asciiTheme="minorHAnsi" w:hAnsiTheme="minorHAnsi" w:cstheme="minorHAnsi"/>
          <w:b/>
          <w:sz w:val="30"/>
          <w:szCs w:val="30"/>
        </w:rPr>
        <w:t xml:space="preserve">nit </w:t>
      </w:r>
      <w:r w:rsidR="00012374" w:rsidRPr="001459B4">
        <w:rPr>
          <w:rFonts w:asciiTheme="minorHAnsi" w:hAnsiTheme="minorHAnsi" w:cstheme="minorHAnsi"/>
          <w:b/>
          <w:sz w:val="30"/>
          <w:szCs w:val="30"/>
        </w:rPr>
        <w:t>for</w:t>
      </w:r>
      <w:r w:rsidR="00C31DCC" w:rsidRPr="001459B4">
        <w:rPr>
          <w:rFonts w:asciiTheme="minorHAnsi" w:hAnsiTheme="minorHAnsi" w:cstheme="minorHAnsi"/>
          <w:b/>
          <w:sz w:val="30"/>
          <w:szCs w:val="30"/>
        </w:rPr>
        <w:t xml:space="preserve"> </w:t>
      </w:r>
      <w:r w:rsidR="00A64468" w:rsidRPr="001459B4">
        <w:rPr>
          <w:rFonts w:asciiTheme="minorHAnsi" w:hAnsiTheme="minorHAnsi" w:cstheme="minorHAnsi"/>
          <w:b/>
          <w:sz w:val="30"/>
          <w:szCs w:val="30"/>
        </w:rPr>
        <w:t xml:space="preserve">the </w:t>
      </w:r>
      <w:r w:rsidR="001459B4">
        <w:rPr>
          <w:rFonts w:asciiTheme="minorHAnsi" w:hAnsiTheme="minorHAnsi" w:cstheme="minorHAnsi"/>
          <w:b/>
          <w:sz w:val="30"/>
          <w:szCs w:val="30"/>
        </w:rPr>
        <w:t xml:space="preserve">IPBES </w:t>
      </w:r>
      <w:r w:rsidR="00A64468" w:rsidRPr="001459B4">
        <w:rPr>
          <w:rFonts w:asciiTheme="minorHAnsi" w:hAnsiTheme="minorHAnsi" w:cstheme="minorHAnsi"/>
          <w:b/>
          <w:sz w:val="30"/>
          <w:szCs w:val="30"/>
        </w:rPr>
        <w:t>“transformative change assessment”</w:t>
      </w:r>
    </w:p>
    <w:p w14:paraId="7F4B3995" w14:textId="30F94ED2" w:rsidR="00755C27" w:rsidRPr="001459B4" w:rsidRDefault="00755C27" w:rsidP="00755C27">
      <w:pPr>
        <w:rPr>
          <w:rFonts w:cstheme="minorHAnsi"/>
        </w:rPr>
      </w:pPr>
    </w:p>
    <w:p w14:paraId="67518D4D" w14:textId="1F4FD95C" w:rsidR="001459B4" w:rsidRPr="001459B4" w:rsidRDefault="001459B4" w:rsidP="00755C27">
      <w:pPr>
        <w:rPr>
          <w:rFonts w:cstheme="minorHAnsi"/>
        </w:rPr>
      </w:pPr>
      <w:r w:rsidRPr="001459B4">
        <w:rPr>
          <w:rFonts w:cstheme="minorHAnsi"/>
        </w:rPr>
        <w:t xml:space="preserve">Interested institutions are invited to submit their application following this template, with, as an attachment, the filled out “Application Form” and to submit </w:t>
      </w:r>
      <w:r>
        <w:rPr>
          <w:rFonts w:cstheme="minorHAnsi"/>
        </w:rPr>
        <w:t>their application</w:t>
      </w:r>
      <w:r w:rsidRPr="001459B4">
        <w:rPr>
          <w:rFonts w:cstheme="minorHAnsi"/>
        </w:rPr>
        <w:t xml:space="preserve"> to the secretariat at </w:t>
      </w:r>
      <w:hyperlink r:id="rId11" w:history="1">
        <w:r w:rsidRPr="001459B4">
          <w:rPr>
            <w:rStyle w:val="Hyperlink"/>
            <w:rFonts w:cstheme="minorHAnsi"/>
          </w:rPr>
          <w:t>secretariat@ipbes.net</w:t>
        </w:r>
      </w:hyperlink>
      <w:r w:rsidRPr="001459B4">
        <w:rPr>
          <w:rFonts w:cstheme="minorHAnsi"/>
        </w:rPr>
        <w:t xml:space="preserve"> </w:t>
      </w:r>
      <w:r w:rsidRPr="001459B4">
        <w:rPr>
          <w:rFonts w:cstheme="minorHAnsi"/>
          <w:b/>
        </w:rPr>
        <w:t>by 31 August 2021.</w:t>
      </w:r>
      <w:r w:rsidRPr="001459B4">
        <w:rPr>
          <w:rFonts w:cstheme="minorHAnsi"/>
        </w:rPr>
        <w:t xml:space="preserve"> </w:t>
      </w:r>
    </w:p>
    <w:p w14:paraId="351BCA6F" w14:textId="77777777" w:rsidR="00C31DCC" w:rsidRPr="00301332" w:rsidRDefault="00C31DCC" w:rsidP="00301332">
      <w:pPr>
        <w:pStyle w:val="ListParagraph"/>
        <w:numPr>
          <w:ilvl w:val="0"/>
          <w:numId w:val="1"/>
        </w:numPr>
        <w:spacing w:after="120"/>
        <w:contextualSpacing w:val="0"/>
        <w:rPr>
          <w:rFonts w:cstheme="minorHAnsi"/>
          <w:b/>
          <w:bCs/>
          <w:sz w:val="23"/>
          <w:szCs w:val="23"/>
        </w:rPr>
      </w:pPr>
      <w:r w:rsidRPr="00301332">
        <w:rPr>
          <w:rFonts w:cstheme="minorHAnsi"/>
          <w:b/>
          <w:bCs/>
          <w:sz w:val="23"/>
          <w:szCs w:val="23"/>
        </w:rPr>
        <w:t>Introduction</w:t>
      </w:r>
    </w:p>
    <w:p w14:paraId="3F937ACE" w14:textId="26F32132" w:rsidR="002169A3" w:rsidRPr="001459B4" w:rsidRDefault="001459B4" w:rsidP="001459B4">
      <w:pPr>
        <w:pStyle w:val="ListParagraph"/>
        <w:ind w:left="1440"/>
        <w:rPr>
          <w:rFonts w:cstheme="minorHAnsi"/>
          <w:bCs/>
          <w:sz w:val="23"/>
          <w:szCs w:val="23"/>
        </w:rPr>
      </w:pPr>
      <w:r>
        <w:rPr>
          <w:rFonts w:cstheme="minorHAnsi"/>
          <w:bCs/>
          <w:sz w:val="23"/>
          <w:szCs w:val="23"/>
        </w:rPr>
        <w:t>This section is a s</w:t>
      </w:r>
      <w:r w:rsidR="002169A3" w:rsidRPr="001459B4">
        <w:rPr>
          <w:rFonts w:cstheme="minorHAnsi"/>
          <w:bCs/>
          <w:sz w:val="23"/>
          <w:szCs w:val="23"/>
        </w:rPr>
        <w:t xml:space="preserve">hort introduction </w:t>
      </w:r>
      <w:r w:rsidR="00FB5121" w:rsidRPr="001459B4">
        <w:rPr>
          <w:rFonts w:cstheme="minorHAnsi"/>
          <w:bCs/>
          <w:sz w:val="23"/>
          <w:szCs w:val="23"/>
        </w:rPr>
        <w:t>summarizing key aspects of the proposal</w:t>
      </w:r>
      <w:r w:rsidR="002169A3" w:rsidRPr="001459B4">
        <w:rPr>
          <w:rFonts w:cstheme="minorHAnsi"/>
          <w:bCs/>
          <w:sz w:val="23"/>
          <w:szCs w:val="23"/>
        </w:rPr>
        <w:t>.</w:t>
      </w:r>
    </w:p>
    <w:p w14:paraId="6E54A038" w14:textId="77777777" w:rsidR="002169A3" w:rsidRPr="001459B4" w:rsidRDefault="002169A3" w:rsidP="00DB261B">
      <w:pPr>
        <w:pStyle w:val="ListParagraph"/>
        <w:ind w:left="1080"/>
        <w:rPr>
          <w:rFonts w:cstheme="minorHAnsi"/>
          <w:b/>
          <w:bCs/>
          <w:sz w:val="23"/>
          <w:szCs w:val="23"/>
        </w:rPr>
      </w:pPr>
    </w:p>
    <w:p w14:paraId="02252D2E" w14:textId="2A04797E" w:rsidR="00FB5121" w:rsidRPr="00301332" w:rsidRDefault="00FB5121" w:rsidP="001459B4">
      <w:pPr>
        <w:pStyle w:val="ListParagraph"/>
        <w:numPr>
          <w:ilvl w:val="0"/>
          <w:numId w:val="1"/>
        </w:numPr>
        <w:spacing w:after="120"/>
        <w:contextualSpacing w:val="0"/>
        <w:rPr>
          <w:rFonts w:cstheme="minorHAnsi"/>
          <w:b/>
          <w:bCs/>
          <w:sz w:val="23"/>
          <w:szCs w:val="23"/>
        </w:rPr>
      </w:pPr>
      <w:r w:rsidRPr="001459B4">
        <w:rPr>
          <w:rFonts w:cstheme="minorHAnsi"/>
          <w:b/>
          <w:bCs/>
          <w:sz w:val="23"/>
          <w:szCs w:val="23"/>
        </w:rPr>
        <w:t>Presentation of the host institution</w:t>
      </w:r>
    </w:p>
    <w:p w14:paraId="4D59EC0B" w14:textId="49A434D4" w:rsidR="001459B4" w:rsidRPr="001459B4" w:rsidRDefault="001459B4" w:rsidP="001459B4">
      <w:pPr>
        <w:pStyle w:val="ListParagraph"/>
        <w:spacing w:after="120"/>
        <w:ind w:left="1440"/>
        <w:contextualSpacing w:val="0"/>
        <w:rPr>
          <w:rFonts w:cstheme="minorHAnsi"/>
          <w:bCs/>
          <w:sz w:val="23"/>
          <w:szCs w:val="23"/>
        </w:rPr>
      </w:pPr>
      <w:r>
        <w:rPr>
          <w:rFonts w:cstheme="minorHAnsi"/>
          <w:bCs/>
          <w:sz w:val="23"/>
          <w:szCs w:val="23"/>
        </w:rPr>
        <w:t>This section p</w:t>
      </w:r>
      <w:r w:rsidR="00FB5121" w:rsidRPr="001459B4">
        <w:rPr>
          <w:rFonts w:cstheme="minorHAnsi"/>
          <w:bCs/>
          <w:sz w:val="23"/>
          <w:szCs w:val="23"/>
        </w:rPr>
        <w:t>resent</w:t>
      </w:r>
      <w:r>
        <w:rPr>
          <w:rFonts w:cstheme="minorHAnsi"/>
          <w:bCs/>
          <w:sz w:val="23"/>
          <w:szCs w:val="23"/>
        </w:rPr>
        <w:t xml:space="preserve">s </w:t>
      </w:r>
      <w:r w:rsidR="00FB5121" w:rsidRPr="001459B4">
        <w:rPr>
          <w:rFonts w:cstheme="minorHAnsi"/>
          <w:bCs/>
          <w:sz w:val="23"/>
          <w:szCs w:val="23"/>
        </w:rPr>
        <w:t xml:space="preserve">the host institution </w:t>
      </w:r>
      <w:r w:rsidR="009D1BD9" w:rsidRPr="001459B4">
        <w:rPr>
          <w:rFonts w:cstheme="minorHAnsi"/>
          <w:bCs/>
          <w:sz w:val="23"/>
          <w:szCs w:val="23"/>
        </w:rPr>
        <w:t xml:space="preserve">including </w:t>
      </w:r>
      <w:r>
        <w:rPr>
          <w:rFonts w:cstheme="minorHAnsi"/>
          <w:bCs/>
          <w:sz w:val="23"/>
          <w:szCs w:val="23"/>
        </w:rPr>
        <w:t xml:space="preserve">the </w:t>
      </w:r>
      <w:r w:rsidR="009D1BD9" w:rsidRPr="001459B4">
        <w:rPr>
          <w:rFonts w:cstheme="minorHAnsi"/>
          <w:bCs/>
          <w:sz w:val="23"/>
          <w:szCs w:val="23"/>
        </w:rPr>
        <w:t>relevance</w:t>
      </w:r>
      <w:r w:rsidR="00DD12CC" w:rsidRPr="001459B4">
        <w:rPr>
          <w:rFonts w:cstheme="minorHAnsi"/>
          <w:bCs/>
          <w:sz w:val="23"/>
          <w:szCs w:val="23"/>
        </w:rPr>
        <w:t xml:space="preserve"> of its work</w:t>
      </w:r>
      <w:r w:rsidR="009D1BD9" w:rsidRPr="001459B4">
        <w:rPr>
          <w:rFonts w:cstheme="minorHAnsi"/>
          <w:bCs/>
          <w:sz w:val="23"/>
          <w:szCs w:val="23"/>
        </w:rPr>
        <w:t xml:space="preserve"> to IPBES and to the </w:t>
      </w:r>
      <w:r w:rsidR="00A64468" w:rsidRPr="001459B4">
        <w:rPr>
          <w:rFonts w:cstheme="minorHAnsi"/>
          <w:bCs/>
          <w:sz w:val="23"/>
          <w:szCs w:val="23"/>
        </w:rPr>
        <w:t xml:space="preserve">transformative change </w:t>
      </w:r>
      <w:proofErr w:type="gramStart"/>
      <w:r w:rsidR="00A64468" w:rsidRPr="001459B4">
        <w:rPr>
          <w:rFonts w:cstheme="minorHAnsi"/>
          <w:bCs/>
          <w:sz w:val="23"/>
          <w:szCs w:val="23"/>
        </w:rPr>
        <w:t>assessment</w:t>
      </w:r>
      <w:r>
        <w:rPr>
          <w:rFonts w:cstheme="minorHAnsi"/>
          <w:bCs/>
          <w:sz w:val="23"/>
          <w:szCs w:val="23"/>
        </w:rPr>
        <w:t>, in particular</w:t>
      </w:r>
      <w:proofErr w:type="gramEnd"/>
      <w:r w:rsidR="00FD18E8" w:rsidRPr="001459B4">
        <w:rPr>
          <w:rFonts w:cstheme="minorHAnsi"/>
          <w:bCs/>
          <w:sz w:val="23"/>
          <w:szCs w:val="23"/>
        </w:rPr>
        <w:t>.</w:t>
      </w:r>
    </w:p>
    <w:p w14:paraId="78D783CC" w14:textId="590424E2" w:rsidR="00C31DCC" w:rsidRPr="001459B4" w:rsidRDefault="009D1BD9" w:rsidP="001459B4">
      <w:pPr>
        <w:pStyle w:val="ListParagraph"/>
        <w:numPr>
          <w:ilvl w:val="0"/>
          <w:numId w:val="1"/>
        </w:numPr>
        <w:spacing w:after="120"/>
        <w:contextualSpacing w:val="0"/>
        <w:rPr>
          <w:rFonts w:cstheme="minorHAnsi"/>
          <w:b/>
          <w:bCs/>
          <w:sz w:val="23"/>
          <w:szCs w:val="23"/>
        </w:rPr>
      </w:pPr>
      <w:r w:rsidRPr="001459B4">
        <w:rPr>
          <w:rFonts w:cstheme="minorHAnsi"/>
          <w:b/>
          <w:bCs/>
          <w:sz w:val="23"/>
          <w:szCs w:val="23"/>
        </w:rPr>
        <w:t xml:space="preserve">Presentation </w:t>
      </w:r>
      <w:r w:rsidR="00C31DCC" w:rsidRPr="001459B4">
        <w:rPr>
          <w:rFonts w:cstheme="minorHAnsi"/>
          <w:b/>
          <w:bCs/>
          <w:sz w:val="23"/>
          <w:szCs w:val="23"/>
        </w:rPr>
        <w:t xml:space="preserve">of the </w:t>
      </w:r>
      <w:r w:rsidR="00643DAA" w:rsidRPr="001459B4">
        <w:rPr>
          <w:rFonts w:cstheme="minorHAnsi"/>
          <w:b/>
          <w:bCs/>
          <w:sz w:val="23"/>
          <w:szCs w:val="23"/>
        </w:rPr>
        <w:t>t</w:t>
      </w:r>
      <w:r w:rsidR="00C31DCC" w:rsidRPr="001459B4">
        <w:rPr>
          <w:rFonts w:cstheme="minorHAnsi"/>
          <w:b/>
          <w:bCs/>
          <w:sz w:val="23"/>
          <w:szCs w:val="23"/>
        </w:rPr>
        <w:t xml:space="preserve">echnical </w:t>
      </w:r>
      <w:r w:rsidR="00643DAA" w:rsidRPr="001459B4">
        <w:rPr>
          <w:rFonts w:cstheme="minorHAnsi"/>
          <w:b/>
          <w:bCs/>
          <w:sz w:val="23"/>
          <w:szCs w:val="23"/>
        </w:rPr>
        <w:t>s</w:t>
      </w:r>
      <w:r w:rsidR="00C31DCC" w:rsidRPr="001459B4">
        <w:rPr>
          <w:rFonts w:cstheme="minorHAnsi"/>
          <w:b/>
          <w:bCs/>
          <w:sz w:val="23"/>
          <w:szCs w:val="23"/>
        </w:rPr>
        <w:t xml:space="preserve">upport </w:t>
      </w:r>
      <w:r w:rsidR="00643DAA" w:rsidRPr="001459B4">
        <w:rPr>
          <w:rFonts w:cstheme="minorHAnsi"/>
          <w:b/>
          <w:bCs/>
          <w:sz w:val="23"/>
          <w:szCs w:val="23"/>
        </w:rPr>
        <w:t>u</w:t>
      </w:r>
      <w:r w:rsidR="00C31DCC" w:rsidRPr="001459B4">
        <w:rPr>
          <w:rFonts w:cstheme="minorHAnsi"/>
          <w:b/>
          <w:bCs/>
          <w:sz w:val="23"/>
          <w:szCs w:val="23"/>
        </w:rPr>
        <w:t>nit</w:t>
      </w:r>
      <w:r w:rsidR="00643DAA" w:rsidRPr="001459B4">
        <w:rPr>
          <w:rFonts w:cstheme="minorHAnsi"/>
          <w:b/>
          <w:bCs/>
          <w:sz w:val="23"/>
          <w:szCs w:val="23"/>
        </w:rPr>
        <w:t xml:space="preserve"> (TSU)</w:t>
      </w:r>
    </w:p>
    <w:p w14:paraId="1541B38E" w14:textId="5F5F0374" w:rsidR="009D1BD9" w:rsidRPr="001459B4" w:rsidRDefault="001459B4" w:rsidP="00540A83">
      <w:pPr>
        <w:spacing w:after="0"/>
        <w:ind w:left="1440"/>
        <w:rPr>
          <w:rFonts w:cstheme="minorHAnsi"/>
          <w:sz w:val="23"/>
          <w:szCs w:val="23"/>
        </w:rPr>
      </w:pPr>
      <w:r>
        <w:rPr>
          <w:rFonts w:cstheme="minorHAnsi"/>
          <w:sz w:val="23"/>
          <w:szCs w:val="23"/>
        </w:rPr>
        <w:t xml:space="preserve">This section describes </w:t>
      </w:r>
      <w:r w:rsidR="007D18BF" w:rsidRPr="001459B4">
        <w:rPr>
          <w:rFonts w:cstheme="minorHAnsi"/>
          <w:sz w:val="23"/>
          <w:szCs w:val="23"/>
        </w:rPr>
        <w:t xml:space="preserve">how the TSU would be </w:t>
      </w:r>
      <w:r w:rsidR="00DD12CC" w:rsidRPr="001459B4">
        <w:rPr>
          <w:rFonts w:cstheme="minorHAnsi"/>
          <w:sz w:val="23"/>
          <w:szCs w:val="23"/>
        </w:rPr>
        <w:t>organized</w:t>
      </w:r>
      <w:r w:rsidR="00123A7C" w:rsidRPr="001459B4">
        <w:rPr>
          <w:rFonts w:cstheme="minorHAnsi"/>
          <w:sz w:val="23"/>
          <w:szCs w:val="23"/>
        </w:rPr>
        <w:t>,</w:t>
      </w:r>
      <w:r w:rsidR="00123A7C" w:rsidRPr="001459B4">
        <w:rPr>
          <w:rFonts w:cstheme="minorHAnsi"/>
          <w:bCs/>
          <w:sz w:val="23"/>
          <w:szCs w:val="23"/>
        </w:rPr>
        <w:t xml:space="preserve"> </w:t>
      </w:r>
      <w:proofErr w:type="gramStart"/>
      <w:r w:rsidR="00123A7C" w:rsidRPr="001459B4">
        <w:rPr>
          <w:rFonts w:cstheme="minorHAnsi"/>
          <w:bCs/>
          <w:sz w:val="23"/>
          <w:szCs w:val="23"/>
        </w:rPr>
        <w:t>taking into account</w:t>
      </w:r>
      <w:proofErr w:type="gramEnd"/>
      <w:r w:rsidR="00123A7C" w:rsidRPr="001459B4">
        <w:rPr>
          <w:rFonts w:cstheme="minorHAnsi"/>
          <w:bCs/>
          <w:sz w:val="23"/>
          <w:szCs w:val="23"/>
        </w:rPr>
        <w:t xml:space="preserve"> the terms of reference set out in annex I</w:t>
      </w:r>
      <w:r w:rsidR="008A0ED5" w:rsidRPr="001459B4">
        <w:rPr>
          <w:rFonts w:cstheme="minorHAnsi"/>
          <w:bCs/>
          <w:sz w:val="23"/>
          <w:szCs w:val="23"/>
        </w:rPr>
        <w:t xml:space="preserve"> to this document</w:t>
      </w:r>
      <w:r w:rsidR="009D1BD9" w:rsidRPr="001459B4">
        <w:rPr>
          <w:rFonts w:cstheme="minorHAnsi"/>
          <w:sz w:val="23"/>
          <w:szCs w:val="23"/>
        </w:rPr>
        <w:t xml:space="preserve">: </w:t>
      </w:r>
    </w:p>
    <w:p w14:paraId="768E9929" w14:textId="6A291FDE" w:rsidR="00FD18E8" w:rsidRPr="001459B4" w:rsidRDefault="00FD18E8" w:rsidP="001459B4">
      <w:pPr>
        <w:pStyle w:val="ListParagraph"/>
        <w:numPr>
          <w:ilvl w:val="0"/>
          <w:numId w:val="10"/>
        </w:numPr>
        <w:spacing w:after="0"/>
        <w:ind w:rightChars="-123" w:right="-271"/>
        <w:rPr>
          <w:rFonts w:cstheme="minorHAnsi"/>
          <w:sz w:val="23"/>
          <w:szCs w:val="23"/>
        </w:rPr>
      </w:pPr>
      <w:r w:rsidRPr="001459B4">
        <w:rPr>
          <w:rFonts w:cstheme="minorHAnsi"/>
          <w:sz w:val="23"/>
          <w:szCs w:val="23"/>
        </w:rPr>
        <w:t xml:space="preserve">Institutional arrangements (name(s) of </w:t>
      </w:r>
      <w:r w:rsidR="00DD12CC" w:rsidRPr="001459B4">
        <w:rPr>
          <w:rFonts w:cstheme="minorHAnsi"/>
          <w:sz w:val="23"/>
          <w:szCs w:val="23"/>
        </w:rPr>
        <w:t>organization</w:t>
      </w:r>
      <w:r w:rsidRPr="001459B4">
        <w:rPr>
          <w:rFonts w:cstheme="minorHAnsi"/>
          <w:sz w:val="23"/>
          <w:szCs w:val="23"/>
        </w:rPr>
        <w:t>(s)</w:t>
      </w:r>
      <w:r w:rsidR="00FB0141" w:rsidRPr="001459B4">
        <w:rPr>
          <w:rFonts w:cstheme="minorHAnsi"/>
          <w:sz w:val="23"/>
          <w:szCs w:val="23"/>
        </w:rPr>
        <w:t xml:space="preserve"> involved in hosting the TSU</w:t>
      </w:r>
      <w:proofErr w:type="gramStart"/>
      <w:r w:rsidR="00FB0141" w:rsidRPr="001459B4">
        <w:rPr>
          <w:rFonts w:cstheme="minorHAnsi"/>
          <w:sz w:val="23"/>
          <w:szCs w:val="23"/>
        </w:rPr>
        <w:t>)</w:t>
      </w:r>
      <w:r w:rsidRPr="001459B4">
        <w:rPr>
          <w:rFonts w:cstheme="minorHAnsi"/>
          <w:sz w:val="23"/>
          <w:szCs w:val="23"/>
        </w:rPr>
        <w:t>;</w:t>
      </w:r>
      <w:proofErr w:type="gramEnd"/>
    </w:p>
    <w:p w14:paraId="04731AA6" w14:textId="21222DB3" w:rsidR="00DC4991" w:rsidRDefault="009D1BD9" w:rsidP="001459B4">
      <w:pPr>
        <w:pStyle w:val="ListParagraph"/>
        <w:numPr>
          <w:ilvl w:val="0"/>
          <w:numId w:val="10"/>
        </w:numPr>
        <w:spacing w:after="0"/>
        <w:rPr>
          <w:rFonts w:cstheme="minorHAnsi"/>
          <w:sz w:val="23"/>
          <w:szCs w:val="23"/>
        </w:rPr>
      </w:pPr>
      <w:r w:rsidRPr="001459B4">
        <w:rPr>
          <w:rFonts w:cstheme="minorHAnsi"/>
          <w:sz w:val="23"/>
          <w:szCs w:val="23"/>
        </w:rPr>
        <w:t>Number and role of staff members</w:t>
      </w:r>
      <w:r w:rsidR="00DC4991">
        <w:rPr>
          <w:rFonts w:cstheme="minorHAnsi"/>
          <w:sz w:val="23"/>
          <w:szCs w:val="23"/>
        </w:rPr>
        <w:t>:</w:t>
      </w:r>
    </w:p>
    <w:p w14:paraId="68770F5F" w14:textId="6F3E8802" w:rsidR="00DC4991" w:rsidRPr="00DC4991" w:rsidRDefault="00DC4991" w:rsidP="00DC4991">
      <w:pPr>
        <w:spacing w:after="120"/>
        <w:ind w:left="1843"/>
        <w:rPr>
          <w:rFonts w:cstheme="minorHAnsi"/>
          <w:sz w:val="23"/>
          <w:szCs w:val="23"/>
        </w:rPr>
      </w:pPr>
      <w:r w:rsidRPr="00DC4991">
        <w:rPr>
          <w:rFonts w:cstheme="minorHAnsi"/>
          <w:bCs/>
          <w:sz w:val="23"/>
          <w:szCs w:val="23"/>
        </w:rPr>
        <w:t xml:space="preserve">The </w:t>
      </w:r>
      <w:r w:rsidR="008F07B2" w:rsidRPr="00DC4991">
        <w:rPr>
          <w:rFonts w:cstheme="minorHAnsi"/>
          <w:bCs/>
          <w:sz w:val="23"/>
          <w:szCs w:val="23"/>
        </w:rPr>
        <w:t>estimate</w:t>
      </w:r>
      <w:r w:rsidR="008F07B2">
        <w:rPr>
          <w:rFonts w:cstheme="minorHAnsi"/>
          <w:bCs/>
          <w:sz w:val="23"/>
          <w:szCs w:val="23"/>
        </w:rPr>
        <w:t>d</w:t>
      </w:r>
      <w:r w:rsidR="008F07B2" w:rsidRPr="00DC4991">
        <w:rPr>
          <w:rFonts w:cstheme="minorHAnsi"/>
          <w:bCs/>
          <w:sz w:val="23"/>
          <w:szCs w:val="23"/>
        </w:rPr>
        <w:t xml:space="preserve"> </w:t>
      </w:r>
      <w:r w:rsidRPr="00DC4991">
        <w:rPr>
          <w:rFonts w:cstheme="minorHAnsi"/>
          <w:bCs/>
          <w:sz w:val="23"/>
          <w:szCs w:val="23"/>
        </w:rPr>
        <w:t xml:space="preserve">staffing necessary to accomplish the functions of </w:t>
      </w:r>
      <w:r w:rsidR="008F07B2">
        <w:rPr>
          <w:rFonts w:cstheme="minorHAnsi"/>
          <w:bCs/>
          <w:sz w:val="23"/>
          <w:szCs w:val="23"/>
        </w:rPr>
        <w:t>this</w:t>
      </w:r>
      <w:r w:rsidR="008F07B2" w:rsidRPr="00DC4991">
        <w:rPr>
          <w:rFonts w:cstheme="minorHAnsi"/>
          <w:bCs/>
          <w:sz w:val="23"/>
          <w:szCs w:val="23"/>
        </w:rPr>
        <w:t xml:space="preserve"> </w:t>
      </w:r>
      <w:r w:rsidRPr="00DC4991">
        <w:rPr>
          <w:rFonts w:cstheme="minorHAnsi"/>
          <w:bCs/>
          <w:sz w:val="23"/>
          <w:szCs w:val="23"/>
        </w:rPr>
        <w:t xml:space="preserve">TSU corresponds to 2.5 full-time-equivalents (FTE), composed of two </w:t>
      </w:r>
      <w:proofErr w:type="spellStart"/>
      <w:r w:rsidRPr="00DC4991">
        <w:rPr>
          <w:rFonts w:cstheme="minorHAnsi"/>
          <w:bCs/>
          <w:sz w:val="23"/>
          <w:szCs w:val="23"/>
        </w:rPr>
        <w:t>programme</w:t>
      </w:r>
      <w:proofErr w:type="spellEnd"/>
      <w:r w:rsidRPr="00DC4991">
        <w:rPr>
          <w:rFonts w:cstheme="minorHAnsi"/>
          <w:bCs/>
          <w:sz w:val="23"/>
          <w:szCs w:val="23"/>
        </w:rPr>
        <w:t xml:space="preserve"> management officers and a half-time </w:t>
      </w:r>
      <w:proofErr w:type="spellStart"/>
      <w:r w:rsidRPr="00DC4991">
        <w:rPr>
          <w:rFonts w:cstheme="minorHAnsi"/>
          <w:bCs/>
          <w:sz w:val="23"/>
          <w:szCs w:val="23"/>
        </w:rPr>
        <w:t>programme</w:t>
      </w:r>
      <w:proofErr w:type="spellEnd"/>
      <w:r w:rsidRPr="00DC4991">
        <w:rPr>
          <w:rFonts w:cstheme="minorHAnsi"/>
          <w:bCs/>
          <w:sz w:val="23"/>
          <w:szCs w:val="23"/>
        </w:rPr>
        <w:t xml:space="preserve"> management assistant. </w:t>
      </w:r>
      <w:proofErr w:type="gramStart"/>
      <w:r w:rsidRPr="00DC4991">
        <w:rPr>
          <w:rFonts w:cstheme="minorHAnsi"/>
          <w:bCs/>
          <w:sz w:val="23"/>
          <w:szCs w:val="23"/>
        </w:rPr>
        <w:t>For the purpose of</w:t>
      </w:r>
      <w:proofErr w:type="gramEnd"/>
      <w:r w:rsidRPr="00DC4991">
        <w:rPr>
          <w:rFonts w:cstheme="minorHAnsi"/>
          <w:bCs/>
          <w:sz w:val="23"/>
          <w:szCs w:val="23"/>
        </w:rPr>
        <w:t xml:space="preserve"> comparison, the functions required would be provided within the UN by two FTEs of professional staff members at the P-3 or P-2 level and a 0.5 FTE of a general service (GS) level staff member.</w:t>
      </w:r>
    </w:p>
    <w:p w14:paraId="242333D9" w14:textId="0EBCEB6D" w:rsidR="009D1BD9" w:rsidRPr="001459B4" w:rsidRDefault="00DD12CC" w:rsidP="001459B4">
      <w:pPr>
        <w:pStyle w:val="ListParagraph"/>
        <w:numPr>
          <w:ilvl w:val="0"/>
          <w:numId w:val="10"/>
        </w:numPr>
        <w:spacing w:after="0"/>
        <w:rPr>
          <w:rFonts w:cstheme="minorHAnsi"/>
          <w:sz w:val="23"/>
          <w:szCs w:val="23"/>
        </w:rPr>
      </w:pPr>
      <w:r w:rsidRPr="001459B4">
        <w:rPr>
          <w:rFonts w:cstheme="minorHAnsi"/>
          <w:sz w:val="23"/>
          <w:szCs w:val="23"/>
        </w:rPr>
        <w:t>Terms of reference / description of duties of proposed</w:t>
      </w:r>
      <w:r w:rsidR="00D36D49" w:rsidRPr="001459B4">
        <w:rPr>
          <w:rFonts w:cstheme="minorHAnsi"/>
          <w:sz w:val="23"/>
          <w:szCs w:val="23"/>
        </w:rPr>
        <w:t xml:space="preserve"> staff </w:t>
      </w:r>
      <w:proofErr w:type="gramStart"/>
      <w:r w:rsidR="00D36D49" w:rsidRPr="001459B4">
        <w:rPr>
          <w:rFonts w:cstheme="minorHAnsi"/>
          <w:sz w:val="23"/>
          <w:szCs w:val="23"/>
        </w:rPr>
        <w:t>members</w:t>
      </w:r>
      <w:r w:rsidR="009D1BD9" w:rsidRPr="001459B4">
        <w:rPr>
          <w:rFonts w:cstheme="minorHAnsi"/>
          <w:sz w:val="23"/>
          <w:szCs w:val="23"/>
        </w:rPr>
        <w:t>;</w:t>
      </w:r>
      <w:proofErr w:type="gramEnd"/>
    </w:p>
    <w:p w14:paraId="2976C5FE" w14:textId="11F28404" w:rsidR="008E31D3" w:rsidRPr="001459B4" w:rsidRDefault="009D1BD9" w:rsidP="001459B4">
      <w:pPr>
        <w:pStyle w:val="ListParagraph"/>
        <w:numPr>
          <w:ilvl w:val="0"/>
          <w:numId w:val="10"/>
        </w:numPr>
        <w:spacing w:after="120"/>
        <w:rPr>
          <w:rFonts w:cstheme="minorHAnsi"/>
          <w:bCs/>
          <w:sz w:val="23"/>
          <w:szCs w:val="23"/>
        </w:rPr>
      </w:pPr>
      <w:r w:rsidRPr="001459B4">
        <w:rPr>
          <w:rFonts w:cstheme="minorHAnsi"/>
          <w:sz w:val="23"/>
          <w:szCs w:val="23"/>
        </w:rPr>
        <w:t xml:space="preserve">Available support from other </w:t>
      </w:r>
      <w:r w:rsidR="008E31D3" w:rsidRPr="001459B4">
        <w:rPr>
          <w:rFonts w:cstheme="minorHAnsi"/>
          <w:sz w:val="23"/>
          <w:szCs w:val="23"/>
        </w:rPr>
        <w:t>institutions and/or networks</w:t>
      </w:r>
      <w:r w:rsidR="00D36D49" w:rsidRPr="001459B4">
        <w:rPr>
          <w:rFonts w:cstheme="minorHAnsi"/>
          <w:sz w:val="23"/>
          <w:szCs w:val="23"/>
        </w:rPr>
        <w:t>, if any</w:t>
      </w:r>
      <w:r w:rsidRPr="001459B4">
        <w:rPr>
          <w:rFonts w:cstheme="minorHAnsi"/>
          <w:sz w:val="23"/>
          <w:szCs w:val="23"/>
        </w:rPr>
        <w:t>.</w:t>
      </w:r>
    </w:p>
    <w:p w14:paraId="4C96678E" w14:textId="76EE59D6" w:rsidR="00C31DCC" w:rsidRPr="001459B4" w:rsidRDefault="00C31DCC" w:rsidP="001459B4">
      <w:pPr>
        <w:pStyle w:val="ListParagraph"/>
        <w:numPr>
          <w:ilvl w:val="0"/>
          <w:numId w:val="1"/>
        </w:numPr>
        <w:spacing w:before="240" w:after="120"/>
        <w:contextualSpacing w:val="0"/>
        <w:rPr>
          <w:rFonts w:cstheme="minorHAnsi"/>
          <w:b/>
          <w:bCs/>
          <w:sz w:val="23"/>
          <w:szCs w:val="23"/>
        </w:rPr>
      </w:pPr>
      <w:bookmarkStart w:id="0" w:name="_Hlk73383358"/>
      <w:r w:rsidRPr="001459B4">
        <w:rPr>
          <w:rFonts w:cstheme="minorHAnsi"/>
          <w:b/>
          <w:bCs/>
          <w:sz w:val="23"/>
          <w:szCs w:val="23"/>
        </w:rPr>
        <w:t xml:space="preserve">Funding </w:t>
      </w:r>
      <w:r w:rsidR="00540A83" w:rsidRPr="001459B4">
        <w:rPr>
          <w:rFonts w:cstheme="minorHAnsi"/>
          <w:b/>
          <w:bCs/>
          <w:sz w:val="23"/>
          <w:szCs w:val="23"/>
        </w:rPr>
        <w:t>a</w:t>
      </w:r>
      <w:r w:rsidRPr="001459B4">
        <w:rPr>
          <w:rFonts w:cstheme="minorHAnsi"/>
          <w:b/>
          <w:bCs/>
          <w:sz w:val="23"/>
          <w:szCs w:val="23"/>
        </w:rPr>
        <w:t>rrangements</w:t>
      </w:r>
      <w:bookmarkEnd w:id="0"/>
    </w:p>
    <w:p w14:paraId="17BC1DE9" w14:textId="3CA49E1D" w:rsidR="00BF1487" w:rsidRDefault="001459B4" w:rsidP="001459B4">
      <w:pPr>
        <w:pStyle w:val="ListParagraph"/>
        <w:spacing w:after="120"/>
        <w:ind w:left="1440"/>
        <w:contextualSpacing w:val="0"/>
        <w:rPr>
          <w:rFonts w:cstheme="minorHAnsi"/>
          <w:bCs/>
          <w:sz w:val="23"/>
          <w:szCs w:val="23"/>
        </w:rPr>
      </w:pPr>
      <w:r w:rsidRPr="001459B4">
        <w:rPr>
          <w:rFonts w:cstheme="minorHAnsi"/>
          <w:bCs/>
          <w:sz w:val="23"/>
          <w:szCs w:val="23"/>
        </w:rPr>
        <w:t xml:space="preserve">This section presents detailed funding arrangements. </w:t>
      </w:r>
    </w:p>
    <w:p w14:paraId="7D706413" w14:textId="05567615" w:rsidR="007D18BF" w:rsidRPr="001459B4" w:rsidRDefault="00BF1487" w:rsidP="001459B4">
      <w:pPr>
        <w:pStyle w:val="ListParagraph"/>
        <w:spacing w:after="120"/>
        <w:ind w:left="1440"/>
        <w:contextualSpacing w:val="0"/>
        <w:rPr>
          <w:rFonts w:cstheme="minorHAnsi"/>
          <w:bCs/>
          <w:sz w:val="23"/>
          <w:szCs w:val="23"/>
        </w:rPr>
      </w:pPr>
      <w:r>
        <w:rPr>
          <w:rFonts w:cstheme="minorHAnsi"/>
          <w:bCs/>
          <w:sz w:val="23"/>
          <w:szCs w:val="23"/>
        </w:rPr>
        <w:t>Host institutions are expected to dedicate personnel corresponding to at least 2.5 full-time-equivalents to the work of the TSU. IPBES can contribute to the financing of TSU personnel up to an annual maximum of USD 150,000, subject to approval by Plenary of the corresponding budget. Part of the</w:t>
      </w:r>
      <w:r w:rsidR="002E68E3">
        <w:rPr>
          <w:rFonts w:cstheme="minorHAnsi"/>
          <w:bCs/>
          <w:sz w:val="23"/>
          <w:szCs w:val="23"/>
        </w:rPr>
        <w:t>se</w:t>
      </w:r>
      <w:r>
        <w:rPr>
          <w:rFonts w:cstheme="minorHAnsi"/>
          <w:bCs/>
          <w:sz w:val="23"/>
          <w:szCs w:val="23"/>
        </w:rPr>
        <w:t xml:space="preserve"> USD 150,000 can be dedicated to personnel travel </w:t>
      </w:r>
      <w:proofErr w:type="gramStart"/>
      <w:r>
        <w:rPr>
          <w:rFonts w:cstheme="minorHAnsi"/>
          <w:bCs/>
          <w:sz w:val="23"/>
          <w:szCs w:val="23"/>
        </w:rPr>
        <w:t>as long as</w:t>
      </w:r>
      <w:proofErr w:type="gramEnd"/>
      <w:r>
        <w:rPr>
          <w:rFonts w:cstheme="minorHAnsi"/>
          <w:bCs/>
          <w:sz w:val="23"/>
          <w:szCs w:val="23"/>
        </w:rPr>
        <w:t xml:space="preserve"> the minimum </w:t>
      </w:r>
      <w:r w:rsidR="002E68E3">
        <w:rPr>
          <w:rFonts w:cstheme="minorHAnsi"/>
          <w:bCs/>
          <w:sz w:val="23"/>
          <w:szCs w:val="23"/>
        </w:rPr>
        <w:t>team size</w:t>
      </w:r>
      <w:r>
        <w:rPr>
          <w:rFonts w:cstheme="minorHAnsi"/>
          <w:bCs/>
          <w:sz w:val="23"/>
          <w:szCs w:val="23"/>
        </w:rPr>
        <w:t xml:space="preserve"> of </w:t>
      </w:r>
      <w:r w:rsidR="00DC4991">
        <w:rPr>
          <w:rFonts w:cstheme="minorHAnsi"/>
          <w:bCs/>
          <w:sz w:val="23"/>
          <w:szCs w:val="23"/>
        </w:rPr>
        <w:t xml:space="preserve">2.5 FTE personnel is </w:t>
      </w:r>
      <w:r w:rsidR="002E68E3">
        <w:rPr>
          <w:rFonts w:cstheme="minorHAnsi"/>
          <w:bCs/>
          <w:sz w:val="23"/>
          <w:szCs w:val="23"/>
        </w:rPr>
        <w:t>fully funded.</w:t>
      </w:r>
      <w:r>
        <w:rPr>
          <w:rFonts w:cstheme="minorHAnsi"/>
          <w:bCs/>
          <w:sz w:val="23"/>
          <w:szCs w:val="23"/>
        </w:rPr>
        <w:t xml:space="preserve"> </w:t>
      </w:r>
      <w:r w:rsidR="00783402" w:rsidRPr="001459B4">
        <w:rPr>
          <w:rFonts w:cstheme="minorHAnsi"/>
          <w:bCs/>
          <w:sz w:val="23"/>
          <w:szCs w:val="23"/>
        </w:rPr>
        <w:t xml:space="preserve">The entity proposing to host a TSU </w:t>
      </w:r>
      <w:r w:rsidR="007C0E2C" w:rsidRPr="001459B4">
        <w:rPr>
          <w:rFonts w:cstheme="minorHAnsi"/>
          <w:bCs/>
          <w:sz w:val="23"/>
          <w:szCs w:val="23"/>
        </w:rPr>
        <w:t>is</w:t>
      </w:r>
      <w:r w:rsidR="00783402" w:rsidRPr="001459B4">
        <w:rPr>
          <w:rFonts w:cstheme="minorHAnsi"/>
          <w:bCs/>
          <w:sz w:val="23"/>
          <w:szCs w:val="23"/>
        </w:rPr>
        <w:t xml:space="preserve"> </w:t>
      </w:r>
      <w:r w:rsidR="007C0E2C" w:rsidRPr="001459B4">
        <w:rPr>
          <w:rFonts w:cstheme="minorHAnsi"/>
          <w:bCs/>
          <w:sz w:val="23"/>
          <w:szCs w:val="23"/>
        </w:rPr>
        <w:t>expected</w:t>
      </w:r>
      <w:r w:rsidR="00783402" w:rsidRPr="001459B4">
        <w:rPr>
          <w:rFonts w:cstheme="minorHAnsi"/>
          <w:bCs/>
          <w:sz w:val="23"/>
          <w:szCs w:val="23"/>
        </w:rPr>
        <w:t xml:space="preserve"> to cover the operating costs </w:t>
      </w:r>
      <w:r w:rsidR="00750417" w:rsidRPr="001459B4">
        <w:rPr>
          <w:rFonts w:cstheme="minorHAnsi"/>
          <w:bCs/>
          <w:sz w:val="23"/>
          <w:szCs w:val="23"/>
        </w:rPr>
        <w:t>(</w:t>
      </w:r>
      <w:r w:rsidR="00DD12CC" w:rsidRPr="001459B4">
        <w:rPr>
          <w:rFonts w:cstheme="minorHAnsi"/>
          <w:bCs/>
          <w:sz w:val="23"/>
          <w:szCs w:val="23"/>
        </w:rPr>
        <w:t xml:space="preserve">e.g. </w:t>
      </w:r>
      <w:r w:rsidR="000B12ED" w:rsidRPr="001459B4">
        <w:rPr>
          <w:rFonts w:cstheme="minorHAnsi"/>
          <w:bCs/>
          <w:sz w:val="23"/>
          <w:szCs w:val="23"/>
        </w:rPr>
        <w:t xml:space="preserve">office </w:t>
      </w:r>
      <w:r w:rsidR="00750417" w:rsidRPr="001459B4">
        <w:rPr>
          <w:rFonts w:cstheme="minorHAnsi"/>
          <w:bCs/>
          <w:sz w:val="23"/>
          <w:szCs w:val="23"/>
        </w:rPr>
        <w:t xml:space="preserve">space, furniture, equipment, </w:t>
      </w:r>
      <w:r w:rsidR="00653795">
        <w:rPr>
          <w:rFonts w:cstheme="minorHAnsi"/>
          <w:bCs/>
          <w:sz w:val="23"/>
          <w:szCs w:val="23"/>
        </w:rPr>
        <w:t xml:space="preserve">supplies, utilities, </w:t>
      </w:r>
      <w:r w:rsidR="00750417" w:rsidRPr="001459B4">
        <w:rPr>
          <w:rFonts w:cstheme="minorHAnsi"/>
          <w:bCs/>
          <w:sz w:val="23"/>
          <w:szCs w:val="23"/>
        </w:rPr>
        <w:t xml:space="preserve">connectivity) </w:t>
      </w:r>
      <w:r w:rsidR="00CD1C0A" w:rsidRPr="001459B4">
        <w:rPr>
          <w:rFonts w:cstheme="minorHAnsi"/>
          <w:bCs/>
          <w:sz w:val="23"/>
          <w:szCs w:val="23"/>
        </w:rPr>
        <w:t xml:space="preserve">and </w:t>
      </w:r>
      <w:r w:rsidR="00DC4991">
        <w:rPr>
          <w:rFonts w:cstheme="minorHAnsi"/>
          <w:bCs/>
          <w:sz w:val="23"/>
          <w:szCs w:val="23"/>
        </w:rPr>
        <w:t>any</w:t>
      </w:r>
      <w:r w:rsidR="00DC4991" w:rsidRPr="001459B4">
        <w:rPr>
          <w:rFonts w:cstheme="minorHAnsi"/>
          <w:bCs/>
          <w:sz w:val="23"/>
          <w:szCs w:val="23"/>
        </w:rPr>
        <w:t xml:space="preserve"> </w:t>
      </w:r>
      <w:r w:rsidR="00CD1C0A" w:rsidRPr="001459B4">
        <w:rPr>
          <w:rFonts w:cstheme="minorHAnsi"/>
          <w:bCs/>
          <w:sz w:val="23"/>
          <w:szCs w:val="23"/>
        </w:rPr>
        <w:lastRenderedPageBreak/>
        <w:t>rem</w:t>
      </w:r>
      <w:r w:rsidR="00783651" w:rsidRPr="001459B4">
        <w:rPr>
          <w:rFonts w:cstheme="minorHAnsi"/>
          <w:bCs/>
          <w:sz w:val="23"/>
          <w:szCs w:val="23"/>
        </w:rPr>
        <w:t>ai</w:t>
      </w:r>
      <w:r w:rsidR="00CD1C0A" w:rsidRPr="001459B4">
        <w:rPr>
          <w:rFonts w:cstheme="minorHAnsi"/>
          <w:bCs/>
          <w:sz w:val="23"/>
          <w:szCs w:val="23"/>
        </w:rPr>
        <w:t xml:space="preserve">nder </w:t>
      </w:r>
      <w:r w:rsidR="00750417" w:rsidRPr="001459B4">
        <w:rPr>
          <w:rFonts w:cstheme="minorHAnsi"/>
          <w:bCs/>
          <w:sz w:val="23"/>
          <w:szCs w:val="23"/>
        </w:rPr>
        <w:t>of</w:t>
      </w:r>
      <w:r w:rsidR="007C0E2C" w:rsidRPr="001459B4">
        <w:rPr>
          <w:rFonts w:cstheme="minorHAnsi"/>
          <w:bCs/>
          <w:sz w:val="23"/>
          <w:szCs w:val="23"/>
        </w:rPr>
        <w:t xml:space="preserve"> </w:t>
      </w:r>
      <w:r w:rsidR="00DC4991">
        <w:rPr>
          <w:rFonts w:cstheme="minorHAnsi"/>
          <w:bCs/>
          <w:sz w:val="23"/>
          <w:szCs w:val="23"/>
        </w:rPr>
        <w:t>personnel</w:t>
      </w:r>
      <w:r w:rsidR="00CD1C0A" w:rsidRPr="001459B4">
        <w:rPr>
          <w:rFonts w:cstheme="minorHAnsi"/>
          <w:bCs/>
          <w:sz w:val="23"/>
          <w:szCs w:val="23"/>
        </w:rPr>
        <w:t xml:space="preserve"> costs</w:t>
      </w:r>
      <w:r w:rsidR="00DC4991">
        <w:rPr>
          <w:rFonts w:cstheme="minorHAnsi"/>
          <w:bCs/>
          <w:sz w:val="23"/>
          <w:szCs w:val="23"/>
        </w:rPr>
        <w:t xml:space="preserve"> or personnel’s travel cost</w:t>
      </w:r>
      <w:r w:rsidR="005A7EF3" w:rsidRPr="001459B4">
        <w:rPr>
          <w:rFonts w:cstheme="minorHAnsi"/>
          <w:bCs/>
          <w:sz w:val="23"/>
          <w:szCs w:val="23"/>
        </w:rPr>
        <w:t>.</w:t>
      </w:r>
      <w:r w:rsidR="00485B9E" w:rsidRPr="001459B4">
        <w:rPr>
          <w:rFonts w:cstheme="minorHAnsi"/>
          <w:bCs/>
          <w:sz w:val="23"/>
          <w:szCs w:val="23"/>
        </w:rPr>
        <w:t xml:space="preserve"> The budget for the </w:t>
      </w:r>
      <w:r w:rsidR="00200C82" w:rsidRPr="001459B4">
        <w:rPr>
          <w:rFonts w:cstheme="minorHAnsi"/>
          <w:bCs/>
          <w:sz w:val="23"/>
          <w:szCs w:val="23"/>
        </w:rPr>
        <w:t>transformative change assessment</w:t>
      </w:r>
      <w:r w:rsidR="006E3A9D" w:rsidRPr="001459B4">
        <w:rPr>
          <w:rFonts w:cstheme="minorHAnsi"/>
          <w:bCs/>
          <w:sz w:val="23"/>
          <w:szCs w:val="23"/>
        </w:rPr>
        <w:t xml:space="preserve"> </w:t>
      </w:r>
      <w:r w:rsidR="00485B9E" w:rsidRPr="001459B4">
        <w:rPr>
          <w:rFonts w:cstheme="minorHAnsi"/>
          <w:bCs/>
          <w:sz w:val="23"/>
          <w:szCs w:val="23"/>
        </w:rPr>
        <w:t xml:space="preserve">is presented in </w:t>
      </w:r>
      <w:r w:rsidR="00DD12CC" w:rsidRPr="001459B4">
        <w:rPr>
          <w:rFonts w:cstheme="minorHAnsi"/>
          <w:bCs/>
          <w:sz w:val="23"/>
          <w:szCs w:val="23"/>
        </w:rPr>
        <w:t>a</w:t>
      </w:r>
      <w:r w:rsidR="00485B9E" w:rsidRPr="001459B4">
        <w:rPr>
          <w:rFonts w:cstheme="minorHAnsi"/>
          <w:bCs/>
          <w:sz w:val="23"/>
          <w:szCs w:val="23"/>
        </w:rPr>
        <w:t>nnex</w:t>
      </w:r>
      <w:r w:rsidR="00200C82" w:rsidRPr="001459B4">
        <w:rPr>
          <w:rFonts w:cstheme="minorHAnsi"/>
          <w:bCs/>
          <w:sz w:val="23"/>
          <w:szCs w:val="23"/>
        </w:rPr>
        <w:t xml:space="preserve"> </w:t>
      </w:r>
      <w:r w:rsidR="00DD12CC" w:rsidRPr="001459B4">
        <w:rPr>
          <w:rFonts w:cstheme="minorHAnsi"/>
          <w:bCs/>
          <w:sz w:val="23"/>
          <w:szCs w:val="23"/>
        </w:rPr>
        <w:t>II</w:t>
      </w:r>
      <w:r w:rsidR="00BE0821" w:rsidRPr="001459B4">
        <w:rPr>
          <w:rFonts w:cstheme="minorHAnsi"/>
          <w:bCs/>
          <w:sz w:val="23"/>
          <w:szCs w:val="23"/>
        </w:rPr>
        <w:t xml:space="preserve"> to this document</w:t>
      </w:r>
      <w:r w:rsidR="00485B9E" w:rsidRPr="001459B4">
        <w:rPr>
          <w:rFonts w:cstheme="minorHAnsi"/>
          <w:bCs/>
          <w:sz w:val="23"/>
          <w:szCs w:val="23"/>
        </w:rPr>
        <w:t>.</w:t>
      </w:r>
    </w:p>
    <w:p w14:paraId="3FC5086C" w14:textId="798FEE9E" w:rsidR="007D18BF" w:rsidRPr="001459B4" w:rsidRDefault="007D18BF" w:rsidP="001459B4">
      <w:pPr>
        <w:pStyle w:val="ListParagraph"/>
        <w:numPr>
          <w:ilvl w:val="1"/>
          <w:numId w:val="1"/>
        </w:numPr>
        <w:rPr>
          <w:rFonts w:cstheme="minorHAnsi"/>
          <w:b/>
          <w:bCs/>
          <w:sz w:val="23"/>
          <w:szCs w:val="23"/>
        </w:rPr>
      </w:pPr>
      <w:r w:rsidRPr="001459B4">
        <w:rPr>
          <w:rFonts w:cstheme="minorHAnsi"/>
          <w:b/>
          <w:bCs/>
          <w:sz w:val="23"/>
          <w:szCs w:val="23"/>
        </w:rPr>
        <w:t xml:space="preserve">Contribution </w:t>
      </w:r>
      <w:r w:rsidR="00540A83" w:rsidRPr="001459B4">
        <w:rPr>
          <w:rFonts w:cstheme="minorHAnsi"/>
          <w:b/>
          <w:bCs/>
          <w:sz w:val="23"/>
          <w:szCs w:val="23"/>
        </w:rPr>
        <w:t>e</w:t>
      </w:r>
      <w:r w:rsidRPr="001459B4">
        <w:rPr>
          <w:rFonts w:cstheme="minorHAnsi"/>
          <w:b/>
          <w:bCs/>
          <w:sz w:val="23"/>
          <w:szCs w:val="23"/>
        </w:rPr>
        <w:t xml:space="preserve">xpected from the IPBES </w:t>
      </w:r>
      <w:r w:rsidR="00A93B77" w:rsidRPr="001459B4">
        <w:rPr>
          <w:rFonts w:cstheme="minorHAnsi"/>
          <w:b/>
          <w:bCs/>
          <w:sz w:val="23"/>
          <w:szCs w:val="23"/>
        </w:rPr>
        <w:t>t</w:t>
      </w:r>
      <w:r w:rsidRPr="001459B4">
        <w:rPr>
          <w:rFonts w:cstheme="minorHAnsi"/>
          <w:b/>
          <w:bCs/>
          <w:sz w:val="23"/>
          <w:szCs w:val="23"/>
        </w:rPr>
        <w:t xml:space="preserve">rust </w:t>
      </w:r>
      <w:r w:rsidR="00A93B77" w:rsidRPr="001459B4">
        <w:rPr>
          <w:rFonts w:cstheme="minorHAnsi"/>
          <w:b/>
          <w:bCs/>
          <w:sz w:val="23"/>
          <w:szCs w:val="23"/>
        </w:rPr>
        <w:t>f</w:t>
      </w:r>
      <w:r w:rsidRPr="001459B4">
        <w:rPr>
          <w:rFonts w:cstheme="minorHAnsi"/>
          <w:b/>
          <w:bCs/>
          <w:sz w:val="23"/>
          <w:szCs w:val="23"/>
        </w:rPr>
        <w:t>und</w:t>
      </w:r>
    </w:p>
    <w:p w14:paraId="0D9CC68E" w14:textId="11E209A7" w:rsidR="00A8087B" w:rsidRDefault="00A8087B" w:rsidP="00A8087B">
      <w:pPr>
        <w:pStyle w:val="ListParagraph"/>
        <w:spacing w:after="120"/>
        <w:ind w:left="1440"/>
        <w:contextualSpacing w:val="0"/>
        <w:rPr>
          <w:rFonts w:cstheme="minorHAnsi"/>
          <w:bCs/>
          <w:sz w:val="23"/>
          <w:szCs w:val="23"/>
        </w:rPr>
      </w:pPr>
      <w:r>
        <w:rPr>
          <w:rFonts w:cstheme="minorHAnsi"/>
          <w:bCs/>
          <w:sz w:val="23"/>
          <w:szCs w:val="23"/>
        </w:rPr>
        <w:t>This section would specify how much of the yearly budget the host institution would plan to use.</w:t>
      </w:r>
    </w:p>
    <w:p w14:paraId="04E0FAAB" w14:textId="16940633" w:rsidR="007D18BF" w:rsidRPr="00A8087B" w:rsidRDefault="00DD12CC" w:rsidP="00A8087B">
      <w:pPr>
        <w:pStyle w:val="ListParagraph"/>
        <w:spacing w:after="120"/>
        <w:ind w:left="1440"/>
        <w:contextualSpacing w:val="0"/>
        <w:rPr>
          <w:rFonts w:cstheme="minorHAnsi"/>
          <w:bCs/>
          <w:sz w:val="23"/>
          <w:szCs w:val="23"/>
        </w:rPr>
      </w:pPr>
      <w:r w:rsidRPr="00A8087B">
        <w:rPr>
          <w:rFonts w:cstheme="minorHAnsi"/>
          <w:bCs/>
          <w:sz w:val="23"/>
          <w:szCs w:val="23"/>
        </w:rPr>
        <w:t>While a</w:t>
      </w:r>
      <w:r w:rsidR="00FB0141" w:rsidRPr="00A8087B">
        <w:rPr>
          <w:rFonts w:cstheme="minorHAnsi"/>
          <w:bCs/>
          <w:sz w:val="23"/>
          <w:szCs w:val="23"/>
        </w:rPr>
        <w:t xml:space="preserve"> maximum amount </w:t>
      </w:r>
      <w:r w:rsidRPr="00A8087B">
        <w:rPr>
          <w:rFonts w:cstheme="minorHAnsi"/>
          <w:bCs/>
          <w:sz w:val="23"/>
          <w:szCs w:val="23"/>
        </w:rPr>
        <w:t xml:space="preserve">of USD </w:t>
      </w:r>
      <w:r w:rsidR="00FB0141" w:rsidRPr="00A8087B">
        <w:rPr>
          <w:rFonts w:cstheme="minorHAnsi"/>
          <w:bCs/>
          <w:sz w:val="23"/>
          <w:szCs w:val="23"/>
        </w:rPr>
        <w:t>150,000</w:t>
      </w:r>
      <w:r w:rsidR="006F1554" w:rsidRPr="00A8087B">
        <w:rPr>
          <w:rFonts w:cstheme="minorHAnsi"/>
          <w:bCs/>
          <w:sz w:val="23"/>
          <w:szCs w:val="23"/>
        </w:rPr>
        <w:t xml:space="preserve"> per </w:t>
      </w:r>
      <w:r w:rsidR="00BE0821" w:rsidRPr="00A8087B">
        <w:rPr>
          <w:rFonts w:cstheme="minorHAnsi"/>
          <w:bCs/>
          <w:sz w:val="23"/>
          <w:szCs w:val="23"/>
        </w:rPr>
        <w:t xml:space="preserve">calendar </w:t>
      </w:r>
      <w:r w:rsidR="006F1554" w:rsidRPr="00A8087B">
        <w:rPr>
          <w:rFonts w:cstheme="minorHAnsi"/>
          <w:bCs/>
          <w:sz w:val="23"/>
          <w:szCs w:val="23"/>
        </w:rPr>
        <w:t xml:space="preserve">year, </w:t>
      </w:r>
      <w:r w:rsidR="00783651" w:rsidRPr="00A8087B">
        <w:rPr>
          <w:rFonts w:cstheme="minorHAnsi"/>
          <w:bCs/>
          <w:sz w:val="23"/>
          <w:szCs w:val="23"/>
        </w:rPr>
        <w:t xml:space="preserve">subject to annual budget approvals by </w:t>
      </w:r>
      <w:r w:rsidR="00BE0821" w:rsidRPr="00A8087B">
        <w:rPr>
          <w:rFonts w:cstheme="minorHAnsi"/>
          <w:bCs/>
          <w:sz w:val="23"/>
          <w:szCs w:val="23"/>
        </w:rPr>
        <w:t xml:space="preserve">the </w:t>
      </w:r>
      <w:r w:rsidR="00783651" w:rsidRPr="00A8087B">
        <w:rPr>
          <w:rFonts w:cstheme="minorHAnsi"/>
          <w:bCs/>
          <w:sz w:val="23"/>
          <w:szCs w:val="23"/>
        </w:rPr>
        <w:t xml:space="preserve">IPBES Plenary and cash sufficiency of the IPBES trust fund, </w:t>
      </w:r>
      <w:r w:rsidRPr="00A8087B">
        <w:rPr>
          <w:rFonts w:cstheme="minorHAnsi"/>
          <w:bCs/>
          <w:sz w:val="23"/>
          <w:szCs w:val="23"/>
        </w:rPr>
        <w:t xml:space="preserve">is available from the trust fund </w:t>
      </w:r>
      <w:r w:rsidR="00783651" w:rsidRPr="00A8087B">
        <w:rPr>
          <w:rFonts w:cstheme="minorHAnsi"/>
          <w:bCs/>
          <w:sz w:val="23"/>
          <w:szCs w:val="23"/>
        </w:rPr>
        <w:t xml:space="preserve">to support the TSU </w:t>
      </w:r>
      <w:r w:rsidR="00DC4991">
        <w:rPr>
          <w:rFonts w:cstheme="minorHAnsi"/>
          <w:bCs/>
          <w:sz w:val="23"/>
          <w:szCs w:val="23"/>
        </w:rPr>
        <w:t>personnel</w:t>
      </w:r>
      <w:r w:rsidR="00DC4991" w:rsidRPr="00A8087B">
        <w:rPr>
          <w:rFonts w:cstheme="minorHAnsi"/>
          <w:bCs/>
          <w:sz w:val="23"/>
          <w:szCs w:val="23"/>
        </w:rPr>
        <w:t xml:space="preserve"> </w:t>
      </w:r>
      <w:r w:rsidR="00783651" w:rsidRPr="00A8087B">
        <w:rPr>
          <w:rFonts w:cstheme="minorHAnsi"/>
          <w:bCs/>
          <w:sz w:val="23"/>
          <w:szCs w:val="23"/>
        </w:rPr>
        <w:t xml:space="preserve">cost and </w:t>
      </w:r>
      <w:r w:rsidR="00DC4991">
        <w:rPr>
          <w:rFonts w:cstheme="minorHAnsi"/>
          <w:bCs/>
          <w:sz w:val="23"/>
          <w:szCs w:val="23"/>
        </w:rPr>
        <w:t>personnel</w:t>
      </w:r>
      <w:r w:rsidR="00DC4991" w:rsidRPr="00A8087B">
        <w:rPr>
          <w:rFonts w:cstheme="minorHAnsi"/>
          <w:bCs/>
          <w:sz w:val="23"/>
          <w:szCs w:val="23"/>
        </w:rPr>
        <w:t xml:space="preserve"> </w:t>
      </w:r>
      <w:r w:rsidR="00783651" w:rsidRPr="00A8087B">
        <w:rPr>
          <w:rFonts w:cstheme="minorHAnsi"/>
          <w:bCs/>
          <w:sz w:val="23"/>
          <w:szCs w:val="23"/>
        </w:rPr>
        <w:t xml:space="preserve">travel cost, </w:t>
      </w:r>
      <w:r w:rsidR="00FB0141" w:rsidRPr="00A8087B">
        <w:rPr>
          <w:rFonts w:cstheme="minorHAnsi"/>
          <w:bCs/>
          <w:sz w:val="23"/>
          <w:szCs w:val="23"/>
        </w:rPr>
        <w:t>organizations</w:t>
      </w:r>
      <w:r w:rsidRPr="00A8087B">
        <w:rPr>
          <w:rFonts w:cstheme="minorHAnsi"/>
          <w:bCs/>
          <w:sz w:val="23"/>
          <w:szCs w:val="23"/>
        </w:rPr>
        <w:t xml:space="preserve"> </w:t>
      </w:r>
      <w:r w:rsidR="00FB0141" w:rsidRPr="00A8087B">
        <w:rPr>
          <w:rFonts w:cstheme="minorHAnsi"/>
          <w:bCs/>
          <w:sz w:val="23"/>
          <w:szCs w:val="23"/>
        </w:rPr>
        <w:t xml:space="preserve">may choose </w:t>
      </w:r>
      <w:r w:rsidR="00A8087B">
        <w:rPr>
          <w:rFonts w:cstheme="minorHAnsi"/>
          <w:bCs/>
          <w:sz w:val="23"/>
          <w:szCs w:val="23"/>
        </w:rPr>
        <w:t xml:space="preserve">to not use or to use only partially </w:t>
      </w:r>
      <w:r w:rsidR="00FB0141" w:rsidRPr="00A8087B">
        <w:rPr>
          <w:rFonts w:cstheme="minorHAnsi"/>
          <w:bCs/>
          <w:sz w:val="23"/>
          <w:szCs w:val="23"/>
        </w:rPr>
        <w:t>the</w:t>
      </w:r>
      <w:r w:rsidR="00DC4991">
        <w:rPr>
          <w:rFonts w:cstheme="minorHAnsi"/>
          <w:bCs/>
          <w:sz w:val="23"/>
          <w:szCs w:val="23"/>
        </w:rPr>
        <w:t>se</w:t>
      </w:r>
      <w:r w:rsidR="00FB0141" w:rsidRPr="00A8087B">
        <w:rPr>
          <w:rFonts w:cstheme="minorHAnsi"/>
          <w:bCs/>
          <w:sz w:val="23"/>
          <w:szCs w:val="23"/>
        </w:rPr>
        <w:t xml:space="preserve"> funds from the IPBES trust fund.</w:t>
      </w:r>
    </w:p>
    <w:p w14:paraId="410F9AF6" w14:textId="7EC17D98" w:rsidR="00C31DCC" w:rsidRPr="001459B4" w:rsidRDefault="00C31DCC" w:rsidP="001459B4">
      <w:pPr>
        <w:pStyle w:val="ListParagraph"/>
        <w:numPr>
          <w:ilvl w:val="1"/>
          <w:numId w:val="1"/>
        </w:numPr>
        <w:rPr>
          <w:rFonts w:cstheme="minorHAnsi"/>
          <w:b/>
          <w:bCs/>
          <w:sz w:val="23"/>
          <w:szCs w:val="23"/>
        </w:rPr>
      </w:pPr>
      <w:r w:rsidRPr="001459B4">
        <w:rPr>
          <w:rFonts w:cstheme="minorHAnsi"/>
          <w:b/>
          <w:bCs/>
          <w:sz w:val="23"/>
          <w:szCs w:val="23"/>
        </w:rPr>
        <w:t>Contribution</w:t>
      </w:r>
      <w:r w:rsidR="008E31D3" w:rsidRPr="001459B4">
        <w:rPr>
          <w:rFonts w:cstheme="minorHAnsi"/>
          <w:b/>
          <w:bCs/>
          <w:sz w:val="23"/>
          <w:szCs w:val="23"/>
        </w:rPr>
        <w:t xml:space="preserve"> </w:t>
      </w:r>
      <w:r w:rsidR="00540A83" w:rsidRPr="001459B4">
        <w:rPr>
          <w:rFonts w:cstheme="minorHAnsi"/>
          <w:b/>
          <w:bCs/>
          <w:sz w:val="23"/>
          <w:szCs w:val="23"/>
        </w:rPr>
        <w:t xml:space="preserve">from </w:t>
      </w:r>
      <w:r w:rsidR="008E31D3" w:rsidRPr="001459B4">
        <w:rPr>
          <w:rFonts w:cstheme="minorHAnsi"/>
          <w:b/>
          <w:bCs/>
          <w:sz w:val="23"/>
          <w:szCs w:val="23"/>
        </w:rPr>
        <w:t xml:space="preserve">the </w:t>
      </w:r>
      <w:r w:rsidR="00540A83" w:rsidRPr="001459B4">
        <w:rPr>
          <w:rFonts w:cstheme="minorHAnsi"/>
          <w:b/>
          <w:bCs/>
          <w:sz w:val="23"/>
          <w:szCs w:val="23"/>
        </w:rPr>
        <w:t>o</w:t>
      </w:r>
      <w:r w:rsidR="008E31D3" w:rsidRPr="001459B4">
        <w:rPr>
          <w:rFonts w:cstheme="minorHAnsi"/>
          <w:b/>
          <w:bCs/>
          <w:sz w:val="23"/>
          <w:szCs w:val="23"/>
        </w:rPr>
        <w:t xml:space="preserve">ffering </w:t>
      </w:r>
      <w:r w:rsidR="00540A83" w:rsidRPr="001459B4">
        <w:rPr>
          <w:rFonts w:cstheme="minorHAnsi"/>
          <w:b/>
          <w:bCs/>
          <w:sz w:val="23"/>
          <w:szCs w:val="23"/>
        </w:rPr>
        <w:t>i</w:t>
      </w:r>
      <w:r w:rsidR="008E31D3" w:rsidRPr="001459B4">
        <w:rPr>
          <w:rFonts w:cstheme="minorHAnsi"/>
          <w:b/>
          <w:bCs/>
          <w:sz w:val="23"/>
          <w:szCs w:val="23"/>
        </w:rPr>
        <w:t>nstitution</w:t>
      </w:r>
    </w:p>
    <w:p w14:paraId="0EB8AA2F" w14:textId="4CF4A3FF" w:rsidR="00147F3A" w:rsidRPr="001459B4" w:rsidRDefault="00A8087B" w:rsidP="001459B4">
      <w:pPr>
        <w:pStyle w:val="ListParagraph"/>
        <w:spacing w:after="120"/>
        <w:ind w:left="1440"/>
        <w:contextualSpacing w:val="0"/>
        <w:rPr>
          <w:rFonts w:cstheme="minorHAnsi"/>
          <w:bCs/>
          <w:sz w:val="23"/>
          <w:szCs w:val="23"/>
        </w:rPr>
      </w:pPr>
      <w:r>
        <w:rPr>
          <w:rFonts w:cstheme="minorHAnsi"/>
          <w:bCs/>
          <w:sz w:val="23"/>
          <w:szCs w:val="23"/>
        </w:rPr>
        <w:t xml:space="preserve">This section would detail </w:t>
      </w:r>
      <w:r w:rsidR="00A93B77" w:rsidRPr="001459B4">
        <w:rPr>
          <w:rFonts w:cstheme="minorHAnsi"/>
          <w:bCs/>
          <w:sz w:val="23"/>
          <w:szCs w:val="23"/>
        </w:rPr>
        <w:t>the contribution from the</w:t>
      </w:r>
      <w:r w:rsidR="0077671E" w:rsidRPr="001459B4">
        <w:rPr>
          <w:rFonts w:cstheme="minorHAnsi"/>
          <w:bCs/>
          <w:sz w:val="23"/>
          <w:szCs w:val="23"/>
        </w:rPr>
        <w:t xml:space="preserve"> </w:t>
      </w:r>
      <w:r w:rsidR="00BE0821" w:rsidRPr="001459B4">
        <w:rPr>
          <w:rFonts w:cstheme="minorHAnsi"/>
          <w:bCs/>
          <w:sz w:val="23"/>
          <w:szCs w:val="23"/>
        </w:rPr>
        <w:t xml:space="preserve">host </w:t>
      </w:r>
      <w:r w:rsidR="00930A09" w:rsidRPr="001459B4">
        <w:rPr>
          <w:rFonts w:cstheme="minorHAnsi"/>
          <w:bCs/>
          <w:sz w:val="23"/>
          <w:szCs w:val="23"/>
        </w:rPr>
        <w:t>institution</w:t>
      </w:r>
      <w:r w:rsidR="00DC4991">
        <w:rPr>
          <w:rFonts w:cstheme="minorHAnsi"/>
          <w:bCs/>
          <w:sz w:val="23"/>
          <w:szCs w:val="23"/>
        </w:rPr>
        <w:t xml:space="preserve"> for personnel cost to establish a staffing of at least 2.5 FTE.</w:t>
      </w:r>
    </w:p>
    <w:p w14:paraId="441B110D" w14:textId="212494D6" w:rsidR="00175214" w:rsidRPr="008F07B2" w:rsidRDefault="00A8087B" w:rsidP="001459B4">
      <w:pPr>
        <w:pStyle w:val="ListParagraph"/>
        <w:ind w:left="1440"/>
        <w:rPr>
          <w:rFonts w:cstheme="minorHAnsi"/>
          <w:bCs/>
          <w:sz w:val="23"/>
          <w:szCs w:val="23"/>
          <w:lang w:eastAsia="ja-JP"/>
        </w:rPr>
      </w:pPr>
      <w:r w:rsidRPr="00A8087B">
        <w:rPr>
          <w:rFonts w:cstheme="minorHAnsi"/>
          <w:bCs/>
          <w:sz w:val="23"/>
          <w:szCs w:val="23"/>
          <w:lang w:eastAsia="ja-JP"/>
        </w:rPr>
        <w:t>Offering o</w:t>
      </w:r>
      <w:r w:rsidR="004B691C" w:rsidRPr="00A8087B">
        <w:rPr>
          <w:rFonts w:cstheme="minorHAnsi"/>
          <w:bCs/>
          <w:sz w:val="23"/>
          <w:szCs w:val="23"/>
          <w:lang w:eastAsia="ja-JP"/>
        </w:rPr>
        <w:t xml:space="preserve">rganizations may </w:t>
      </w:r>
      <w:r w:rsidRPr="00A8087B">
        <w:rPr>
          <w:rFonts w:cstheme="minorHAnsi"/>
          <w:bCs/>
          <w:sz w:val="23"/>
          <w:szCs w:val="23"/>
          <w:lang w:eastAsia="ja-JP"/>
        </w:rPr>
        <w:t xml:space="preserve">also </w:t>
      </w:r>
      <w:r w:rsidR="004B691C" w:rsidRPr="00A8087B">
        <w:rPr>
          <w:rFonts w:cstheme="minorHAnsi"/>
          <w:bCs/>
          <w:sz w:val="23"/>
          <w:szCs w:val="23"/>
          <w:lang w:eastAsia="ja-JP"/>
        </w:rPr>
        <w:t xml:space="preserve">offer </w:t>
      </w:r>
      <w:r w:rsidRPr="00A8087B">
        <w:rPr>
          <w:rFonts w:cstheme="minorHAnsi"/>
          <w:bCs/>
          <w:sz w:val="23"/>
          <w:szCs w:val="23"/>
          <w:lang w:eastAsia="ja-JP"/>
        </w:rPr>
        <w:t xml:space="preserve">additional </w:t>
      </w:r>
      <w:r w:rsidR="004B691C" w:rsidRPr="00A8087B">
        <w:rPr>
          <w:rFonts w:cstheme="minorHAnsi"/>
          <w:bCs/>
          <w:sz w:val="23"/>
          <w:szCs w:val="23"/>
          <w:lang w:eastAsia="ja-JP"/>
        </w:rPr>
        <w:t xml:space="preserve">contribution that could be used for </w:t>
      </w:r>
      <w:r w:rsidR="003E63AA" w:rsidRPr="00A8087B">
        <w:rPr>
          <w:rFonts w:cstheme="minorHAnsi"/>
          <w:bCs/>
          <w:sz w:val="23"/>
          <w:szCs w:val="23"/>
          <w:lang w:eastAsia="ja-JP"/>
        </w:rPr>
        <w:t>additional</w:t>
      </w:r>
      <w:r w:rsidR="004B691C" w:rsidRPr="00A8087B">
        <w:rPr>
          <w:rFonts w:cstheme="minorHAnsi"/>
          <w:bCs/>
          <w:sz w:val="23"/>
          <w:szCs w:val="23"/>
          <w:lang w:eastAsia="ja-JP"/>
        </w:rPr>
        <w:t xml:space="preserve"> </w:t>
      </w:r>
      <w:r w:rsidR="0043436B" w:rsidRPr="00A8087B">
        <w:rPr>
          <w:rFonts w:cstheme="minorHAnsi"/>
          <w:bCs/>
          <w:sz w:val="23"/>
          <w:szCs w:val="23"/>
          <w:lang w:eastAsia="ja-JP"/>
        </w:rPr>
        <w:t>activities</w:t>
      </w:r>
      <w:r w:rsidR="00BE0821" w:rsidRPr="00A8087B">
        <w:rPr>
          <w:rFonts w:cstheme="minorHAnsi"/>
          <w:bCs/>
          <w:sz w:val="23"/>
          <w:szCs w:val="23"/>
          <w:lang w:eastAsia="ja-JP"/>
        </w:rPr>
        <w:t xml:space="preserve"> in support of the assessment</w:t>
      </w:r>
      <w:r>
        <w:rPr>
          <w:rFonts w:cstheme="minorHAnsi"/>
          <w:bCs/>
          <w:sz w:val="23"/>
          <w:szCs w:val="23"/>
          <w:lang w:eastAsia="ja-JP"/>
        </w:rPr>
        <w:t xml:space="preserve"> </w:t>
      </w:r>
      <w:r w:rsidR="0043436B" w:rsidRPr="008F07B2">
        <w:rPr>
          <w:rFonts w:cstheme="minorHAnsi"/>
          <w:bCs/>
          <w:sz w:val="23"/>
          <w:szCs w:val="23"/>
          <w:lang w:eastAsia="ja-JP"/>
        </w:rPr>
        <w:t>(e.g. venue costs, travel for supported participants</w:t>
      </w:r>
      <w:r>
        <w:rPr>
          <w:rFonts w:cstheme="minorHAnsi"/>
          <w:bCs/>
          <w:sz w:val="23"/>
          <w:szCs w:val="23"/>
          <w:lang w:eastAsia="ja-JP"/>
        </w:rPr>
        <w:t xml:space="preserve"> for meetings of the authors of separate chapters, not included in the IPBES budget</w:t>
      </w:r>
      <w:r w:rsidR="0043436B" w:rsidRPr="008F07B2">
        <w:rPr>
          <w:rFonts w:cstheme="minorHAnsi"/>
          <w:bCs/>
          <w:sz w:val="23"/>
          <w:szCs w:val="23"/>
          <w:lang w:eastAsia="ja-JP"/>
        </w:rPr>
        <w:t xml:space="preserve">). </w:t>
      </w:r>
    </w:p>
    <w:p w14:paraId="01890447" w14:textId="77777777" w:rsidR="008E31D3" w:rsidRPr="00A8087B" w:rsidRDefault="008E31D3" w:rsidP="00DB261B">
      <w:pPr>
        <w:pStyle w:val="ListParagraph"/>
        <w:ind w:left="2160"/>
        <w:rPr>
          <w:rFonts w:cstheme="minorHAnsi"/>
          <w:bCs/>
          <w:sz w:val="23"/>
          <w:szCs w:val="23"/>
        </w:rPr>
      </w:pPr>
    </w:p>
    <w:p w14:paraId="0075B5C5" w14:textId="5D769264" w:rsidR="00C31DCC" w:rsidRPr="001459B4" w:rsidRDefault="004A44CC" w:rsidP="001459B4">
      <w:pPr>
        <w:pStyle w:val="ListParagraph"/>
        <w:numPr>
          <w:ilvl w:val="0"/>
          <w:numId w:val="1"/>
        </w:numPr>
        <w:rPr>
          <w:rFonts w:cstheme="minorHAnsi"/>
          <w:b/>
          <w:bCs/>
          <w:sz w:val="23"/>
          <w:szCs w:val="23"/>
        </w:rPr>
      </w:pPr>
      <w:r w:rsidRPr="001459B4">
        <w:rPr>
          <w:rFonts w:cstheme="minorHAnsi"/>
          <w:b/>
          <w:bCs/>
          <w:sz w:val="23"/>
          <w:szCs w:val="23"/>
        </w:rPr>
        <w:t>Additional</w:t>
      </w:r>
      <w:r w:rsidR="00C31DCC" w:rsidRPr="001459B4">
        <w:rPr>
          <w:rFonts w:cstheme="minorHAnsi"/>
          <w:b/>
          <w:bCs/>
          <w:sz w:val="23"/>
          <w:szCs w:val="23"/>
        </w:rPr>
        <w:t xml:space="preserve"> </w:t>
      </w:r>
      <w:r w:rsidR="00A93B77" w:rsidRPr="001459B4">
        <w:rPr>
          <w:rFonts w:cstheme="minorHAnsi"/>
          <w:b/>
          <w:bCs/>
          <w:sz w:val="23"/>
          <w:szCs w:val="23"/>
        </w:rPr>
        <w:t>a</w:t>
      </w:r>
      <w:r w:rsidR="00C31DCC" w:rsidRPr="001459B4">
        <w:rPr>
          <w:rFonts w:cstheme="minorHAnsi"/>
          <w:b/>
          <w:bCs/>
          <w:sz w:val="23"/>
          <w:szCs w:val="23"/>
        </w:rPr>
        <w:t>ctivities</w:t>
      </w:r>
    </w:p>
    <w:p w14:paraId="01E51D73" w14:textId="3AD02883" w:rsidR="00147F3A" w:rsidRPr="001459B4" w:rsidRDefault="00A8087B" w:rsidP="00E256FD">
      <w:pPr>
        <w:pStyle w:val="ListParagraph"/>
        <w:ind w:left="1440"/>
        <w:rPr>
          <w:rFonts w:cstheme="minorHAnsi"/>
          <w:bCs/>
          <w:sz w:val="23"/>
          <w:szCs w:val="23"/>
        </w:rPr>
      </w:pPr>
      <w:r>
        <w:rPr>
          <w:rFonts w:cstheme="minorHAnsi"/>
          <w:bCs/>
          <w:sz w:val="23"/>
          <w:szCs w:val="23"/>
        </w:rPr>
        <w:t>This section would d</w:t>
      </w:r>
      <w:r w:rsidR="00FD48B6" w:rsidRPr="001459B4">
        <w:rPr>
          <w:rFonts w:cstheme="minorHAnsi"/>
          <w:bCs/>
          <w:sz w:val="23"/>
          <w:szCs w:val="23"/>
        </w:rPr>
        <w:t>escri</w:t>
      </w:r>
      <w:r>
        <w:rPr>
          <w:rFonts w:cstheme="minorHAnsi"/>
          <w:bCs/>
          <w:sz w:val="23"/>
          <w:szCs w:val="23"/>
        </w:rPr>
        <w:t>be</w:t>
      </w:r>
      <w:r w:rsidR="00FD48B6" w:rsidRPr="001459B4">
        <w:rPr>
          <w:rFonts w:cstheme="minorHAnsi"/>
          <w:bCs/>
          <w:sz w:val="23"/>
          <w:szCs w:val="23"/>
        </w:rPr>
        <w:t xml:space="preserve"> </w:t>
      </w:r>
      <w:r w:rsidR="00FD18E8" w:rsidRPr="001459B4">
        <w:rPr>
          <w:rFonts w:cstheme="minorHAnsi"/>
          <w:bCs/>
          <w:sz w:val="23"/>
          <w:szCs w:val="23"/>
        </w:rPr>
        <w:t xml:space="preserve">any </w:t>
      </w:r>
      <w:r w:rsidR="00FF1343" w:rsidRPr="001459B4">
        <w:rPr>
          <w:rFonts w:cstheme="minorHAnsi"/>
          <w:bCs/>
          <w:sz w:val="23"/>
          <w:szCs w:val="23"/>
        </w:rPr>
        <w:t>other</w:t>
      </w:r>
      <w:r w:rsidR="00FD18E8" w:rsidRPr="001459B4">
        <w:rPr>
          <w:rFonts w:cstheme="minorHAnsi"/>
          <w:bCs/>
          <w:sz w:val="23"/>
          <w:szCs w:val="23"/>
        </w:rPr>
        <w:t xml:space="preserve"> relevant initiative</w:t>
      </w:r>
      <w:r w:rsidR="00930A09" w:rsidRPr="001459B4">
        <w:rPr>
          <w:rFonts w:cstheme="minorHAnsi"/>
          <w:bCs/>
          <w:sz w:val="23"/>
          <w:szCs w:val="23"/>
        </w:rPr>
        <w:t>s of the offering institution</w:t>
      </w:r>
      <w:r>
        <w:rPr>
          <w:rFonts w:cstheme="minorHAnsi"/>
          <w:bCs/>
          <w:sz w:val="23"/>
          <w:szCs w:val="23"/>
        </w:rPr>
        <w:t xml:space="preserve">, </w:t>
      </w:r>
      <w:r w:rsidR="00FF1343" w:rsidRPr="001459B4">
        <w:rPr>
          <w:rFonts w:cstheme="minorHAnsi"/>
          <w:bCs/>
          <w:sz w:val="23"/>
          <w:szCs w:val="23"/>
        </w:rPr>
        <w:t>relevant</w:t>
      </w:r>
      <w:r w:rsidR="00FD18E8" w:rsidRPr="001459B4">
        <w:rPr>
          <w:rFonts w:cstheme="minorHAnsi"/>
          <w:bCs/>
          <w:sz w:val="23"/>
          <w:szCs w:val="23"/>
        </w:rPr>
        <w:t xml:space="preserve"> </w:t>
      </w:r>
      <w:r>
        <w:rPr>
          <w:rFonts w:cstheme="minorHAnsi"/>
          <w:bCs/>
          <w:sz w:val="23"/>
          <w:szCs w:val="23"/>
        </w:rPr>
        <w:t xml:space="preserve">to </w:t>
      </w:r>
      <w:r w:rsidR="00FD18E8" w:rsidRPr="001459B4">
        <w:rPr>
          <w:rFonts w:cstheme="minorHAnsi"/>
          <w:bCs/>
          <w:sz w:val="23"/>
          <w:szCs w:val="23"/>
        </w:rPr>
        <w:t xml:space="preserve">IPBES activities that could </w:t>
      </w:r>
      <w:r w:rsidR="00FF1343" w:rsidRPr="001459B4">
        <w:rPr>
          <w:rFonts w:cstheme="minorHAnsi"/>
          <w:bCs/>
          <w:sz w:val="23"/>
          <w:szCs w:val="23"/>
        </w:rPr>
        <w:t>facilitate the work of the</w:t>
      </w:r>
      <w:r w:rsidR="00FD18E8" w:rsidRPr="001459B4">
        <w:rPr>
          <w:rFonts w:cstheme="minorHAnsi"/>
          <w:bCs/>
          <w:sz w:val="23"/>
          <w:szCs w:val="23"/>
        </w:rPr>
        <w:t xml:space="preserve"> TSU. </w:t>
      </w:r>
    </w:p>
    <w:p w14:paraId="7F67E5D2" w14:textId="77777777" w:rsidR="00205CB1" w:rsidRPr="001459B4" w:rsidRDefault="00205CB1">
      <w:pPr>
        <w:rPr>
          <w:rFonts w:eastAsiaTheme="majorEastAsia" w:cstheme="minorHAnsi"/>
          <w:b/>
          <w:spacing w:val="-10"/>
          <w:kern w:val="28"/>
          <w:sz w:val="32"/>
          <w:szCs w:val="56"/>
        </w:rPr>
      </w:pPr>
      <w:r w:rsidRPr="001459B4">
        <w:rPr>
          <w:rFonts w:eastAsiaTheme="majorEastAsia" w:cstheme="minorHAnsi"/>
          <w:b/>
          <w:spacing w:val="-10"/>
          <w:kern w:val="28"/>
          <w:sz w:val="32"/>
          <w:szCs w:val="56"/>
        </w:rPr>
        <w:br w:type="page"/>
      </w:r>
    </w:p>
    <w:p w14:paraId="56F09F26" w14:textId="0B7E8BF9" w:rsidR="00265B99" w:rsidRPr="001459B4" w:rsidRDefault="00265B99" w:rsidP="00265B99">
      <w:pPr>
        <w:rPr>
          <w:rFonts w:cstheme="minorHAnsi"/>
          <w:sz w:val="30"/>
          <w:szCs w:val="30"/>
        </w:rPr>
      </w:pPr>
      <w:r w:rsidRPr="001459B4">
        <w:rPr>
          <w:rFonts w:eastAsiaTheme="majorEastAsia" w:cstheme="minorHAnsi"/>
          <w:b/>
          <w:spacing w:val="-10"/>
          <w:kern w:val="28"/>
          <w:sz w:val="32"/>
          <w:szCs w:val="56"/>
        </w:rPr>
        <w:t xml:space="preserve">Annex </w:t>
      </w:r>
      <w:r w:rsidR="00F860B3" w:rsidRPr="001459B4">
        <w:rPr>
          <w:rFonts w:eastAsiaTheme="majorEastAsia" w:cstheme="minorHAnsi"/>
          <w:b/>
          <w:spacing w:val="-10"/>
          <w:kern w:val="28"/>
          <w:sz w:val="32"/>
          <w:szCs w:val="56"/>
        </w:rPr>
        <w:t>I</w:t>
      </w:r>
      <w:r w:rsidRPr="001459B4">
        <w:rPr>
          <w:rFonts w:eastAsiaTheme="majorEastAsia" w:cstheme="minorHAnsi"/>
          <w:b/>
          <w:spacing w:val="-10"/>
          <w:kern w:val="28"/>
          <w:sz w:val="32"/>
          <w:szCs w:val="56"/>
        </w:rPr>
        <w:t xml:space="preserve"> – </w:t>
      </w:r>
      <w:r w:rsidRPr="001459B4">
        <w:rPr>
          <w:rFonts w:eastAsiaTheme="majorEastAsia" w:cstheme="minorHAnsi"/>
          <w:b/>
          <w:spacing w:val="-10"/>
          <w:kern w:val="28"/>
          <w:sz w:val="30"/>
          <w:szCs w:val="30"/>
        </w:rPr>
        <w:t xml:space="preserve">Purpose, </w:t>
      </w:r>
      <w:proofErr w:type="gramStart"/>
      <w:r w:rsidRPr="001459B4">
        <w:rPr>
          <w:rFonts w:eastAsiaTheme="majorEastAsia" w:cstheme="minorHAnsi"/>
          <w:b/>
          <w:spacing w:val="-10"/>
          <w:kern w:val="28"/>
          <w:sz w:val="30"/>
          <w:szCs w:val="30"/>
        </w:rPr>
        <w:t>objectives</w:t>
      </w:r>
      <w:proofErr w:type="gramEnd"/>
      <w:r w:rsidRPr="001459B4">
        <w:rPr>
          <w:rFonts w:eastAsiaTheme="majorEastAsia" w:cstheme="minorHAnsi"/>
          <w:b/>
          <w:spacing w:val="-10"/>
          <w:kern w:val="28"/>
          <w:sz w:val="30"/>
          <w:szCs w:val="30"/>
        </w:rPr>
        <w:t xml:space="preserve"> and specific activities of the technical support unit in support of the transformative change assessment</w:t>
      </w:r>
    </w:p>
    <w:p w14:paraId="68165589" w14:textId="77777777" w:rsidR="00265B99" w:rsidRPr="001459B4" w:rsidRDefault="00265B99" w:rsidP="00265B99">
      <w:pPr>
        <w:numPr>
          <w:ilvl w:val="0"/>
          <w:numId w:val="9"/>
        </w:numPr>
        <w:contextualSpacing/>
        <w:rPr>
          <w:rFonts w:cstheme="minorHAnsi"/>
          <w:b/>
          <w:bCs/>
          <w:sz w:val="26"/>
          <w:szCs w:val="26"/>
        </w:rPr>
      </w:pPr>
      <w:r w:rsidRPr="001459B4">
        <w:rPr>
          <w:rFonts w:cstheme="minorHAnsi"/>
          <w:b/>
          <w:bCs/>
          <w:sz w:val="26"/>
          <w:szCs w:val="26"/>
        </w:rPr>
        <w:t>Purpose and scope of the technical support unit</w:t>
      </w:r>
    </w:p>
    <w:p w14:paraId="3BDC55B7" w14:textId="61856ABC" w:rsidR="00265B99" w:rsidRPr="001459B4" w:rsidRDefault="00265B99" w:rsidP="0092293C">
      <w:pPr>
        <w:spacing w:after="120"/>
        <w:ind w:left="1094"/>
        <w:rPr>
          <w:rFonts w:cstheme="minorHAnsi"/>
          <w:bCs/>
          <w:sz w:val="23"/>
          <w:szCs w:val="23"/>
        </w:rPr>
      </w:pPr>
      <w:r w:rsidRPr="001459B4">
        <w:rPr>
          <w:rFonts w:cstheme="minorHAnsi"/>
          <w:bCs/>
          <w:sz w:val="23"/>
          <w:szCs w:val="23"/>
        </w:rPr>
        <w:t xml:space="preserve">The purpose of the technical support unit is to support the production of the IPBES assessment of the thematic assessment of the underlying causes of biodiversity loss and the determinants of transformative change and options for achieving the 2050 Vision for Biodiversity, under which the technical support </w:t>
      </w:r>
      <w:bookmarkStart w:id="1" w:name="_Hlk72772304"/>
      <w:r w:rsidRPr="001459B4">
        <w:rPr>
          <w:rFonts w:cstheme="minorHAnsi"/>
          <w:bCs/>
          <w:sz w:val="23"/>
          <w:szCs w:val="23"/>
        </w:rPr>
        <w:t>unit shall:</w:t>
      </w:r>
    </w:p>
    <w:p w14:paraId="0ED12B5E" w14:textId="0FB3801E" w:rsidR="00265B99" w:rsidRPr="001459B4" w:rsidRDefault="00265B99" w:rsidP="00265B99">
      <w:pPr>
        <w:numPr>
          <w:ilvl w:val="0"/>
          <w:numId w:val="7"/>
        </w:numPr>
        <w:contextualSpacing/>
        <w:rPr>
          <w:rFonts w:cstheme="minorHAnsi"/>
          <w:bCs/>
          <w:sz w:val="23"/>
          <w:szCs w:val="23"/>
        </w:rPr>
      </w:pPr>
      <w:r w:rsidRPr="001459B4">
        <w:rPr>
          <w:rFonts w:cstheme="minorHAnsi"/>
          <w:bCs/>
          <w:sz w:val="23"/>
          <w:szCs w:val="23"/>
        </w:rPr>
        <w:t xml:space="preserve">Work </w:t>
      </w:r>
      <w:r w:rsidR="00A734A9" w:rsidRPr="001459B4">
        <w:rPr>
          <w:rFonts w:cstheme="minorHAnsi"/>
          <w:bCs/>
          <w:sz w:val="23"/>
          <w:szCs w:val="23"/>
        </w:rPr>
        <w:t xml:space="preserve">in close collaboration with </w:t>
      </w:r>
      <w:r w:rsidRPr="001459B4">
        <w:rPr>
          <w:rFonts w:cstheme="minorHAnsi"/>
          <w:bCs/>
          <w:sz w:val="23"/>
          <w:szCs w:val="23"/>
        </w:rPr>
        <w:t xml:space="preserve">the secretariat under the direction of the Executive </w:t>
      </w:r>
      <w:proofErr w:type="gramStart"/>
      <w:r w:rsidRPr="001459B4">
        <w:rPr>
          <w:rFonts w:cstheme="minorHAnsi"/>
          <w:bCs/>
          <w:sz w:val="23"/>
          <w:szCs w:val="23"/>
        </w:rPr>
        <w:t>Secretary;</w:t>
      </w:r>
      <w:proofErr w:type="gramEnd"/>
    </w:p>
    <w:p w14:paraId="09797F7B" w14:textId="36600483" w:rsidR="00265B99" w:rsidRPr="001459B4" w:rsidRDefault="00930A09" w:rsidP="00265B99">
      <w:pPr>
        <w:numPr>
          <w:ilvl w:val="0"/>
          <w:numId w:val="7"/>
        </w:numPr>
        <w:contextualSpacing/>
        <w:rPr>
          <w:rFonts w:cstheme="minorHAnsi"/>
          <w:bCs/>
          <w:sz w:val="23"/>
          <w:szCs w:val="23"/>
        </w:rPr>
      </w:pPr>
      <w:r w:rsidRPr="001459B4">
        <w:rPr>
          <w:rFonts w:cstheme="minorHAnsi"/>
          <w:bCs/>
          <w:sz w:val="23"/>
          <w:szCs w:val="23"/>
        </w:rPr>
        <w:t>E</w:t>
      </w:r>
      <w:r w:rsidR="00265B99" w:rsidRPr="001459B4">
        <w:rPr>
          <w:rFonts w:cstheme="minorHAnsi"/>
          <w:bCs/>
          <w:sz w:val="23"/>
          <w:szCs w:val="23"/>
        </w:rPr>
        <w:t xml:space="preserve">nsure that the </w:t>
      </w:r>
      <w:r w:rsidRPr="001459B4">
        <w:rPr>
          <w:rFonts w:cstheme="minorHAnsi"/>
          <w:bCs/>
          <w:sz w:val="23"/>
          <w:szCs w:val="23"/>
        </w:rPr>
        <w:t xml:space="preserve">assessment </w:t>
      </w:r>
      <w:r w:rsidR="00265B99" w:rsidRPr="001459B4">
        <w:rPr>
          <w:rFonts w:cstheme="minorHAnsi"/>
          <w:bCs/>
          <w:sz w:val="23"/>
          <w:szCs w:val="23"/>
        </w:rPr>
        <w:t>is implemented in accordance with the</w:t>
      </w:r>
      <w:r w:rsidRPr="001459B4">
        <w:rPr>
          <w:rFonts w:cstheme="minorHAnsi"/>
          <w:bCs/>
          <w:sz w:val="23"/>
          <w:szCs w:val="23"/>
        </w:rPr>
        <w:t xml:space="preserve"> scoping report of the assessment as set out in </w:t>
      </w:r>
      <w:r w:rsidR="00BE0821" w:rsidRPr="001459B4">
        <w:rPr>
          <w:rFonts w:cstheme="minorHAnsi"/>
          <w:bCs/>
          <w:sz w:val="23"/>
          <w:szCs w:val="23"/>
        </w:rPr>
        <w:t xml:space="preserve">annex II to </w:t>
      </w:r>
      <w:r w:rsidRPr="001459B4">
        <w:rPr>
          <w:rFonts w:cstheme="minorHAnsi"/>
          <w:bCs/>
          <w:sz w:val="23"/>
          <w:szCs w:val="23"/>
        </w:rPr>
        <w:t>decision IPBES-8/1, the</w:t>
      </w:r>
      <w:r w:rsidR="00265B99" w:rsidRPr="001459B4">
        <w:rPr>
          <w:rFonts w:cstheme="minorHAnsi"/>
          <w:bCs/>
          <w:sz w:val="23"/>
          <w:szCs w:val="23"/>
        </w:rPr>
        <w:t xml:space="preserve"> </w:t>
      </w:r>
      <w:r w:rsidRPr="001459B4">
        <w:rPr>
          <w:rFonts w:cstheme="minorHAnsi"/>
          <w:bCs/>
          <w:sz w:val="23"/>
          <w:szCs w:val="23"/>
        </w:rPr>
        <w:t>procedures for the preparation of IPBES deliverables set out in annex I to decision IPBES-3/3, as well as other rules and procedures of IPBES and decisions of the IPBES Plenary</w:t>
      </w:r>
      <w:r w:rsidR="00265B99" w:rsidRPr="001459B4">
        <w:rPr>
          <w:rFonts w:cstheme="minorHAnsi"/>
          <w:bCs/>
          <w:sz w:val="23"/>
          <w:szCs w:val="23"/>
        </w:rPr>
        <w:t>;</w:t>
      </w:r>
    </w:p>
    <w:p w14:paraId="79A9FB26" w14:textId="565C976C" w:rsidR="00265B99" w:rsidRPr="001459B4" w:rsidRDefault="00265B99" w:rsidP="00265B99">
      <w:pPr>
        <w:numPr>
          <w:ilvl w:val="0"/>
          <w:numId w:val="7"/>
        </w:numPr>
        <w:contextualSpacing/>
        <w:rPr>
          <w:rFonts w:cstheme="minorHAnsi"/>
          <w:bCs/>
          <w:sz w:val="23"/>
          <w:szCs w:val="23"/>
        </w:rPr>
      </w:pPr>
      <w:r w:rsidRPr="001459B4">
        <w:rPr>
          <w:rFonts w:cstheme="minorHAnsi"/>
          <w:bCs/>
          <w:sz w:val="23"/>
          <w:szCs w:val="23"/>
        </w:rPr>
        <w:t>Submit progress reports</w:t>
      </w:r>
      <w:r w:rsidR="00E2593B" w:rsidRPr="001459B4">
        <w:rPr>
          <w:rFonts w:cstheme="minorHAnsi"/>
          <w:bCs/>
          <w:sz w:val="23"/>
          <w:szCs w:val="23"/>
        </w:rPr>
        <w:t xml:space="preserve"> and provide support</w:t>
      </w:r>
      <w:r w:rsidRPr="001459B4">
        <w:rPr>
          <w:rFonts w:cstheme="minorHAnsi"/>
          <w:bCs/>
          <w:sz w:val="23"/>
          <w:szCs w:val="23"/>
        </w:rPr>
        <w:t xml:space="preserve">, as </w:t>
      </w:r>
      <w:r w:rsidR="00E2593B" w:rsidRPr="001459B4">
        <w:rPr>
          <w:rFonts w:cstheme="minorHAnsi"/>
          <w:bCs/>
          <w:sz w:val="23"/>
          <w:szCs w:val="23"/>
        </w:rPr>
        <w:t>requested by the Executive Secretary</w:t>
      </w:r>
      <w:r w:rsidRPr="001459B4">
        <w:rPr>
          <w:rFonts w:cstheme="minorHAnsi"/>
          <w:bCs/>
          <w:sz w:val="23"/>
          <w:szCs w:val="23"/>
        </w:rPr>
        <w:t xml:space="preserve">, to the Plenary, Bureau and Multidisciplinary Expert Panel, and support the secretariat in tracking progress in the </w:t>
      </w:r>
      <w:r w:rsidR="00930A09" w:rsidRPr="001459B4">
        <w:rPr>
          <w:rFonts w:cstheme="minorHAnsi"/>
          <w:bCs/>
          <w:sz w:val="23"/>
          <w:szCs w:val="23"/>
        </w:rPr>
        <w:t xml:space="preserve">preparation of the </w:t>
      </w:r>
      <w:proofErr w:type="gramStart"/>
      <w:r w:rsidR="00930A09" w:rsidRPr="001459B4">
        <w:rPr>
          <w:rFonts w:cstheme="minorHAnsi"/>
          <w:bCs/>
          <w:sz w:val="23"/>
          <w:szCs w:val="23"/>
        </w:rPr>
        <w:t>assessment;</w:t>
      </w:r>
      <w:proofErr w:type="gramEnd"/>
    </w:p>
    <w:p w14:paraId="7F2BB0F0" w14:textId="6BFAB7A0" w:rsidR="00265B99" w:rsidRPr="001459B4" w:rsidRDefault="00265B99" w:rsidP="00265B99">
      <w:pPr>
        <w:numPr>
          <w:ilvl w:val="0"/>
          <w:numId w:val="7"/>
        </w:numPr>
        <w:contextualSpacing/>
        <w:rPr>
          <w:rFonts w:cstheme="minorHAnsi"/>
          <w:bCs/>
          <w:sz w:val="23"/>
          <w:szCs w:val="23"/>
        </w:rPr>
      </w:pPr>
      <w:r w:rsidRPr="001459B4">
        <w:rPr>
          <w:rFonts w:cstheme="minorHAnsi"/>
          <w:bCs/>
          <w:sz w:val="23"/>
          <w:szCs w:val="23"/>
        </w:rPr>
        <w:t xml:space="preserve">Provide input, </w:t>
      </w:r>
      <w:r w:rsidR="00930A09" w:rsidRPr="001459B4">
        <w:rPr>
          <w:rFonts w:cstheme="minorHAnsi"/>
          <w:bCs/>
          <w:sz w:val="23"/>
          <w:szCs w:val="23"/>
        </w:rPr>
        <w:t>if requested by the Executive Secretary</w:t>
      </w:r>
      <w:r w:rsidRPr="001459B4">
        <w:rPr>
          <w:rFonts w:cstheme="minorHAnsi"/>
          <w:bCs/>
          <w:sz w:val="23"/>
          <w:szCs w:val="23"/>
        </w:rPr>
        <w:t>, to any review of IPBES.</w:t>
      </w:r>
    </w:p>
    <w:bookmarkEnd w:id="1"/>
    <w:p w14:paraId="4A2FE777" w14:textId="77777777" w:rsidR="00265B99" w:rsidRPr="001459B4" w:rsidRDefault="00265B99" w:rsidP="00265B99">
      <w:pPr>
        <w:ind w:left="1080"/>
        <w:contextualSpacing/>
        <w:rPr>
          <w:rFonts w:cstheme="minorHAnsi"/>
          <w:b/>
          <w:bCs/>
          <w:sz w:val="23"/>
          <w:szCs w:val="23"/>
        </w:rPr>
      </w:pPr>
    </w:p>
    <w:p w14:paraId="3D683A5C" w14:textId="1750BF75" w:rsidR="00930A09" w:rsidRPr="001459B4" w:rsidRDefault="00930A09" w:rsidP="00930A09">
      <w:pPr>
        <w:numPr>
          <w:ilvl w:val="0"/>
          <w:numId w:val="9"/>
        </w:numPr>
        <w:spacing w:after="0"/>
        <w:rPr>
          <w:rFonts w:cstheme="minorHAnsi"/>
          <w:b/>
          <w:bCs/>
          <w:sz w:val="26"/>
          <w:szCs w:val="26"/>
        </w:rPr>
      </w:pPr>
      <w:r w:rsidRPr="001459B4">
        <w:rPr>
          <w:rFonts w:cstheme="minorHAnsi"/>
          <w:b/>
          <w:bCs/>
          <w:sz w:val="26"/>
          <w:szCs w:val="26"/>
        </w:rPr>
        <w:t xml:space="preserve">Examples </w:t>
      </w:r>
      <w:r w:rsidR="00E2593B" w:rsidRPr="001459B4">
        <w:rPr>
          <w:rFonts w:cstheme="minorHAnsi"/>
          <w:b/>
          <w:bCs/>
          <w:sz w:val="26"/>
          <w:szCs w:val="26"/>
        </w:rPr>
        <w:t xml:space="preserve">of </w:t>
      </w:r>
      <w:r w:rsidRPr="001459B4">
        <w:rPr>
          <w:rFonts w:cstheme="minorHAnsi"/>
          <w:b/>
          <w:bCs/>
          <w:sz w:val="26"/>
          <w:szCs w:val="26"/>
        </w:rPr>
        <w:t>activities to be undertaken by the technical support unit</w:t>
      </w:r>
    </w:p>
    <w:p w14:paraId="6293AC91" w14:textId="7A0B5633" w:rsidR="00930A09" w:rsidRPr="001459B4" w:rsidRDefault="00930A09" w:rsidP="0092293C">
      <w:pPr>
        <w:spacing w:after="120"/>
        <w:ind w:left="1094"/>
        <w:rPr>
          <w:rFonts w:cstheme="minorHAnsi"/>
          <w:bCs/>
          <w:sz w:val="23"/>
          <w:szCs w:val="23"/>
        </w:rPr>
      </w:pPr>
      <w:r w:rsidRPr="001459B4">
        <w:rPr>
          <w:rFonts w:cstheme="minorHAnsi"/>
          <w:bCs/>
          <w:sz w:val="23"/>
          <w:szCs w:val="23"/>
        </w:rPr>
        <w:t xml:space="preserve">Examples </w:t>
      </w:r>
      <w:r w:rsidR="0092293C" w:rsidRPr="001459B4">
        <w:rPr>
          <w:rFonts w:cstheme="minorHAnsi"/>
          <w:bCs/>
          <w:sz w:val="23"/>
          <w:szCs w:val="23"/>
        </w:rPr>
        <w:t>o</w:t>
      </w:r>
      <w:r w:rsidRPr="001459B4">
        <w:rPr>
          <w:rFonts w:cstheme="minorHAnsi"/>
          <w:bCs/>
          <w:sz w:val="23"/>
          <w:szCs w:val="23"/>
        </w:rPr>
        <w:t>f activities which the technical support unit for the transformative change assessment will be expected to undertake in the period 2021-2025:</w:t>
      </w:r>
    </w:p>
    <w:p w14:paraId="17D0B026" w14:textId="2A06FC35" w:rsidR="002768F7" w:rsidRPr="001459B4" w:rsidRDefault="00123A7C" w:rsidP="00930A09">
      <w:pPr>
        <w:numPr>
          <w:ilvl w:val="0"/>
          <w:numId w:val="6"/>
        </w:numPr>
        <w:contextualSpacing/>
        <w:rPr>
          <w:rFonts w:cstheme="minorHAnsi"/>
          <w:bCs/>
          <w:sz w:val="23"/>
          <w:szCs w:val="23"/>
        </w:rPr>
      </w:pPr>
      <w:r w:rsidRPr="001459B4">
        <w:rPr>
          <w:rFonts w:cstheme="minorHAnsi"/>
          <w:bCs/>
          <w:sz w:val="23"/>
          <w:szCs w:val="23"/>
        </w:rPr>
        <w:t>Prepar</w:t>
      </w:r>
      <w:r w:rsidR="002768F7" w:rsidRPr="001459B4">
        <w:rPr>
          <w:rFonts w:cstheme="minorHAnsi"/>
          <w:bCs/>
          <w:sz w:val="23"/>
          <w:szCs w:val="23"/>
        </w:rPr>
        <w:t>ation</w:t>
      </w:r>
      <w:r w:rsidRPr="001459B4">
        <w:rPr>
          <w:rFonts w:cstheme="minorHAnsi"/>
          <w:bCs/>
          <w:sz w:val="23"/>
          <w:szCs w:val="23"/>
        </w:rPr>
        <w:t xml:space="preserve"> and </w:t>
      </w:r>
      <w:r w:rsidR="002768F7" w:rsidRPr="001459B4">
        <w:rPr>
          <w:rFonts w:cstheme="minorHAnsi"/>
          <w:bCs/>
          <w:sz w:val="23"/>
          <w:szCs w:val="23"/>
        </w:rPr>
        <w:t>maintenance of</w:t>
      </w:r>
      <w:r w:rsidRPr="001459B4">
        <w:rPr>
          <w:rFonts w:cstheme="minorHAnsi"/>
          <w:bCs/>
          <w:sz w:val="23"/>
          <w:szCs w:val="23"/>
        </w:rPr>
        <w:t xml:space="preserve"> an updated timeline and implementation plan for the </w:t>
      </w:r>
      <w:proofErr w:type="gramStart"/>
      <w:r w:rsidRPr="001459B4">
        <w:rPr>
          <w:rFonts w:cstheme="minorHAnsi"/>
          <w:bCs/>
          <w:sz w:val="23"/>
          <w:szCs w:val="23"/>
        </w:rPr>
        <w:t>assessment;</w:t>
      </w:r>
      <w:proofErr w:type="gramEnd"/>
      <w:r w:rsidRPr="001459B4">
        <w:rPr>
          <w:rFonts w:cstheme="minorHAnsi"/>
          <w:bCs/>
          <w:sz w:val="23"/>
          <w:szCs w:val="23"/>
        </w:rPr>
        <w:t xml:space="preserve"> </w:t>
      </w:r>
    </w:p>
    <w:p w14:paraId="5CB55A29" w14:textId="07D1D478"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rPr>
        <w:t xml:space="preserve">Organization of online and in-person meetings of the expert group including procedural and logistical </w:t>
      </w:r>
      <w:proofErr w:type="gramStart"/>
      <w:r w:rsidRPr="001459B4">
        <w:rPr>
          <w:rFonts w:cstheme="minorHAnsi"/>
          <w:bCs/>
          <w:sz w:val="23"/>
          <w:szCs w:val="23"/>
        </w:rPr>
        <w:t>arrangements;</w:t>
      </w:r>
      <w:proofErr w:type="gramEnd"/>
    </w:p>
    <w:p w14:paraId="3450C664" w14:textId="17AB2B92"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rPr>
        <w:t xml:space="preserve">Support to the preparation of any documents, reports and communications that form part of the work of the expert group, ensuring their timely </w:t>
      </w:r>
      <w:proofErr w:type="gramStart"/>
      <w:r w:rsidRPr="001459B4">
        <w:rPr>
          <w:rFonts w:cstheme="minorHAnsi"/>
          <w:bCs/>
          <w:sz w:val="23"/>
          <w:szCs w:val="23"/>
        </w:rPr>
        <w:t>delivery;</w:t>
      </w:r>
      <w:proofErr w:type="gramEnd"/>
    </w:p>
    <w:p w14:paraId="19D7A899" w14:textId="75528AAA"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rPr>
        <w:t xml:space="preserve">Coordination of peer review processes of drafts of the assessment in line with the procedures for the preparation of IPBES </w:t>
      </w:r>
      <w:proofErr w:type="gramStart"/>
      <w:r w:rsidRPr="001459B4">
        <w:rPr>
          <w:rFonts w:cstheme="minorHAnsi"/>
          <w:bCs/>
          <w:sz w:val="23"/>
          <w:szCs w:val="23"/>
        </w:rPr>
        <w:t>deliverables;</w:t>
      </w:r>
      <w:proofErr w:type="gramEnd"/>
    </w:p>
    <w:p w14:paraId="016BA6E4" w14:textId="7A9E9CA2"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rPr>
        <w:t xml:space="preserve">Coordination of the finalization and design of the outputs, including obtaining the necessary permissions and ensuring appropriate attribution of graphics, figures, and other sources </w:t>
      </w:r>
      <w:proofErr w:type="gramStart"/>
      <w:r w:rsidRPr="001459B4">
        <w:rPr>
          <w:rFonts w:cstheme="minorHAnsi"/>
          <w:bCs/>
          <w:sz w:val="23"/>
          <w:szCs w:val="23"/>
        </w:rPr>
        <w:t>displayed;</w:t>
      </w:r>
      <w:proofErr w:type="gramEnd"/>
    </w:p>
    <w:p w14:paraId="6104D5C1" w14:textId="3360EC55"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rPr>
        <w:t xml:space="preserve">Collaboration with the task forces on capacity-building, knowledge and data, indigenous and local knowledge, policy tools and methodologies and scenarios and models with regard to the implementation of relevant approaches and guidance in the </w:t>
      </w:r>
      <w:proofErr w:type="gramStart"/>
      <w:r w:rsidRPr="001459B4">
        <w:rPr>
          <w:rFonts w:cstheme="minorHAnsi"/>
          <w:bCs/>
          <w:sz w:val="23"/>
          <w:szCs w:val="23"/>
        </w:rPr>
        <w:t>assessment;</w:t>
      </w:r>
      <w:proofErr w:type="gramEnd"/>
    </w:p>
    <w:p w14:paraId="11894261" w14:textId="5348909E"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lang w:eastAsia="ja-JP"/>
        </w:rPr>
        <w:t>Coordination with other IPBES deliverables, in particular the thematic assessment of the interlinkages among biodiversity, water, food and health in the context of climate change (“nexus assessment”), to ensure complementarity and synerg</w:t>
      </w:r>
      <w:r w:rsidR="00E2593B" w:rsidRPr="001459B4">
        <w:rPr>
          <w:rFonts w:cstheme="minorHAnsi"/>
          <w:bCs/>
          <w:sz w:val="23"/>
          <w:szCs w:val="23"/>
          <w:lang w:eastAsia="ja-JP"/>
        </w:rPr>
        <w:t>y</w:t>
      </w:r>
      <w:r w:rsidRPr="001459B4">
        <w:rPr>
          <w:rFonts w:cstheme="minorHAnsi"/>
          <w:bCs/>
          <w:sz w:val="23"/>
          <w:szCs w:val="23"/>
          <w:lang w:eastAsia="ja-JP"/>
        </w:rPr>
        <w:t xml:space="preserve"> </w:t>
      </w:r>
      <w:r w:rsidR="00E2593B" w:rsidRPr="001459B4">
        <w:rPr>
          <w:rFonts w:cstheme="minorHAnsi"/>
          <w:bCs/>
          <w:sz w:val="23"/>
          <w:szCs w:val="23"/>
          <w:lang w:eastAsia="ja-JP"/>
        </w:rPr>
        <w:t xml:space="preserve">between </w:t>
      </w:r>
      <w:r w:rsidRPr="001459B4">
        <w:rPr>
          <w:rFonts w:cstheme="minorHAnsi"/>
          <w:bCs/>
          <w:sz w:val="23"/>
          <w:szCs w:val="23"/>
          <w:lang w:eastAsia="ja-JP"/>
        </w:rPr>
        <w:t xml:space="preserve">the </w:t>
      </w:r>
      <w:r w:rsidR="00E2593B" w:rsidRPr="001459B4">
        <w:rPr>
          <w:rFonts w:cstheme="minorHAnsi"/>
          <w:bCs/>
          <w:sz w:val="23"/>
          <w:szCs w:val="23"/>
          <w:lang w:eastAsia="ja-JP"/>
        </w:rPr>
        <w:t xml:space="preserve">two </w:t>
      </w:r>
      <w:r w:rsidRPr="001459B4">
        <w:rPr>
          <w:rFonts w:cstheme="minorHAnsi"/>
          <w:bCs/>
          <w:sz w:val="23"/>
          <w:szCs w:val="23"/>
          <w:lang w:eastAsia="ja-JP"/>
        </w:rPr>
        <w:t>assessments and to avoid duplication of scope and work;</w:t>
      </w:r>
    </w:p>
    <w:p w14:paraId="16804895" w14:textId="5BB807F8" w:rsidR="00930A09" w:rsidRPr="001459B4" w:rsidRDefault="00930A09" w:rsidP="00930A09">
      <w:pPr>
        <w:numPr>
          <w:ilvl w:val="0"/>
          <w:numId w:val="6"/>
        </w:numPr>
        <w:contextualSpacing/>
        <w:rPr>
          <w:rFonts w:cstheme="minorHAnsi"/>
          <w:bCs/>
          <w:sz w:val="23"/>
          <w:szCs w:val="23"/>
        </w:rPr>
      </w:pPr>
      <w:r w:rsidRPr="001459B4">
        <w:rPr>
          <w:rFonts w:cstheme="minorHAnsi"/>
          <w:bCs/>
          <w:sz w:val="23"/>
          <w:szCs w:val="23"/>
        </w:rPr>
        <w:t>Maintenance of a register of appropriate contacts (organizations and experts) that might be called upon to support the work of the expert group.</w:t>
      </w:r>
    </w:p>
    <w:p w14:paraId="52BDD857" w14:textId="77777777" w:rsidR="00265B99" w:rsidRPr="001459B4" w:rsidRDefault="00265B99" w:rsidP="00265B99">
      <w:pPr>
        <w:ind w:left="1530"/>
        <w:contextualSpacing/>
        <w:rPr>
          <w:rFonts w:cstheme="minorHAnsi"/>
          <w:b/>
          <w:bCs/>
          <w:sz w:val="28"/>
          <w:szCs w:val="28"/>
        </w:rPr>
      </w:pPr>
    </w:p>
    <w:p w14:paraId="5821578C" w14:textId="77777777" w:rsidR="00265B99" w:rsidRPr="001459B4" w:rsidRDefault="00265B99" w:rsidP="00265B99">
      <w:pPr>
        <w:numPr>
          <w:ilvl w:val="0"/>
          <w:numId w:val="8"/>
        </w:numPr>
        <w:spacing w:after="120"/>
        <w:contextualSpacing/>
        <w:rPr>
          <w:rFonts w:cstheme="minorHAnsi"/>
          <w:b/>
          <w:bCs/>
          <w:sz w:val="26"/>
          <w:szCs w:val="26"/>
        </w:rPr>
      </w:pPr>
      <w:r w:rsidRPr="001459B4">
        <w:rPr>
          <w:rFonts w:cstheme="minorHAnsi"/>
          <w:b/>
          <w:bCs/>
          <w:sz w:val="26"/>
          <w:szCs w:val="26"/>
        </w:rPr>
        <w:t>Reporting requirements</w:t>
      </w:r>
    </w:p>
    <w:p w14:paraId="12287CD0" w14:textId="5CEFE3FD" w:rsidR="00265B99" w:rsidRPr="001459B4" w:rsidRDefault="00265B99" w:rsidP="00265B99">
      <w:pPr>
        <w:spacing w:after="120"/>
        <w:ind w:left="1148"/>
        <w:rPr>
          <w:rFonts w:cstheme="minorHAnsi"/>
          <w:bCs/>
          <w:sz w:val="23"/>
          <w:szCs w:val="23"/>
        </w:rPr>
      </w:pPr>
      <w:r w:rsidRPr="001459B4">
        <w:rPr>
          <w:rFonts w:cstheme="minorHAnsi"/>
          <w:bCs/>
          <w:sz w:val="23"/>
          <w:szCs w:val="23"/>
        </w:rPr>
        <w:t>The head of the technical support unit will submit narrative and financial reports to the Executive Secretary on a regular basis in accordance with the Project Cooperation Agreement, which shall be established</w:t>
      </w:r>
      <w:r w:rsidRPr="001459B4">
        <w:rPr>
          <w:rFonts w:cstheme="minorHAnsi"/>
          <w:bCs/>
          <w:sz w:val="23"/>
          <w:szCs w:val="23"/>
          <w:lang w:eastAsia="ja-JP"/>
        </w:rPr>
        <w:t xml:space="preserve"> following the selection and acceptance of the offer</w:t>
      </w:r>
      <w:r w:rsidR="000A639E" w:rsidRPr="001459B4">
        <w:rPr>
          <w:rFonts w:cstheme="minorHAnsi"/>
          <w:bCs/>
          <w:sz w:val="23"/>
          <w:szCs w:val="23"/>
          <w:lang w:eastAsia="ja-JP"/>
        </w:rPr>
        <w:t>.</w:t>
      </w:r>
    </w:p>
    <w:p w14:paraId="25384C3D" w14:textId="77777777" w:rsidR="00265B99" w:rsidRPr="001459B4" w:rsidRDefault="00265B99">
      <w:pPr>
        <w:rPr>
          <w:rFonts w:eastAsia="Microsoft Yi Baiti" w:cstheme="minorHAnsi"/>
          <w:b/>
          <w:bCs/>
          <w:sz w:val="28"/>
          <w:szCs w:val="26"/>
          <w:lang w:val="en-GB" w:eastAsia="ii-CN"/>
        </w:rPr>
      </w:pPr>
      <w:r w:rsidRPr="001459B4">
        <w:rPr>
          <w:rFonts w:eastAsia="Microsoft Yi Baiti" w:cstheme="minorHAnsi"/>
          <w:b/>
          <w:bCs/>
          <w:sz w:val="28"/>
          <w:szCs w:val="26"/>
          <w:lang w:val="en-GB" w:eastAsia="ii-CN"/>
        </w:rPr>
        <w:br w:type="page"/>
      </w:r>
    </w:p>
    <w:p w14:paraId="1555CB63" w14:textId="51605050" w:rsidR="00205CB1" w:rsidRPr="001459B4" w:rsidRDefault="00205CB1" w:rsidP="00205CB1">
      <w:pPr>
        <w:rPr>
          <w:rFonts w:eastAsia="Microsoft Yi Baiti" w:cstheme="minorHAnsi"/>
          <w:b/>
          <w:bCs/>
          <w:sz w:val="30"/>
          <w:szCs w:val="30"/>
          <w:lang w:val="en-GB" w:eastAsia="ii-CN"/>
        </w:rPr>
      </w:pPr>
      <w:r w:rsidRPr="001459B4">
        <w:rPr>
          <w:rFonts w:eastAsiaTheme="majorEastAsia" w:cstheme="minorHAnsi"/>
          <w:b/>
          <w:spacing w:val="-10"/>
          <w:kern w:val="28"/>
          <w:sz w:val="32"/>
          <w:szCs w:val="56"/>
        </w:rPr>
        <w:t>Annex</w:t>
      </w:r>
      <w:r w:rsidR="00265B99" w:rsidRPr="001459B4">
        <w:rPr>
          <w:rFonts w:eastAsiaTheme="majorEastAsia" w:cstheme="minorHAnsi"/>
          <w:b/>
          <w:spacing w:val="-10"/>
          <w:kern w:val="28"/>
          <w:sz w:val="32"/>
          <w:szCs w:val="56"/>
        </w:rPr>
        <w:t xml:space="preserve"> </w:t>
      </w:r>
      <w:r w:rsidR="00F860B3" w:rsidRPr="001459B4">
        <w:rPr>
          <w:rFonts w:eastAsiaTheme="majorEastAsia" w:cstheme="minorHAnsi"/>
          <w:b/>
          <w:spacing w:val="-10"/>
          <w:kern w:val="28"/>
          <w:sz w:val="32"/>
          <w:szCs w:val="56"/>
        </w:rPr>
        <w:t>II</w:t>
      </w:r>
      <w:r w:rsidRPr="001459B4">
        <w:rPr>
          <w:rFonts w:eastAsiaTheme="majorEastAsia" w:cstheme="minorHAnsi"/>
          <w:b/>
          <w:spacing w:val="-10"/>
          <w:kern w:val="28"/>
          <w:sz w:val="32"/>
          <w:szCs w:val="56"/>
        </w:rPr>
        <w:t xml:space="preserve"> - </w:t>
      </w:r>
      <w:r w:rsidRPr="001459B4">
        <w:rPr>
          <w:rFonts w:eastAsia="Microsoft Yi Baiti" w:cstheme="minorHAnsi"/>
          <w:b/>
          <w:bCs/>
          <w:sz w:val="30"/>
          <w:szCs w:val="30"/>
          <w:lang w:val="en-GB" w:eastAsia="ii-CN"/>
        </w:rPr>
        <w:t xml:space="preserve">Detailed </w:t>
      </w:r>
      <w:r w:rsidR="004F3CF2" w:rsidRPr="001459B4">
        <w:rPr>
          <w:rFonts w:eastAsia="Microsoft Yi Baiti" w:cstheme="minorHAnsi"/>
          <w:b/>
          <w:bCs/>
          <w:sz w:val="30"/>
          <w:szCs w:val="30"/>
          <w:lang w:val="en-GB" w:eastAsia="ii-CN"/>
        </w:rPr>
        <w:t>budget for</w:t>
      </w:r>
      <w:r w:rsidRPr="001459B4">
        <w:rPr>
          <w:rFonts w:eastAsia="Microsoft Yi Baiti" w:cstheme="minorHAnsi"/>
          <w:b/>
          <w:bCs/>
          <w:sz w:val="30"/>
          <w:szCs w:val="30"/>
          <w:lang w:val="en-GB" w:eastAsia="ii-CN"/>
        </w:rPr>
        <w:t xml:space="preserve"> the </w:t>
      </w:r>
      <w:r w:rsidR="006A0521" w:rsidRPr="001459B4">
        <w:rPr>
          <w:rFonts w:eastAsia="Microsoft Yi Baiti" w:cstheme="minorHAnsi"/>
          <w:b/>
          <w:bCs/>
          <w:sz w:val="30"/>
          <w:szCs w:val="30"/>
          <w:lang w:val="en-GB" w:eastAsia="ii-CN"/>
        </w:rPr>
        <w:t>transformative change assessment</w:t>
      </w:r>
    </w:p>
    <w:p w14:paraId="59F055D7" w14:textId="3503E1CE" w:rsidR="002A0343" w:rsidRDefault="002A0343" w:rsidP="00205CB1">
      <w:pPr>
        <w:rPr>
          <w:rFonts w:eastAsiaTheme="majorEastAsia" w:cstheme="minorHAnsi"/>
          <w:bCs/>
          <w:spacing w:val="-10"/>
          <w:kern w:val="28"/>
          <w:sz w:val="23"/>
          <w:szCs w:val="23"/>
        </w:rPr>
      </w:pPr>
      <w:r w:rsidRPr="001459B4">
        <w:rPr>
          <w:rFonts w:eastAsiaTheme="majorEastAsia" w:cstheme="minorHAnsi"/>
          <w:bCs/>
          <w:spacing w:val="-10"/>
          <w:kern w:val="28"/>
          <w:sz w:val="23"/>
          <w:szCs w:val="23"/>
        </w:rPr>
        <w:t>The transformative change assessment will be considered by the IPBES Plenary at its 11</w:t>
      </w:r>
      <w:r w:rsidRPr="001459B4">
        <w:rPr>
          <w:rFonts w:eastAsiaTheme="majorEastAsia" w:cstheme="minorHAnsi"/>
          <w:bCs/>
          <w:spacing w:val="-10"/>
          <w:kern w:val="28"/>
          <w:sz w:val="23"/>
          <w:szCs w:val="23"/>
          <w:vertAlign w:val="superscript"/>
        </w:rPr>
        <w:t>th</w:t>
      </w:r>
      <w:r w:rsidRPr="001459B4">
        <w:rPr>
          <w:rFonts w:eastAsiaTheme="majorEastAsia" w:cstheme="minorHAnsi"/>
          <w:bCs/>
          <w:spacing w:val="-10"/>
          <w:kern w:val="28"/>
          <w:sz w:val="23"/>
          <w:szCs w:val="23"/>
        </w:rPr>
        <w:t xml:space="preserve"> session, tentatively planned for </w:t>
      </w:r>
      <w:r w:rsidR="00553DCD">
        <w:rPr>
          <w:rFonts w:eastAsiaTheme="majorEastAsia" w:cstheme="minorHAnsi"/>
          <w:bCs/>
          <w:spacing w:val="-10"/>
          <w:kern w:val="28"/>
          <w:sz w:val="23"/>
          <w:szCs w:val="23"/>
        </w:rPr>
        <w:t>the second half of 2024</w:t>
      </w:r>
      <w:r w:rsidRPr="001459B4">
        <w:rPr>
          <w:rFonts w:eastAsiaTheme="majorEastAsia" w:cstheme="minorHAnsi"/>
          <w:bCs/>
          <w:spacing w:val="-10"/>
          <w:kern w:val="28"/>
          <w:sz w:val="23"/>
          <w:szCs w:val="23"/>
        </w:rPr>
        <w:t xml:space="preserve">. The technical support unit would be expected to close 6 months after the approval of the assessment, </w:t>
      </w:r>
      <w:proofErr w:type="gramStart"/>
      <w:r w:rsidRPr="001459B4">
        <w:rPr>
          <w:rFonts w:eastAsiaTheme="majorEastAsia" w:cstheme="minorHAnsi"/>
          <w:bCs/>
          <w:spacing w:val="-10"/>
          <w:kern w:val="28"/>
          <w:sz w:val="23"/>
          <w:szCs w:val="23"/>
        </w:rPr>
        <w:t>in order to</w:t>
      </w:r>
      <w:proofErr w:type="gramEnd"/>
      <w:r w:rsidRPr="001459B4">
        <w:rPr>
          <w:rFonts w:eastAsiaTheme="majorEastAsia" w:cstheme="minorHAnsi"/>
          <w:bCs/>
          <w:spacing w:val="-10"/>
          <w:kern w:val="28"/>
          <w:sz w:val="23"/>
          <w:szCs w:val="23"/>
        </w:rPr>
        <w:t xml:space="preserve"> have time to complete a number of tasks including editing and laying out of the assessment, and assessment-related communication activities. For this assessment, this would mean that the technical support unit would close at the end of April 2025.</w:t>
      </w:r>
    </w:p>
    <w:p w14:paraId="5A5CB4BB" w14:textId="2E45642E" w:rsidR="009C3929" w:rsidRPr="001459B4" w:rsidRDefault="009C3929" w:rsidP="00205CB1">
      <w:pPr>
        <w:rPr>
          <w:rFonts w:eastAsiaTheme="majorEastAsia" w:cstheme="minorHAnsi"/>
          <w:bCs/>
          <w:spacing w:val="-10"/>
          <w:kern w:val="28"/>
          <w:sz w:val="23"/>
          <w:szCs w:val="23"/>
        </w:rPr>
      </w:pPr>
      <w:r>
        <w:rPr>
          <w:rFonts w:eastAsiaTheme="majorEastAsia" w:cstheme="minorHAnsi"/>
          <w:bCs/>
          <w:spacing w:val="-10"/>
          <w:kern w:val="28"/>
          <w:sz w:val="23"/>
          <w:szCs w:val="23"/>
        </w:rPr>
        <w:t xml:space="preserve">This table reproduces the </w:t>
      </w:r>
      <w:r w:rsidR="00DA2B13">
        <w:rPr>
          <w:rFonts w:eastAsiaTheme="majorEastAsia" w:cstheme="minorHAnsi"/>
          <w:bCs/>
          <w:spacing w:val="-10"/>
          <w:kern w:val="28"/>
          <w:sz w:val="23"/>
          <w:szCs w:val="23"/>
        </w:rPr>
        <w:t xml:space="preserve">budget for the transformative change assessment included in the </w:t>
      </w:r>
      <w:r>
        <w:rPr>
          <w:rFonts w:eastAsiaTheme="majorEastAsia" w:cstheme="minorHAnsi"/>
          <w:bCs/>
          <w:spacing w:val="-10"/>
          <w:kern w:val="28"/>
          <w:sz w:val="23"/>
          <w:szCs w:val="23"/>
        </w:rPr>
        <w:t xml:space="preserve">revised budget for 2021, budget for 2022, and provisional budgets for 2023 as approved </w:t>
      </w:r>
      <w:r w:rsidR="00DA2B13">
        <w:rPr>
          <w:rFonts w:eastAsiaTheme="majorEastAsia" w:cstheme="minorHAnsi"/>
          <w:bCs/>
          <w:spacing w:val="-10"/>
          <w:kern w:val="28"/>
          <w:sz w:val="23"/>
          <w:szCs w:val="23"/>
        </w:rPr>
        <w:t xml:space="preserve">by decision IPBES-8/4 </w:t>
      </w:r>
      <w:r>
        <w:rPr>
          <w:rFonts w:eastAsiaTheme="majorEastAsia" w:cstheme="minorHAnsi"/>
          <w:bCs/>
          <w:spacing w:val="-10"/>
          <w:kern w:val="28"/>
          <w:sz w:val="23"/>
          <w:szCs w:val="23"/>
        </w:rPr>
        <w:t xml:space="preserve">and indicative budgets for 2024 and 2025 as presented </w:t>
      </w:r>
      <w:r w:rsidR="00DA2B13">
        <w:rPr>
          <w:rFonts w:eastAsiaTheme="majorEastAsia" w:cstheme="minorHAnsi"/>
          <w:bCs/>
          <w:spacing w:val="-10"/>
          <w:kern w:val="28"/>
          <w:sz w:val="23"/>
          <w:szCs w:val="23"/>
        </w:rPr>
        <w:t xml:space="preserve">to IPBES 8 </w:t>
      </w:r>
      <w:r>
        <w:rPr>
          <w:rFonts w:eastAsiaTheme="majorEastAsia" w:cstheme="minorHAnsi"/>
          <w:bCs/>
          <w:spacing w:val="-10"/>
          <w:kern w:val="28"/>
          <w:sz w:val="23"/>
          <w:szCs w:val="23"/>
        </w:rPr>
        <w:t>in document IPBES/8/INF/24</w:t>
      </w:r>
      <w:r w:rsidR="00DA2B13">
        <w:rPr>
          <w:rFonts w:eastAsiaTheme="majorEastAsia" w:cstheme="minorHAnsi"/>
          <w:bCs/>
          <w:spacing w:val="-10"/>
          <w:kern w:val="28"/>
          <w:sz w:val="23"/>
          <w:szCs w:val="23"/>
        </w:rPr>
        <w:t xml:space="preserve">. </w:t>
      </w:r>
      <w:r>
        <w:rPr>
          <w:rFonts w:eastAsiaTheme="majorEastAsia" w:cstheme="minorHAnsi"/>
          <w:bCs/>
          <w:spacing w:val="-10"/>
          <w:kern w:val="28"/>
          <w:sz w:val="23"/>
          <w:szCs w:val="23"/>
        </w:rPr>
        <w:t xml:space="preserve">  </w:t>
      </w:r>
    </w:p>
    <w:tbl>
      <w:tblPr>
        <w:tblW w:w="4391" w:type="pct"/>
        <w:jc w:val="center"/>
        <w:tblLook w:val="04A0" w:firstRow="1" w:lastRow="0" w:firstColumn="1" w:lastColumn="0" w:noHBand="0" w:noVBand="1"/>
      </w:tblPr>
      <w:tblGrid>
        <w:gridCol w:w="838"/>
        <w:gridCol w:w="2886"/>
        <w:gridCol w:w="3201"/>
        <w:gridCol w:w="1277"/>
      </w:tblGrid>
      <w:tr w:rsidR="00511DFF" w:rsidRPr="001459B4" w14:paraId="39FBD099" w14:textId="00D540B1" w:rsidTr="00511DFF">
        <w:trPr>
          <w:trHeight w:val="378"/>
          <w:tblHeader/>
          <w:jc w:val="center"/>
        </w:trPr>
        <w:tc>
          <w:tcPr>
            <w:tcW w:w="8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497E9" w14:textId="77777777" w:rsidR="00511DFF" w:rsidRPr="001459B4" w:rsidRDefault="00511DFF" w:rsidP="004F0ED8">
            <w:pPr>
              <w:pStyle w:val="Normal-pool"/>
              <w:rPr>
                <w:rFonts w:asciiTheme="minorHAnsi" w:hAnsiTheme="minorHAnsi" w:cstheme="minorHAnsi"/>
                <w:b/>
                <w:i/>
                <w:iCs/>
                <w:sz w:val="18"/>
                <w:szCs w:val="18"/>
              </w:rPr>
            </w:pPr>
            <w:r w:rsidRPr="001459B4">
              <w:rPr>
                <w:rFonts w:asciiTheme="minorHAnsi" w:hAnsiTheme="minorHAnsi" w:cstheme="minorHAnsi"/>
                <w:b/>
                <w:i/>
                <w:iCs/>
                <w:sz w:val="18"/>
                <w:szCs w:val="18"/>
              </w:rPr>
              <w:t>Year</w:t>
            </w:r>
          </w:p>
        </w:tc>
        <w:tc>
          <w:tcPr>
            <w:tcW w:w="2886" w:type="dxa"/>
            <w:tcBorders>
              <w:top w:val="single" w:sz="8" w:space="0" w:color="auto"/>
              <w:left w:val="nil"/>
              <w:bottom w:val="single" w:sz="8" w:space="0" w:color="auto"/>
              <w:right w:val="single" w:sz="8" w:space="0" w:color="auto"/>
            </w:tcBorders>
            <w:shd w:val="clear" w:color="auto" w:fill="auto"/>
            <w:vAlign w:val="center"/>
            <w:hideMark/>
          </w:tcPr>
          <w:p w14:paraId="17F4B9F0" w14:textId="77777777" w:rsidR="00511DFF" w:rsidRPr="001459B4" w:rsidRDefault="00511DFF" w:rsidP="004F0ED8">
            <w:pPr>
              <w:pStyle w:val="Normal-pool"/>
              <w:rPr>
                <w:rFonts w:asciiTheme="minorHAnsi" w:hAnsiTheme="minorHAnsi" w:cstheme="minorHAnsi"/>
                <w:b/>
                <w:i/>
                <w:iCs/>
                <w:sz w:val="18"/>
                <w:szCs w:val="18"/>
              </w:rPr>
            </w:pPr>
            <w:r w:rsidRPr="001459B4">
              <w:rPr>
                <w:rFonts w:asciiTheme="minorHAnsi" w:hAnsiTheme="minorHAnsi" w:cstheme="minorHAnsi"/>
                <w:b/>
                <w:i/>
                <w:iCs/>
                <w:sz w:val="18"/>
                <w:szCs w:val="18"/>
              </w:rPr>
              <w:t>Cost</w:t>
            </w:r>
          </w:p>
        </w:tc>
        <w:tc>
          <w:tcPr>
            <w:tcW w:w="3201" w:type="dxa"/>
            <w:tcBorders>
              <w:top w:val="single" w:sz="8" w:space="0" w:color="auto"/>
              <w:left w:val="nil"/>
              <w:bottom w:val="single" w:sz="8" w:space="0" w:color="auto"/>
              <w:right w:val="single" w:sz="8" w:space="0" w:color="auto"/>
            </w:tcBorders>
            <w:shd w:val="clear" w:color="auto" w:fill="auto"/>
            <w:vAlign w:val="center"/>
            <w:hideMark/>
          </w:tcPr>
          <w:p w14:paraId="228DDC12" w14:textId="77777777" w:rsidR="00511DFF" w:rsidRPr="001459B4" w:rsidRDefault="00511DFF" w:rsidP="004F0ED8">
            <w:pPr>
              <w:pStyle w:val="Normal-pool"/>
              <w:rPr>
                <w:rFonts w:asciiTheme="minorHAnsi" w:hAnsiTheme="minorHAnsi" w:cstheme="minorHAnsi"/>
                <w:b/>
                <w:i/>
                <w:iCs/>
                <w:sz w:val="18"/>
                <w:szCs w:val="18"/>
              </w:rPr>
            </w:pPr>
            <w:r w:rsidRPr="001459B4">
              <w:rPr>
                <w:rFonts w:asciiTheme="minorHAnsi" w:hAnsiTheme="minorHAnsi" w:cstheme="minorHAnsi"/>
                <w:b/>
                <w:i/>
                <w:iCs/>
                <w:sz w:val="18"/>
                <w:szCs w:val="18"/>
              </w:rPr>
              <w:t>Assumptions</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14:paraId="374054A3" w14:textId="149197F9" w:rsidR="00511DFF" w:rsidRPr="001459B4" w:rsidRDefault="00511DFF" w:rsidP="00511DFF">
            <w:pPr>
              <w:pStyle w:val="Normal-pool"/>
              <w:jc w:val="center"/>
              <w:rPr>
                <w:rFonts w:asciiTheme="minorHAnsi" w:hAnsiTheme="minorHAnsi" w:cstheme="minorHAnsi"/>
                <w:b/>
                <w:i/>
                <w:iCs/>
                <w:sz w:val="18"/>
                <w:szCs w:val="18"/>
              </w:rPr>
            </w:pPr>
            <w:r>
              <w:rPr>
                <w:rFonts w:asciiTheme="minorHAnsi" w:hAnsiTheme="minorHAnsi" w:cstheme="minorHAnsi"/>
                <w:b/>
                <w:i/>
                <w:iCs/>
                <w:sz w:val="18"/>
                <w:szCs w:val="18"/>
              </w:rPr>
              <w:t xml:space="preserve">Maximum amounts expected to be available from the </w:t>
            </w:r>
            <w:r w:rsidRPr="001459B4">
              <w:rPr>
                <w:rFonts w:asciiTheme="minorHAnsi" w:hAnsiTheme="minorHAnsi" w:cstheme="minorHAnsi"/>
                <w:b/>
                <w:i/>
                <w:iCs/>
                <w:sz w:val="18"/>
                <w:szCs w:val="18"/>
              </w:rPr>
              <w:t>IPBES trust fund</w:t>
            </w:r>
          </w:p>
        </w:tc>
      </w:tr>
      <w:tr w:rsidR="00511DFF" w:rsidRPr="001459B4" w14:paraId="6F901EC5" w14:textId="77777777" w:rsidTr="00511DFF">
        <w:trPr>
          <w:trHeight w:val="1288"/>
          <w:jc w:val="center"/>
        </w:trPr>
        <w:tc>
          <w:tcPr>
            <w:tcW w:w="839" w:type="dxa"/>
            <w:vMerge w:val="restart"/>
            <w:tcBorders>
              <w:left w:val="single" w:sz="8" w:space="0" w:color="auto"/>
              <w:right w:val="single" w:sz="8" w:space="0" w:color="auto"/>
            </w:tcBorders>
            <w:vAlign w:val="center"/>
          </w:tcPr>
          <w:p w14:paraId="23D9E721" w14:textId="342D6AE8" w:rsidR="00511DFF" w:rsidRPr="001459B4" w:rsidRDefault="00511DFF" w:rsidP="004F0ED8">
            <w:pPr>
              <w:pStyle w:val="Normal-pool"/>
              <w:rPr>
                <w:rFonts w:asciiTheme="minorHAnsi" w:eastAsiaTheme="minorEastAsia" w:hAnsiTheme="minorHAnsi" w:cstheme="minorHAnsi"/>
                <w:b/>
                <w:color w:val="000000"/>
                <w:sz w:val="18"/>
                <w:szCs w:val="18"/>
                <w:lang w:eastAsia="ja-JP"/>
              </w:rPr>
            </w:pPr>
            <w:r w:rsidRPr="001459B4">
              <w:rPr>
                <w:rFonts w:asciiTheme="minorHAnsi" w:eastAsiaTheme="minorEastAsia" w:hAnsiTheme="minorHAnsi" w:cstheme="minorHAnsi"/>
                <w:b/>
                <w:color w:val="000000"/>
                <w:sz w:val="18"/>
                <w:szCs w:val="18"/>
                <w:lang w:eastAsia="ja-JP"/>
              </w:rPr>
              <w:t>2021</w:t>
            </w:r>
          </w:p>
        </w:tc>
        <w:tc>
          <w:tcPr>
            <w:tcW w:w="2886" w:type="dxa"/>
            <w:tcBorders>
              <w:top w:val="nil"/>
              <w:left w:val="nil"/>
              <w:bottom w:val="single" w:sz="8" w:space="0" w:color="auto"/>
              <w:right w:val="single" w:sz="8" w:space="0" w:color="auto"/>
            </w:tcBorders>
            <w:shd w:val="clear" w:color="auto" w:fill="auto"/>
            <w:vAlign w:val="center"/>
          </w:tcPr>
          <w:p w14:paraId="7984A60A" w14:textId="1D832FDA"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Management committee meeting</w:t>
            </w:r>
            <w:r w:rsidRPr="001459B4">
              <w:rPr>
                <w:rFonts w:asciiTheme="minorHAnsi" w:hAnsiTheme="minorHAnsi" w:cstheme="minorHAnsi"/>
                <w:color w:val="000000"/>
                <w:sz w:val="18"/>
                <w:szCs w:val="18"/>
                <w:lang w:eastAsia="en-GB"/>
              </w:rPr>
              <w:t xml:space="preserve"> </w:t>
            </w:r>
            <w:r>
              <w:rPr>
                <w:rFonts w:asciiTheme="minorHAnsi" w:hAnsiTheme="minorHAnsi" w:cstheme="minorHAnsi"/>
                <w:color w:val="000000"/>
                <w:sz w:val="18"/>
                <w:szCs w:val="18"/>
                <w:lang w:eastAsia="en-GB"/>
              </w:rPr>
              <w:t>(</w:t>
            </w:r>
            <w:r w:rsidRPr="001459B4">
              <w:rPr>
                <w:rFonts w:asciiTheme="minorHAnsi" w:hAnsiTheme="minorHAnsi" w:cstheme="minorHAnsi"/>
                <w:color w:val="000000"/>
                <w:sz w:val="18"/>
                <w:szCs w:val="18"/>
                <w:lang w:eastAsia="en-GB"/>
              </w:rPr>
              <w:t xml:space="preserve">co-chairs, members of the secretariat, including technical support unit, </w:t>
            </w:r>
            <w:r>
              <w:rPr>
                <w:rFonts w:asciiTheme="minorHAnsi" w:hAnsiTheme="minorHAnsi" w:cstheme="minorHAnsi"/>
                <w:color w:val="000000"/>
                <w:sz w:val="18"/>
                <w:szCs w:val="18"/>
                <w:lang w:eastAsia="en-GB"/>
              </w:rPr>
              <w:t>dedicated</w:t>
            </w:r>
            <w:r w:rsidRPr="001459B4">
              <w:rPr>
                <w:rFonts w:asciiTheme="minorHAnsi" w:hAnsiTheme="minorHAnsi" w:cstheme="minorHAnsi"/>
                <w:color w:val="000000"/>
                <w:sz w:val="18"/>
                <w:szCs w:val="18"/>
                <w:lang w:eastAsia="en-GB"/>
              </w:rPr>
              <w:t xml:space="preserve"> Multidisciplinary Expert Panel and Bureau)</w:t>
            </w:r>
          </w:p>
        </w:tc>
        <w:tc>
          <w:tcPr>
            <w:tcW w:w="3201" w:type="dxa"/>
            <w:tcBorders>
              <w:top w:val="single" w:sz="4" w:space="0" w:color="auto"/>
              <w:left w:val="nil"/>
              <w:bottom w:val="single" w:sz="8" w:space="0" w:color="auto"/>
              <w:right w:val="single" w:sz="8" w:space="0" w:color="auto"/>
            </w:tcBorders>
            <w:shd w:val="clear" w:color="auto" w:fill="auto"/>
            <w:vAlign w:val="center"/>
          </w:tcPr>
          <w:p w14:paraId="70E2D1A7" w14:textId="1376DCA8"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Online</w:t>
            </w:r>
          </w:p>
        </w:tc>
        <w:tc>
          <w:tcPr>
            <w:tcW w:w="1277" w:type="dxa"/>
            <w:tcBorders>
              <w:top w:val="nil"/>
              <w:left w:val="nil"/>
              <w:bottom w:val="single" w:sz="8" w:space="0" w:color="auto"/>
              <w:right w:val="single" w:sz="8" w:space="0" w:color="auto"/>
            </w:tcBorders>
            <w:shd w:val="clear" w:color="auto" w:fill="auto"/>
            <w:vAlign w:val="center"/>
          </w:tcPr>
          <w:p w14:paraId="4891F5F8" w14:textId="51FBCA55" w:rsidR="00511DFF" w:rsidRPr="001459B4" w:rsidDel="00783651"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0</w:t>
            </w:r>
          </w:p>
        </w:tc>
      </w:tr>
      <w:tr w:rsidR="00511DFF" w:rsidRPr="001459B4" w14:paraId="76A92F38" w14:textId="22DA559B" w:rsidTr="00511DFF">
        <w:trPr>
          <w:trHeight w:val="694"/>
          <w:jc w:val="center"/>
        </w:trPr>
        <w:tc>
          <w:tcPr>
            <w:tcW w:w="839" w:type="dxa"/>
            <w:vMerge/>
            <w:tcBorders>
              <w:left w:val="single" w:sz="8" w:space="0" w:color="auto"/>
              <w:right w:val="single" w:sz="8" w:space="0" w:color="auto"/>
            </w:tcBorders>
            <w:vAlign w:val="center"/>
            <w:hideMark/>
          </w:tcPr>
          <w:p w14:paraId="46C923F0" w14:textId="3E99FA8B" w:rsidR="00511DFF" w:rsidRPr="001459B4" w:rsidRDefault="00511DFF" w:rsidP="004F0ED8">
            <w:pPr>
              <w:pStyle w:val="Normal-pool"/>
              <w:rPr>
                <w:rFonts w:asciiTheme="minorHAnsi" w:eastAsiaTheme="minorEastAsia" w:hAnsiTheme="minorHAnsi" w:cstheme="minorHAnsi"/>
                <w:b/>
                <w:color w:val="000000"/>
                <w:sz w:val="18"/>
                <w:szCs w:val="18"/>
                <w:lang w:eastAsia="ja-JP"/>
              </w:rPr>
            </w:pPr>
          </w:p>
        </w:tc>
        <w:tc>
          <w:tcPr>
            <w:tcW w:w="2886" w:type="dxa"/>
            <w:tcBorders>
              <w:top w:val="nil"/>
              <w:left w:val="nil"/>
              <w:bottom w:val="single" w:sz="8" w:space="0" w:color="auto"/>
              <w:right w:val="single" w:sz="8" w:space="0" w:color="auto"/>
            </w:tcBorders>
            <w:shd w:val="clear" w:color="auto" w:fill="auto"/>
            <w:vAlign w:val="center"/>
            <w:hideMark/>
          </w:tcPr>
          <w:p w14:paraId="2D749524" w14:textId="77777777"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Technical support unit</w:t>
            </w:r>
            <w:r w:rsidRPr="001459B4">
              <w:rPr>
                <w:rFonts w:asciiTheme="minorHAnsi" w:hAnsiTheme="minorHAnsi" w:cstheme="minorHAnsi"/>
                <w:color w:val="000000"/>
                <w:sz w:val="18"/>
                <w:szCs w:val="18"/>
                <w:lang w:eastAsia="en-GB"/>
              </w:rPr>
              <w:t xml:space="preserve"> starting after IPBES 8 (6 months)</w:t>
            </w:r>
          </w:p>
        </w:tc>
        <w:tc>
          <w:tcPr>
            <w:tcW w:w="3201" w:type="dxa"/>
            <w:tcBorders>
              <w:top w:val="single" w:sz="4" w:space="0" w:color="auto"/>
              <w:left w:val="nil"/>
              <w:bottom w:val="single" w:sz="8" w:space="0" w:color="auto"/>
              <w:right w:val="single" w:sz="8" w:space="0" w:color="auto"/>
            </w:tcBorders>
            <w:shd w:val="clear" w:color="auto" w:fill="auto"/>
            <w:vAlign w:val="center"/>
            <w:hideMark/>
          </w:tcPr>
          <w:p w14:paraId="6C8A4F95"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1277" w:type="dxa"/>
            <w:tcBorders>
              <w:top w:val="nil"/>
              <w:left w:val="nil"/>
              <w:bottom w:val="single" w:sz="8" w:space="0" w:color="auto"/>
              <w:right w:val="single" w:sz="8" w:space="0" w:color="auto"/>
            </w:tcBorders>
            <w:shd w:val="clear" w:color="auto" w:fill="auto"/>
            <w:vAlign w:val="center"/>
            <w:hideMark/>
          </w:tcPr>
          <w:p w14:paraId="111BE83D" w14:textId="4DDB3E8F"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75 000</w:t>
            </w:r>
          </w:p>
        </w:tc>
      </w:tr>
      <w:tr w:rsidR="00511DFF" w:rsidRPr="001459B4" w14:paraId="28A2EFDB" w14:textId="486C75E8" w:rsidTr="00511DFF">
        <w:trPr>
          <w:trHeight w:val="351"/>
          <w:jc w:val="center"/>
        </w:trPr>
        <w:tc>
          <w:tcPr>
            <w:tcW w:w="839" w:type="dxa"/>
            <w:vMerge/>
            <w:tcBorders>
              <w:left w:val="single" w:sz="8" w:space="0" w:color="auto"/>
              <w:bottom w:val="single" w:sz="8" w:space="0" w:color="auto"/>
              <w:right w:val="single" w:sz="8" w:space="0" w:color="auto"/>
            </w:tcBorders>
            <w:shd w:val="clear" w:color="auto" w:fill="auto"/>
            <w:vAlign w:val="center"/>
            <w:hideMark/>
          </w:tcPr>
          <w:p w14:paraId="538566FC"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6087" w:type="dxa"/>
            <w:gridSpan w:val="2"/>
            <w:tcBorders>
              <w:top w:val="nil"/>
              <w:left w:val="nil"/>
              <w:bottom w:val="single" w:sz="8" w:space="0" w:color="auto"/>
              <w:right w:val="single" w:sz="8" w:space="0" w:color="auto"/>
            </w:tcBorders>
            <w:shd w:val="clear" w:color="auto" w:fill="auto"/>
            <w:vAlign w:val="center"/>
            <w:hideMark/>
          </w:tcPr>
          <w:p w14:paraId="2D921BB4" w14:textId="3FC30819" w:rsidR="00511DFF" w:rsidRPr="001459B4" w:rsidRDefault="00511DFF" w:rsidP="000B748C">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Total 2021 </w:t>
            </w:r>
          </w:p>
        </w:tc>
        <w:tc>
          <w:tcPr>
            <w:tcW w:w="1277" w:type="dxa"/>
            <w:tcBorders>
              <w:top w:val="nil"/>
              <w:left w:val="nil"/>
              <w:bottom w:val="single" w:sz="8" w:space="0" w:color="auto"/>
              <w:right w:val="single" w:sz="8" w:space="0" w:color="auto"/>
            </w:tcBorders>
            <w:shd w:val="clear" w:color="auto" w:fill="auto"/>
            <w:vAlign w:val="center"/>
            <w:hideMark/>
          </w:tcPr>
          <w:p w14:paraId="593D884E" w14:textId="2C2CB557" w:rsidR="00511DFF" w:rsidRPr="001459B4" w:rsidRDefault="00511DFF" w:rsidP="004F0ED8">
            <w:pPr>
              <w:pStyle w:val="Normal-pool"/>
              <w:jc w:val="right"/>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75 000</w:t>
            </w:r>
          </w:p>
        </w:tc>
      </w:tr>
      <w:tr w:rsidR="00511DFF" w:rsidRPr="001459B4" w14:paraId="69431A90" w14:textId="48D4B8F7" w:rsidTr="00511DFF">
        <w:trPr>
          <w:trHeight w:val="525"/>
          <w:jc w:val="center"/>
        </w:trPr>
        <w:tc>
          <w:tcPr>
            <w:tcW w:w="839" w:type="dxa"/>
            <w:vMerge w:val="restart"/>
            <w:tcBorders>
              <w:top w:val="nil"/>
              <w:left w:val="single" w:sz="8" w:space="0" w:color="auto"/>
              <w:right w:val="single" w:sz="8" w:space="0" w:color="auto"/>
            </w:tcBorders>
            <w:shd w:val="clear" w:color="auto" w:fill="auto"/>
            <w:vAlign w:val="center"/>
            <w:hideMark/>
          </w:tcPr>
          <w:p w14:paraId="0DD85E08"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2022</w:t>
            </w:r>
          </w:p>
        </w:tc>
        <w:tc>
          <w:tcPr>
            <w:tcW w:w="2886" w:type="dxa"/>
            <w:vMerge w:val="restart"/>
            <w:tcBorders>
              <w:top w:val="nil"/>
              <w:left w:val="single" w:sz="8" w:space="0" w:color="auto"/>
              <w:bottom w:val="single" w:sz="8" w:space="0" w:color="000000"/>
              <w:right w:val="single" w:sz="8" w:space="0" w:color="auto"/>
            </w:tcBorders>
            <w:shd w:val="clear" w:color="auto" w:fill="auto"/>
            <w:vAlign w:val="center"/>
            <w:hideMark/>
          </w:tcPr>
          <w:p w14:paraId="409C1898" w14:textId="77777777"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First author meeting</w:t>
            </w:r>
            <w:r w:rsidRPr="001459B4">
              <w:rPr>
                <w:rFonts w:asciiTheme="minorHAnsi" w:hAnsiTheme="minorHAnsi" w:cstheme="minorHAnsi"/>
                <w:color w:val="000000"/>
                <w:sz w:val="18"/>
                <w:szCs w:val="18"/>
                <w:lang w:eastAsia="en-GB"/>
              </w:rPr>
              <w:t xml:space="preserve"> (3 co</w:t>
            </w:r>
            <w:r w:rsidRPr="001459B4">
              <w:rPr>
                <w:rFonts w:asciiTheme="minorHAnsi" w:hAnsiTheme="minorHAnsi" w:cstheme="minorHAnsi"/>
                <w:color w:val="000000"/>
                <w:sz w:val="18"/>
                <w:szCs w:val="18"/>
                <w:lang w:eastAsia="en-GB"/>
              </w:rPr>
              <w:noBreakHyphen/>
              <w:t>chairs, 15 coordinating lead authors, 75 lead authors,10 review editors and 4 Multidisciplinary Expert Panel and Bureau members)</w:t>
            </w:r>
          </w:p>
        </w:tc>
        <w:tc>
          <w:tcPr>
            <w:tcW w:w="3201" w:type="dxa"/>
            <w:tcBorders>
              <w:top w:val="nil"/>
              <w:left w:val="nil"/>
              <w:bottom w:val="single" w:sz="8" w:space="0" w:color="auto"/>
              <w:right w:val="single" w:sz="8" w:space="0" w:color="auto"/>
            </w:tcBorders>
            <w:shd w:val="clear" w:color="auto" w:fill="auto"/>
            <w:vAlign w:val="center"/>
            <w:hideMark/>
          </w:tcPr>
          <w:p w14:paraId="3F686832"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Venue costs </w:t>
            </w:r>
          </w:p>
        </w:tc>
        <w:tc>
          <w:tcPr>
            <w:tcW w:w="1277" w:type="dxa"/>
            <w:tcBorders>
              <w:top w:val="nil"/>
              <w:left w:val="nil"/>
              <w:bottom w:val="single" w:sz="8" w:space="0" w:color="auto"/>
              <w:right w:val="single" w:sz="8" w:space="0" w:color="auto"/>
            </w:tcBorders>
            <w:shd w:val="clear" w:color="auto" w:fill="auto"/>
            <w:vAlign w:val="center"/>
            <w:hideMark/>
          </w:tcPr>
          <w:p w14:paraId="23720C00"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20 000</w:t>
            </w:r>
          </w:p>
        </w:tc>
      </w:tr>
      <w:tr w:rsidR="00511DFF" w:rsidRPr="001459B4" w14:paraId="5A53C22B" w14:textId="65A576D0" w:rsidTr="00511DFF">
        <w:trPr>
          <w:trHeight w:val="921"/>
          <w:jc w:val="center"/>
        </w:trPr>
        <w:tc>
          <w:tcPr>
            <w:tcW w:w="839" w:type="dxa"/>
            <w:vMerge/>
            <w:tcBorders>
              <w:left w:val="single" w:sz="8" w:space="0" w:color="auto"/>
              <w:right w:val="single" w:sz="8" w:space="0" w:color="auto"/>
            </w:tcBorders>
            <w:vAlign w:val="center"/>
            <w:hideMark/>
          </w:tcPr>
          <w:p w14:paraId="4E5EF9DA"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tcBorders>
              <w:top w:val="nil"/>
              <w:left w:val="single" w:sz="8" w:space="0" w:color="auto"/>
              <w:bottom w:val="single" w:sz="8" w:space="0" w:color="000000"/>
              <w:right w:val="single" w:sz="8" w:space="0" w:color="auto"/>
            </w:tcBorders>
            <w:vAlign w:val="center"/>
            <w:hideMark/>
          </w:tcPr>
          <w:p w14:paraId="2CA3FD7C" w14:textId="77777777" w:rsidR="00511DFF" w:rsidRPr="001459B4" w:rsidRDefault="00511DFF" w:rsidP="004F0ED8">
            <w:pPr>
              <w:pStyle w:val="Normal-pool"/>
              <w:rPr>
                <w:rFonts w:asciiTheme="minorHAnsi" w:hAnsiTheme="minorHAnsi" w:cstheme="minorHAnsi"/>
                <w:bCs/>
                <w:color w:val="000000"/>
                <w:sz w:val="18"/>
                <w:szCs w:val="18"/>
                <w:lang w:eastAsia="en-GB"/>
              </w:rPr>
            </w:pPr>
          </w:p>
        </w:tc>
        <w:tc>
          <w:tcPr>
            <w:tcW w:w="3201" w:type="dxa"/>
            <w:tcBorders>
              <w:top w:val="single" w:sz="8" w:space="0" w:color="auto"/>
              <w:left w:val="nil"/>
              <w:bottom w:val="single" w:sz="4" w:space="0" w:color="auto"/>
              <w:right w:val="single" w:sz="8" w:space="0" w:color="auto"/>
            </w:tcBorders>
            <w:shd w:val="clear" w:color="auto" w:fill="auto"/>
            <w:vAlign w:val="center"/>
            <w:hideMark/>
          </w:tcPr>
          <w:p w14:paraId="2A4036FE" w14:textId="1355AAE0"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107, including 80 supported participants</w:t>
            </w:r>
          </w:p>
          <w:p w14:paraId="7C8A89E8"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Cost per participant: $3,750 </w:t>
            </w:r>
          </w:p>
        </w:tc>
        <w:tc>
          <w:tcPr>
            <w:tcW w:w="1277" w:type="dxa"/>
            <w:tcBorders>
              <w:top w:val="nil"/>
              <w:left w:val="single" w:sz="8" w:space="0" w:color="auto"/>
              <w:bottom w:val="single" w:sz="8" w:space="0" w:color="000000"/>
              <w:right w:val="single" w:sz="8" w:space="0" w:color="auto"/>
            </w:tcBorders>
            <w:shd w:val="clear" w:color="auto" w:fill="auto"/>
            <w:vAlign w:val="center"/>
            <w:hideMark/>
          </w:tcPr>
          <w:p w14:paraId="69D98F1A"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300 000</w:t>
            </w:r>
          </w:p>
        </w:tc>
      </w:tr>
      <w:tr w:rsidR="00511DFF" w:rsidRPr="001459B4" w14:paraId="1F1306C1" w14:textId="07215297" w:rsidTr="00511DFF">
        <w:trPr>
          <w:trHeight w:val="441"/>
          <w:jc w:val="center"/>
        </w:trPr>
        <w:tc>
          <w:tcPr>
            <w:tcW w:w="839" w:type="dxa"/>
            <w:vMerge/>
            <w:tcBorders>
              <w:left w:val="single" w:sz="8" w:space="0" w:color="auto"/>
              <w:right w:val="single" w:sz="8" w:space="0" w:color="auto"/>
            </w:tcBorders>
            <w:vAlign w:val="center"/>
            <w:hideMark/>
          </w:tcPr>
          <w:p w14:paraId="5A4CD0C6"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tcBorders>
              <w:top w:val="nil"/>
              <w:left w:val="nil"/>
              <w:bottom w:val="single" w:sz="8" w:space="0" w:color="auto"/>
              <w:right w:val="single" w:sz="8" w:space="0" w:color="auto"/>
            </w:tcBorders>
            <w:shd w:val="clear" w:color="auto" w:fill="auto"/>
            <w:vAlign w:val="center"/>
            <w:hideMark/>
          </w:tcPr>
          <w:p w14:paraId="4FF21E03"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Technical support unit</w:t>
            </w:r>
          </w:p>
        </w:tc>
        <w:tc>
          <w:tcPr>
            <w:tcW w:w="3201" w:type="dxa"/>
            <w:tcBorders>
              <w:top w:val="single" w:sz="4" w:space="0" w:color="auto"/>
              <w:left w:val="nil"/>
              <w:bottom w:val="single" w:sz="8" w:space="0" w:color="auto"/>
              <w:right w:val="single" w:sz="8" w:space="0" w:color="auto"/>
            </w:tcBorders>
            <w:shd w:val="clear" w:color="auto" w:fill="auto"/>
            <w:vAlign w:val="center"/>
            <w:hideMark/>
          </w:tcPr>
          <w:p w14:paraId="16762A04"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1277" w:type="dxa"/>
            <w:tcBorders>
              <w:top w:val="nil"/>
              <w:left w:val="nil"/>
              <w:bottom w:val="single" w:sz="8" w:space="0" w:color="auto"/>
              <w:right w:val="single" w:sz="8" w:space="0" w:color="auto"/>
            </w:tcBorders>
            <w:shd w:val="clear" w:color="auto" w:fill="auto"/>
            <w:vAlign w:val="center"/>
            <w:hideMark/>
          </w:tcPr>
          <w:p w14:paraId="4E369586" w14:textId="7E5900A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150 000</w:t>
            </w:r>
          </w:p>
        </w:tc>
      </w:tr>
      <w:tr w:rsidR="00511DFF" w:rsidRPr="001459B4" w14:paraId="5C106B14" w14:textId="1528FF6B" w:rsidTr="00511DFF">
        <w:trPr>
          <w:trHeight w:val="357"/>
          <w:jc w:val="center"/>
        </w:trPr>
        <w:tc>
          <w:tcPr>
            <w:tcW w:w="839" w:type="dxa"/>
            <w:vMerge/>
            <w:tcBorders>
              <w:left w:val="single" w:sz="8" w:space="0" w:color="auto"/>
              <w:bottom w:val="single" w:sz="8" w:space="0" w:color="auto"/>
              <w:right w:val="single" w:sz="8" w:space="0" w:color="auto"/>
            </w:tcBorders>
            <w:shd w:val="clear" w:color="auto" w:fill="auto"/>
            <w:vAlign w:val="center"/>
            <w:hideMark/>
          </w:tcPr>
          <w:p w14:paraId="37F6E21F"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6087" w:type="dxa"/>
            <w:gridSpan w:val="2"/>
            <w:tcBorders>
              <w:top w:val="nil"/>
              <w:left w:val="nil"/>
              <w:bottom w:val="single" w:sz="8" w:space="0" w:color="auto"/>
              <w:right w:val="single" w:sz="8" w:space="0" w:color="auto"/>
            </w:tcBorders>
            <w:shd w:val="clear" w:color="auto" w:fill="auto"/>
            <w:vAlign w:val="center"/>
            <w:hideMark/>
          </w:tcPr>
          <w:p w14:paraId="5A6AC979" w14:textId="1834AE16" w:rsidR="00511DFF" w:rsidRPr="001459B4" w:rsidRDefault="00511DFF" w:rsidP="000B748C">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Total 2022 </w:t>
            </w:r>
          </w:p>
        </w:tc>
        <w:tc>
          <w:tcPr>
            <w:tcW w:w="1277" w:type="dxa"/>
            <w:tcBorders>
              <w:top w:val="nil"/>
              <w:left w:val="nil"/>
              <w:bottom w:val="single" w:sz="8" w:space="0" w:color="auto"/>
              <w:right w:val="single" w:sz="8" w:space="0" w:color="auto"/>
            </w:tcBorders>
            <w:shd w:val="clear" w:color="auto" w:fill="auto"/>
            <w:vAlign w:val="center"/>
            <w:hideMark/>
          </w:tcPr>
          <w:p w14:paraId="4DC00F1B" w14:textId="649CA50E" w:rsidR="00511DFF" w:rsidRPr="001459B4" w:rsidRDefault="00511DFF" w:rsidP="004F0ED8">
            <w:pPr>
              <w:pStyle w:val="Normal-pool"/>
              <w:jc w:val="right"/>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470 000</w:t>
            </w:r>
          </w:p>
        </w:tc>
      </w:tr>
      <w:tr w:rsidR="00511DFF" w:rsidRPr="001459B4" w14:paraId="00F6A3B7" w14:textId="5AF6EA3A" w:rsidTr="00511DFF">
        <w:trPr>
          <w:trHeight w:val="420"/>
          <w:jc w:val="center"/>
        </w:trPr>
        <w:tc>
          <w:tcPr>
            <w:tcW w:w="839" w:type="dxa"/>
            <w:vMerge w:val="restart"/>
            <w:tcBorders>
              <w:top w:val="single" w:sz="4" w:space="0" w:color="auto"/>
              <w:left w:val="single" w:sz="8" w:space="0" w:color="auto"/>
              <w:right w:val="nil"/>
            </w:tcBorders>
            <w:shd w:val="clear" w:color="auto" w:fill="auto"/>
            <w:vAlign w:val="center"/>
            <w:hideMark/>
          </w:tcPr>
          <w:p w14:paraId="7CE8CA29"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2023</w:t>
            </w:r>
          </w:p>
        </w:tc>
        <w:tc>
          <w:tcPr>
            <w:tcW w:w="28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A07651" w14:textId="77777777"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Second author meeting</w:t>
            </w:r>
            <w:r w:rsidRPr="001459B4">
              <w:rPr>
                <w:rFonts w:asciiTheme="minorHAnsi" w:hAnsiTheme="minorHAnsi" w:cstheme="minorHAnsi"/>
                <w:color w:val="000000"/>
                <w:sz w:val="18"/>
                <w:szCs w:val="18"/>
                <w:lang w:eastAsia="en-GB"/>
              </w:rPr>
              <w:t xml:space="preserve"> (3 co</w:t>
            </w:r>
            <w:r w:rsidRPr="001459B4">
              <w:rPr>
                <w:rFonts w:asciiTheme="minorHAnsi" w:hAnsiTheme="minorHAnsi" w:cstheme="minorHAnsi"/>
                <w:color w:val="000000"/>
                <w:sz w:val="18"/>
                <w:szCs w:val="18"/>
                <w:lang w:eastAsia="en-GB"/>
              </w:rPr>
              <w:noBreakHyphen/>
              <w:t>chairs, 15 coordinating lead authors, 75 lead authors, 10 review editors and 4 Multidisciplinary Expert Panel and Bureau members)</w:t>
            </w:r>
          </w:p>
        </w:tc>
        <w:tc>
          <w:tcPr>
            <w:tcW w:w="3201" w:type="dxa"/>
            <w:tcBorders>
              <w:top w:val="single" w:sz="4" w:space="0" w:color="auto"/>
              <w:left w:val="nil"/>
              <w:bottom w:val="single" w:sz="8" w:space="0" w:color="auto"/>
              <w:right w:val="single" w:sz="8" w:space="0" w:color="auto"/>
            </w:tcBorders>
            <w:shd w:val="clear" w:color="auto" w:fill="auto"/>
            <w:vAlign w:val="center"/>
            <w:hideMark/>
          </w:tcPr>
          <w:p w14:paraId="6BE7B8CC"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Venue costs </w:t>
            </w:r>
          </w:p>
        </w:tc>
        <w:tc>
          <w:tcPr>
            <w:tcW w:w="1277" w:type="dxa"/>
            <w:tcBorders>
              <w:top w:val="single" w:sz="4" w:space="0" w:color="auto"/>
              <w:left w:val="nil"/>
              <w:bottom w:val="single" w:sz="8" w:space="0" w:color="auto"/>
              <w:right w:val="single" w:sz="8" w:space="0" w:color="auto"/>
            </w:tcBorders>
            <w:shd w:val="clear" w:color="auto" w:fill="auto"/>
            <w:vAlign w:val="center"/>
            <w:hideMark/>
          </w:tcPr>
          <w:p w14:paraId="33A94CDE"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20 000</w:t>
            </w:r>
          </w:p>
        </w:tc>
      </w:tr>
      <w:tr w:rsidR="00511DFF" w:rsidRPr="001459B4" w14:paraId="14DC81AE" w14:textId="7318818D" w:rsidTr="00511DFF">
        <w:trPr>
          <w:trHeight w:val="874"/>
          <w:jc w:val="center"/>
        </w:trPr>
        <w:tc>
          <w:tcPr>
            <w:tcW w:w="839" w:type="dxa"/>
            <w:vMerge/>
            <w:tcBorders>
              <w:left w:val="single" w:sz="8" w:space="0" w:color="auto"/>
              <w:right w:val="nil"/>
            </w:tcBorders>
            <w:vAlign w:val="center"/>
            <w:hideMark/>
          </w:tcPr>
          <w:p w14:paraId="10F34666"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tcBorders>
              <w:top w:val="nil"/>
              <w:left w:val="single" w:sz="8" w:space="0" w:color="auto"/>
              <w:bottom w:val="single" w:sz="8" w:space="0" w:color="000000"/>
              <w:right w:val="single" w:sz="8" w:space="0" w:color="auto"/>
            </w:tcBorders>
            <w:vAlign w:val="center"/>
            <w:hideMark/>
          </w:tcPr>
          <w:p w14:paraId="5FE08342" w14:textId="77777777" w:rsidR="00511DFF" w:rsidRPr="001459B4" w:rsidRDefault="00511DFF" w:rsidP="004F0ED8">
            <w:pPr>
              <w:pStyle w:val="Normal-pool"/>
              <w:rPr>
                <w:rFonts w:asciiTheme="minorHAnsi" w:hAnsiTheme="minorHAnsi" w:cstheme="minorHAnsi"/>
                <w:bCs/>
                <w:color w:val="000000"/>
                <w:sz w:val="18"/>
                <w:szCs w:val="18"/>
                <w:lang w:eastAsia="en-GB"/>
              </w:rPr>
            </w:pPr>
          </w:p>
        </w:tc>
        <w:tc>
          <w:tcPr>
            <w:tcW w:w="3201" w:type="dxa"/>
            <w:tcBorders>
              <w:top w:val="nil"/>
              <w:left w:val="nil"/>
              <w:bottom w:val="single" w:sz="8" w:space="0" w:color="auto"/>
              <w:right w:val="single" w:sz="8" w:space="0" w:color="auto"/>
            </w:tcBorders>
            <w:shd w:val="clear" w:color="auto" w:fill="auto"/>
            <w:vAlign w:val="center"/>
            <w:hideMark/>
          </w:tcPr>
          <w:p w14:paraId="431855E7" w14:textId="2B8487DD"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107, including 80 supported participants</w:t>
            </w:r>
          </w:p>
          <w:p w14:paraId="17A455B0"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Cost per participant: $3,750 </w:t>
            </w:r>
          </w:p>
        </w:tc>
        <w:tc>
          <w:tcPr>
            <w:tcW w:w="1277" w:type="dxa"/>
            <w:tcBorders>
              <w:top w:val="nil"/>
              <w:left w:val="single" w:sz="8" w:space="0" w:color="auto"/>
              <w:bottom w:val="single" w:sz="8" w:space="0" w:color="000000"/>
              <w:right w:val="single" w:sz="8" w:space="0" w:color="auto"/>
            </w:tcBorders>
            <w:vAlign w:val="center"/>
            <w:hideMark/>
          </w:tcPr>
          <w:p w14:paraId="16780174"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300 000</w:t>
            </w:r>
          </w:p>
        </w:tc>
      </w:tr>
      <w:tr w:rsidR="00511DFF" w:rsidRPr="001459B4" w14:paraId="6F4CA178" w14:textId="3C5C27EA" w:rsidTr="00511DFF">
        <w:trPr>
          <w:trHeight w:val="532"/>
          <w:jc w:val="center"/>
        </w:trPr>
        <w:tc>
          <w:tcPr>
            <w:tcW w:w="839" w:type="dxa"/>
            <w:vMerge/>
            <w:tcBorders>
              <w:left w:val="single" w:sz="8" w:space="0" w:color="auto"/>
              <w:right w:val="nil"/>
            </w:tcBorders>
            <w:vAlign w:val="center"/>
          </w:tcPr>
          <w:p w14:paraId="6A67AF13"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val="restart"/>
            <w:tcBorders>
              <w:top w:val="nil"/>
              <w:left w:val="single" w:sz="8" w:space="0" w:color="auto"/>
              <w:right w:val="single" w:sz="8" w:space="0" w:color="auto"/>
            </w:tcBorders>
            <w:shd w:val="clear" w:color="auto" w:fill="auto"/>
            <w:vAlign w:val="center"/>
          </w:tcPr>
          <w:p w14:paraId="26B454F4"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b/>
                <w:color w:val="000000"/>
                <w:sz w:val="18"/>
                <w:szCs w:val="18"/>
                <w:lang w:eastAsia="en-GB"/>
              </w:rPr>
              <w:t>Meeting to develop the summary for policymakers</w:t>
            </w:r>
            <w:r w:rsidRPr="001459B4">
              <w:rPr>
                <w:rFonts w:asciiTheme="minorHAnsi" w:hAnsiTheme="minorHAnsi" w:cstheme="minorHAnsi"/>
                <w:color w:val="000000"/>
                <w:sz w:val="18"/>
                <w:szCs w:val="18"/>
                <w:lang w:eastAsia="en-GB"/>
              </w:rPr>
              <w:t xml:space="preserve"> back to back with second author meeting</w:t>
            </w:r>
          </w:p>
        </w:tc>
        <w:tc>
          <w:tcPr>
            <w:tcW w:w="3201" w:type="dxa"/>
            <w:tcBorders>
              <w:top w:val="nil"/>
              <w:left w:val="nil"/>
              <w:bottom w:val="single" w:sz="8" w:space="0" w:color="auto"/>
              <w:right w:val="single" w:sz="8" w:space="0" w:color="auto"/>
            </w:tcBorders>
            <w:shd w:val="clear" w:color="auto" w:fill="auto"/>
            <w:vAlign w:val="center"/>
          </w:tcPr>
          <w:p w14:paraId="6F2BE171"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Venue costs</w:t>
            </w:r>
          </w:p>
        </w:tc>
        <w:tc>
          <w:tcPr>
            <w:tcW w:w="1277" w:type="dxa"/>
            <w:tcBorders>
              <w:top w:val="nil"/>
              <w:left w:val="nil"/>
              <w:bottom w:val="single" w:sz="8" w:space="0" w:color="auto"/>
              <w:right w:val="single" w:sz="8" w:space="0" w:color="auto"/>
            </w:tcBorders>
            <w:shd w:val="clear" w:color="auto" w:fill="auto"/>
            <w:vAlign w:val="center"/>
          </w:tcPr>
          <w:p w14:paraId="01748CDD"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5 000</w:t>
            </w:r>
          </w:p>
        </w:tc>
      </w:tr>
      <w:tr w:rsidR="00511DFF" w:rsidRPr="001459B4" w14:paraId="2543E5C9" w14:textId="1C7FEE23" w:rsidTr="00511DFF">
        <w:trPr>
          <w:trHeight w:val="1148"/>
          <w:jc w:val="center"/>
        </w:trPr>
        <w:tc>
          <w:tcPr>
            <w:tcW w:w="839" w:type="dxa"/>
            <w:vMerge/>
            <w:tcBorders>
              <w:left w:val="single" w:sz="8" w:space="0" w:color="auto"/>
              <w:right w:val="nil"/>
            </w:tcBorders>
            <w:vAlign w:val="center"/>
            <w:hideMark/>
          </w:tcPr>
          <w:p w14:paraId="69DB78B8"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tcBorders>
              <w:left w:val="single" w:sz="8" w:space="0" w:color="auto"/>
              <w:bottom w:val="single" w:sz="4" w:space="0" w:color="auto"/>
              <w:right w:val="single" w:sz="8" w:space="0" w:color="auto"/>
            </w:tcBorders>
            <w:shd w:val="clear" w:color="auto" w:fill="auto"/>
            <w:vAlign w:val="center"/>
            <w:hideMark/>
          </w:tcPr>
          <w:p w14:paraId="23B32774"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3201" w:type="dxa"/>
            <w:tcBorders>
              <w:top w:val="nil"/>
              <w:left w:val="nil"/>
              <w:bottom w:val="single" w:sz="8" w:space="0" w:color="auto"/>
              <w:right w:val="single" w:sz="8" w:space="0" w:color="auto"/>
            </w:tcBorders>
            <w:shd w:val="clear" w:color="auto" w:fill="auto"/>
            <w:vAlign w:val="center"/>
            <w:hideMark/>
          </w:tcPr>
          <w:p w14:paraId="2AFD433E" w14:textId="26BC7D2F"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20, including 15 supported participants</w:t>
            </w:r>
          </w:p>
          <w:p w14:paraId="51095A8B"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Cost per participant: $750 (daily subsistence allowance at $375 per day for two days)</w:t>
            </w:r>
          </w:p>
        </w:tc>
        <w:tc>
          <w:tcPr>
            <w:tcW w:w="1277" w:type="dxa"/>
            <w:tcBorders>
              <w:top w:val="nil"/>
              <w:left w:val="nil"/>
              <w:bottom w:val="single" w:sz="8" w:space="0" w:color="auto"/>
              <w:right w:val="single" w:sz="8" w:space="0" w:color="auto"/>
            </w:tcBorders>
            <w:shd w:val="clear" w:color="auto" w:fill="auto"/>
            <w:vAlign w:val="center"/>
            <w:hideMark/>
          </w:tcPr>
          <w:p w14:paraId="6EE36919"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11 250</w:t>
            </w:r>
          </w:p>
        </w:tc>
      </w:tr>
      <w:tr w:rsidR="00511DFF" w:rsidRPr="001459B4" w14:paraId="1A17FA16" w14:textId="04335D5C" w:rsidTr="00511DFF">
        <w:trPr>
          <w:trHeight w:val="510"/>
          <w:jc w:val="center"/>
        </w:trPr>
        <w:tc>
          <w:tcPr>
            <w:tcW w:w="839" w:type="dxa"/>
            <w:vMerge/>
            <w:tcBorders>
              <w:left w:val="single" w:sz="8" w:space="0" w:color="auto"/>
              <w:right w:val="single" w:sz="4" w:space="0" w:color="auto"/>
            </w:tcBorders>
            <w:vAlign w:val="center"/>
            <w:hideMark/>
          </w:tcPr>
          <w:p w14:paraId="38D313AE"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6D4E1" w14:textId="77777777"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Meeting to develop the summary for policymakers</w:t>
            </w:r>
            <w:r w:rsidRPr="001459B4">
              <w:rPr>
                <w:rFonts w:asciiTheme="minorHAnsi" w:hAnsiTheme="minorHAnsi" w:cstheme="minorHAnsi"/>
                <w:color w:val="000000"/>
                <w:sz w:val="18"/>
                <w:szCs w:val="18"/>
                <w:lang w:eastAsia="en-GB"/>
              </w:rPr>
              <w:t xml:space="preserve"> (3 co</w:t>
            </w:r>
            <w:r w:rsidRPr="001459B4">
              <w:rPr>
                <w:rFonts w:asciiTheme="minorHAnsi" w:hAnsiTheme="minorHAnsi" w:cstheme="minorHAnsi"/>
                <w:color w:val="000000"/>
                <w:sz w:val="18"/>
                <w:szCs w:val="18"/>
                <w:lang w:eastAsia="en-GB"/>
              </w:rPr>
              <w:noBreakHyphen/>
              <w:t>chairs, 15 coordinating lead authors, and 2 Multidisciplinary Expert Panel and Bureau members)</w:t>
            </w:r>
          </w:p>
        </w:tc>
        <w:tc>
          <w:tcPr>
            <w:tcW w:w="3201" w:type="dxa"/>
            <w:tcBorders>
              <w:top w:val="nil"/>
              <w:left w:val="single" w:sz="4" w:space="0" w:color="auto"/>
              <w:bottom w:val="single" w:sz="4" w:space="0" w:color="auto"/>
              <w:right w:val="single" w:sz="8" w:space="0" w:color="auto"/>
            </w:tcBorders>
            <w:shd w:val="clear" w:color="auto" w:fill="auto"/>
            <w:vAlign w:val="center"/>
            <w:hideMark/>
          </w:tcPr>
          <w:p w14:paraId="5F4166F8"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Venue costs </w:t>
            </w:r>
          </w:p>
        </w:tc>
        <w:tc>
          <w:tcPr>
            <w:tcW w:w="1277" w:type="dxa"/>
            <w:tcBorders>
              <w:top w:val="nil"/>
              <w:left w:val="nil"/>
              <w:bottom w:val="single" w:sz="8" w:space="0" w:color="auto"/>
              <w:right w:val="single" w:sz="8" w:space="0" w:color="auto"/>
            </w:tcBorders>
            <w:shd w:val="clear" w:color="auto" w:fill="auto"/>
            <w:vAlign w:val="center"/>
            <w:hideMark/>
          </w:tcPr>
          <w:p w14:paraId="6B1830E0"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5 000</w:t>
            </w:r>
          </w:p>
        </w:tc>
      </w:tr>
      <w:tr w:rsidR="00511DFF" w:rsidRPr="001459B4" w14:paraId="2FA2A329" w14:textId="7B78AE24" w:rsidTr="00511DFF">
        <w:trPr>
          <w:trHeight w:val="1003"/>
          <w:jc w:val="center"/>
        </w:trPr>
        <w:tc>
          <w:tcPr>
            <w:tcW w:w="839" w:type="dxa"/>
            <w:vMerge/>
            <w:tcBorders>
              <w:left w:val="single" w:sz="8" w:space="0" w:color="auto"/>
              <w:right w:val="single" w:sz="4" w:space="0" w:color="auto"/>
            </w:tcBorders>
            <w:vAlign w:val="center"/>
            <w:hideMark/>
          </w:tcPr>
          <w:p w14:paraId="24E1E972"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14:paraId="09C590E3" w14:textId="77777777" w:rsidR="00511DFF" w:rsidRPr="001459B4" w:rsidRDefault="00511DFF" w:rsidP="004F0ED8">
            <w:pPr>
              <w:pStyle w:val="Normal-pool"/>
              <w:rPr>
                <w:rFonts w:asciiTheme="minorHAnsi" w:hAnsiTheme="minorHAnsi" w:cstheme="minorHAnsi"/>
                <w:bCs/>
                <w:color w:val="000000"/>
                <w:sz w:val="18"/>
                <w:szCs w:val="18"/>
                <w:lang w:eastAsia="en-GB"/>
              </w:rPr>
            </w:pPr>
          </w:p>
        </w:tc>
        <w:tc>
          <w:tcPr>
            <w:tcW w:w="32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B53F91A" w14:textId="065585A2"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20, including 15 supported participants</w:t>
            </w:r>
          </w:p>
          <w:p w14:paraId="5F8853D4"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Cost per participant: $3,000 </w:t>
            </w:r>
          </w:p>
        </w:tc>
        <w:tc>
          <w:tcPr>
            <w:tcW w:w="1277" w:type="dxa"/>
            <w:tcBorders>
              <w:top w:val="nil"/>
              <w:left w:val="single" w:sz="8" w:space="0" w:color="auto"/>
              <w:bottom w:val="single" w:sz="4" w:space="0" w:color="auto"/>
              <w:right w:val="single" w:sz="8" w:space="0" w:color="auto"/>
            </w:tcBorders>
            <w:shd w:val="clear" w:color="auto" w:fill="auto"/>
            <w:vAlign w:val="center"/>
            <w:hideMark/>
          </w:tcPr>
          <w:p w14:paraId="0C04CFC0"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45 000</w:t>
            </w:r>
          </w:p>
        </w:tc>
      </w:tr>
      <w:tr w:rsidR="00511DFF" w:rsidRPr="001459B4" w14:paraId="7E865F2B" w14:textId="054909F2" w:rsidTr="00511DFF">
        <w:trPr>
          <w:trHeight w:val="495"/>
          <w:jc w:val="center"/>
        </w:trPr>
        <w:tc>
          <w:tcPr>
            <w:tcW w:w="839" w:type="dxa"/>
            <w:vMerge/>
            <w:tcBorders>
              <w:left w:val="single" w:sz="8" w:space="0" w:color="auto"/>
              <w:right w:val="nil"/>
            </w:tcBorders>
            <w:vAlign w:val="center"/>
            <w:hideMark/>
          </w:tcPr>
          <w:p w14:paraId="0D5A2E65"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7B28BA4" w14:textId="77777777"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Third author meeting</w:t>
            </w:r>
            <w:r w:rsidRPr="001459B4">
              <w:rPr>
                <w:rFonts w:asciiTheme="minorHAnsi" w:hAnsiTheme="minorHAnsi" w:cstheme="minorHAnsi"/>
                <w:color w:val="000000"/>
                <w:sz w:val="18"/>
                <w:szCs w:val="18"/>
                <w:lang w:eastAsia="en-GB"/>
              </w:rPr>
              <w:t xml:space="preserve"> (3 co</w:t>
            </w:r>
            <w:r w:rsidRPr="001459B4">
              <w:rPr>
                <w:rFonts w:asciiTheme="minorHAnsi" w:hAnsiTheme="minorHAnsi" w:cstheme="minorHAnsi"/>
                <w:color w:val="000000"/>
                <w:sz w:val="18"/>
                <w:szCs w:val="18"/>
                <w:lang w:eastAsia="en-GB"/>
              </w:rPr>
              <w:noBreakHyphen/>
              <w:t>chairs, 15 coordinating lead authors, 75 lead authors, 10 review editors and 4 Multidisciplinary Expert Panel and Bureau members)</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40032"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Venue costs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87466"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20 000</w:t>
            </w:r>
          </w:p>
        </w:tc>
      </w:tr>
      <w:tr w:rsidR="00511DFF" w:rsidRPr="001459B4" w14:paraId="4507E564" w14:textId="0944BD3D" w:rsidTr="00511DFF">
        <w:trPr>
          <w:trHeight w:val="961"/>
          <w:jc w:val="center"/>
        </w:trPr>
        <w:tc>
          <w:tcPr>
            <w:tcW w:w="839" w:type="dxa"/>
            <w:vMerge/>
            <w:tcBorders>
              <w:left w:val="single" w:sz="8" w:space="0" w:color="auto"/>
              <w:right w:val="nil"/>
            </w:tcBorders>
            <w:vAlign w:val="center"/>
            <w:hideMark/>
          </w:tcPr>
          <w:p w14:paraId="03FDE6F7"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tcBorders>
              <w:top w:val="single" w:sz="8" w:space="0" w:color="auto"/>
              <w:left w:val="single" w:sz="8" w:space="0" w:color="auto"/>
              <w:bottom w:val="single" w:sz="8" w:space="0" w:color="000000"/>
              <w:right w:val="single" w:sz="8" w:space="0" w:color="auto"/>
            </w:tcBorders>
            <w:vAlign w:val="center"/>
            <w:hideMark/>
          </w:tcPr>
          <w:p w14:paraId="3E924C66" w14:textId="77777777" w:rsidR="00511DFF" w:rsidRPr="001459B4" w:rsidRDefault="00511DFF" w:rsidP="004F0ED8">
            <w:pPr>
              <w:pStyle w:val="Normal-pool"/>
              <w:rPr>
                <w:rFonts w:asciiTheme="minorHAnsi" w:hAnsiTheme="minorHAnsi" w:cstheme="minorHAnsi"/>
                <w:bCs/>
                <w:color w:val="000000"/>
                <w:sz w:val="18"/>
                <w:szCs w:val="18"/>
                <w:lang w:eastAsia="en-GB"/>
              </w:rPr>
            </w:pPr>
          </w:p>
        </w:tc>
        <w:tc>
          <w:tcPr>
            <w:tcW w:w="3201" w:type="dxa"/>
            <w:tcBorders>
              <w:top w:val="single" w:sz="4" w:space="0" w:color="auto"/>
              <w:left w:val="nil"/>
              <w:bottom w:val="single" w:sz="4" w:space="0" w:color="auto"/>
              <w:right w:val="single" w:sz="8" w:space="0" w:color="auto"/>
            </w:tcBorders>
            <w:shd w:val="clear" w:color="auto" w:fill="auto"/>
            <w:vAlign w:val="center"/>
            <w:hideMark/>
          </w:tcPr>
          <w:p w14:paraId="0D89C784" w14:textId="5F271B35"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107, including 80 supported participants</w:t>
            </w:r>
          </w:p>
          <w:p w14:paraId="79B7B9FD"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Cost per participant: $3,750</w:t>
            </w:r>
          </w:p>
        </w:tc>
        <w:tc>
          <w:tcPr>
            <w:tcW w:w="1277"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867111B"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300 000</w:t>
            </w:r>
          </w:p>
        </w:tc>
      </w:tr>
      <w:tr w:rsidR="00511DFF" w:rsidRPr="001459B4" w14:paraId="35154532" w14:textId="379FB47C" w:rsidTr="00511DFF">
        <w:trPr>
          <w:trHeight w:val="538"/>
          <w:jc w:val="center"/>
        </w:trPr>
        <w:tc>
          <w:tcPr>
            <w:tcW w:w="839" w:type="dxa"/>
            <w:vMerge/>
            <w:tcBorders>
              <w:left w:val="single" w:sz="8" w:space="0" w:color="auto"/>
              <w:right w:val="nil"/>
            </w:tcBorders>
            <w:vAlign w:val="center"/>
          </w:tcPr>
          <w:p w14:paraId="5AF80A17"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val="restart"/>
            <w:tcBorders>
              <w:top w:val="nil"/>
              <w:left w:val="single" w:sz="8" w:space="0" w:color="auto"/>
              <w:right w:val="single" w:sz="8" w:space="0" w:color="auto"/>
            </w:tcBorders>
            <w:shd w:val="clear" w:color="auto" w:fill="auto"/>
            <w:vAlign w:val="center"/>
          </w:tcPr>
          <w:p w14:paraId="78A7E93F"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b/>
                <w:bCs/>
                <w:color w:val="000000"/>
                <w:sz w:val="18"/>
                <w:szCs w:val="18"/>
                <w:lang w:eastAsia="en-GB"/>
              </w:rPr>
              <w:t>Meeting to develop the summary for policymakers</w:t>
            </w:r>
            <w:r w:rsidRPr="001459B4">
              <w:rPr>
                <w:rFonts w:asciiTheme="minorHAnsi" w:hAnsiTheme="minorHAnsi" w:cstheme="minorHAnsi"/>
                <w:color w:val="000000"/>
                <w:sz w:val="18"/>
                <w:szCs w:val="18"/>
                <w:lang w:eastAsia="en-GB"/>
              </w:rPr>
              <w:t xml:space="preserve"> back to back with third author meeting</w:t>
            </w:r>
          </w:p>
        </w:tc>
        <w:tc>
          <w:tcPr>
            <w:tcW w:w="3201" w:type="dxa"/>
            <w:tcBorders>
              <w:top w:val="single" w:sz="4" w:space="0" w:color="auto"/>
              <w:left w:val="nil"/>
              <w:bottom w:val="single" w:sz="8" w:space="0" w:color="auto"/>
              <w:right w:val="single" w:sz="8" w:space="0" w:color="auto"/>
            </w:tcBorders>
            <w:shd w:val="clear" w:color="auto" w:fill="auto"/>
            <w:vAlign w:val="center"/>
          </w:tcPr>
          <w:p w14:paraId="5CAC0E5F"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Venue costs</w:t>
            </w:r>
          </w:p>
        </w:tc>
        <w:tc>
          <w:tcPr>
            <w:tcW w:w="1277" w:type="dxa"/>
            <w:tcBorders>
              <w:top w:val="nil"/>
              <w:left w:val="nil"/>
              <w:bottom w:val="single" w:sz="8" w:space="0" w:color="auto"/>
              <w:right w:val="single" w:sz="8" w:space="0" w:color="auto"/>
            </w:tcBorders>
            <w:shd w:val="clear" w:color="auto" w:fill="auto"/>
            <w:vAlign w:val="center"/>
          </w:tcPr>
          <w:p w14:paraId="4FB02F59"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5 000</w:t>
            </w:r>
          </w:p>
        </w:tc>
      </w:tr>
      <w:tr w:rsidR="00511DFF" w:rsidRPr="001459B4" w14:paraId="12869BB7" w14:textId="7FCBC4EB" w:rsidTr="00511DFF">
        <w:trPr>
          <w:trHeight w:val="945"/>
          <w:jc w:val="center"/>
        </w:trPr>
        <w:tc>
          <w:tcPr>
            <w:tcW w:w="839" w:type="dxa"/>
            <w:vMerge/>
            <w:tcBorders>
              <w:left w:val="single" w:sz="8" w:space="0" w:color="auto"/>
              <w:right w:val="nil"/>
            </w:tcBorders>
            <w:vAlign w:val="center"/>
            <w:hideMark/>
          </w:tcPr>
          <w:p w14:paraId="0C0C5D2B"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vMerge/>
            <w:tcBorders>
              <w:left w:val="single" w:sz="8" w:space="0" w:color="auto"/>
              <w:bottom w:val="single" w:sz="8" w:space="0" w:color="auto"/>
              <w:right w:val="single" w:sz="8" w:space="0" w:color="auto"/>
            </w:tcBorders>
            <w:shd w:val="clear" w:color="auto" w:fill="auto"/>
            <w:vAlign w:val="center"/>
            <w:hideMark/>
          </w:tcPr>
          <w:p w14:paraId="515EF178"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3201" w:type="dxa"/>
            <w:tcBorders>
              <w:top w:val="nil"/>
              <w:left w:val="nil"/>
              <w:bottom w:val="single" w:sz="8" w:space="0" w:color="auto"/>
              <w:right w:val="single" w:sz="8" w:space="0" w:color="auto"/>
            </w:tcBorders>
            <w:shd w:val="clear" w:color="auto" w:fill="auto"/>
            <w:vAlign w:val="center"/>
            <w:hideMark/>
          </w:tcPr>
          <w:p w14:paraId="426260EF" w14:textId="36FFE95E"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20, including 15 supported participants</w:t>
            </w:r>
          </w:p>
          <w:p w14:paraId="532D9095"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Cost per participant: $750 (daily subsistence allowance at $ 375 per day for two days)</w:t>
            </w:r>
          </w:p>
        </w:tc>
        <w:tc>
          <w:tcPr>
            <w:tcW w:w="1277" w:type="dxa"/>
            <w:tcBorders>
              <w:top w:val="nil"/>
              <w:left w:val="nil"/>
              <w:bottom w:val="single" w:sz="8" w:space="0" w:color="auto"/>
              <w:right w:val="single" w:sz="8" w:space="0" w:color="auto"/>
            </w:tcBorders>
            <w:shd w:val="clear" w:color="auto" w:fill="auto"/>
            <w:vAlign w:val="center"/>
            <w:hideMark/>
          </w:tcPr>
          <w:p w14:paraId="16108337"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11 250</w:t>
            </w:r>
          </w:p>
        </w:tc>
      </w:tr>
      <w:tr w:rsidR="00511DFF" w:rsidRPr="001459B4" w14:paraId="734D6BC6" w14:textId="264B1A89" w:rsidTr="00511DFF">
        <w:trPr>
          <w:trHeight w:val="477"/>
          <w:jc w:val="center"/>
        </w:trPr>
        <w:tc>
          <w:tcPr>
            <w:tcW w:w="839" w:type="dxa"/>
            <w:vMerge/>
            <w:tcBorders>
              <w:left w:val="single" w:sz="8" w:space="0" w:color="auto"/>
              <w:right w:val="nil"/>
            </w:tcBorders>
            <w:vAlign w:val="center"/>
            <w:hideMark/>
          </w:tcPr>
          <w:p w14:paraId="511080F0"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tcBorders>
              <w:top w:val="nil"/>
              <w:left w:val="single" w:sz="8" w:space="0" w:color="auto"/>
              <w:bottom w:val="single" w:sz="4" w:space="0" w:color="auto"/>
              <w:right w:val="single" w:sz="8" w:space="0" w:color="auto"/>
            </w:tcBorders>
            <w:shd w:val="clear" w:color="auto" w:fill="auto"/>
            <w:vAlign w:val="center"/>
            <w:hideMark/>
          </w:tcPr>
          <w:p w14:paraId="012F5FA4"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 xml:space="preserve">Technical support unit </w:t>
            </w:r>
          </w:p>
        </w:tc>
        <w:tc>
          <w:tcPr>
            <w:tcW w:w="3201" w:type="dxa"/>
            <w:tcBorders>
              <w:top w:val="nil"/>
              <w:left w:val="nil"/>
              <w:bottom w:val="single" w:sz="8" w:space="0" w:color="auto"/>
              <w:right w:val="single" w:sz="8" w:space="0" w:color="auto"/>
            </w:tcBorders>
            <w:shd w:val="clear" w:color="auto" w:fill="auto"/>
            <w:vAlign w:val="center"/>
            <w:hideMark/>
          </w:tcPr>
          <w:p w14:paraId="1174D200"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1277" w:type="dxa"/>
            <w:tcBorders>
              <w:top w:val="nil"/>
              <w:left w:val="nil"/>
              <w:bottom w:val="single" w:sz="8" w:space="0" w:color="auto"/>
              <w:right w:val="single" w:sz="8" w:space="0" w:color="auto"/>
            </w:tcBorders>
            <w:shd w:val="clear" w:color="auto" w:fill="auto"/>
            <w:vAlign w:val="center"/>
            <w:hideMark/>
          </w:tcPr>
          <w:p w14:paraId="49A8FF0D" w14:textId="68169B3C"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150 000</w:t>
            </w:r>
          </w:p>
        </w:tc>
      </w:tr>
      <w:tr w:rsidR="00511DFF" w:rsidRPr="001459B4" w14:paraId="0DDD4087" w14:textId="4E3F399E" w:rsidTr="00511DFF">
        <w:trPr>
          <w:trHeight w:val="358"/>
          <w:jc w:val="center"/>
        </w:trPr>
        <w:tc>
          <w:tcPr>
            <w:tcW w:w="839" w:type="dxa"/>
            <w:vMerge/>
            <w:tcBorders>
              <w:left w:val="single" w:sz="8" w:space="0" w:color="auto"/>
              <w:bottom w:val="single" w:sz="8" w:space="0" w:color="auto"/>
              <w:right w:val="single" w:sz="8" w:space="0" w:color="auto"/>
            </w:tcBorders>
            <w:shd w:val="clear" w:color="auto" w:fill="auto"/>
            <w:vAlign w:val="center"/>
            <w:hideMark/>
          </w:tcPr>
          <w:p w14:paraId="7C2C8F8D"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6087" w:type="dxa"/>
            <w:gridSpan w:val="2"/>
            <w:tcBorders>
              <w:top w:val="single" w:sz="4" w:space="0" w:color="auto"/>
              <w:left w:val="nil"/>
              <w:bottom w:val="single" w:sz="8" w:space="0" w:color="auto"/>
              <w:right w:val="single" w:sz="8" w:space="0" w:color="auto"/>
            </w:tcBorders>
            <w:shd w:val="clear" w:color="auto" w:fill="auto"/>
            <w:vAlign w:val="center"/>
            <w:hideMark/>
          </w:tcPr>
          <w:p w14:paraId="1A240BF0" w14:textId="31BE96BE" w:rsidR="00511DFF" w:rsidRPr="001459B4" w:rsidRDefault="00511DFF" w:rsidP="000B748C">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Total 2023 </w:t>
            </w:r>
          </w:p>
        </w:tc>
        <w:tc>
          <w:tcPr>
            <w:tcW w:w="1277" w:type="dxa"/>
            <w:tcBorders>
              <w:top w:val="nil"/>
              <w:left w:val="nil"/>
              <w:bottom w:val="single" w:sz="8" w:space="0" w:color="auto"/>
              <w:right w:val="single" w:sz="8" w:space="0" w:color="auto"/>
            </w:tcBorders>
            <w:shd w:val="clear" w:color="auto" w:fill="auto"/>
            <w:vAlign w:val="center"/>
            <w:hideMark/>
          </w:tcPr>
          <w:p w14:paraId="73EAB2E0" w14:textId="1E4A8986" w:rsidR="00511DFF" w:rsidRPr="001459B4" w:rsidRDefault="00511DFF" w:rsidP="004F0ED8">
            <w:pPr>
              <w:pStyle w:val="Normal-pool"/>
              <w:jc w:val="right"/>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872 500</w:t>
            </w:r>
          </w:p>
        </w:tc>
      </w:tr>
      <w:tr w:rsidR="00511DFF" w:rsidRPr="001459B4" w14:paraId="2E79E6CD" w14:textId="094888E0" w:rsidTr="00511DFF">
        <w:trPr>
          <w:trHeight w:val="912"/>
          <w:jc w:val="center"/>
        </w:trPr>
        <w:tc>
          <w:tcPr>
            <w:tcW w:w="839" w:type="dxa"/>
            <w:vMerge w:val="restart"/>
            <w:tcBorders>
              <w:top w:val="nil"/>
              <w:left w:val="single" w:sz="8" w:space="0" w:color="auto"/>
              <w:right w:val="single" w:sz="8" w:space="0" w:color="auto"/>
            </w:tcBorders>
            <w:shd w:val="clear" w:color="auto" w:fill="auto"/>
            <w:vAlign w:val="center"/>
            <w:hideMark/>
          </w:tcPr>
          <w:p w14:paraId="7C0125F9"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2024</w:t>
            </w:r>
          </w:p>
        </w:tc>
        <w:tc>
          <w:tcPr>
            <w:tcW w:w="2886" w:type="dxa"/>
            <w:tcBorders>
              <w:top w:val="nil"/>
              <w:left w:val="nil"/>
              <w:bottom w:val="single" w:sz="8" w:space="0" w:color="auto"/>
              <w:right w:val="single" w:sz="8" w:space="0" w:color="auto"/>
            </w:tcBorders>
            <w:shd w:val="clear" w:color="auto" w:fill="auto"/>
            <w:vAlign w:val="center"/>
            <w:hideMark/>
          </w:tcPr>
          <w:p w14:paraId="531AC4BB" w14:textId="6F6FA54D"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Participation in the eleventh session of the Plenary</w:t>
            </w:r>
            <w:r w:rsidRPr="001459B4">
              <w:rPr>
                <w:rFonts w:asciiTheme="minorHAnsi" w:hAnsiTheme="minorHAnsi" w:cstheme="minorHAnsi"/>
                <w:color w:val="000000"/>
                <w:sz w:val="18"/>
                <w:szCs w:val="18"/>
                <w:lang w:eastAsia="en-GB"/>
              </w:rPr>
              <w:t xml:space="preserve"> of 2 co</w:t>
            </w:r>
            <w:r w:rsidRPr="001459B4">
              <w:rPr>
                <w:rFonts w:asciiTheme="minorHAnsi" w:hAnsiTheme="minorHAnsi" w:cstheme="minorHAnsi"/>
                <w:color w:val="000000"/>
                <w:sz w:val="18"/>
                <w:szCs w:val="18"/>
                <w:lang w:eastAsia="en-GB"/>
              </w:rPr>
              <w:noBreakHyphen/>
              <w:t xml:space="preserve">chairs and 6 coordinating lead authors or lead authors </w:t>
            </w:r>
          </w:p>
        </w:tc>
        <w:tc>
          <w:tcPr>
            <w:tcW w:w="3201" w:type="dxa"/>
            <w:tcBorders>
              <w:top w:val="nil"/>
              <w:left w:val="nil"/>
              <w:bottom w:val="single" w:sz="8" w:space="0" w:color="auto"/>
              <w:right w:val="single" w:sz="8" w:space="0" w:color="auto"/>
            </w:tcBorders>
            <w:shd w:val="clear" w:color="auto" w:fill="auto"/>
            <w:vAlign w:val="center"/>
            <w:hideMark/>
          </w:tcPr>
          <w:p w14:paraId="44FA1CC4" w14:textId="6E2C8A2A"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Travel – total number of participants: 9 including 6 supported participants</w:t>
            </w:r>
          </w:p>
          <w:p w14:paraId="4A2E5515" w14:textId="77777777" w:rsidR="00511DFF" w:rsidRPr="001459B4" w:rsidRDefault="00511DFF" w:rsidP="004F0ED8">
            <w:pPr>
              <w:pStyle w:val="Normal-pool"/>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 xml:space="preserve">Cost per participants: $3,750 </w:t>
            </w:r>
          </w:p>
        </w:tc>
        <w:tc>
          <w:tcPr>
            <w:tcW w:w="1277" w:type="dxa"/>
            <w:tcBorders>
              <w:top w:val="nil"/>
              <w:left w:val="nil"/>
              <w:bottom w:val="single" w:sz="8" w:space="0" w:color="auto"/>
              <w:right w:val="single" w:sz="8" w:space="0" w:color="auto"/>
            </w:tcBorders>
            <w:shd w:val="clear" w:color="auto" w:fill="auto"/>
            <w:vAlign w:val="center"/>
            <w:hideMark/>
          </w:tcPr>
          <w:p w14:paraId="6E82E436"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22 500</w:t>
            </w:r>
          </w:p>
        </w:tc>
      </w:tr>
      <w:tr w:rsidR="00511DFF" w:rsidRPr="001459B4" w14:paraId="1561FBB1" w14:textId="28E787ED" w:rsidTr="00511DFF">
        <w:trPr>
          <w:trHeight w:val="626"/>
          <w:jc w:val="center"/>
        </w:trPr>
        <w:tc>
          <w:tcPr>
            <w:tcW w:w="839" w:type="dxa"/>
            <w:vMerge/>
            <w:tcBorders>
              <w:left w:val="single" w:sz="8" w:space="0" w:color="auto"/>
              <w:right w:val="single" w:sz="8" w:space="0" w:color="auto"/>
            </w:tcBorders>
            <w:shd w:val="clear" w:color="auto" w:fill="auto"/>
            <w:vAlign w:val="center"/>
            <w:hideMark/>
          </w:tcPr>
          <w:p w14:paraId="159811A1"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tcBorders>
              <w:top w:val="nil"/>
              <w:left w:val="nil"/>
              <w:bottom w:val="single" w:sz="8" w:space="0" w:color="auto"/>
              <w:right w:val="single" w:sz="8" w:space="0" w:color="auto"/>
            </w:tcBorders>
            <w:shd w:val="clear" w:color="auto" w:fill="auto"/>
            <w:vAlign w:val="center"/>
            <w:hideMark/>
          </w:tcPr>
          <w:p w14:paraId="05E90816"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 xml:space="preserve">Technical support unit </w:t>
            </w:r>
          </w:p>
        </w:tc>
        <w:tc>
          <w:tcPr>
            <w:tcW w:w="3201" w:type="dxa"/>
            <w:tcBorders>
              <w:top w:val="nil"/>
              <w:left w:val="nil"/>
              <w:bottom w:val="single" w:sz="8" w:space="0" w:color="auto"/>
              <w:right w:val="single" w:sz="8" w:space="0" w:color="auto"/>
            </w:tcBorders>
            <w:shd w:val="clear" w:color="auto" w:fill="auto"/>
            <w:vAlign w:val="center"/>
            <w:hideMark/>
          </w:tcPr>
          <w:p w14:paraId="57E7E91D"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1277" w:type="dxa"/>
            <w:tcBorders>
              <w:top w:val="nil"/>
              <w:left w:val="nil"/>
              <w:bottom w:val="single" w:sz="8" w:space="0" w:color="auto"/>
              <w:right w:val="single" w:sz="8" w:space="0" w:color="auto"/>
            </w:tcBorders>
            <w:shd w:val="clear" w:color="auto" w:fill="auto"/>
            <w:vAlign w:val="center"/>
            <w:hideMark/>
          </w:tcPr>
          <w:p w14:paraId="76E6F56B" w14:textId="5D4A0730"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150 000</w:t>
            </w:r>
          </w:p>
        </w:tc>
      </w:tr>
      <w:tr w:rsidR="00511DFF" w:rsidRPr="001459B4" w14:paraId="6AEAB9DB" w14:textId="6E88F66B" w:rsidTr="00511DFF">
        <w:trPr>
          <w:trHeight w:val="571"/>
          <w:jc w:val="center"/>
        </w:trPr>
        <w:tc>
          <w:tcPr>
            <w:tcW w:w="839" w:type="dxa"/>
            <w:vMerge/>
            <w:tcBorders>
              <w:left w:val="single" w:sz="8" w:space="0" w:color="auto"/>
              <w:right w:val="single" w:sz="8" w:space="0" w:color="auto"/>
            </w:tcBorders>
            <w:shd w:val="clear" w:color="auto" w:fill="auto"/>
            <w:vAlign w:val="center"/>
            <w:hideMark/>
          </w:tcPr>
          <w:p w14:paraId="6B01657A"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2886" w:type="dxa"/>
            <w:tcBorders>
              <w:top w:val="nil"/>
              <w:left w:val="nil"/>
              <w:bottom w:val="single" w:sz="8" w:space="0" w:color="auto"/>
              <w:right w:val="single" w:sz="8" w:space="0" w:color="auto"/>
            </w:tcBorders>
            <w:shd w:val="clear" w:color="auto" w:fill="auto"/>
            <w:vAlign w:val="center"/>
            <w:hideMark/>
          </w:tcPr>
          <w:p w14:paraId="2F9EF1A8"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 xml:space="preserve">Design, layout, </w:t>
            </w:r>
            <w:proofErr w:type="gramStart"/>
            <w:r w:rsidRPr="001459B4">
              <w:rPr>
                <w:rFonts w:asciiTheme="minorHAnsi" w:hAnsiTheme="minorHAnsi" w:cstheme="minorHAnsi"/>
                <w:b/>
                <w:color w:val="000000"/>
                <w:sz w:val="18"/>
                <w:szCs w:val="18"/>
                <w:lang w:eastAsia="en-GB"/>
              </w:rPr>
              <w:t>dissemination</w:t>
            </w:r>
            <w:proofErr w:type="gramEnd"/>
            <w:r w:rsidRPr="001459B4">
              <w:rPr>
                <w:rFonts w:asciiTheme="minorHAnsi" w:hAnsiTheme="minorHAnsi" w:cstheme="minorHAnsi"/>
                <w:b/>
                <w:color w:val="000000"/>
                <w:sz w:val="18"/>
                <w:szCs w:val="18"/>
                <w:lang w:eastAsia="en-GB"/>
              </w:rPr>
              <w:t xml:space="preserve"> and outreach</w:t>
            </w:r>
          </w:p>
        </w:tc>
        <w:tc>
          <w:tcPr>
            <w:tcW w:w="3201" w:type="dxa"/>
            <w:tcBorders>
              <w:top w:val="nil"/>
              <w:left w:val="nil"/>
              <w:bottom w:val="single" w:sz="8" w:space="0" w:color="auto"/>
              <w:right w:val="single" w:sz="8" w:space="0" w:color="auto"/>
            </w:tcBorders>
            <w:shd w:val="clear" w:color="auto" w:fill="auto"/>
            <w:vAlign w:val="center"/>
            <w:hideMark/>
          </w:tcPr>
          <w:p w14:paraId="7FA98914"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1277" w:type="dxa"/>
            <w:tcBorders>
              <w:top w:val="nil"/>
              <w:left w:val="nil"/>
              <w:bottom w:val="single" w:sz="8" w:space="0" w:color="auto"/>
              <w:right w:val="single" w:sz="8" w:space="0" w:color="auto"/>
            </w:tcBorders>
            <w:shd w:val="clear" w:color="auto" w:fill="auto"/>
            <w:vAlign w:val="center"/>
            <w:hideMark/>
          </w:tcPr>
          <w:p w14:paraId="25FCB64F" w14:textId="77777777"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220 000</w:t>
            </w:r>
          </w:p>
        </w:tc>
      </w:tr>
      <w:tr w:rsidR="00511DFF" w:rsidRPr="001459B4" w14:paraId="2C8F00FE" w14:textId="32D74FB8" w:rsidTr="00511DFF">
        <w:trPr>
          <w:trHeight w:val="357"/>
          <w:jc w:val="center"/>
        </w:trPr>
        <w:tc>
          <w:tcPr>
            <w:tcW w:w="839" w:type="dxa"/>
            <w:vMerge/>
            <w:tcBorders>
              <w:left w:val="single" w:sz="8" w:space="0" w:color="auto"/>
              <w:bottom w:val="single" w:sz="8" w:space="0" w:color="auto"/>
              <w:right w:val="single" w:sz="8" w:space="0" w:color="auto"/>
            </w:tcBorders>
            <w:shd w:val="clear" w:color="auto" w:fill="auto"/>
            <w:vAlign w:val="center"/>
            <w:hideMark/>
          </w:tcPr>
          <w:p w14:paraId="49E8F980"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6087" w:type="dxa"/>
            <w:gridSpan w:val="2"/>
            <w:tcBorders>
              <w:top w:val="nil"/>
              <w:left w:val="nil"/>
              <w:bottom w:val="single" w:sz="8" w:space="0" w:color="auto"/>
              <w:right w:val="single" w:sz="8" w:space="0" w:color="auto"/>
            </w:tcBorders>
            <w:shd w:val="clear" w:color="auto" w:fill="auto"/>
            <w:vAlign w:val="center"/>
            <w:hideMark/>
          </w:tcPr>
          <w:p w14:paraId="039C5C14" w14:textId="07EC8943" w:rsidR="00511DFF" w:rsidRPr="001459B4" w:rsidRDefault="00511DFF" w:rsidP="000B748C">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Total 2024 </w:t>
            </w:r>
          </w:p>
        </w:tc>
        <w:tc>
          <w:tcPr>
            <w:tcW w:w="1277" w:type="dxa"/>
            <w:tcBorders>
              <w:top w:val="nil"/>
              <w:left w:val="nil"/>
              <w:bottom w:val="single" w:sz="8" w:space="0" w:color="auto"/>
              <w:right w:val="single" w:sz="8" w:space="0" w:color="auto"/>
            </w:tcBorders>
            <w:shd w:val="clear" w:color="auto" w:fill="auto"/>
            <w:vAlign w:val="center"/>
            <w:hideMark/>
          </w:tcPr>
          <w:p w14:paraId="2085154D" w14:textId="0479E67B" w:rsidR="00511DFF" w:rsidRPr="001459B4" w:rsidRDefault="00511DFF" w:rsidP="004F0ED8">
            <w:pPr>
              <w:pStyle w:val="Normal-pool"/>
              <w:jc w:val="right"/>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392 500</w:t>
            </w:r>
          </w:p>
        </w:tc>
      </w:tr>
      <w:tr w:rsidR="00511DFF" w:rsidRPr="001459B4" w14:paraId="4E4CD557" w14:textId="49EAF1FF" w:rsidTr="00511DFF">
        <w:trPr>
          <w:trHeight w:val="1078"/>
          <w:jc w:val="center"/>
        </w:trPr>
        <w:tc>
          <w:tcPr>
            <w:tcW w:w="839" w:type="dxa"/>
            <w:vMerge w:val="restart"/>
            <w:tcBorders>
              <w:top w:val="nil"/>
              <w:left w:val="single" w:sz="8" w:space="0" w:color="auto"/>
              <w:right w:val="single" w:sz="8" w:space="0" w:color="auto"/>
            </w:tcBorders>
            <w:shd w:val="clear" w:color="auto" w:fill="auto"/>
            <w:vAlign w:val="center"/>
            <w:hideMark/>
          </w:tcPr>
          <w:p w14:paraId="0525D7D5" w14:textId="77777777" w:rsidR="00511DFF" w:rsidRPr="001459B4" w:rsidRDefault="00511DFF" w:rsidP="004F0ED8">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2025</w:t>
            </w:r>
          </w:p>
        </w:tc>
        <w:tc>
          <w:tcPr>
            <w:tcW w:w="2886" w:type="dxa"/>
            <w:tcBorders>
              <w:top w:val="nil"/>
              <w:left w:val="nil"/>
              <w:bottom w:val="single" w:sz="8" w:space="0" w:color="auto"/>
              <w:right w:val="single" w:sz="8" w:space="0" w:color="auto"/>
            </w:tcBorders>
            <w:shd w:val="clear" w:color="auto" w:fill="auto"/>
            <w:vAlign w:val="center"/>
            <w:hideMark/>
          </w:tcPr>
          <w:p w14:paraId="17D5CBC4" w14:textId="77777777" w:rsidR="00511DFF" w:rsidRPr="001459B4" w:rsidRDefault="00511DFF" w:rsidP="004F0ED8">
            <w:pPr>
              <w:pStyle w:val="Normal-pool"/>
              <w:rPr>
                <w:rFonts w:asciiTheme="minorHAnsi" w:hAnsiTheme="minorHAnsi" w:cstheme="minorHAnsi"/>
                <w:bCs/>
                <w:color w:val="000000"/>
                <w:sz w:val="18"/>
                <w:szCs w:val="18"/>
                <w:lang w:eastAsia="en-GB"/>
              </w:rPr>
            </w:pPr>
            <w:r w:rsidRPr="001459B4">
              <w:rPr>
                <w:rFonts w:asciiTheme="minorHAnsi" w:hAnsiTheme="minorHAnsi" w:cstheme="minorHAnsi"/>
                <w:b/>
                <w:color w:val="000000"/>
                <w:sz w:val="18"/>
                <w:szCs w:val="18"/>
                <w:lang w:eastAsia="en-GB"/>
              </w:rPr>
              <w:t>Technical support unit for 4 months</w:t>
            </w:r>
            <w:r w:rsidRPr="001459B4">
              <w:rPr>
                <w:rFonts w:asciiTheme="minorHAnsi" w:hAnsiTheme="minorHAnsi" w:cstheme="minorHAnsi"/>
                <w:color w:val="000000"/>
                <w:sz w:val="18"/>
                <w:szCs w:val="18"/>
                <w:lang w:eastAsia="en-GB"/>
              </w:rPr>
              <w:t xml:space="preserve"> (6 months after launch of the assessment report at the eleventh session of the Plenary)</w:t>
            </w:r>
          </w:p>
        </w:tc>
        <w:tc>
          <w:tcPr>
            <w:tcW w:w="3201" w:type="dxa"/>
            <w:tcBorders>
              <w:top w:val="nil"/>
              <w:left w:val="nil"/>
              <w:bottom w:val="single" w:sz="8" w:space="0" w:color="auto"/>
              <w:right w:val="single" w:sz="8" w:space="0" w:color="auto"/>
            </w:tcBorders>
            <w:shd w:val="clear" w:color="auto" w:fill="auto"/>
            <w:vAlign w:val="center"/>
            <w:hideMark/>
          </w:tcPr>
          <w:p w14:paraId="7FF6D951" w14:textId="77777777" w:rsidR="00511DFF" w:rsidRPr="001459B4" w:rsidRDefault="00511DFF" w:rsidP="004F0ED8">
            <w:pPr>
              <w:pStyle w:val="Normal-pool"/>
              <w:rPr>
                <w:rFonts w:asciiTheme="minorHAnsi" w:hAnsiTheme="minorHAnsi" w:cstheme="minorHAnsi"/>
                <w:color w:val="000000"/>
                <w:sz w:val="18"/>
                <w:szCs w:val="18"/>
                <w:lang w:eastAsia="en-GB"/>
              </w:rPr>
            </w:pPr>
          </w:p>
        </w:tc>
        <w:tc>
          <w:tcPr>
            <w:tcW w:w="1277" w:type="dxa"/>
            <w:tcBorders>
              <w:top w:val="nil"/>
              <w:left w:val="nil"/>
              <w:bottom w:val="single" w:sz="8" w:space="0" w:color="auto"/>
              <w:right w:val="single" w:sz="8" w:space="0" w:color="auto"/>
            </w:tcBorders>
            <w:shd w:val="clear" w:color="auto" w:fill="auto"/>
            <w:vAlign w:val="center"/>
            <w:hideMark/>
          </w:tcPr>
          <w:p w14:paraId="3BFC04B1" w14:textId="2E6B23AB" w:rsidR="00511DFF" w:rsidRPr="001459B4" w:rsidRDefault="00511DFF" w:rsidP="004F0ED8">
            <w:pPr>
              <w:pStyle w:val="Normal-pool"/>
              <w:jc w:val="right"/>
              <w:rPr>
                <w:rFonts w:asciiTheme="minorHAnsi" w:hAnsiTheme="minorHAnsi" w:cstheme="minorHAnsi"/>
                <w:color w:val="000000"/>
                <w:sz w:val="18"/>
                <w:szCs w:val="18"/>
                <w:lang w:eastAsia="en-GB"/>
              </w:rPr>
            </w:pPr>
            <w:r w:rsidRPr="001459B4">
              <w:rPr>
                <w:rFonts w:asciiTheme="minorHAnsi" w:hAnsiTheme="minorHAnsi" w:cstheme="minorHAnsi"/>
                <w:color w:val="000000"/>
                <w:sz w:val="18"/>
                <w:szCs w:val="18"/>
                <w:lang w:eastAsia="en-GB"/>
              </w:rPr>
              <w:t>50 000</w:t>
            </w:r>
          </w:p>
        </w:tc>
      </w:tr>
      <w:tr w:rsidR="00511DFF" w:rsidRPr="001459B4" w14:paraId="0F6962BB" w14:textId="5E087C23" w:rsidTr="00511DFF">
        <w:trPr>
          <w:trHeight w:val="357"/>
          <w:jc w:val="center"/>
        </w:trPr>
        <w:tc>
          <w:tcPr>
            <w:tcW w:w="839" w:type="dxa"/>
            <w:vMerge/>
            <w:tcBorders>
              <w:left w:val="single" w:sz="8" w:space="0" w:color="auto"/>
              <w:bottom w:val="single" w:sz="8" w:space="0" w:color="auto"/>
              <w:right w:val="single" w:sz="8" w:space="0" w:color="auto"/>
            </w:tcBorders>
            <w:shd w:val="clear" w:color="auto" w:fill="auto"/>
            <w:vAlign w:val="center"/>
            <w:hideMark/>
          </w:tcPr>
          <w:p w14:paraId="74A138AE" w14:textId="77777777" w:rsidR="00511DFF" w:rsidRPr="001459B4" w:rsidRDefault="00511DFF" w:rsidP="004F0ED8">
            <w:pPr>
              <w:pStyle w:val="Normal-pool"/>
              <w:rPr>
                <w:rFonts w:asciiTheme="minorHAnsi" w:hAnsiTheme="minorHAnsi" w:cstheme="minorHAnsi"/>
                <w:b/>
                <w:color w:val="000000"/>
                <w:sz w:val="18"/>
                <w:szCs w:val="18"/>
                <w:lang w:eastAsia="en-GB"/>
              </w:rPr>
            </w:pPr>
          </w:p>
        </w:tc>
        <w:tc>
          <w:tcPr>
            <w:tcW w:w="6087" w:type="dxa"/>
            <w:gridSpan w:val="2"/>
            <w:tcBorders>
              <w:top w:val="nil"/>
              <w:left w:val="nil"/>
              <w:bottom w:val="single" w:sz="8" w:space="0" w:color="auto"/>
              <w:right w:val="single" w:sz="8" w:space="0" w:color="auto"/>
            </w:tcBorders>
            <w:shd w:val="clear" w:color="auto" w:fill="auto"/>
            <w:vAlign w:val="center"/>
            <w:hideMark/>
          </w:tcPr>
          <w:p w14:paraId="21DA83A0" w14:textId="1E429637" w:rsidR="00511DFF" w:rsidRPr="001459B4" w:rsidRDefault="00511DFF" w:rsidP="000B748C">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Total 2025 </w:t>
            </w:r>
          </w:p>
        </w:tc>
        <w:tc>
          <w:tcPr>
            <w:tcW w:w="1277" w:type="dxa"/>
            <w:tcBorders>
              <w:top w:val="nil"/>
              <w:left w:val="nil"/>
              <w:bottom w:val="single" w:sz="8" w:space="0" w:color="auto"/>
              <w:right w:val="single" w:sz="8" w:space="0" w:color="auto"/>
            </w:tcBorders>
            <w:shd w:val="clear" w:color="auto" w:fill="auto"/>
            <w:vAlign w:val="center"/>
            <w:hideMark/>
          </w:tcPr>
          <w:p w14:paraId="56F851DD" w14:textId="514036C7" w:rsidR="00511DFF" w:rsidRPr="001459B4" w:rsidRDefault="00511DFF" w:rsidP="004F0ED8">
            <w:pPr>
              <w:pStyle w:val="Normal-pool"/>
              <w:jc w:val="right"/>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50 000</w:t>
            </w:r>
          </w:p>
        </w:tc>
      </w:tr>
      <w:tr w:rsidR="00511DFF" w:rsidRPr="001459B4" w14:paraId="5729B69F" w14:textId="3E2C39BB" w:rsidTr="00511DFF">
        <w:trPr>
          <w:trHeight w:val="499"/>
          <w:jc w:val="center"/>
        </w:trPr>
        <w:tc>
          <w:tcPr>
            <w:tcW w:w="6926" w:type="dxa"/>
            <w:gridSpan w:val="3"/>
            <w:tcBorders>
              <w:top w:val="nil"/>
              <w:left w:val="single" w:sz="8" w:space="0" w:color="auto"/>
              <w:bottom w:val="single" w:sz="8" w:space="0" w:color="auto"/>
              <w:right w:val="single" w:sz="8" w:space="0" w:color="auto"/>
            </w:tcBorders>
            <w:shd w:val="clear" w:color="auto" w:fill="auto"/>
            <w:vAlign w:val="center"/>
            <w:hideMark/>
          </w:tcPr>
          <w:p w14:paraId="6A132EBC" w14:textId="2C100FD0" w:rsidR="00511DFF" w:rsidRPr="001459B4" w:rsidRDefault="00511DFF" w:rsidP="007E0857">
            <w:pPr>
              <w:pStyle w:val="Normal-pool"/>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Total: </w:t>
            </w:r>
          </w:p>
        </w:tc>
        <w:tc>
          <w:tcPr>
            <w:tcW w:w="1277" w:type="dxa"/>
            <w:tcBorders>
              <w:top w:val="nil"/>
              <w:left w:val="nil"/>
              <w:bottom w:val="single" w:sz="8" w:space="0" w:color="auto"/>
              <w:right w:val="single" w:sz="8" w:space="0" w:color="auto"/>
            </w:tcBorders>
            <w:shd w:val="clear" w:color="auto" w:fill="auto"/>
            <w:vAlign w:val="center"/>
            <w:hideMark/>
          </w:tcPr>
          <w:p w14:paraId="7CF4D203" w14:textId="57A8A97F" w:rsidR="00511DFF" w:rsidRPr="001459B4" w:rsidRDefault="00511DFF" w:rsidP="004F0ED8">
            <w:pPr>
              <w:pStyle w:val="Normal-pool"/>
              <w:jc w:val="right"/>
              <w:rPr>
                <w:rFonts w:asciiTheme="minorHAnsi" w:hAnsiTheme="minorHAnsi" w:cstheme="minorHAnsi"/>
                <w:b/>
                <w:color w:val="000000"/>
                <w:sz w:val="18"/>
                <w:szCs w:val="18"/>
                <w:lang w:eastAsia="en-GB"/>
              </w:rPr>
            </w:pPr>
            <w:r w:rsidRPr="001459B4">
              <w:rPr>
                <w:rFonts w:asciiTheme="minorHAnsi" w:hAnsiTheme="minorHAnsi" w:cstheme="minorHAnsi"/>
                <w:b/>
                <w:color w:val="000000"/>
                <w:sz w:val="18"/>
                <w:szCs w:val="18"/>
                <w:lang w:eastAsia="en-GB"/>
              </w:rPr>
              <w:t>1 860 000</w:t>
            </w:r>
          </w:p>
        </w:tc>
      </w:tr>
    </w:tbl>
    <w:p w14:paraId="137AA4EF" w14:textId="631622DD" w:rsidR="000B748C" w:rsidRPr="001459B4" w:rsidRDefault="000B748C" w:rsidP="006A0521">
      <w:pPr>
        <w:spacing w:after="120" w:line="264" w:lineRule="auto"/>
        <w:rPr>
          <w:rFonts w:cstheme="minorHAnsi"/>
          <w:lang w:val="en-GB"/>
        </w:rPr>
      </w:pPr>
    </w:p>
    <w:sectPr w:rsidR="000B748C" w:rsidRPr="001459B4" w:rsidSect="0074690D">
      <w:pgSz w:w="12240" w:h="15840"/>
      <w:pgMar w:top="1418" w:right="1440" w:bottom="12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D1A15" w14:textId="77777777" w:rsidR="00A75489" w:rsidRDefault="00A75489" w:rsidP="00DB2D1A">
      <w:pPr>
        <w:spacing w:after="0" w:line="240" w:lineRule="auto"/>
      </w:pPr>
      <w:r>
        <w:separator/>
      </w:r>
    </w:p>
  </w:endnote>
  <w:endnote w:type="continuationSeparator" w:id="0">
    <w:p w14:paraId="7D2A2530" w14:textId="77777777" w:rsidR="00A75489" w:rsidRDefault="00A75489" w:rsidP="00D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6798" w14:textId="77777777" w:rsidR="00A75489" w:rsidRDefault="00A75489" w:rsidP="00DB2D1A">
      <w:pPr>
        <w:spacing w:after="0" w:line="240" w:lineRule="auto"/>
      </w:pPr>
      <w:r>
        <w:separator/>
      </w:r>
    </w:p>
  </w:footnote>
  <w:footnote w:type="continuationSeparator" w:id="0">
    <w:p w14:paraId="7F556800" w14:textId="77777777" w:rsidR="00A75489" w:rsidRDefault="00A75489" w:rsidP="00DB2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17C"/>
    <w:multiLevelType w:val="hybridMultilevel"/>
    <w:tmpl w:val="43160DFC"/>
    <w:lvl w:ilvl="0" w:tplc="04090019">
      <w:start w:val="1"/>
      <w:numFmt w:val="lowerLetter"/>
      <w:lvlText w:val="%1."/>
      <w:lvlJc w:val="left"/>
      <w:pPr>
        <w:ind w:left="1950" w:hanging="420"/>
      </w:pPr>
    </w:lvl>
    <w:lvl w:ilvl="1" w:tplc="04090017">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 w15:restartNumberingAfterBreak="0">
    <w:nsid w:val="0C944EB7"/>
    <w:multiLevelType w:val="hybridMultilevel"/>
    <w:tmpl w:val="FC96C1EC"/>
    <w:lvl w:ilvl="0" w:tplc="9E665DDC">
      <w:start w:val="3"/>
      <w:numFmt w:val="upperRoman"/>
      <w:lvlText w:val="%1."/>
      <w:lvlJc w:val="right"/>
      <w:pPr>
        <w:ind w:left="1140" w:hanging="420"/>
      </w:pPr>
      <w:rPr>
        <w:rFonts w:hint="eastAsia"/>
      </w:rPr>
    </w:lvl>
    <w:lvl w:ilvl="1" w:tplc="04090017" w:tentative="1">
      <w:start w:val="1"/>
      <w:numFmt w:val="aiueoFullWidth"/>
      <w:lvlText w:val="(%2)"/>
      <w:lvlJc w:val="left"/>
      <w:pPr>
        <w:ind w:left="30" w:hanging="420"/>
      </w:pPr>
    </w:lvl>
    <w:lvl w:ilvl="2" w:tplc="04090011" w:tentative="1">
      <w:start w:val="1"/>
      <w:numFmt w:val="decimalEnclosedCircle"/>
      <w:lvlText w:val="%3"/>
      <w:lvlJc w:val="left"/>
      <w:pPr>
        <w:ind w:left="450" w:hanging="420"/>
      </w:pPr>
    </w:lvl>
    <w:lvl w:ilvl="3" w:tplc="0409000F" w:tentative="1">
      <w:start w:val="1"/>
      <w:numFmt w:val="decimal"/>
      <w:lvlText w:val="%4."/>
      <w:lvlJc w:val="left"/>
      <w:pPr>
        <w:ind w:left="870" w:hanging="420"/>
      </w:pPr>
    </w:lvl>
    <w:lvl w:ilvl="4" w:tplc="04090017" w:tentative="1">
      <w:start w:val="1"/>
      <w:numFmt w:val="aiueoFullWidth"/>
      <w:lvlText w:val="(%5)"/>
      <w:lvlJc w:val="left"/>
      <w:pPr>
        <w:ind w:left="1290" w:hanging="420"/>
      </w:pPr>
    </w:lvl>
    <w:lvl w:ilvl="5" w:tplc="04090011" w:tentative="1">
      <w:start w:val="1"/>
      <w:numFmt w:val="decimalEnclosedCircle"/>
      <w:lvlText w:val="%6"/>
      <w:lvlJc w:val="left"/>
      <w:pPr>
        <w:ind w:left="1710" w:hanging="420"/>
      </w:pPr>
    </w:lvl>
    <w:lvl w:ilvl="6" w:tplc="0409000F" w:tentative="1">
      <w:start w:val="1"/>
      <w:numFmt w:val="decimal"/>
      <w:lvlText w:val="%7."/>
      <w:lvlJc w:val="left"/>
      <w:pPr>
        <w:ind w:left="2130" w:hanging="420"/>
      </w:pPr>
    </w:lvl>
    <w:lvl w:ilvl="7" w:tplc="04090017" w:tentative="1">
      <w:start w:val="1"/>
      <w:numFmt w:val="aiueoFullWidth"/>
      <w:lvlText w:val="(%8)"/>
      <w:lvlJc w:val="left"/>
      <w:pPr>
        <w:ind w:left="2550" w:hanging="420"/>
      </w:pPr>
    </w:lvl>
    <w:lvl w:ilvl="8" w:tplc="04090011" w:tentative="1">
      <w:start w:val="1"/>
      <w:numFmt w:val="decimalEnclosedCircle"/>
      <w:lvlText w:val="%9"/>
      <w:lvlJc w:val="left"/>
      <w:pPr>
        <w:ind w:left="2970" w:hanging="420"/>
      </w:pPr>
    </w:lvl>
  </w:abstractNum>
  <w:abstractNum w:abstractNumId="2" w15:restartNumberingAfterBreak="0">
    <w:nsid w:val="12550492"/>
    <w:multiLevelType w:val="hybridMultilevel"/>
    <w:tmpl w:val="F6549CC6"/>
    <w:lvl w:ilvl="0" w:tplc="04090019">
      <w:start w:val="1"/>
      <w:numFmt w:val="lowerLetter"/>
      <w:lvlText w:val="%1."/>
      <w:lvlJc w:val="left"/>
      <w:pPr>
        <w:ind w:left="1950" w:hanging="420"/>
      </w:pPr>
    </w:lvl>
    <w:lvl w:ilvl="1" w:tplc="04090017">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3" w15:restartNumberingAfterBreak="0">
    <w:nsid w:val="408B5957"/>
    <w:multiLevelType w:val="hybridMultilevel"/>
    <w:tmpl w:val="74F0A95A"/>
    <w:lvl w:ilvl="0" w:tplc="20000005">
      <w:start w:val="1"/>
      <w:numFmt w:val="bullet"/>
      <w:lvlText w:val=""/>
      <w:lvlJc w:val="left"/>
      <w:pPr>
        <w:ind w:left="1900" w:hanging="199"/>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4" w15:restartNumberingAfterBreak="0">
    <w:nsid w:val="430B3CD8"/>
    <w:multiLevelType w:val="hybridMultilevel"/>
    <w:tmpl w:val="E1D8B620"/>
    <w:lvl w:ilvl="0" w:tplc="45D681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854B7"/>
    <w:multiLevelType w:val="hybridMultilevel"/>
    <w:tmpl w:val="5DE6D7A0"/>
    <w:lvl w:ilvl="0" w:tplc="8A0EE5E2">
      <w:start w:val="1"/>
      <w:numFmt w:val="upperRoman"/>
      <w:lvlText w:val="%1."/>
      <w:lvlJc w:val="left"/>
      <w:pPr>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7938F2"/>
    <w:multiLevelType w:val="hybridMultilevel"/>
    <w:tmpl w:val="D35C30EE"/>
    <w:lvl w:ilvl="0" w:tplc="A4525C40">
      <w:numFmt w:val="bullet"/>
      <w:lvlText w:val="•"/>
      <w:lvlJc w:val="left"/>
      <w:pPr>
        <w:ind w:left="1900" w:hanging="199"/>
      </w:pPr>
      <w:rPr>
        <w:rFont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7" w15:restartNumberingAfterBreak="0">
    <w:nsid w:val="5ACD3210"/>
    <w:multiLevelType w:val="hybridMultilevel"/>
    <w:tmpl w:val="D2A0EDC2"/>
    <w:lvl w:ilvl="0" w:tplc="5B066B36">
      <w:numFmt w:val="bullet"/>
      <w:lvlText w:val="•"/>
      <w:lvlJc w:val="left"/>
      <w:pPr>
        <w:ind w:left="2400" w:hanging="420"/>
      </w:pPr>
      <w:rPr>
        <w:rFont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8" w15:restartNumberingAfterBreak="0">
    <w:nsid w:val="5BDE0FE0"/>
    <w:multiLevelType w:val="hybridMultilevel"/>
    <w:tmpl w:val="5902FFCE"/>
    <w:lvl w:ilvl="0" w:tplc="8C180D18">
      <w:numFmt w:val="bullet"/>
      <w:lvlText w:val="•"/>
      <w:lvlJc w:val="left"/>
      <w:pPr>
        <w:ind w:left="2098" w:hanging="113"/>
      </w:pPr>
      <w:rPr>
        <w:rFont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66F937FA"/>
    <w:multiLevelType w:val="hybridMultilevel"/>
    <w:tmpl w:val="6B400582"/>
    <w:lvl w:ilvl="0" w:tplc="A59850EC">
      <w:numFmt w:val="bullet"/>
      <w:lvlText w:val="•"/>
      <w:lvlJc w:val="left"/>
      <w:pPr>
        <w:ind w:left="1985" w:hanging="284"/>
      </w:pPr>
      <w:rPr>
        <w:rFont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2"/>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CC"/>
    <w:rsid w:val="00012374"/>
    <w:rsid w:val="00033B16"/>
    <w:rsid w:val="000A639E"/>
    <w:rsid w:val="000B12ED"/>
    <w:rsid w:val="000B748C"/>
    <w:rsid w:val="000C001E"/>
    <w:rsid w:val="000F1742"/>
    <w:rsid w:val="001074C3"/>
    <w:rsid w:val="00123A7C"/>
    <w:rsid w:val="001459B4"/>
    <w:rsid w:val="00147F3A"/>
    <w:rsid w:val="00166ED1"/>
    <w:rsid w:val="0016707B"/>
    <w:rsid w:val="00175214"/>
    <w:rsid w:val="001C4E7D"/>
    <w:rsid w:val="001E055F"/>
    <w:rsid w:val="001E6E84"/>
    <w:rsid w:val="001F6A43"/>
    <w:rsid w:val="00200C82"/>
    <w:rsid w:val="00205CB1"/>
    <w:rsid w:val="00214BFC"/>
    <w:rsid w:val="002169A3"/>
    <w:rsid w:val="002210EF"/>
    <w:rsid w:val="002363D7"/>
    <w:rsid w:val="00241DEE"/>
    <w:rsid w:val="00265B99"/>
    <w:rsid w:val="00272098"/>
    <w:rsid w:val="0027254D"/>
    <w:rsid w:val="002768F7"/>
    <w:rsid w:val="00292539"/>
    <w:rsid w:val="002A0343"/>
    <w:rsid w:val="002A5D1B"/>
    <w:rsid w:val="002E1B95"/>
    <w:rsid w:val="002E584A"/>
    <w:rsid w:val="002E68E3"/>
    <w:rsid w:val="00301332"/>
    <w:rsid w:val="00306924"/>
    <w:rsid w:val="00311D8F"/>
    <w:rsid w:val="00313280"/>
    <w:rsid w:val="00317210"/>
    <w:rsid w:val="003211C7"/>
    <w:rsid w:val="00366391"/>
    <w:rsid w:val="003833AF"/>
    <w:rsid w:val="003A62CE"/>
    <w:rsid w:val="003D0FB8"/>
    <w:rsid w:val="003E63AA"/>
    <w:rsid w:val="003F0930"/>
    <w:rsid w:val="0043436B"/>
    <w:rsid w:val="00464B82"/>
    <w:rsid w:val="00485B9E"/>
    <w:rsid w:val="004A44CC"/>
    <w:rsid w:val="004A6E46"/>
    <w:rsid w:val="004B691C"/>
    <w:rsid w:val="004D1E77"/>
    <w:rsid w:val="004F3CF2"/>
    <w:rsid w:val="00510ADC"/>
    <w:rsid w:val="00511DFF"/>
    <w:rsid w:val="00521491"/>
    <w:rsid w:val="00537478"/>
    <w:rsid w:val="00540A83"/>
    <w:rsid w:val="00553DCD"/>
    <w:rsid w:val="00560477"/>
    <w:rsid w:val="005A7EF3"/>
    <w:rsid w:val="005B61C7"/>
    <w:rsid w:val="005E0F55"/>
    <w:rsid w:val="005E51EA"/>
    <w:rsid w:val="00607594"/>
    <w:rsid w:val="00643DAA"/>
    <w:rsid w:val="00653795"/>
    <w:rsid w:val="006A0521"/>
    <w:rsid w:val="006B0166"/>
    <w:rsid w:val="006C02D8"/>
    <w:rsid w:val="006D6831"/>
    <w:rsid w:val="006E3A9D"/>
    <w:rsid w:val="006F1554"/>
    <w:rsid w:val="00740A39"/>
    <w:rsid w:val="0074690D"/>
    <w:rsid w:val="00750417"/>
    <w:rsid w:val="00755C27"/>
    <w:rsid w:val="00763BC1"/>
    <w:rsid w:val="0077671E"/>
    <w:rsid w:val="00783402"/>
    <w:rsid w:val="00783651"/>
    <w:rsid w:val="007C03A1"/>
    <w:rsid w:val="007C0E2C"/>
    <w:rsid w:val="007D18BF"/>
    <w:rsid w:val="007E0857"/>
    <w:rsid w:val="007E23B9"/>
    <w:rsid w:val="007F01C4"/>
    <w:rsid w:val="007F3105"/>
    <w:rsid w:val="008118CA"/>
    <w:rsid w:val="00815627"/>
    <w:rsid w:val="00826D07"/>
    <w:rsid w:val="00832439"/>
    <w:rsid w:val="00874C92"/>
    <w:rsid w:val="008A0ED5"/>
    <w:rsid w:val="008A7B6E"/>
    <w:rsid w:val="008B7C55"/>
    <w:rsid w:val="008D4037"/>
    <w:rsid w:val="008E31D3"/>
    <w:rsid w:val="008F07B2"/>
    <w:rsid w:val="008F29DC"/>
    <w:rsid w:val="0092293C"/>
    <w:rsid w:val="00930A09"/>
    <w:rsid w:val="00943723"/>
    <w:rsid w:val="00957E5B"/>
    <w:rsid w:val="009804C3"/>
    <w:rsid w:val="009C3929"/>
    <w:rsid w:val="009D1BD9"/>
    <w:rsid w:val="00A0269E"/>
    <w:rsid w:val="00A53372"/>
    <w:rsid w:val="00A64468"/>
    <w:rsid w:val="00A734A9"/>
    <w:rsid w:val="00A75489"/>
    <w:rsid w:val="00A8087B"/>
    <w:rsid w:val="00A93B77"/>
    <w:rsid w:val="00AB40AE"/>
    <w:rsid w:val="00AE25F9"/>
    <w:rsid w:val="00AE68EA"/>
    <w:rsid w:val="00B02CD9"/>
    <w:rsid w:val="00B4374A"/>
    <w:rsid w:val="00B54D90"/>
    <w:rsid w:val="00B6764C"/>
    <w:rsid w:val="00B733D1"/>
    <w:rsid w:val="00BA329A"/>
    <w:rsid w:val="00BB7A5A"/>
    <w:rsid w:val="00BE0821"/>
    <w:rsid w:val="00BF1487"/>
    <w:rsid w:val="00C147E1"/>
    <w:rsid w:val="00C31DCC"/>
    <w:rsid w:val="00CD1C0A"/>
    <w:rsid w:val="00D07B16"/>
    <w:rsid w:val="00D15AB5"/>
    <w:rsid w:val="00D26CF6"/>
    <w:rsid w:val="00D36D49"/>
    <w:rsid w:val="00D73D40"/>
    <w:rsid w:val="00D8217D"/>
    <w:rsid w:val="00D94B6F"/>
    <w:rsid w:val="00DA2B13"/>
    <w:rsid w:val="00DB261B"/>
    <w:rsid w:val="00DB2D1A"/>
    <w:rsid w:val="00DC4991"/>
    <w:rsid w:val="00DD12CC"/>
    <w:rsid w:val="00E256FD"/>
    <w:rsid w:val="00E2593B"/>
    <w:rsid w:val="00E31194"/>
    <w:rsid w:val="00E60E8A"/>
    <w:rsid w:val="00E84BB0"/>
    <w:rsid w:val="00ED5071"/>
    <w:rsid w:val="00EE0A5C"/>
    <w:rsid w:val="00F8540F"/>
    <w:rsid w:val="00F860B3"/>
    <w:rsid w:val="00FB0141"/>
    <w:rsid w:val="00FB5121"/>
    <w:rsid w:val="00FD18E8"/>
    <w:rsid w:val="00FD48B6"/>
    <w:rsid w:val="00FF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47B6EE"/>
  <w15:docId w15:val="{D7C90077-134C-4F53-A7DF-8594122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D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1DCC"/>
    <w:pPr>
      <w:ind w:left="720"/>
      <w:contextualSpacing/>
    </w:pPr>
  </w:style>
  <w:style w:type="paragraph" w:styleId="Title">
    <w:name w:val="Title"/>
    <w:basedOn w:val="Normal"/>
    <w:next w:val="Normal"/>
    <w:link w:val="TitleChar"/>
    <w:uiPriority w:val="10"/>
    <w:qFormat/>
    <w:rsid w:val="008A7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B6E"/>
    <w:rPr>
      <w:rFonts w:asciiTheme="majorHAnsi" w:eastAsiaTheme="majorEastAsia" w:hAnsiTheme="majorHAnsi" w:cstheme="majorBidi"/>
      <w:spacing w:val="-10"/>
      <w:kern w:val="28"/>
      <w:sz w:val="56"/>
      <w:szCs w:val="56"/>
    </w:rPr>
  </w:style>
  <w:style w:type="paragraph" w:customStyle="1" w:styleId="Normal-pool">
    <w:name w:val="Normal-pool"/>
    <w:link w:val="Normal-poolChar"/>
    <w:qFormat/>
    <w:rsid w:val="00607594"/>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paragraph" w:customStyle="1" w:styleId="ZZAnxtitle">
    <w:name w:val="ZZ_Anx_title"/>
    <w:basedOn w:val="Normal"/>
    <w:rsid w:val="00607594"/>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lang w:val="en-GB"/>
    </w:rPr>
  </w:style>
  <w:style w:type="character" w:customStyle="1" w:styleId="Normal-poolChar">
    <w:name w:val="Normal-pool Char"/>
    <w:link w:val="Normal-pool"/>
    <w:rsid w:val="00607594"/>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rsid w:val="00607594"/>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607594"/>
    <w:rPr>
      <w:rFonts w:ascii="Times New Roman" w:hAnsi="Times New Roman"/>
      <w:sz w:val="20"/>
      <w:szCs w:val="20"/>
      <w:lang w:val="en-GB"/>
    </w:rPr>
  </w:style>
  <w:style w:type="table" w:styleId="TableGrid">
    <w:name w:val="Table Grid"/>
    <w:basedOn w:val="TableNormal"/>
    <w:rsid w:val="00607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 Title"/>
    <w:basedOn w:val="Normal-pool"/>
    <w:qFormat/>
    <w:rsid w:val="00607594"/>
    <w:pPr>
      <w:pageBreakBefore/>
      <w:tabs>
        <w:tab w:val="clear" w:pos="4082"/>
      </w:tabs>
    </w:pPr>
    <w:rPr>
      <w:b/>
      <w:bCs/>
      <w:sz w:val="28"/>
      <w:szCs w:val="22"/>
    </w:rPr>
  </w:style>
  <w:style w:type="character" w:styleId="CommentReference">
    <w:name w:val="annotation reference"/>
    <w:basedOn w:val="DefaultParagraphFont"/>
    <w:uiPriority w:val="99"/>
    <w:semiHidden/>
    <w:unhideWhenUsed/>
    <w:rsid w:val="00643DAA"/>
    <w:rPr>
      <w:sz w:val="16"/>
      <w:szCs w:val="16"/>
    </w:rPr>
  </w:style>
  <w:style w:type="paragraph" w:styleId="CommentSubject">
    <w:name w:val="annotation subject"/>
    <w:basedOn w:val="CommentText"/>
    <w:next w:val="CommentText"/>
    <w:link w:val="CommentSubjectChar"/>
    <w:uiPriority w:val="99"/>
    <w:semiHidden/>
    <w:unhideWhenUsed/>
    <w:rsid w:val="00643DAA"/>
    <w:pPr>
      <w:spacing w:after="20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643DAA"/>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64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AA"/>
    <w:rPr>
      <w:rFonts w:ascii="Segoe UI" w:hAnsi="Segoe UI" w:cs="Segoe UI"/>
      <w:sz w:val="18"/>
      <w:szCs w:val="18"/>
    </w:rPr>
  </w:style>
  <w:style w:type="paragraph" w:styleId="Header">
    <w:name w:val="header"/>
    <w:basedOn w:val="Normal"/>
    <w:link w:val="HeaderChar"/>
    <w:uiPriority w:val="99"/>
    <w:unhideWhenUsed/>
    <w:rsid w:val="00DB2D1A"/>
    <w:pPr>
      <w:tabs>
        <w:tab w:val="center" w:pos="4513"/>
        <w:tab w:val="right" w:pos="9026"/>
      </w:tabs>
      <w:snapToGrid w:val="0"/>
    </w:pPr>
  </w:style>
  <w:style w:type="character" w:customStyle="1" w:styleId="HeaderChar">
    <w:name w:val="Header Char"/>
    <w:basedOn w:val="DefaultParagraphFont"/>
    <w:link w:val="Header"/>
    <w:uiPriority w:val="99"/>
    <w:rsid w:val="00DB2D1A"/>
  </w:style>
  <w:style w:type="paragraph" w:styleId="Footer">
    <w:name w:val="footer"/>
    <w:basedOn w:val="Normal"/>
    <w:link w:val="FooterChar"/>
    <w:uiPriority w:val="99"/>
    <w:unhideWhenUsed/>
    <w:rsid w:val="00DB2D1A"/>
    <w:pPr>
      <w:tabs>
        <w:tab w:val="center" w:pos="4513"/>
        <w:tab w:val="right" w:pos="9026"/>
      </w:tabs>
      <w:snapToGrid w:val="0"/>
    </w:pPr>
  </w:style>
  <w:style w:type="character" w:customStyle="1" w:styleId="FooterChar">
    <w:name w:val="Footer Char"/>
    <w:basedOn w:val="DefaultParagraphFont"/>
    <w:link w:val="Footer"/>
    <w:uiPriority w:val="99"/>
    <w:rsid w:val="00DB2D1A"/>
  </w:style>
  <w:style w:type="character" w:styleId="Hyperlink">
    <w:name w:val="Hyperlink"/>
    <w:basedOn w:val="DefaultParagraphFont"/>
    <w:uiPriority w:val="99"/>
    <w:unhideWhenUsed/>
    <w:rsid w:val="00145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ipbe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2021-07-12T08:02:14Z</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C9EC7-E896-4DCD-98FC-C89B7DAF3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45F55-4418-4782-B86E-61957D0934FA}">
  <ds:schemaRefs>
    <ds:schemaRef ds:uri="http://schemas.openxmlformats.org/officeDocument/2006/bibliography"/>
  </ds:schemaRefs>
</ds:datastoreItem>
</file>

<file path=customXml/itemProps3.xml><?xml version="1.0" encoding="utf-8"?>
<ds:datastoreItem xmlns:ds="http://schemas.openxmlformats.org/officeDocument/2006/customXml" ds:itemID="{39E611E8-C78B-4C50-B355-9EB402E33186}"/>
</file>

<file path=customXml/itemProps4.xml><?xml version="1.0" encoding="utf-8"?>
<ds:datastoreItem xmlns:ds="http://schemas.openxmlformats.org/officeDocument/2006/customXml" ds:itemID="{CA976FC3-EBB5-4CFC-8D86-0519EEA44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Koetz</dc:creator>
  <cp:lastModifiedBy>Simone Schiele</cp:lastModifiedBy>
  <cp:revision>6</cp:revision>
  <cp:lastPrinted>2015-02-17T16:12:00Z</cp:lastPrinted>
  <dcterms:created xsi:type="dcterms:W3CDTF">2021-07-09T08:30:00Z</dcterms:created>
  <dcterms:modified xsi:type="dcterms:W3CDTF">2021-07-09T11:57:00Z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