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4785"/>
        <w:gridCol w:w="3435"/>
      </w:tblGrid>
      <w:tr w:rsidR="00053C64" w:rsidRPr="00C84061" w:rsidTr="00053C64">
        <w:tblPrEx>
          <w:tblCellMar>
            <w:top w:w="0" w:type="dxa"/>
            <w:bottom w:w="0" w:type="dxa"/>
          </w:tblCellMar>
        </w:tblPrEx>
        <w:trPr>
          <w:cantSplit/>
          <w:trHeight w:val="850"/>
        </w:trPr>
        <w:tc>
          <w:tcPr>
            <w:tcW w:w="1560" w:type="dxa"/>
          </w:tcPr>
          <w:p w:rsidR="00053C64" w:rsidRPr="00C84061" w:rsidRDefault="00053C64" w:rsidP="00053C64">
            <w:pPr>
              <w:rPr>
                <w:rFonts w:ascii="Univers" w:hAnsi="Univers"/>
                <w:noProof/>
                <w:lang w:val="fr-CA"/>
              </w:rPr>
            </w:pPr>
            <w:r w:rsidRPr="00C84061">
              <w:rPr>
                <w:rFonts w:ascii="Arial" w:hAnsi="Arial" w:cs="Arial"/>
                <w:b/>
                <w:noProof/>
                <w:sz w:val="27"/>
                <w:szCs w:val="27"/>
                <w:lang w:val="fr-CA"/>
              </w:rPr>
              <w:t>NATIONS UNIES</w:t>
            </w:r>
            <w:r w:rsidRPr="00C84061">
              <w:rPr>
                <w:rFonts w:ascii="Arial" w:hAnsi="Arial" w:cs="Arial"/>
                <w:b/>
                <w:noProof/>
                <w:sz w:val="27"/>
                <w:szCs w:val="27"/>
                <w:lang w:val="fr-CA"/>
              </w:rPr>
              <w:br/>
            </w:r>
          </w:p>
        </w:tc>
        <w:tc>
          <w:tcPr>
            <w:tcW w:w="4785" w:type="dxa"/>
          </w:tcPr>
          <w:p w:rsidR="00053C64" w:rsidRPr="00C84061" w:rsidRDefault="00053C64" w:rsidP="00053C64">
            <w:pPr>
              <w:rPr>
                <w:rFonts w:ascii="Univers" w:hAnsi="Univers"/>
                <w:b/>
                <w:sz w:val="27"/>
                <w:szCs w:val="27"/>
                <w:lang w:val="fr-CA"/>
              </w:rPr>
            </w:pPr>
          </w:p>
        </w:tc>
        <w:tc>
          <w:tcPr>
            <w:tcW w:w="3435" w:type="dxa"/>
          </w:tcPr>
          <w:p w:rsidR="00053C64" w:rsidRPr="00C84061" w:rsidRDefault="00053C64" w:rsidP="00053C64">
            <w:pPr>
              <w:jc w:val="right"/>
              <w:rPr>
                <w:rFonts w:ascii="Arial" w:hAnsi="Arial" w:cs="Arial"/>
                <w:b/>
                <w:sz w:val="64"/>
                <w:szCs w:val="64"/>
                <w:lang w:val="fr-CA"/>
              </w:rPr>
            </w:pPr>
            <w:r w:rsidRPr="00C84061">
              <w:rPr>
                <w:rFonts w:ascii="Arial" w:hAnsi="Arial" w:cs="Arial"/>
                <w:b/>
                <w:sz w:val="64"/>
                <w:szCs w:val="64"/>
                <w:lang w:val="fr-CA"/>
              </w:rPr>
              <w:t>EP</w:t>
            </w:r>
          </w:p>
        </w:tc>
      </w:tr>
      <w:tr w:rsidR="00053C64" w:rsidRPr="00C84061" w:rsidTr="00053C64">
        <w:tblPrEx>
          <w:tblCellMar>
            <w:top w:w="0" w:type="dxa"/>
            <w:bottom w:w="0" w:type="dxa"/>
          </w:tblCellMar>
        </w:tblPrEx>
        <w:trPr>
          <w:cantSplit/>
          <w:trHeight w:val="281"/>
        </w:trPr>
        <w:tc>
          <w:tcPr>
            <w:tcW w:w="1560" w:type="dxa"/>
            <w:tcBorders>
              <w:bottom w:val="single" w:sz="4" w:space="0" w:color="auto"/>
            </w:tcBorders>
          </w:tcPr>
          <w:p w:rsidR="00053C64" w:rsidRPr="00C84061" w:rsidRDefault="00053C64" w:rsidP="00053C64">
            <w:pPr>
              <w:rPr>
                <w:noProof/>
                <w:sz w:val="18"/>
                <w:szCs w:val="18"/>
                <w:lang w:val="fr-CA"/>
              </w:rPr>
            </w:pPr>
          </w:p>
        </w:tc>
        <w:tc>
          <w:tcPr>
            <w:tcW w:w="4785" w:type="dxa"/>
            <w:tcBorders>
              <w:bottom w:val="single" w:sz="4" w:space="0" w:color="auto"/>
            </w:tcBorders>
          </w:tcPr>
          <w:p w:rsidR="00053C64" w:rsidRPr="00C84061" w:rsidRDefault="00053C64" w:rsidP="00053C64">
            <w:pPr>
              <w:rPr>
                <w:rFonts w:ascii="Univers" w:hAnsi="Univers"/>
                <w:b/>
                <w:sz w:val="18"/>
                <w:szCs w:val="18"/>
                <w:lang w:val="fr-CA"/>
              </w:rPr>
            </w:pPr>
          </w:p>
        </w:tc>
        <w:tc>
          <w:tcPr>
            <w:tcW w:w="3435" w:type="dxa"/>
            <w:tcBorders>
              <w:bottom w:val="single" w:sz="4" w:space="0" w:color="auto"/>
            </w:tcBorders>
          </w:tcPr>
          <w:p w:rsidR="00053C64" w:rsidRPr="00C84061" w:rsidRDefault="00DC41E6" w:rsidP="00DC41E6">
            <w:pPr>
              <w:rPr>
                <w:noProof/>
                <w:sz w:val="18"/>
                <w:szCs w:val="18"/>
                <w:lang w:val="fr-CA"/>
              </w:rPr>
            </w:pPr>
            <w:r>
              <w:rPr>
                <w:b/>
                <w:bCs/>
                <w:sz w:val="28"/>
                <w:lang w:val="fr-CA"/>
              </w:rPr>
              <w:t>IPBES</w:t>
            </w:r>
            <w:r w:rsidR="00053C64" w:rsidRPr="00C84061">
              <w:rPr>
                <w:lang w:val="fr-CA"/>
              </w:rPr>
              <w:t>/2/1</w:t>
            </w:r>
            <w:r w:rsidR="00FF5708" w:rsidRPr="00C84061">
              <w:rPr>
                <w:lang w:val="fr-CA"/>
              </w:rPr>
              <w:t>6</w:t>
            </w:r>
            <w:r w:rsidR="00327C42" w:rsidRPr="00C84061">
              <w:rPr>
                <w:lang w:val="fr-CA"/>
              </w:rPr>
              <w:t>/Add.</w:t>
            </w:r>
            <w:r w:rsidR="00105C31">
              <w:rPr>
                <w:lang w:val="fr-CA"/>
              </w:rPr>
              <w:t>2</w:t>
            </w:r>
          </w:p>
        </w:tc>
      </w:tr>
      <w:bookmarkStart w:id="0" w:name="_MON_1021710482"/>
      <w:bookmarkStart w:id="1" w:name="_MON_1021710510"/>
      <w:bookmarkEnd w:id="0"/>
      <w:bookmarkEnd w:id="1"/>
      <w:tr w:rsidR="00053C64" w:rsidRPr="00C84061" w:rsidTr="00053C64">
        <w:tblPrEx>
          <w:tblCellMar>
            <w:top w:w="0" w:type="dxa"/>
            <w:bottom w:w="0" w:type="dxa"/>
          </w:tblCellMar>
        </w:tblPrEx>
        <w:trPr>
          <w:cantSplit/>
          <w:trHeight w:val="2549"/>
        </w:trPr>
        <w:tc>
          <w:tcPr>
            <w:tcW w:w="1560" w:type="dxa"/>
            <w:tcBorders>
              <w:top w:val="single" w:sz="4" w:space="0" w:color="auto"/>
              <w:bottom w:val="single" w:sz="24" w:space="0" w:color="auto"/>
            </w:tcBorders>
          </w:tcPr>
          <w:p w:rsidR="00053C64" w:rsidRPr="00C84061" w:rsidRDefault="00053C64" w:rsidP="00053C64">
            <w:pPr>
              <w:rPr>
                <w:noProof/>
                <w:lang w:val="fr-CA"/>
              </w:rPr>
            </w:pPr>
            <w:r w:rsidRPr="00C84061">
              <w:rPr>
                <w:noProof/>
                <w:lang w:val="fr-CA"/>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6046216" r:id="rId9"/>
              </w:object>
            </w:r>
            <w:r w:rsidR="00CD2AE9">
              <w:rPr>
                <w:noProof/>
                <w:lang w:val="en-US"/>
              </w:rPr>
              <w:drawing>
                <wp:inline distT="0" distB="0" distL="0" distR="0">
                  <wp:extent cx="723900" cy="76835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srcRect/>
                          <a:stretch>
                            <a:fillRect/>
                          </a:stretch>
                        </pic:blipFill>
                        <pic:spPr bwMode="auto">
                          <a:xfrm>
                            <a:off x="0" y="0"/>
                            <a:ext cx="723900" cy="768350"/>
                          </a:xfrm>
                          <a:prstGeom prst="rect">
                            <a:avLst/>
                          </a:prstGeom>
                          <a:noFill/>
                          <a:ln w="9525">
                            <a:noFill/>
                            <a:miter lim="800000"/>
                            <a:headEnd/>
                            <a:tailEnd/>
                          </a:ln>
                        </pic:spPr>
                      </pic:pic>
                    </a:graphicData>
                  </a:graphic>
                </wp:inline>
              </w:drawing>
            </w:r>
          </w:p>
        </w:tc>
        <w:tc>
          <w:tcPr>
            <w:tcW w:w="4785" w:type="dxa"/>
            <w:tcBorders>
              <w:top w:val="single" w:sz="4" w:space="0" w:color="auto"/>
              <w:bottom w:val="single" w:sz="24" w:space="0" w:color="auto"/>
            </w:tcBorders>
          </w:tcPr>
          <w:p w:rsidR="00053C64" w:rsidRPr="00C84061" w:rsidRDefault="00053C64" w:rsidP="00053C64">
            <w:pPr>
              <w:spacing w:before="1200"/>
              <w:rPr>
                <w:rFonts w:ascii="Arial" w:hAnsi="Arial" w:cs="Arial"/>
                <w:b/>
                <w:sz w:val="28"/>
                <w:lang w:val="fr-CA"/>
              </w:rPr>
            </w:pPr>
            <w:r w:rsidRPr="00C84061">
              <w:rPr>
                <w:rFonts w:ascii="Arial" w:hAnsi="Arial" w:cs="Arial"/>
                <w:b/>
                <w:sz w:val="28"/>
                <w:szCs w:val="28"/>
                <w:lang w:val="fr-CA"/>
              </w:rPr>
              <w:t xml:space="preserve">Programme </w:t>
            </w:r>
            <w:r w:rsidRPr="00C84061">
              <w:rPr>
                <w:rFonts w:ascii="Arial" w:hAnsi="Arial" w:cs="Arial"/>
                <w:b/>
                <w:sz w:val="28"/>
                <w:szCs w:val="28"/>
                <w:lang w:val="fr-CA"/>
              </w:rPr>
              <w:br/>
              <w:t xml:space="preserve">des Nations Unies </w:t>
            </w:r>
            <w:r w:rsidRPr="00C84061">
              <w:rPr>
                <w:rFonts w:ascii="Arial" w:hAnsi="Arial" w:cs="Arial"/>
                <w:b/>
                <w:sz w:val="28"/>
                <w:szCs w:val="28"/>
                <w:lang w:val="fr-CA"/>
              </w:rPr>
              <w:br/>
              <w:t>pour l’environnement</w:t>
            </w:r>
          </w:p>
        </w:tc>
        <w:tc>
          <w:tcPr>
            <w:tcW w:w="3435" w:type="dxa"/>
            <w:tcBorders>
              <w:top w:val="single" w:sz="4" w:space="0" w:color="auto"/>
              <w:bottom w:val="single" w:sz="24" w:space="0" w:color="auto"/>
            </w:tcBorders>
          </w:tcPr>
          <w:p w:rsidR="00053C64" w:rsidRPr="00C84061" w:rsidRDefault="00327C42" w:rsidP="00053C64">
            <w:pPr>
              <w:spacing w:before="120" w:after="120"/>
              <w:rPr>
                <w:lang w:val="fr-CA"/>
              </w:rPr>
            </w:pPr>
            <w:r w:rsidRPr="00C84061">
              <w:rPr>
                <w:lang w:val="fr-CA"/>
              </w:rPr>
              <w:t>Distr. : générale</w:t>
            </w:r>
            <w:r w:rsidRPr="00C84061">
              <w:rPr>
                <w:lang w:val="fr-CA"/>
              </w:rPr>
              <w:br/>
              <w:t>2</w:t>
            </w:r>
            <w:r w:rsidR="00105C31">
              <w:rPr>
                <w:lang w:val="fr-CA"/>
              </w:rPr>
              <w:t>6</w:t>
            </w:r>
            <w:r w:rsidRPr="00C84061">
              <w:rPr>
                <w:lang w:val="fr-CA"/>
              </w:rPr>
              <w:t> </w:t>
            </w:r>
            <w:r w:rsidR="00105C31">
              <w:rPr>
                <w:lang w:val="fr-CA"/>
              </w:rPr>
              <w:t>septembre</w:t>
            </w:r>
            <w:r w:rsidRPr="00C84061">
              <w:rPr>
                <w:lang w:val="fr-CA"/>
              </w:rPr>
              <w:t xml:space="preserve"> </w:t>
            </w:r>
            <w:r w:rsidR="00053C64" w:rsidRPr="00C84061">
              <w:rPr>
                <w:lang w:val="fr-CA"/>
              </w:rPr>
              <w:t>2013</w:t>
            </w:r>
          </w:p>
          <w:p w:rsidR="00053C64" w:rsidRPr="00C84061" w:rsidRDefault="00053C64" w:rsidP="00053C64">
            <w:pPr>
              <w:spacing w:before="120" w:after="120"/>
              <w:rPr>
                <w:lang w:val="fr-CA"/>
              </w:rPr>
            </w:pPr>
            <w:r w:rsidRPr="00C84061">
              <w:rPr>
                <w:lang w:val="fr-CA"/>
              </w:rPr>
              <w:t>Français</w:t>
            </w:r>
            <w:r w:rsidRPr="00C84061">
              <w:rPr>
                <w:lang w:val="fr-CA"/>
              </w:rPr>
              <w:br/>
              <w:t>Original : anglais</w:t>
            </w:r>
          </w:p>
        </w:tc>
      </w:tr>
    </w:tbl>
    <w:p w:rsidR="00053C64" w:rsidRPr="00C84061" w:rsidRDefault="00053C64" w:rsidP="00053C64">
      <w:pPr>
        <w:pStyle w:val="AATitle"/>
      </w:pPr>
      <w:r w:rsidRPr="00C84061">
        <w:t>Plénière de la Plateforme intergouvernementale scientifique et politique sur la biodiversité et les services écosystémiques</w:t>
      </w:r>
    </w:p>
    <w:p w:rsidR="00053C64" w:rsidRPr="00C84061" w:rsidRDefault="00053C64" w:rsidP="00053C64">
      <w:pPr>
        <w:pStyle w:val="AATitle"/>
      </w:pPr>
      <w:r w:rsidRPr="00C84061">
        <w:t>Deuxième session</w:t>
      </w:r>
    </w:p>
    <w:p w:rsidR="00053C64" w:rsidRPr="00C84061" w:rsidRDefault="00ED7C05" w:rsidP="00053C64">
      <w:pPr>
        <w:pStyle w:val="AATitle"/>
        <w:rPr>
          <w:b w:val="0"/>
          <w:szCs w:val="22"/>
        </w:rPr>
      </w:pPr>
      <w:r w:rsidRPr="00C84061">
        <w:rPr>
          <w:b w:val="0"/>
          <w:szCs w:val="22"/>
        </w:rPr>
        <w:t>Antalya (Turquie), 9-14 </w:t>
      </w:r>
      <w:r w:rsidR="00053C64" w:rsidRPr="00C84061">
        <w:rPr>
          <w:b w:val="0"/>
          <w:szCs w:val="22"/>
        </w:rPr>
        <w:t xml:space="preserve">décembre 2013 </w:t>
      </w:r>
    </w:p>
    <w:p w:rsidR="000A7562" w:rsidRPr="00C84061" w:rsidRDefault="00053C64" w:rsidP="000A7562">
      <w:pPr>
        <w:pStyle w:val="AATitle"/>
        <w:keepNext w:val="0"/>
        <w:keepLines w:val="0"/>
        <w:rPr>
          <w:b w:val="0"/>
          <w:lang w:eastAsia="ja-JP"/>
        </w:rPr>
      </w:pPr>
      <w:r w:rsidRPr="00C84061">
        <w:rPr>
          <w:b w:val="0"/>
          <w:lang w:eastAsia="ja-JP"/>
        </w:rPr>
        <w:t>Point </w:t>
      </w:r>
      <w:r w:rsidR="00FF5708" w:rsidRPr="00C84061">
        <w:rPr>
          <w:b w:val="0"/>
          <w:lang w:eastAsia="ja-JP"/>
        </w:rPr>
        <w:t>4</w:t>
      </w:r>
      <w:r w:rsidR="0031022F" w:rsidRPr="00C84061">
        <w:rPr>
          <w:b w:val="0"/>
          <w:lang w:eastAsia="ja-JP"/>
        </w:rPr>
        <w:t> </w:t>
      </w:r>
      <w:r w:rsidR="00267A16" w:rsidRPr="00C84061">
        <w:rPr>
          <w:b w:val="0"/>
          <w:lang w:eastAsia="ja-JP"/>
        </w:rPr>
        <w:t>a)</w:t>
      </w:r>
      <w:r w:rsidR="000A7562" w:rsidRPr="00C84061">
        <w:rPr>
          <w:b w:val="0"/>
          <w:lang w:eastAsia="ja-JP"/>
        </w:rPr>
        <w:t xml:space="preserve"> </w:t>
      </w:r>
      <w:r w:rsidR="0031022F" w:rsidRPr="00C84061">
        <w:rPr>
          <w:b w:val="0"/>
          <w:lang w:eastAsia="ja-JP"/>
        </w:rPr>
        <w:t>de l’ordre du jour provisoire</w:t>
      </w:r>
      <w:r w:rsidR="000A7562" w:rsidRPr="00C84061">
        <w:rPr>
          <w:rStyle w:val="FootnoteReference"/>
          <w:b w:val="0"/>
          <w:lang w:eastAsia="ja-JP"/>
        </w:rPr>
        <w:footnoteReference w:customMarkFollows="1" w:id="1"/>
        <w:sym w:font="Symbol" w:char="F02A"/>
      </w:r>
    </w:p>
    <w:p w:rsidR="000A7562" w:rsidRPr="00C84061" w:rsidRDefault="00A166A7" w:rsidP="000A7562">
      <w:pPr>
        <w:pStyle w:val="AATitle"/>
        <w:keepNext w:val="0"/>
        <w:keepLines w:val="0"/>
        <w:spacing w:before="60"/>
      </w:pPr>
      <w:r w:rsidRPr="00C84061">
        <w:t>Programme de travail initial de la Plateforme</w:t>
      </w:r>
      <w:r w:rsidR="0031022F" w:rsidRPr="00C84061">
        <w:t> </w:t>
      </w:r>
      <w:r w:rsidR="00267A16" w:rsidRPr="00C84061">
        <w:t xml:space="preserve">: </w:t>
      </w:r>
      <w:r w:rsidR="00712F17" w:rsidRPr="00C84061">
        <w:t>p</w:t>
      </w:r>
      <w:r w:rsidRPr="00C84061">
        <w:t>rogramme de t</w:t>
      </w:r>
      <w:r w:rsidR="00266500" w:rsidRPr="00C84061">
        <w:t>ravail pour la période 2014-2018</w:t>
      </w:r>
    </w:p>
    <w:p w:rsidR="00C15AAE" w:rsidRPr="00C84061" w:rsidRDefault="004C2D15" w:rsidP="000A7562">
      <w:pPr>
        <w:pStyle w:val="BBTitle"/>
        <w:rPr>
          <w:rFonts w:eastAsia="MS Mincho"/>
        </w:rPr>
      </w:pPr>
      <w:r w:rsidRPr="00C84061">
        <w:t>Cadrage</w:t>
      </w:r>
      <w:r w:rsidR="00F422D2" w:rsidRPr="00C84061">
        <w:t xml:space="preserve"> initial</w:t>
      </w:r>
      <w:r w:rsidR="001E3CAA" w:rsidRPr="00C84061">
        <w:t xml:space="preserve"> </w:t>
      </w:r>
      <w:r w:rsidR="00105C31">
        <w:t>de</w:t>
      </w:r>
      <w:r w:rsidR="00A81DBA" w:rsidRPr="00C84061">
        <w:t xml:space="preserve"> l’évaluation thématique</w:t>
      </w:r>
      <w:r w:rsidR="001E3CAA" w:rsidRPr="00C84061">
        <w:t xml:space="preserve"> </w:t>
      </w:r>
      <w:r w:rsidR="00A81DBA" w:rsidRPr="00C84061">
        <w:t xml:space="preserve">de </w:t>
      </w:r>
      <w:r w:rsidR="00105C31">
        <w:t xml:space="preserve">la dégradation </w:t>
      </w:r>
      <w:r w:rsidR="00A74104">
        <w:br/>
      </w:r>
      <w:r w:rsidR="00105C31">
        <w:t xml:space="preserve">et </w:t>
      </w:r>
      <w:r w:rsidR="0075676A">
        <w:t xml:space="preserve">de </w:t>
      </w:r>
      <w:r w:rsidR="00105C31">
        <w:t xml:space="preserve">la </w:t>
      </w:r>
      <w:r w:rsidR="0075676A">
        <w:t>re</w:t>
      </w:r>
      <w:r w:rsidR="006F05E5">
        <w:t>stauration</w:t>
      </w:r>
      <w:r w:rsidR="0075676A">
        <w:t xml:space="preserve"> des terres</w:t>
      </w:r>
    </w:p>
    <w:p w:rsidR="002D76D2" w:rsidRPr="00C84061" w:rsidRDefault="000A7562" w:rsidP="002D76D2">
      <w:pPr>
        <w:pStyle w:val="CH2"/>
      </w:pPr>
      <w:r w:rsidRPr="00C84061">
        <w:tab/>
      </w:r>
      <w:r w:rsidRPr="00C84061">
        <w:tab/>
        <w:t xml:space="preserve">Note </w:t>
      </w:r>
      <w:r w:rsidR="00C15AAE" w:rsidRPr="00C84061">
        <w:t>du Secré</w:t>
      </w:r>
      <w:r w:rsidRPr="00C84061">
        <w:t>tariat</w:t>
      </w:r>
    </w:p>
    <w:p w:rsidR="002D76D2" w:rsidRPr="00C84061" w:rsidRDefault="002D76D2" w:rsidP="002D76D2">
      <w:pPr>
        <w:pStyle w:val="CH1"/>
      </w:pPr>
      <w:r w:rsidRPr="00C84061">
        <w:tab/>
        <w:t xml:space="preserve">I. </w:t>
      </w:r>
      <w:r w:rsidRPr="00C84061">
        <w:tab/>
        <w:t>Introduction</w:t>
      </w:r>
    </w:p>
    <w:p w:rsidR="00852380" w:rsidRPr="00C84061" w:rsidRDefault="0075676A" w:rsidP="00B57621">
      <w:pPr>
        <w:pStyle w:val="Normalnumber"/>
        <w:numPr>
          <w:ilvl w:val="0"/>
          <w:numId w:val="8"/>
        </w:numPr>
        <w:tabs>
          <w:tab w:val="clear" w:pos="567"/>
          <w:tab w:val="num" w:pos="1134"/>
          <w:tab w:val="left" w:pos="1247"/>
          <w:tab w:val="left" w:pos="1814"/>
          <w:tab w:val="left" w:pos="2381"/>
          <w:tab w:val="left" w:pos="2948"/>
          <w:tab w:val="left" w:pos="3515"/>
          <w:tab w:val="left" w:pos="4082"/>
        </w:tabs>
      </w:pPr>
      <w:r w:rsidRPr="00C9391E">
        <w:t xml:space="preserve">Reconnaissant la nécessité de </w:t>
      </w:r>
      <w:r>
        <w:t>faire avancer le</w:t>
      </w:r>
      <w:r w:rsidRPr="00C9391E">
        <w:t xml:space="preserve"> programme de travail pour la période 2014–2018 une fois ce</w:t>
      </w:r>
      <w:r>
        <w:t>lui-ci</w:t>
      </w:r>
      <w:r w:rsidRPr="00C9391E">
        <w:t xml:space="preserve"> approuvé par la Plénière de la Plateforme intergouvernementale scientifique et politique sur la biodiversité et les services écosystémiques à sa deuxième session, le Bureau et le Groupe d’experts multidisciplinaire ont convenu d’é</w:t>
      </w:r>
      <w:r>
        <w:t>tablir</w:t>
      </w:r>
      <w:r w:rsidRPr="00C9391E">
        <w:t>, pour examen à ladite session, un certain nombre de documents de cadrage initial</w:t>
      </w:r>
      <w:r>
        <w:t xml:space="preserve"> tenant compte de</w:t>
      </w:r>
      <w:r w:rsidRPr="00C9391E">
        <w:t xml:space="preserve"> la hiérarchisation des demandes, suggestions et contributions présentées à la Plateforme et </w:t>
      </w:r>
      <w:r>
        <w:t>des</w:t>
      </w:r>
      <w:r w:rsidRPr="00C9391E">
        <w:t xml:space="preserve"> produits </w:t>
      </w:r>
      <w:r>
        <w:t xml:space="preserve">définis dans le </w:t>
      </w:r>
      <w:r w:rsidRPr="00C9391E">
        <w:t>projet de programme de travail (IPBES/2/2). On trouvera dans la présente note</w:t>
      </w:r>
      <w:r>
        <w:t xml:space="preserve"> </w:t>
      </w:r>
      <w:r w:rsidR="00FF0383" w:rsidRPr="00C84061">
        <w:t>le cadrage initial pour un</w:t>
      </w:r>
      <w:r w:rsidR="008E1FA1">
        <w:t>e</w:t>
      </w:r>
      <w:r w:rsidR="00FF0383" w:rsidRPr="00C84061">
        <w:t xml:space="preserve"> </w:t>
      </w:r>
      <w:r>
        <w:t xml:space="preserve">éventuelle </w:t>
      </w:r>
      <w:r w:rsidR="008E1FA1">
        <w:t>é</w:t>
      </w:r>
      <w:r w:rsidR="00FF0383" w:rsidRPr="00C84061">
        <w:t xml:space="preserve">valuation thématique de </w:t>
      </w:r>
      <w:r w:rsidR="008E1FA1">
        <w:t xml:space="preserve">la dégradation et de la </w:t>
      </w:r>
      <w:r>
        <w:t>re</w:t>
      </w:r>
      <w:r w:rsidR="006F05E5">
        <w:t>stauration</w:t>
      </w:r>
      <w:r>
        <w:t xml:space="preserve"> des terres</w:t>
      </w:r>
      <w:r w:rsidR="00FF0383" w:rsidRPr="00C84061">
        <w:t>.</w:t>
      </w:r>
      <w:r w:rsidR="00D9188D" w:rsidRPr="00C84061">
        <w:t xml:space="preserve"> </w:t>
      </w:r>
      <w:r>
        <w:t>Il</w:t>
      </w:r>
      <w:r w:rsidR="00D9188D" w:rsidRPr="00C84061">
        <w:t xml:space="preserve"> a été établi </w:t>
      </w:r>
      <w:r>
        <w:t xml:space="preserve">conformément au </w:t>
      </w:r>
      <w:r w:rsidRPr="00C9391E">
        <w:t>projet de procédures pour l’établissement des produits de la Plateforme (IPBES/2/9).</w:t>
      </w:r>
    </w:p>
    <w:p w:rsidR="006170F5" w:rsidRPr="00C84061" w:rsidRDefault="006170F5" w:rsidP="006170F5">
      <w:pPr>
        <w:pStyle w:val="CH1"/>
      </w:pPr>
      <w:r w:rsidRPr="00C84061">
        <w:tab/>
        <w:t>II.</w:t>
      </w:r>
      <w:r w:rsidRPr="00C84061">
        <w:tab/>
        <w:t>Portée, bien-fondé, utilité et hypothèses</w:t>
      </w:r>
    </w:p>
    <w:p w:rsidR="006170F5" w:rsidRPr="00C84061" w:rsidRDefault="006170F5" w:rsidP="006170F5">
      <w:pPr>
        <w:pStyle w:val="CH2"/>
      </w:pPr>
      <w:r w:rsidRPr="00C84061">
        <w:tab/>
        <w:t>A.</w:t>
      </w:r>
      <w:r w:rsidRPr="00C84061">
        <w:tab/>
        <w:t xml:space="preserve">Portée </w:t>
      </w:r>
    </w:p>
    <w:p w:rsidR="005A4E0C" w:rsidRPr="00C84061" w:rsidRDefault="006170F5" w:rsidP="00A10056">
      <w:pPr>
        <w:pStyle w:val="Normalnumber"/>
        <w:numPr>
          <w:ilvl w:val="0"/>
          <w:numId w:val="8"/>
        </w:numPr>
        <w:tabs>
          <w:tab w:val="left" w:pos="1247"/>
          <w:tab w:val="left" w:pos="1814"/>
          <w:tab w:val="left" w:pos="2381"/>
          <w:tab w:val="left" w:pos="2948"/>
          <w:tab w:val="left" w:pos="3515"/>
          <w:tab w:val="left" w:pos="4082"/>
        </w:tabs>
      </w:pPr>
      <w:r w:rsidRPr="00367D15">
        <w:t xml:space="preserve">L’objectif </w:t>
      </w:r>
      <w:r w:rsidR="004A494A" w:rsidRPr="00367D15">
        <w:t>d</w:t>
      </w:r>
      <w:r w:rsidR="0075676A">
        <w:t>e l</w:t>
      </w:r>
      <w:r w:rsidRPr="00367D15">
        <w:t xml:space="preserve">’évaluation </w:t>
      </w:r>
      <w:r w:rsidR="000E3325" w:rsidRPr="00367D15">
        <w:t xml:space="preserve">de la dégradation et de la </w:t>
      </w:r>
      <w:r w:rsidR="0075676A">
        <w:t>re</w:t>
      </w:r>
      <w:r w:rsidR="006F05E5">
        <w:t>stauration</w:t>
      </w:r>
      <w:r w:rsidR="0075676A">
        <w:t xml:space="preserve"> des terres</w:t>
      </w:r>
      <w:r w:rsidR="000E3325" w:rsidRPr="00367D15">
        <w:t xml:space="preserve"> </w:t>
      </w:r>
      <w:r w:rsidR="0075676A" w:rsidRPr="00C9391E">
        <w:t xml:space="preserve">qu’il est proposé d’entreprendre </w:t>
      </w:r>
      <w:r w:rsidR="00A122E8" w:rsidRPr="00367D15">
        <w:t xml:space="preserve">est </w:t>
      </w:r>
      <w:r w:rsidR="001872CF" w:rsidRPr="00367D15">
        <w:t>de passer en revue</w:t>
      </w:r>
      <w:r w:rsidR="00E14199" w:rsidRPr="00367D15">
        <w:t xml:space="preserve"> des méthodes </w:t>
      </w:r>
      <w:r w:rsidR="00367D15" w:rsidRPr="00367D15">
        <w:t>d’évaluation et de classification</w:t>
      </w:r>
      <w:r w:rsidR="00E14199" w:rsidRPr="00367D15">
        <w:t xml:space="preserve"> </w:t>
      </w:r>
      <w:r w:rsidR="00367D15" w:rsidRPr="00367D15">
        <w:t>d</w:t>
      </w:r>
      <w:r w:rsidR="004A494A" w:rsidRPr="00367D15">
        <w:t>e</w:t>
      </w:r>
      <w:r w:rsidR="0075676A">
        <w:t xml:space="preserve"> la</w:t>
      </w:r>
      <w:r w:rsidR="004A494A" w:rsidRPr="00367D15">
        <w:t xml:space="preserve"> dégradation des terres,</w:t>
      </w:r>
      <w:r w:rsidR="00F433B1" w:rsidRPr="00367D15">
        <w:t xml:space="preserve"> </w:t>
      </w:r>
      <w:r w:rsidR="00367D15" w:rsidRPr="00367D15">
        <w:t xml:space="preserve">d’évaluer </w:t>
      </w:r>
      <w:r w:rsidR="00F433B1" w:rsidRPr="00367D15">
        <w:t>l’état mondial</w:t>
      </w:r>
      <w:r w:rsidR="00367D15" w:rsidRPr="00367D15">
        <w:t xml:space="preserve">, les tendances et les facteurs de </w:t>
      </w:r>
      <w:r w:rsidR="00C54B2E">
        <w:t>cette</w:t>
      </w:r>
      <w:r w:rsidR="004A494A" w:rsidRPr="00367D15">
        <w:t xml:space="preserve"> </w:t>
      </w:r>
      <w:r w:rsidR="00822B61" w:rsidRPr="00367D15">
        <w:t xml:space="preserve">dégradation, par région et type </w:t>
      </w:r>
      <w:r w:rsidR="00C54B2E">
        <w:t>d</w:t>
      </w:r>
      <w:r w:rsidR="006F05E5">
        <w:t>e couverture du sol</w:t>
      </w:r>
      <w:r w:rsidR="00C9639D" w:rsidRPr="00367D15">
        <w:t>, en tenant compte des différents systèmes</w:t>
      </w:r>
      <w:r w:rsidR="00C9639D">
        <w:t xml:space="preserve"> de savoirs et de valeurs</w:t>
      </w:r>
      <w:r w:rsidR="007F40E6">
        <w:t xml:space="preserve">, </w:t>
      </w:r>
      <w:r w:rsidR="00902DF3">
        <w:t xml:space="preserve">d’évaluer </w:t>
      </w:r>
      <w:r w:rsidR="007F40E6">
        <w:t>les conséquences de la dégradation des terres sur</w:t>
      </w:r>
      <w:r w:rsidR="00C271B7">
        <w:t xml:space="preserve"> les valeurs de la biodiversité</w:t>
      </w:r>
      <w:r w:rsidR="007F40E6">
        <w:t xml:space="preserve">, les services écosytémiques et le bien-être </w:t>
      </w:r>
      <w:r w:rsidR="00C54B2E">
        <w:t>humain</w:t>
      </w:r>
      <w:r w:rsidR="007F40E6">
        <w:t xml:space="preserve">, </w:t>
      </w:r>
      <w:r w:rsidR="00C271B7">
        <w:t xml:space="preserve">et d’évaluer </w:t>
      </w:r>
      <w:r w:rsidR="007F40E6">
        <w:t xml:space="preserve">l’état des connaissances </w:t>
      </w:r>
      <w:r w:rsidR="008A66B6">
        <w:t>concernant les</w:t>
      </w:r>
      <w:r w:rsidR="007F40E6">
        <w:t xml:space="preserve"> mesures permettant d’atténuer la dégradation de la biodiversité </w:t>
      </w:r>
      <w:r w:rsidR="00E23D66">
        <w:t xml:space="preserve">et des systèmes écosystémiques </w:t>
      </w:r>
      <w:r w:rsidR="007F40E6">
        <w:t>et de l</w:t>
      </w:r>
      <w:r w:rsidR="00E23D66">
        <w:t>es</w:t>
      </w:r>
      <w:r w:rsidR="007F40E6">
        <w:t xml:space="preserve"> restaurer ou </w:t>
      </w:r>
      <w:r w:rsidR="00E23D66">
        <w:t xml:space="preserve">d’en récupérer une partie, par région et par type </w:t>
      </w:r>
      <w:r w:rsidR="00C54B2E">
        <w:t>d</w:t>
      </w:r>
      <w:r w:rsidR="006F05E5">
        <w:t>e couverture du sol</w:t>
      </w:r>
      <w:r w:rsidR="00E23D66">
        <w:t>.</w:t>
      </w:r>
    </w:p>
    <w:p w:rsidR="00A122E8" w:rsidRPr="00C84061" w:rsidRDefault="005A4E0C" w:rsidP="005A4E0C">
      <w:pPr>
        <w:pStyle w:val="CH2"/>
      </w:pPr>
      <w:r w:rsidRPr="00C84061">
        <w:lastRenderedPageBreak/>
        <w:tab/>
        <w:t>B.</w:t>
      </w:r>
      <w:r w:rsidRPr="00C84061">
        <w:tab/>
        <w:t>Bien-fondé</w:t>
      </w:r>
    </w:p>
    <w:p w:rsidR="00047ED8" w:rsidRPr="00C84061" w:rsidRDefault="00E83471" w:rsidP="005A4E0C">
      <w:pPr>
        <w:pStyle w:val="Normalnumber"/>
        <w:numPr>
          <w:ilvl w:val="0"/>
          <w:numId w:val="8"/>
        </w:numPr>
        <w:tabs>
          <w:tab w:val="left" w:pos="1247"/>
          <w:tab w:val="left" w:pos="1814"/>
          <w:tab w:val="left" w:pos="2381"/>
          <w:tab w:val="left" w:pos="2948"/>
          <w:tab w:val="left" w:pos="3515"/>
          <w:tab w:val="left" w:pos="4082"/>
        </w:tabs>
      </w:pPr>
      <w:r>
        <w:t xml:space="preserve">Aux fins de la présente note, la dégradation des terres est définie comme un déclin à long-terme </w:t>
      </w:r>
      <w:r w:rsidR="00BC56BD">
        <w:t xml:space="preserve">de la fonction de la biodiversité </w:t>
      </w:r>
      <w:r w:rsidR="00C54B2E">
        <w:t xml:space="preserve">ou </w:t>
      </w:r>
      <w:r w:rsidR="00D55478">
        <w:t xml:space="preserve">des </w:t>
      </w:r>
      <w:r w:rsidR="00C54B2E">
        <w:t xml:space="preserve">écosystèmes ou </w:t>
      </w:r>
      <w:r w:rsidR="00D55478">
        <w:t>une perte de</w:t>
      </w:r>
      <w:r w:rsidR="00BC56BD">
        <w:t xml:space="preserve"> services écosystémiques dont les terres ne peuvent se remettre sans aide</w:t>
      </w:r>
      <w:r w:rsidR="008D32BF" w:rsidRPr="00C84061">
        <w:t>.</w:t>
      </w:r>
      <w:r w:rsidR="00D55478">
        <w:t xml:space="preserve"> C’est un problème environnemental majeur qui touche, de différentes manières et à des degrés divers, tous les continents peuplés de manière </w:t>
      </w:r>
      <w:r w:rsidR="00C940DE">
        <w:t>permanente</w:t>
      </w:r>
      <w:r w:rsidR="00D55478">
        <w:t xml:space="preserve">. </w:t>
      </w:r>
      <w:r w:rsidR="007C4A72">
        <w:t>Ce fait a été reconnu par la Conférence des Nations Unies sur le développement durable (Rio+20)</w:t>
      </w:r>
      <w:r w:rsidR="00864E63">
        <w:t xml:space="preserve">, </w:t>
      </w:r>
      <w:r w:rsidR="00212FA4">
        <w:t>dont</w:t>
      </w:r>
      <w:r w:rsidR="00864E63">
        <w:t xml:space="preserve"> les participant</w:t>
      </w:r>
      <w:r w:rsidR="00592335">
        <w:t>s</w:t>
      </w:r>
      <w:r w:rsidR="00864E63">
        <w:t xml:space="preserve"> ont déclaré qu’ils </w:t>
      </w:r>
      <w:r w:rsidR="00E20E0F">
        <w:t>s’emploieraient</w:t>
      </w:r>
      <w:r w:rsidR="00CB2BEC">
        <w:t>,</w:t>
      </w:r>
      <w:r w:rsidR="00864E63">
        <w:t xml:space="preserve"> </w:t>
      </w:r>
      <w:r w:rsidR="00CB2BEC">
        <w:t xml:space="preserve">dans le cadre du développement durable, </w:t>
      </w:r>
      <w:r w:rsidR="00C56AFA">
        <w:t xml:space="preserve">à </w:t>
      </w:r>
      <w:r w:rsidR="00E20E0F">
        <w:t>créer un monde où la dégrad</w:t>
      </w:r>
      <w:r w:rsidR="00812D8C">
        <w:t xml:space="preserve">ation des </w:t>
      </w:r>
      <w:r w:rsidR="0075676A">
        <w:t>terres</w:t>
      </w:r>
      <w:r w:rsidR="00812D8C">
        <w:t xml:space="preserve"> </w:t>
      </w:r>
      <w:r w:rsidR="00C54B2E">
        <w:t>n’est plus un problème</w:t>
      </w:r>
      <w:r w:rsidR="00E20E0F">
        <w:rPr>
          <w:rStyle w:val="FootnoteReference"/>
        </w:rPr>
        <w:footnoteReference w:id="2"/>
      </w:r>
      <w:r w:rsidR="00C54B2E">
        <w:t>.</w:t>
      </w:r>
    </w:p>
    <w:p w:rsidR="00B619EB" w:rsidRDefault="003529B6" w:rsidP="005A4E0C">
      <w:pPr>
        <w:pStyle w:val="Normalnumber"/>
        <w:numPr>
          <w:ilvl w:val="0"/>
          <w:numId w:val="8"/>
        </w:numPr>
        <w:tabs>
          <w:tab w:val="left" w:pos="1247"/>
          <w:tab w:val="left" w:pos="1814"/>
          <w:tab w:val="left" w:pos="2381"/>
          <w:tab w:val="left" w:pos="2948"/>
          <w:tab w:val="left" w:pos="3515"/>
          <w:tab w:val="left" w:pos="4082"/>
        </w:tabs>
      </w:pPr>
      <w:r>
        <w:t xml:space="preserve">La dégradation des terres restera </w:t>
      </w:r>
      <w:r w:rsidR="00C940DE">
        <w:t>un enjeu</w:t>
      </w:r>
      <w:r>
        <w:t xml:space="preserve"> mondial </w:t>
      </w:r>
      <w:r w:rsidR="00C940DE">
        <w:t xml:space="preserve">important </w:t>
      </w:r>
      <w:r>
        <w:t>pour le vingt-et-unième siècle en raison de ses effets négatifs sur la production agricole, la biodiversité et la qualité de la vie. Selon les es</w:t>
      </w:r>
      <w:r w:rsidR="00312266">
        <w:t>timations, elle est responsable</w:t>
      </w:r>
      <w:r>
        <w:t xml:space="preserve"> de pertes économiques </w:t>
      </w:r>
      <w:r w:rsidR="00312266">
        <w:t xml:space="preserve">annuelles </w:t>
      </w:r>
      <w:r>
        <w:t>se situant entre 50 et 400 </w:t>
      </w:r>
      <w:r w:rsidR="00312266">
        <w:t>milliards de dollars au niveau mondial</w:t>
      </w:r>
      <w:r>
        <w:t>. Au moins 40 % des terres africaines sont dégradées</w:t>
      </w:r>
      <w:r w:rsidR="00BB507E" w:rsidRPr="00C84061">
        <w:t>.</w:t>
      </w:r>
      <w:r>
        <w:t xml:space="preserve"> </w:t>
      </w:r>
      <w:r w:rsidR="00910155">
        <w:t>Le phénomène</w:t>
      </w:r>
      <w:r>
        <w:t xml:space="preserve"> est particulièrement sévère</w:t>
      </w:r>
      <w:r w:rsidR="00592335">
        <w:t xml:space="preserve"> et urgent à traiter</w:t>
      </w:r>
      <w:r>
        <w:t xml:space="preserve"> dans les zones arides</w:t>
      </w:r>
      <w:r w:rsidR="00312266">
        <w:t xml:space="preserve"> (</w:t>
      </w:r>
      <w:r w:rsidR="00910155">
        <w:t xml:space="preserve">on parle </w:t>
      </w:r>
      <w:r w:rsidR="00312266">
        <w:t xml:space="preserve">alors </w:t>
      </w:r>
      <w:r w:rsidR="00910155">
        <w:t xml:space="preserve">de </w:t>
      </w:r>
      <w:r w:rsidR="00312266">
        <w:t>« </w:t>
      </w:r>
      <w:r w:rsidR="00910155">
        <w:t>désertification</w:t>
      </w:r>
      <w:r w:rsidR="00312266">
        <w:t> », affectant</w:t>
      </w:r>
      <w:r w:rsidR="00592335">
        <w:t xml:space="preserve"> 33 % de la surface </w:t>
      </w:r>
      <w:r w:rsidR="00795048">
        <w:t>émergée</w:t>
      </w:r>
      <w:r w:rsidR="00592335">
        <w:t xml:space="preserve"> du globe</w:t>
      </w:r>
      <w:r w:rsidR="00592335">
        <w:rPr>
          <w:rStyle w:val="FootnoteReference"/>
        </w:rPr>
        <w:footnoteReference w:id="3"/>
      </w:r>
      <w:r w:rsidR="00F11024">
        <w:t>). Dans ces zones, les moyens de subsistance de plus d’un milliard de personnes</w:t>
      </w:r>
      <w:r w:rsidR="00312266">
        <w:t xml:space="preserve"> </w:t>
      </w:r>
      <w:r w:rsidR="00795048">
        <w:t>qui tirent leur</w:t>
      </w:r>
      <w:r w:rsidR="00312266">
        <w:t xml:space="preserve"> nourri</w:t>
      </w:r>
      <w:r w:rsidR="00795048">
        <w:t>ture</w:t>
      </w:r>
      <w:r w:rsidR="00312266">
        <w:t xml:space="preserve"> principalement d</w:t>
      </w:r>
      <w:r w:rsidR="00795048">
        <w:t>u sol</w:t>
      </w:r>
      <w:r w:rsidR="00F11024">
        <w:t xml:space="preserve"> dépendent </w:t>
      </w:r>
      <w:r w:rsidR="00312266">
        <w:t xml:space="preserve">de </w:t>
      </w:r>
      <w:r w:rsidR="00222B41">
        <w:t xml:space="preserve">son </w:t>
      </w:r>
      <w:r w:rsidR="00312266">
        <w:t>atténuation</w:t>
      </w:r>
      <w:r w:rsidR="00222B41">
        <w:t>.</w:t>
      </w:r>
      <w:r w:rsidR="00312266">
        <w:t>.</w:t>
      </w:r>
    </w:p>
    <w:p w:rsidR="008D32BF" w:rsidRDefault="00B619EB" w:rsidP="005A4E0C">
      <w:pPr>
        <w:pStyle w:val="Normalnumber"/>
        <w:numPr>
          <w:ilvl w:val="0"/>
          <w:numId w:val="8"/>
        </w:numPr>
        <w:tabs>
          <w:tab w:val="left" w:pos="1247"/>
          <w:tab w:val="left" w:pos="1814"/>
          <w:tab w:val="left" w:pos="2381"/>
          <w:tab w:val="left" w:pos="2948"/>
          <w:tab w:val="left" w:pos="3515"/>
          <w:tab w:val="left" w:pos="4082"/>
        </w:tabs>
      </w:pPr>
      <w:r>
        <w:t xml:space="preserve">Les formes et causes multiples de la dégradation en font une question complexe et ont jusqu’à présent ralenti </w:t>
      </w:r>
      <w:r w:rsidR="003D2FE5">
        <w:t xml:space="preserve">sa prise en compte même si </w:t>
      </w:r>
      <w:r w:rsidR="00A506F3">
        <w:t>certains ont tenté de</w:t>
      </w:r>
      <w:r w:rsidR="003D2FE5">
        <w:t xml:space="preserve"> systématiser cette complexité</w:t>
      </w:r>
      <w:r w:rsidR="003D2FE5">
        <w:rPr>
          <w:rStyle w:val="FootnoteReference"/>
        </w:rPr>
        <w:footnoteReference w:id="4"/>
      </w:r>
      <w:r w:rsidR="00795048">
        <w:t>.</w:t>
      </w:r>
      <w:r w:rsidR="003D2FE5">
        <w:t xml:space="preserve"> </w:t>
      </w:r>
      <w:r w:rsidR="00B821F3">
        <w:t>Les évaluations doivent tenir compte du contexte et de différents systèmes de savoirs et être réalisées à des échelles comparables et pertinentes</w:t>
      </w:r>
      <w:r w:rsidR="00B821F3">
        <w:rPr>
          <w:rStyle w:val="FootnoteReference"/>
          <w:lang w:val="en-US"/>
        </w:rPr>
        <w:footnoteReference w:id="5"/>
      </w:r>
      <w:r w:rsidR="00B821F3">
        <w:t xml:space="preserve"> afin de rester crédibles auprès des principales parties prenantes. </w:t>
      </w:r>
      <w:r w:rsidR="00D30E27">
        <w:t xml:space="preserve">Elles doivent également aborder les avantages </w:t>
      </w:r>
      <w:r w:rsidR="00EE4DC2">
        <w:t xml:space="preserve">éventuels </w:t>
      </w:r>
      <w:r w:rsidR="00D30E27">
        <w:t>qu’il y aurait à ré</w:t>
      </w:r>
      <w:r w:rsidR="00205551">
        <w:t>tablir l</w:t>
      </w:r>
      <w:r w:rsidR="00D30E27">
        <w:t>es services écosystémiques et à gérer les terres de</w:t>
      </w:r>
      <w:r w:rsidR="00EE4DC2">
        <w:t xml:space="preserve"> manière durable</w:t>
      </w:r>
      <w:r w:rsidR="00D30E27">
        <w:t xml:space="preserve"> par la suite.</w:t>
      </w:r>
    </w:p>
    <w:p w:rsidR="00EE4DC2" w:rsidRDefault="00A86EE2" w:rsidP="005A4E0C">
      <w:pPr>
        <w:pStyle w:val="Normalnumber"/>
        <w:numPr>
          <w:ilvl w:val="0"/>
          <w:numId w:val="8"/>
        </w:numPr>
        <w:tabs>
          <w:tab w:val="left" w:pos="1247"/>
          <w:tab w:val="left" w:pos="1814"/>
          <w:tab w:val="left" w:pos="2381"/>
          <w:tab w:val="left" w:pos="2948"/>
          <w:tab w:val="left" w:pos="3515"/>
          <w:tab w:val="left" w:pos="4082"/>
        </w:tabs>
      </w:pPr>
      <w:r>
        <w:t xml:space="preserve">Des techniques et stratégies pour </w:t>
      </w:r>
      <w:r w:rsidR="00542DF7">
        <w:t>combattre</w:t>
      </w:r>
      <w:r>
        <w:t xml:space="preserve"> la dégradation des terres existent ou sont actuellement mises au point pour certaines situations mais non pour toutes; l’évaluation proposée devra dès lors identifier les lacunes importantes </w:t>
      </w:r>
      <w:r w:rsidR="00205551">
        <w:t xml:space="preserve">qui existent </w:t>
      </w:r>
      <w:r>
        <w:t xml:space="preserve">dans les </w:t>
      </w:r>
      <w:r w:rsidR="00542DF7">
        <w:t>connaissances</w:t>
      </w:r>
      <w:r>
        <w:t xml:space="preserve"> et les moyens de les combler. </w:t>
      </w:r>
      <w:r w:rsidR="00AF41D4">
        <w:t>Des évaluations de l’ampleur au niveau mondial</w:t>
      </w:r>
      <w:r w:rsidR="00372931">
        <w:t xml:space="preserve"> de la dégradation des terres et des tendances en la matière</w:t>
      </w:r>
      <w:r w:rsidR="0086057D">
        <w:t xml:space="preserve">, se fondant sur une série d’évaluations régionales compatibles et de l’éventail d’outils existants pour l’atténuation et la </w:t>
      </w:r>
      <w:r w:rsidR="006F05E5">
        <w:t>re</w:t>
      </w:r>
      <w:r w:rsidR="00AF546A">
        <w:t>mise en état</w:t>
      </w:r>
      <w:r w:rsidR="0086057D">
        <w:t xml:space="preserve"> </w:t>
      </w:r>
      <w:r w:rsidR="004B6051">
        <w:t>ainsi que le contexte politique pertinent</w:t>
      </w:r>
      <w:r w:rsidR="00205551">
        <w:t>,</w:t>
      </w:r>
      <w:r w:rsidR="004B6051">
        <w:t xml:space="preserve"> doivent être réalisées de manière cohérente pour étayer la prise de décision. Les décideurs sont les principaux demandeurs de connaissances su</w:t>
      </w:r>
      <w:r w:rsidR="00340BA9">
        <w:t>r les synergies possibles et de</w:t>
      </w:r>
      <w:r w:rsidR="004B6051">
        <w:t xml:space="preserve"> solutions pouvant être appliquées à court et à moyen termes.</w:t>
      </w:r>
    </w:p>
    <w:p w:rsidR="005A4E0C" w:rsidRPr="00C84061" w:rsidRDefault="005A4E0C" w:rsidP="005A4E0C">
      <w:pPr>
        <w:pStyle w:val="CH2"/>
      </w:pPr>
      <w:r w:rsidRPr="00C84061">
        <w:tab/>
        <w:t>C.</w:t>
      </w:r>
      <w:r w:rsidRPr="00C84061">
        <w:tab/>
        <w:t>Utilité</w:t>
      </w:r>
    </w:p>
    <w:p w:rsidR="00B130F3" w:rsidRPr="00B011A6" w:rsidRDefault="00CD6544" w:rsidP="005A4E0C">
      <w:pPr>
        <w:pStyle w:val="Normalnumber"/>
        <w:numPr>
          <w:ilvl w:val="0"/>
          <w:numId w:val="8"/>
        </w:numPr>
        <w:tabs>
          <w:tab w:val="left" w:pos="1247"/>
          <w:tab w:val="left" w:pos="1814"/>
          <w:tab w:val="left" w:pos="2381"/>
          <w:tab w:val="left" w:pos="2948"/>
          <w:tab w:val="left" w:pos="3515"/>
          <w:tab w:val="left" w:pos="4082"/>
        </w:tabs>
      </w:pPr>
      <w:r>
        <w:t xml:space="preserve">Si elle est réalisée, </w:t>
      </w:r>
      <w:r w:rsidR="00976975">
        <w:t>l’étude</w:t>
      </w:r>
      <w:r w:rsidR="002E14D0">
        <w:t xml:space="preserve"> proposée fou</w:t>
      </w:r>
      <w:r w:rsidR="00976975">
        <w:t>rnira une évaluation rigoureuse</w:t>
      </w:r>
      <w:r w:rsidR="002E14D0">
        <w:t xml:space="preserve"> </w:t>
      </w:r>
      <w:r w:rsidR="00364E2E">
        <w:t xml:space="preserve">des catégories de dégradation des terres </w:t>
      </w:r>
      <w:r w:rsidR="00205551">
        <w:t>qui tient</w:t>
      </w:r>
      <w:r w:rsidR="00364E2E">
        <w:t xml:space="preserve"> compte de l’échelle</w:t>
      </w:r>
      <w:r w:rsidR="002E14D0">
        <w:t xml:space="preserve">; </w:t>
      </w:r>
      <w:r w:rsidR="00976975">
        <w:t>elle fera le point</w:t>
      </w:r>
      <w:r w:rsidR="002E14D0">
        <w:t xml:space="preserve"> </w:t>
      </w:r>
      <w:r w:rsidR="00F214DC">
        <w:t>sur</w:t>
      </w:r>
      <w:r w:rsidR="002E14D0">
        <w:t xml:space="preserve"> la dégradation </w:t>
      </w:r>
      <w:r w:rsidR="00976975">
        <w:t xml:space="preserve">au niveau mondial et </w:t>
      </w:r>
      <w:r w:rsidR="00F214DC">
        <w:t>l</w:t>
      </w:r>
      <w:r w:rsidR="002E14D0">
        <w:t>e</w:t>
      </w:r>
      <w:r w:rsidR="00571EC5">
        <w:t xml:space="preserve">s facteurs qui y contribuent, replacés dans </w:t>
      </w:r>
      <w:r w:rsidR="00976975">
        <w:t>leur</w:t>
      </w:r>
      <w:r w:rsidR="00571EC5">
        <w:t xml:space="preserve"> contexte grâce à l’utilisation de différents systèmes de savoirs; </w:t>
      </w:r>
      <w:r w:rsidR="00976975">
        <w:t xml:space="preserve">elle </w:t>
      </w:r>
      <w:r w:rsidR="00571EC5">
        <w:t xml:space="preserve">évaluera </w:t>
      </w:r>
      <w:r w:rsidR="00976975">
        <w:t>l’influence</w:t>
      </w:r>
      <w:r w:rsidR="00571EC5">
        <w:t xml:space="preserve"> de la dégradation </w:t>
      </w:r>
      <w:r w:rsidR="00976975">
        <w:t>sur</w:t>
      </w:r>
      <w:r w:rsidR="00571EC5">
        <w:t xml:space="preserve"> la biodiversité</w:t>
      </w:r>
      <w:r w:rsidR="00976975">
        <w:t xml:space="preserve"> et les services écosystémiques;</w:t>
      </w:r>
      <w:r w:rsidR="00571EC5">
        <w:t xml:space="preserve"> </w:t>
      </w:r>
      <w:r w:rsidR="00071D35">
        <w:t>elle examinera</w:t>
      </w:r>
      <w:r w:rsidR="00571EC5">
        <w:t xml:space="preserve"> des options pour </w:t>
      </w:r>
      <w:r w:rsidR="00266245">
        <w:t>la réhabilitation</w:t>
      </w:r>
      <w:r w:rsidR="00071D35">
        <w:t xml:space="preserve"> et l</w:t>
      </w:r>
      <w:r w:rsidR="0004745A">
        <w:t>a</w:t>
      </w:r>
      <w:r w:rsidR="00222B41">
        <w:t xml:space="preserve"> ré</w:t>
      </w:r>
      <w:r w:rsidR="0004745A">
        <w:t>génération</w:t>
      </w:r>
      <w:r w:rsidR="00071D35">
        <w:t xml:space="preserve"> de</w:t>
      </w:r>
      <w:r w:rsidR="00222B41">
        <w:t>s</w:t>
      </w:r>
      <w:r w:rsidR="00571EC5">
        <w:t xml:space="preserve"> terres dégradées</w:t>
      </w:r>
      <w:r w:rsidR="00071D35">
        <w:t xml:space="preserve"> et l’atténuation de</w:t>
      </w:r>
      <w:r w:rsidR="00071D35" w:rsidRPr="00846285">
        <w:t xml:space="preserve"> la dégradation</w:t>
      </w:r>
      <w:r w:rsidR="00571EC5" w:rsidRPr="00846285">
        <w:t>;</w:t>
      </w:r>
      <w:r w:rsidR="002E14D0" w:rsidRPr="00846285">
        <w:t xml:space="preserve"> </w:t>
      </w:r>
      <w:r w:rsidR="00071D35" w:rsidRPr="00846285">
        <w:t xml:space="preserve">elle </w:t>
      </w:r>
      <w:r w:rsidR="00446BD4" w:rsidRPr="00846285">
        <w:t xml:space="preserve">cernera les conclusions </w:t>
      </w:r>
      <w:r w:rsidR="00071D35" w:rsidRPr="00846285">
        <w:t>pertinentes</w:t>
      </w:r>
      <w:r w:rsidR="00446BD4" w:rsidRPr="00846285">
        <w:t xml:space="preserve"> pour la prise de décision</w:t>
      </w:r>
      <w:r w:rsidR="00205551">
        <w:t>s</w:t>
      </w:r>
      <w:r w:rsidR="00446BD4" w:rsidRPr="00846285">
        <w:t xml:space="preserve"> et la gestion </w:t>
      </w:r>
      <w:r w:rsidR="007F06F9" w:rsidRPr="00846285">
        <w:t>adaptée</w:t>
      </w:r>
      <w:r w:rsidR="00446BD4" w:rsidRPr="00846285">
        <w:t xml:space="preserve"> par les gouvernements, </w:t>
      </w:r>
      <w:r w:rsidR="00C43988" w:rsidRPr="00846285">
        <w:t xml:space="preserve">les </w:t>
      </w:r>
      <w:r w:rsidR="00446BD4" w:rsidRPr="00846285">
        <w:t xml:space="preserve">collectivités autochtones et locales, le secteur privé et la société civile; et </w:t>
      </w:r>
      <w:r w:rsidR="00071D35" w:rsidRPr="00846285">
        <w:t xml:space="preserve">elle </w:t>
      </w:r>
      <w:r w:rsidR="00446BD4" w:rsidRPr="00846285">
        <w:t xml:space="preserve">créera un cadre pour </w:t>
      </w:r>
      <w:r w:rsidR="00266245">
        <w:t>incorporer une démarche</w:t>
      </w:r>
      <w:r w:rsidR="00071D35" w:rsidRPr="00846285">
        <w:t xml:space="preserve"> systémique dans </w:t>
      </w:r>
      <w:r w:rsidR="00266245">
        <w:t xml:space="preserve">les systèmes de </w:t>
      </w:r>
      <w:r w:rsidR="00446BD4" w:rsidRPr="00846285">
        <w:t xml:space="preserve">surveillance de la dégradation </w:t>
      </w:r>
      <w:r w:rsidR="00266245">
        <w:t xml:space="preserve">et de la réhabilitation des </w:t>
      </w:r>
      <w:r w:rsidR="0075676A">
        <w:t>terres</w:t>
      </w:r>
      <w:r w:rsidR="00C43988" w:rsidRPr="00846285">
        <w:t xml:space="preserve"> et les processus de prise de décision politique</w:t>
      </w:r>
      <w:r w:rsidR="00D04DD3" w:rsidRPr="00846285">
        <w:t>.</w:t>
      </w:r>
      <w:r w:rsidR="00207D9F" w:rsidRPr="00846285">
        <w:t xml:space="preserve"> En</w:t>
      </w:r>
      <w:r w:rsidR="00207D9F">
        <w:t xml:space="preserve"> incluant les savoirs </w:t>
      </w:r>
      <w:r w:rsidR="00207D9F" w:rsidRPr="00B011A6">
        <w:lastRenderedPageBreak/>
        <w:t xml:space="preserve">autochtones et locaux et en tenant compte de l’échelle et du biome, l’évaluation facilitera l’élaboration d’outils d’appui </w:t>
      </w:r>
      <w:r w:rsidR="00205551">
        <w:t xml:space="preserve">en matière de </w:t>
      </w:r>
      <w:r w:rsidR="00207D9F" w:rsidRPr="00B011A6">
        <w:t>politique</w:t>
      </w:r>
      <w:r w:rsidR="00205551">
        <w:t xml:space="preserve"> </w:t>
      </w:r>
      <w:r w:rsidR="000B0EC1">
        <w:t>visant à</w:t>
      </w:r>
      <w:r w:rsidR="00207D9F" w:rsidRPr="00B011A6">
        <w:t> :</w:t>
      </w:r>
    </w:p>
    <w:p w:rsidR="00207D9F" w:rsidRDefault="00207D9F" w:rsidP="00207D9F">
      <w:pPr>
        <w:pStyle w:val="Normalnumber"/>
        <w:tabs>
          <w:tab w:val="left" w:pos="1247"/>
          <w:tab w:val="left" w:pos="1814"/>
          <w:tab w:val="left" w:pos="2381"/>
          <w:tab w:val="left" w:pos="2948"/>
          <w:tab w:val="left" w:pos="3515"/>
          <w:tab w:val="left" w:pos="4082"/>
        </w:tabs>
        <w:ind w:left="1247"/>
      </w:pPr>
      <w:r>
        <w:tab/>
        <w:t>a)</w:t>
      </w:r>
      <w:r>
        <w:tab/>
        <w:t xml:space="preserve">Réaliser </w:t>
      </w:r>
      <w:r w:rsidR="00007B8B">
        <w:t>l</w:t>
      </w:r>
      <w:r w:rsidR="000B0EC1">
        <w:t>’</w:t>
      </w:r>
      <w:r w:rsidR="00007B8B">
        <w:t>O</w:t>
      </w:r>
      <w:r>
        <w:t>bjectif </w:t>
      </w:r>
      <w:r w:rsidR="000B0EC1">
        <w:t xml:space="preserve">15 </w:t>
      </w:r>
      <w:r>
        <w:t>d’A</w:t>
      </w:r>
      <w:r w:rsidR="00222B41">
        <w:t>ï</w:t>
      </w:r>
      <w:r>
        <w:t xml:space="preserve">chi pour la biodiversité, qui stipule que d’ici 2020, 15 % au moins des écosystèmes dégradés </w:t>
      </w:r>
      <w:r w:rsidR="001E433D">
        <w:t>devront</w:t>
      </w:r>
      <w:r>
        <w:t xml:space="preserve"> être restaurés;</w:t>
      </w:r>
    </w:p>
    <w:p w:rsidR="00207D9F" w:rsidRDefault="00207D9F" w:rsidP="00207D9F">
      <w:pPr>
        <w:pStyle w:val="Normalnumber"/>
        <w:tabs>
          <w:tab w:val="left" w:pos="1247"/>
          <w:tab w:val="left" w:pos="1814"/>
          <w:tab w:val="left" w:pos="2381"/>
          <w:tab w:val="left" w:pos="2948"/>
          <w:tab w:val="left" w:pos="3515"/>
          <w:tab w:val="left" w:pos="4082"/>
        </w:tabs>
        <w:ind w:left="1247"/>
      </w:pPr>
      <w:r>
        <w:tab/>
        <w:t>b)</w:t>
      </w:r>
      <w:r>
        <w:tab/>
        <w:t>Contribuer à l’adaptation au</w:t>
      </w:r>
      <w:r w:rsidR="001E433D">
        <w:t xml:space="preserve"> changement climatique</w:t>
      </w:r>
      <w:r>
        <w:t xml:space="preserve"> et à l’atténuation de </w:t>
      </w:r>
      <w:r w:rsidR="001E433D">
        <w:t>ses</w:t>
      </w:r>
      <w:r>
        <w:t xml:space="preserve"> effets;</w:t>
      </w:r>
    </w:p>
    <w:p w:rsidR="00207D9F" w:rsidRDefault="00205551" w:rsidP="00207D9F">
      <w:pPr>
        <w:pStyle w:val="Normalnumber"/>
        <w:tabs>
          <w:tab w:val="left" w:pos="1247"/>
          <w:tab w:val="left" w:pos="1814"/>
          <w:tab w:val="left" w:pos="2381"/>
          <w:tab w:val="left" w:pos="2948"/>
          <w:tab w:val="left" w:pos="3515"/>
          <w:tab w:val="left" w:pos="4082"/>
        </w:tabs>
        <w:ind w:left="1247"/>
      </w:pPr>
      <w:r>
        <w:tab/>
        <w:t>c)</w:t>
      </w:r>
      <w:r>
        <w:tab/>
      </w:r>
      <w:r w:rsidR="00207D9F">
        <w:t>Combattre la désertification;</w:t>
      </w:r>
    </w:p>
    <w:p w:rsidR="00207D9F" w:rsidRPr="005B3ED0" w:rsidRDefault="00207D9F" w:rsidP="00207D9F">
      <w:pPr>
        <w:pStyle w:val="Normalnumber"/>
        <w:tabs>
          <w:tab w:val="left" w:pos="1247"/>
          <w:tab w:val="left" w:pos="1814"/>
          <w:tab w:val="left" w:pos="2381"/>
          <w:tab w:val="left" w:pos="2948"/>
          <w:tab w:val="left" w:pos="3515"/>
          <w:tab w:val="left" w:pos="4082"/>
        </w:tabs>
        <w:ind w:left="1247"/>
      </w:pPr>
      <w:r>
        <w:tab/>
        <w:t>d)</w:t>
      </w:r>
      <w:r>
        <w:tab/>
      </w:r>
      <w:r w:rsidR="000B0EC1">
        <w:t>Réaliser</w:t>
      </w:r>
      <w:r w:rsidR="002B2F8C">
        <w:t xml:space="preserve"> l’objectif de Rio+20</w:t>
      </w:r>
      <w:r w:rsidR="000B0EC1">
        <w:t xml:space="preserve"> d’</w:t>
      </w:r>
      <w:r w:rsidR="002B2F8C">
        <w:t xml:space="preserve">un monde où la dégradation des terres </w:t>
      </w:r>
      <w:r w:rsidR="000B0EC1">
        <w:t>n’est plus un problème</w:t>
      </w:r>
      <w:r w:rsidR="002B2F8C">
        <w:t>.</w:t>
      </w:r>
    </w:p>
    <w:p w:rsidR="005A4E0C" w:rsidRPr="00C84061" w:rsidRDefault="005A4E0C" w:rsidP="005A4E0C">
      <w:pPr>
        <w:pStyle w:val="CH2"/>
      </w:pPr>
      <w:r w:rsidRPr="00C84061">
        <w:tab/>
        <w:t>D.</w:t>
      </w:r>
      <w:r w:rsidRPr="00C84061">
        <w:tab/>
        <w:t>Hypothèses</w:t>
      </w:r>
    </w:p>
    <w:p w:rsidR="002B2F8C" w:rsidRPr="002B2F8C" w:rsidRDefault="005A4E0C" w:rsidP="004F20E9">
      <w:pPr>
        <w:pStyle w:val="Normalnumber"/>
        <w:numPr>
          <w:ilvl w:val="0"/>
          <w:numId w:val="8"/>
        </w:numPr>
        <w:tabs>
          <w:tab w:val="left" w:pos="1247"/>
          <w:tab w:val="left" w:pos="1814"/>
          <w:tab w:val="left" w:pos="2381"/>
          <w:tab w:val="left" w:pos="2948"/>
          <w:tab w:val="left" w:pos="3515"/>
          <w:tab w:val="left" w:pos="4082"/>
        </w:tabs>
      </w:pPr>
      <w:r w:rsidRPr="00C84061">
        <w:t xml:space="preserve">L’évaluation </w:t>
      </w:r>
      <w:r w:rsidR="00D04DD3" w:rsidRPr="00C84061">
        <w:t>se fondera</w:t>
      </w:r>
      <w:r w:rsidRPr="00C84061">
        <w:t xml:space="preserve"> sur les ouvr</w:t>
      </w:r>
      <w:r w:rsidR="004E6453">
        <w:t>ages scientifiques existants et</w:t>
      </w:r>
      <w:r w:rsidRPr="00C84061">
        <w:t xml:space="preserve"> sur les </w:t>
      </w:r>
      <w:r w:rsidR="00D04DD3" w:rsidRPr="00C84061">
        <w:t>travaux mené</w:t>
      </w:r>
      <w:r w:rsidRPr="00C84061">
        <w:t xml:space="preserve">s </w:t>
      </w:r>
      <w:r w:rsidR="002B2F8C">
        <w:t xml:space="preserve">par des </w:t>
      </w:r>
      <w:r w:rsidRPr="00C84061">
        <w:t xml:space="preserve">institutions </w:t>
      </w:r>
      <w:r w:rsidR="004F20E9" w:rsidRPr="00C84061">
        <w:t>telles que la Convention sur la diver</w:t>
      </w:r>
      <w:r w:rsidR="00364E2E">
        <w:t>sité biologique</w:t>
      </w:r>
      <w:r w:rsidR="002B2F8C">
        <w:rPr>
          <w:bCs/>
        </w:rPr>
        <w:t>,</w:t>
      </w:r>
      <w:r w:rsidR="002B2F8C" w:rsidRPr="002B2F8C">
        <w:t xml:space="preserve"> </w:t>
      </w:r>
      <w:r w:rsidR="002B2F8C" w:rsidRPr="00C84061">
        <w:t xml:space="preserve">l’Organisation des Nations Unies pour l’alimentation et </w:t>
      </w:r>
      <w:r w:rsidR="002B2F8C" w:rsidRPr="002B2F8C">
        <w:t xml:space="preserve">l’agriculture (FAO), </w:t>
      </w:r>
      <w:r w:rsidR="00364E2E">
        <w:t xml:space="preserve">la </w:t>
      </w:r>
      <w:r w:rsidR="002B2F8C" w:rsidRPr="002B2F8C">
        <w:t>Convention des Nations Unies sur la lutte contre la désertification dans les pays gravement touchés par la sécheresse et/ou la désertification, en particulier en Afrique</w:t>
      </w:r>
      <w:r w:rsidR="009C7D48">
        <w:t xml:space="preserve">, et le Fonds pour l’environnement mondial. On mettra particulièrement l’accent sur la dégradation des zones arides. La Convention sur la diversité biologique, </w:t>
      </w:r>
      <w:r w:rsidR="00A17113">
        <w:t xml:space="preserve">avec son programme de travail sur la diversité biologique des terres arides et sub-humides, et la Convention sur la lutte contre la désertification sont les principaux accords multilatéraux sur l’environnement qui mettent l’accent sur les terres sèches et </w:t>
      </w:r>
      <w:r w:rsidR="00623109">
        <w:br/>
      </w:r>
      <w:r w:rsidR="00A17113">
        <w:t xml:space="preserve">sub-humides. Plusieurs </w:t>
      </w:r>
      <w:r w:rsidR="00222B41">
        <w:t xml:space="preserve">des </w:t>
      </w:r>
      <w:r w:rsidR="00A17113">
        <w:t>Objectifs d’A</w:t>
      </w:r>
      <w:r w:rsidR="00222B41">
        <w:t>ï</w:t>
      </w:r>
      <w:r w:rsidR="00A17113">
        <w:t xml:space="preserve">chi pour la biodiversité </w:t>
      </w:r>
      <w:r w:rsidR="00222B41">
        <w:t>définis par</w:t>
      </w:r>
      <w:r w:rsidR="00A17113">
        <w:t xml:space="preserve"> la Convention sur la diversité biologique concernent les terres arides et ont des </w:t>
      </w:r>
      <w:r w:rsidR="00CD3152">
        <w:t>liens évidents avec des sujets visés par la Convention sur la lutte contre la désertification</w:t>
      </w:r>
      <w:r w:rsidR="00B56582">
        <w:t xml:space="preserve"> (par ex. l’</w:t>
      </w:r>
      <w:r w:rsidR="000F3A2A">
        <w:t>objectif 2 du Plan-</w:t>
      </w:r>
      <w:r w:rsidR="00CF5E63">
        <w:t>cadre stratégique décennal</w:t>
      </w:r>
      <w:r w:rsidR="00B56582">
        <w:t xml:space="preserve"> 2008-2018</w:t>
      </w:r>
      <w:r w:rsidR="009C7D48">
        <w:t xml:space="preserve"> </w:t>
      </w:r>
      <w:r w:rsidR="00CF5E63">
        <w:t xml:space="preserve"> de la Convention sur la lutte contre la désertification</w:t>
      </w:r>
      <w:r w:rsidR="000F3A2A">
        <w:t xml:space="preserve"> : </w:t>
      </w:r>
      <w:r w:rsidR="00195347">
        <w:t xml:space="preserve">« améliorer l’état des écosystèmes touchés »). Deux conférences scientifiques internationales </w:t>
      </w:r>
      <w:r w:rsidR="0061293C">
        <w:t>organisées</w:t>
      </w:r>
      <w:r w:rsidR="00195347">
        <w:t xml:space="preserve"> sous les auspices de la Convention sur la lutte contre la désertification ont déjà rassemblé la communauté scientifique. L</w:t>
      </w:r>
      <w:r w:rsidR="00883FF2">
        <w:t>es travaux de l</w:t>
      </w:r>
      <w:r w:rsidR="00195347">
        <w:t>a Conférence des Parties à la Convention</w:t>
      </w:r>
      <w:r w:rsidR="00883FF2">
        <w:t xml:space="preserve"> à sa onzième session</w:t>
      </w:r>
      <w:r w:rsidR="00195347">
        <w:t xml:space="preserve">, tenue en septembre 2013, </w:t>
      </w:r>
      <w:r w:rsidR="00883FF2">
        <w:t xml:space="preserve">détermineront </w:t>
      </w:r>
      <w:r w:rsidR="00AE5B6E">
        <w:t>aussi</w:t>
      </w:r>
      <w:r w:rsidR="00883FF2">
        <w:t xml:space="preserve"> la portée de l’évaluation.</w:t>
      </w:r>
      <w:r w:rsidR="00985AEE">
        <w:t xml:space="preserve"> Celle-ci fera également fond</w:t>
      </w:r>
      <w:r w:rsidR="0072210C">
        <w:t xml:space="preserve"> sur </w:t>
      </w:r>
      <w:r w:rsidR="0061293C">
        <w:t>les travaux du</w:t>
      </w:r>
      <w:r w:rsidR="0072210C">
        <w:t xml:space="preserve"> Partenariat </w:t>
      </w:r>
      <w:r w:rsidR="0098575D">
        <w:t xml:space="preserve">mondial </w:t>
      </w:r>
      <w:r w:rsidR="0072210C">
        <w:t xml:space="preserve">sur les </w:t>
      </w:r>
      <w:r w:rsidR="0075676A">
        <w:t>terres</w:t>
      </w:r>
      <w:r w:rsidR="0072210C">
        <w:t xml:space="preserve"> de la FAO</w:t>
      </w:r>
      <w:r w:rsidR="00985AEE">
        <w:t xml:space="preserve"> </w:t>
      </w:r>
      <w:r w:rsidR="0098575D">
        <w:t xml:space="preserve">et </w:t>
      </w:r>
      <w:r w:rsidR="0061293C">
        <w:t xml:space="preserve">de </w:t>
      </w:r>
      <w:r w:rsidR="0098575D">
        <w:t xml:space="preserve">l’Initiative mondiale pour la biodiversité des </w:t>
      </w:r>
      <w:r w:rsidR="0075676A">
        <w:t>terres</w:t>
      </w:r>
      <w:r w:rsidR="001A2A8A">
        <w:t>.</w:t>
      </w:r>
      <w:r w:rsidR="00AE5B6E">
        <w:t xml:space="preserve"> L</w:t>
      </w:r>
      <w:r w:rsidR="003C76C5">
        <w:t>’intégration d</w:t>
      </w:r>
      <w:r w:rsidR="00AE5B6E">
        <w:t xml:space="preserve">es </w:t>
      </w:r>
      <w:r w:rsidR="003C76C5">
        <w:t xml:space="preserve">apports des systèmes de savoirs autochtones et locaux se fera par les </w:t>
      </w:r>
      <w:r w:rsidR="00AE5B6E">
        <w:t>publications existantes</w:t>
      </w:r>
      <w:r w:rsidR="003C76C5">
        <w:t>,</w:t>
      </w:r>
      <w:r w:rsidR="00AE5B6E">
        <w:t xml:space="preserve"> d</w:t>
      </w:r>
      <w:r w:rsidR="003C76C5">
        <w:t xml:space="preserve">es </w:t>
      </w:r>
      <w:r w:rsidR="00AE5B6E">
        <w:t>ateliers de dialogue et de</w:t>
      </w:r>
      <w:r w:rsidR="003C76C5">
        <w:t>s</w:t>
      </w:r>
      <w:r w:rsidR="00AE5B6E">
        <w:t xml:space="preserve"> réunions de travail au niveau des collectivités locales</w:t>
      </w:r>
      <w:r w:rsidR="001A2A8A">
        <w:t>.</w:t>
      </w:r>
    </w:p>
    <w:p w:rsidR="005A4E0C" w:rsidRPr="00C84061" w:rsidRDefault="005A4E0C" w:rsidP="005A4E0C">
      <w:pPr>
        <w:pStyle w:val="CH1"/>
      </w:pPr>
      <w:r w:rsidRPr="00C84061">
        <w:tab/>
        <w:t>II.</w:t>
      </w:r>
      <w:r w:rsidRPr="00C84061">
        <w:tab/>
        <w:t>Plan des chapitres</w:t>
      </w:r>
    </w:p>
    <w:p w:rsidR="005A4E0C" w:rsidRPr="00C84061"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Il est prévu de présenter les résultats de l’évaluation </w:t>
      </w:r>
      <w:r w:rsidR="00240C7F" w:rsidRPr="00C84061">
        <w:t>thématique</w:t>
      </w:r>
      <w:r w:rsidRPr="00C84061">
        <w:t xml:space="preserve"> dans un rapport composé des </w:t>
      </w:r>
      <w:r w:rsidR="0089059B">
        <w:t>huit</w:t>
      </w:r>
      <w:r w:rsidRPr="00C84061">
        <w:t xml:space="preserve"> chapitres décrits ci-après.</w:t>
      </w:r>
    </w:p>
    <w:p w:rsidR="00890796" w:rsidRDefault="0089059B" w:rsidP="005A4E0C">
      <w:pPr>
        <w:pStyle w:val="Normalnumber"/>
        <w:numPr>
          <w:ilvl w:val="0"/>
          <w:numId w:val="8"/>
        </w:numPr>
        <w:tabs>
          <w:tab w:val="left" w:pos="1247"/>
          <w:tab w:val="left" w:pos="1814"/>
          <w:tab w:val="left" w:pos="2381"/>
          <w:tab w:val="left" w:pos="2948"/>
          <w:tab w:val="left" w:pos="3515"/>
          <w:tab w:val="left" w:pos="4082"/>
        </w:tabs>
      </w:pPr>
      <w:r>
        <w:t>C</w:t>
      </w:r>
      <w:r w:rsidR="005A4E0C" w:rsidRPr="00C84061">
        <w:t>hapitre 1</w:t>
      </w:r>
      <w:r>
        <w:t xml:space="preserve"> : introduction </w:t>
      </w:r>
      <w:r w:rsidR="00890796">
        <w:t>aux</w:t>
      </w:r>
      <w:r w:rsidR="00147DF9">
        <w:t xml:space="preserve"> </w:t>
      </w:r>
      <w:r w:rsidR="00147DF9" w:rsidRPr="004D2CBC">
        <w:t>concepts de la dégradation</w:t>
      </w:r>
      <w:r w:rsidR="00147DF9">
        <w:t xml:space="preserve"> des terres</w:t>
      </w:r>
      <w:r w:rsidR="00890796">
        <w:t xml:space="preserve"> et</w:t>
      </w:r>
      <w:r w:rsidR="00147DF9">
        <w:t xml:space="preserve"> </w:t>
      </w:r>
      <w:r w:rsidR="00890796">
        <w:t>aux</w:t>
      </w:r>
      <w:r w:rsidR="00147DF9">
        <w:t xml:space="preserve"> options pour </w:t>
      </w:r>
      <w:r w:rsidR="00890796">
        <w:t xml:space="preserve">en atténuer les effets </w:t>
      </w:r>
      <w:r w:rsidR="003C76C5">
        <w:t>et</w:t>
      </w:r>
      <w:r w:rsidR="00890796">
        <w:t xml:space="preserve"> remettre les terres dégradée</w:t>
      </w:r>
      <w:r w:rsidR="003C76C5">
        <w:t>s</w:t>
      </w:r>
      <w:r w:rsidR="00890796">
        <w:t xml:space="preserve"> en état, pour différentes régions et biomes :</w:t>
      </w:r>
    </w:p>
    <w:p w:rsidR="00890796"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890796">
        <w:t>e concept de dégradation des terres;</w:t>
      </w:r>
    </w:p>
    <w:p w:rsidR="00890796"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890796">
        <w:t>es catégories de dégradation;</w:t>
      </w:r>
    </w:p>
    <w:p w:rsidR="00890796"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890796">
        <w:t xml:space="preserve">a dégradation des terres en tant que phénomène écologique, </w:t>
      </w:r>
      <w:r w:rsidR="00F07CCC">
        <w:t>notamment</w:t>
      </w:r>
      <w:r w:rsidR="00890796">
        <w:t xml:space="preserve"> le rôle de la biodiversité des </w:t>
      </w:r>
      <w:r w:rsidR="003B5CBE">
        <w:t>sol</w:t>
      </w:r>
      <w:r w:rsidR="0075676A">
        <w:t>s</w:t>
      </w:r>
      <w:r w:rsidR="00890796">
        <w:t>;</w:t>
      </w:r>
    </w:p>
    <w:p w:rsidR="00890796"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890796">
        <w:t>es effets de la dégradation des terres sur la biodiversité et les services écosystémiques;</w:t>
      </w:r>
    </w:p>
    <w:p w:rsidR="00B34E1E"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AB7708">
        <w:t>es variations</w:t>
      </w:r>
      <w:r w:rsidR="00F07CCC">
        <w:t xml:space="preserve"> d</w:t>
      </w:r>
      <w:r w:rsidR="00B34E1E">
        <w:t xml:space="preserve">es concepts </w:t>
      </w:r>
      <w:r w:rsidR="008A65C7">
        <w:t>de</w:t>
      </w:r>
      <w:r w:rsidR="00B34E1E">
        <w:t xml:space="preserve"> dégradation des terres et </w:t>
      </w:r>
      <w:r w:rsidR="00A468BB">
        <w:t>de</w:t>
      </w:r>
      <w:r w:rsidR="008A65C7">
        <w:t>s</w:t>
      </w:r>
      <w:r w:rsidR="00B34E1E">
        <w:t xml:space="preserve"> effets</w:t>
      </w:r>
      <w:r w:rsidR="008A65C7">
        <w:t xml:space="preserve"> de celle-ci en fonction du contexte</w:t>
      </w:r>
      <w:r w:rsidR="00B34E1E">
        <w:t>, compte tenu des différents systèmes de savoirs et de valeurs;</w:t>
      </w:r>
    </w:p>
    <w:p w:rsidR="00900CA0" w:rsidRPr="00584294"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900CA0" w:rsidRPr="00584294">
        <w:t>e</w:t>
      </w:r>
      <w:r w:rsidR="00584294" w:rsidRPr="00584294">
        <w:t>s</w:t>
      </w:r>
      <w:r w:rsidR="00900CA0" w:rsidRPr="00584294">
        <w:t xml:space="preserve"> </w:t>
      </w:r>
      <w:r w:rsidR="00584294" w:rsidRPr="00584294">
        <w:t>variations</w:t>
      </w:r>
      <w:r w:rsidR="00900CA0" w:rsidRPr="00584294">
        <w:t xml:space="preserve"> de la dégradation des terres et de ses effets</w:t>
      </w:r>
      <w:r w:rsidR="008A65C7" w:rsidRPr="00584294">
        <w:t xml:space="preserve"> en fonction de l’échelle (temporelle et spatiale)</w:t>
      </w:r>
      <w:r w:rsidR="00900CA0" w:rsidRPr="00584294">
        <w:t>;</w:t>
      </w:r>
    </w:p>
    <w:p w:rsidR="00240C7F"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900CA0">
        <w:t xml:space="preserve">es approches </w:t>
      </w:r>
      <w:r w:rsidR="006F05E5">
        <w:t>de</w:t>
      </w:r>
      <w:r w:rsidR="00900CA0">
        <w:t xml:space="preserve"> </w:t>
      </w:r>
      <w:r w:rsidR="0075676A">
        <w:t>re</w:t>
      </w:r>
      <w:r w:rsidR="006F05E5">
        <w:t>stauration</w:t>
      </w:r>
      <w:r w:rsidR="00900CA0">
        <w:t xml:space="preserve">, </w:t>
      </w:r>
      <w:r w:rsidR="006F05E5">
        <w:t>d</w:t>
      </w:r>
      <w:r w:rsidR="00900CA0">
        <w:t xml:space="preserve">’atténuation et </w:t>
      </w:r>
      <w:r w:rsidR="006F05E5">
        <w:t>de</w:t>
      </w:r>
      <w:r w:rsidR="00900CA0">
        <w:t xml:space="preserve"> remise en état</w:t>
      </w:r>
      <w:r w:rsidR="008A65C7">
        <w:t xml:space="preserve"> applicables à </w:t>
      </w:r>
      <w:r w:rsidR="00900CA0">
        <w:t xml:space="preserve">la biodiversité et </w:t>
      </w:r>
      <w:r w:rsidR="008A65C7">
        <w:t xml:space="preserve">aux </w:t>
      </w:r>
      <w:r w:rsidR="00900CA0">
        <w:t>services écosystémiques;</w:t>
      </w:r>
    </w:p>
    <w:p w:rsidR="00900CA0" w:rsidRPr="00C84061" w:rsidRDefault="00077D10" w:rsidP="006E534E">
      <w:pPr>
        <w:pStyle w:val="Normalnumber"/>
        <w:numPr>
          <w:ilvl w:val="0"/>
          <w:numId w:val="14"/>
        </w:numPr>
        <w:tabs>
          <w:tab w:val="left" w:pos="1247"/>
          <w:tab w:val="left" w:pos="1814"/>
          <w:tab w:val="left" w:pos="2381"/>
          <w:tab w:val="left" w:pos="2948"/>
          <w:tab w:val="left" w:pos="3515"/>
          <w:tab w:val="left" w:pos="4082"/>
        </w:tabs>
        <w:ind w:left="1247" w:firstLine="570"/>
      </w:pPr>
      <w:r>
        <w:t>L</w:t>
      </w:r>
      <w:r w:rsidR="00900CA0">
        <w:t xml:space="preserve">e contexte politique </w:t>
      </w:r>
      <w:r w:rsidR="00290CAC">
        <w:t>de</w:t>
      </w:r>
      <w:r w:rsidR="008A65C7">
        <w:t>s</w:t>
      </w:r>
      <w:r w:rsidR="00290CAC">
        <w:t xml:space="preserve"> dégradation</w:t>
      </w:r>
      <w:r w:rsidR="008A65C7">
        <w:t>s</w:t>
      </w:r>
      <w:r w:rsidR="00290CAC">
        <w:t xml:space="preserve"> de</w:t>
      </w:r>
      <w:r w:rsidR="008A65C7">
        <w:t>s</w:t>
      </w:r>
      <w:r w:rsidR="00900CA0">
        <w:t xml:space="preserve"> terres évalué</w:t>
      </w:r>
      <w:r w:rsidR="00290CAC">
        <w:t>es</w:t>
      </w:r>
      <w:r w:rsidR="00900CA0">
        <w:t xml:space="preserve"> dans le rapport.</w:t>
      </w:r>
    </w:p>
    <w:p w:rsidR="00DF3DDA" w:rsidRDefault="0089059B" w:rsidP="005A4E0C">
      <w:pPr>
        <w:pStyle w:val="Normalnumber"/>
        <w:numPr>
          <w:ilvl w:val="0"/>
          <w:numId w:val="8"/>
        </w:numPr>
        <w:tabs>
          <w:tab w:val="left" w:pos="1247"/>
          <w:tab w:val="left" w:pos="1814"/>
          <w:tab w:val="left" w:pos="2381"/>
          <w:tab w:val="left" w:pos="2948"/>
          <w:tab w:val="left" w:pos="3515"/>
          <w:tab w:val="left" w:pos="4082"/>
        </w:tabs>
      </w:pPr>
      <w:r>
        <w:t>C</w:t>
      </w:r>
      <w:r w:rsidR="005A4E0C" w:rsidRPr="00C84061">
        <w:t>hapitre 2</w:t>
      </w:r>
      <w:r>
        <w:t> :</w:t>
      </w:r>
      <w:r w:rsidR="00E477DB">
        <w:t xml:space="preserve"> aperçu et évaluation des méthodes de surveillance de la dégradation des terr</w:t>
      </w:r>
      <w:r w:rsidR="00864705">
        <w:t xml:space="preserve">es et des effets </w:t>
      </w:r>
      <w:r w:rsidR="009B4830">
        <w:t xml:space="preserve">de cette dégradation </w:t>
      </w:r>
      <w:r w:rsidR="00864705">
        <w:t>dans diver</w:t>
      </w:r>
      <w:r w:rsidR="00E477DB">
        <w:t>s biomes</w:t>
      </w:r>
      <w:r w:rsidR="00864705">
        <w:t xml:space="preserve"> et régions, à différentes échelles</w:t>
      </w:r>
      <w:r w:rsidR="00DF3DDA">
        <w:t xml:space="preserve"> et dans le contexte de différents systèmes de savoirs et de valeurs :</w:t>
      </w:r>
    </w:p>
    <w:p w:rsidR="00DF3DDA" w:rsidRDefault="00077D10" w:rsidP="006E534E">
      <w:pPr>
        <w:pStyle w:val="Normalnumber"/>
        <w:numPr>
          <w:ilvl w:val="0"/>
          <w:numId w:val="15"/>
        </w:numPr>
        <w:tabs>
          <w:tab w:val="left" w:pos="1247"/>
          <w:tab w:val="left" w:pos="1814"/>
          <w:tab w:val="left" w:pos="2381"/>
          <w:tab w:val="left" w:pos="2948"/>
          <w:tab w:val="left" w:pos="3515"/>
          <w:tab w:val="left" w:pos="4082"/>
        </w:tabs>
        <w:ind w:left="1247" w:firstLine="570"/>
      </w:pPr>
      <w:r>
        <w:lastRenderedPageBreak/>
        <w:t>M</w:t>
      </w:r>
      <w:r w:rsidR="00DF3DDA">
        <w:t xml:space="preserve">éthodes </w:t>
      </w:r>
      <w:r w:rsidR="00376CBD">
        <w:t>de</w:t>
      </w:r>
      <w:r w:rsidR="00DF3DDA">
        <w:t xml:space="preserve"> surveillance de la dégradation des terres et de ses effets;</w:t>
      </w:r>
    </w:p>
    <w:p w:rsidR="00F05C24" w:rsidRDefault="00077D10" w:rsidP="006E534E">
      <w:pPr>
        <w:pStyle w:val="Normalnumber"/>
        <w:numPr>
          <w:ilvl w:val="0"/>
          <w:numId w:val="15"/>
        </w:numPr>
        <w:tabs>
          <w:tab w:val="left" w:pos="1247"/>
          <w:tab w:val="left" w:pos="1814"/>
          <w:tab w:val="left" w:pos="2381"/>
          <w:tab w:val="left" w:pos="2948"/>
          <w:tab w:val="left" w:pos="3515"/>
          <w:tab w:val="left" w:pos="4082"/>
        </w:tabs>
        <w:ind w:left="1247" w:firstLine="570"/>
      </w:pPr>
      <w:r>
        <w:t>M</w:t>
      </w:r>
      <w:r w:rsidR="00DF3DDA">
        <w:t xml:space="preserve">éthodes pour </w:t>
      </w:r>
      <w:r w:rsidR="00584294">
        <w:t>caractériser</w:t>
      </w:r>
      <w:r w:rsidR="00DF3DDA">
        <w:t xml:space="preserve"> </w:t>
      </w:r>
      <w:r w:rsidR="00376CBD">
        <w:t>divers</w:t>
      </w:r>
      <w:r w:rsidR="00DF3DDA">
        <w:t xml:space="preserve"> impacts économiques et sociaux (par ex. </w:t>
      </w:r>
      <w:r w:rsidR="004D0FC7">
        <w:t xml:space="preserve">impacts </w:t>
      </w:r>
      <w:r w:rsidR="00DF3DDA">
        <w:t>culturels, psychosociaux, spirituels et esthétiques communs) de la dégradation des terres et de la perte de services écosystémiques;</w:t>
      </w:r>
    </w:p>
    <w:p w:rsidR="00DF3DDA" w:rsidRDefault="00077D10" w:rsidP="006E534E">
      <w:pPr>
        <w:pStyle w:val="Normalnumber"/>
        <w:numPr>
          <w:ilvl w:val="0"/>
          <w:numId w:val="15"/>
        </w:numPr>
        <w:tabs>
          <w:tab w:val="left" w:pos="1247"/>
          <w:tab w:val="left" w:pos="1814"/>
          <w:tab w:val="left" w:pos="2381"/>
          <w:tab w:val="left" w:pos="2948"/>
          <w:tab w:val="left" w:pos="3515"/>
          <w:tab w:val="left" w:pos="4082"/>
        </w:tabs>
        <w:ind w:left="1247" w:firstLine="570"/>
      </w:pPr>
      <w:r>
        <w:t>M</w:t>
      </w:r>
      <w:r w:rsidR="00DF3DDA">
        <w:t xml:space="preserve">éthodes permettant de comparer les résultats </w:t>
      </w:r>
      <w:r w:rsidR="008A65C7">
        <w:t xml:space="preserve">obtenus </w:t>
      </w:r>
      <w:r w:rsidR="00DF3DDA">
        <w:t>dans différents biomes</w:t>
      </w:r>
      <w:r w:rsidR="008A65C7">
        <w:t xml:space="preserve"> et</w:t>
      </w:r>
      <w:r w:rsidR="00DF3DDA">
        <w:t xml:space="preserve"> contextes socioéconomiques</w:t>
      </w:r>
      <w:r w:rsidR="008A65C7">
        <w:t>,</w:t>
      </w:r>
      <w:r w:rsidR="00DF3DDA">
        <w:t xml:space="preserve"> </w:t>
      </w:r>
      <w:r w:rsidR="007D7E40">
        <w:t>à différentes échelles.</w:t>
      </w:r>
    </w:p>
    <w:p w:rsidR="005A4E0C" w:rsidRDefault="0089059B" w:rsidP="005A4E0C">
      <w:pPr>
        <w:pStyle w:val="Normalnumber"/>
        <w:numPr>
          <w:ilvl w:val="0"/>
          <w:numId w:val="8"/>
        </w:numPr>
        <w:tabs>
          <w:tab w:val="left" w:pos="1247"/>
          <w:tab w:val="left" w:pos="1814"/>
          <w:tab w:val="left" w:pos="2381"/>
          <w:tab w:val="left" w:pos="2948"/>
          <w:tab w:val="left" w:pos="3515"/>
          <w:tab w:val="left" w:pos="4082"/>
        </w:tabs>
      </w:pPr>
      <w:r>
        <w:t>C</w:t>
      </w:r>
      <w:r w:rsidR="005A4E0C" w:rsidRPr="00C84061">
        <w:t>hapitre 3</w:t>
      </w:r>
      <w:r>
        <w:t> :</w:t>
      </w:r>
      <w:r w:rsidR="00301FE9">
        <w:t xml:space="preserve"> évaluation </w:t>
      </w:r>
      <w:r w:rsidR="001D5BDA">
        <w:t xml:space="preserve">mondiale </w:t>
      </w:r>
      <w:r w:rsidR="00301FE9">
        <w:t xml:space="preserve">de l’état, des tendances et des facteurs </w:t>
      </w:r>
      <w:r w:rsidR="008A65C7">
        <w:t xml:space="preserve">de </w:t>
      </w:r>
      <w:r w:rsidR="001D5BDA">
        <w:t xml:space="preserve">la </w:t>
      </w:r>
      <w:r w:rsidR="008A65C7">
        <w:t>dégradation des terres</w:t>
      </w:r>
      <w:r w:rsidR="00E00648">
        <w:t xml:space="preserve"> par région et type de biome, compte </w:t>
      </w:r>
      <w:r w:rsidR="006E534E">
        <w:t xml:space="preserve">tenu </w:t>
      </w:r>
      <w:r w:rsidR="00E00648">
        <w:t>d</w:t>
      </w:r>
      <w:r w:rsidR="001D5BDA">
        <w:t>e</w:t>
      </w:r>
      <w:r w:rsidR="00E00648">
        <w:t xml:space="preserve"> </w:t>
      </w:r>
      <w:r w:rsidR="00150ED1">
        <w:t xml:space="preserve">l’échelle et </w:t>
      </w:r>
      <w:r w:rsidR="001D5BDA">
        <w:t>d</w:t>
      </w:r>
      <w:r w:rsidR="00E00648">
        <w:t>es différents systèmes de savoirs et de valeurs</w:t>
      </w:r>
      <w:r w:rsidR="001D5BDA">
        <w:t xml:space="preserve"> </w:t>
      </w:r>
      <w:r w:rsidR="006E534E">
        <w:t>propres</w:t>
      </w:r>
      <w:r w:rsidR="001D5BDA">
        <w:t xml:space="preserve"> au contexte</w:t>
      </w:r>
      <w:r w:rsidR="00E00648">
        <w:t> :</w:t>
      </w:r>
    </w:p>
    <w:p w:rsidR="00E00648" w:rsidRPr="00B42F14" w:rsidRDefault="00807C05" w:rsidP="006E534E">
      <w:pPr>
        <w:pStyle w:val="Normalnumber"/>
        <w:numPr>
          <w:ilvl w:val="0"/>
          <w:numId w:val="16"/>
        </w:numPr>
        <w:tabs>
          <w:tab w:val="left" w:pos="1247"/>
          <w:tab w:val="left" w:pos="1814"/>
          <w:tab w:val="left" w:pos="2381"/>
          <w:tab w:val="left" w:pos="2948"/>
          <w:tab w:val="left" w:pos="3515"/>
          <w:tab w:val="left" w:pos="4082"/>
        </w:tabs>
        <w:ind w:left="1247" w:firstLine="570"/>
      </w:pPr>
      <w:r w:rsidRPr="00B42F14">
        <w:t>A</w:t>
      </w:r>
      <w:r w:rsidR="00A71F0A" w:rsidRPr="00B42F14">
        <w:t xml:space="preserve">perçu des facteurs </w:t>
      </w:r>
      <w:r w:rsidR="00F0730C" w:rsidRPr="00B42F14">
        <w:t>contextuels et d</w:t>
      </w:r>
      <w:r w:rsidR="00A71F0A" w:rsidRPr="00B42F14">
        <w:t xml:space="preserve">’échelle (grande </w:t>
      </w:r>
      <w:r w:rsidR="001D5BDA">
        <w:t>ou</w:t>
      </w:r>
      <w:r w:rsidR="00A71F0A" w:rsidRPr="00B42F14">
        <w:t xml:space="preserve"> petite échelle) pertinents dans la surveillance de la dégradation des terres;</w:t>
      </w:r>
      <w:r w:rsidR="00F0730C" w:rsidRPr="00B42F14">
        <w:t xml:space="preserve"> </w:t>
      </w:r>
    </w:p>
    <w:p w:rsidR="00A71F0A" w:rsidRDefault="00646FF5" w:rsidP="006E534E">
      <w:pPr>
        <w:pStyle w:val="Normalnumber"/>
        <w:numPr>
          <w:ilvl w:val="0"/>
          <w:numId w:val="16"/>
        </w:numPr>
        <w:tabs>
          <w:tab w:val="left" w:pos="1247"/>
          <w:tab w:val="left" w:pos="1814"/>
          <w:tab w:val="left" w:pos="2381"/>
          <w:tab w:val="left" w:pos="2948"/>
          <w:tab w:val="left" w:pos="3515"/>
          <w:tab w:val="left" w:pos="4082"/>
        </w:tabs>
        <w:ind w:left="1247" w:firstLine="570"/>
      </w:pPr>
      <w:r>
        <w:t xml:space="preserve">Ampleur, tendances et, </w:t>
      </w:r>
      <w:r w:rsidR="00B42F14">
        <w:t>dans la mesure du</w:t>
      </w:r>
      <w:r>
        <w:t xml:space="preserve"> possible, </w:t>
      </w:r>
      <w:r w:rsidR="001D5BDA">
        <w:t xml:space="preserve">facteurs </w:t>
      </w:r>
      <w:r>
        <w:t>de la dégradation des terres;</w:t>
      </w:r>
    </w:p>
    <w:p w:rsidR="00646FF5" w:rsidRPr="00C84061" w:rsidRDefault="00646FF5" w:rsidP="006E534E">
      <w:pPr>
        <w:pStyle w:val="Normalnumber"/>
        <w:numPr>
          <w:ilvl w:val="0"/>
          <w:numId w:val="16"/>
        </w:numPr>
        <w:tabs>
          <w:tab w:val="left" w:pos="1247"/>
          <w:tab w:val="left" w:pos="1814"/>
          <w:tab w:val="left" w:pos="2381"/>
          <w:tab w:val="left" w:pos="2948"/>
          <w:tab w:val="left" w:pos="3515"/>
          <w:tab w:val="left" w:pos="4082"/>
        </w:tabs>
        <w:ind w:left="1247" w:firstLine="570"/>
      </w:pPr>
      <w:r>
        <w:t>Intégration de l’évaluation de la dégradation des terres avec les savoirs autochtones et locaux.</w:t>
      </w:r>
    </w:p>
    <w:p w:rsidR="00F84D3E" w:rsidRDefault="00F84D3E" w:rsidP="005A4E0C">
      <w:pPr>
        <w:pStyle w:val="Normalnumber"/>
        <w:numPr>
          <w:ilvl w:val="0"/>
          <w:numId w:val="8"/>
        </w:numPr>
        <w:tabs>
          <w:tab w:val="left" w:pos="1247"/>
          <w:tab w:val="left" w:pos="1814"/>
          <w:tab w:val="left" w:pos="2381"/>
          <w:tab w:val="left" w:pos="2948"/>
          <w:tab w:val="left" w:pos="3515"/>
          <w:tab w:val="left" w:pos="4082"/>
        </w:tabs>
      </w:pPr>
      <w:r>
        <w:t>C</w:t>
      </w:r>
      <w:r w:rsidR="005A4E0C" w:rsidRPr="00C84061">
        <w:t>hapitre 4</w:t>
      </w:r>
      <w:r>
        <w:t xml:space="preserve"> : évaluation </w:t>
      </w:r>
      <w:r w:rsidR="006E534E">
        <w:t xml:space="preserve">mondiale </w:t>
      </w:r>
      <w:r>
        <w:t>de l’importance de la dégradation des terres pour la biodiversité et les s</w:t>
      </w:r>
      <w:r w:rsidR="00150ED1">
        <w:t>ervices écosystémiques, ventilée</w:t>
      </w:r>
      <w:r>
        <w:t xml:space="preserve"> par région et type de biome</w:t>
      </w:r>
      <w:r w:rsidR="00150ED1" w:rsidRPr="00150ED1">
        <w:t xml:space="preserve"> </w:t>
      </w:r>
      <w:r w:rsidR="00150ED1">
        <w:t xml:space="preserve">en tenant compte </w:t>
      </w:r>
      <w:r w:rsidR="006E534E">
        <w:t>de l’échelle et des différents systèmes de savoirs et de valeurs propres au contexte </w:t>
      </w:r>
      <w:r w:rsidR="00CF7106">
        <w:t>:</w:t>
      </w:r>
    </w:p>
    <w:p w:rsidR="00CF7106" w:rsidRDefault="00807C05" w:rsidP="006E534E">
      <w:pPr>
        <w:pStyle w:val="Normalnumber"/>
        <w:numPr>
          <w:ilvl w:val="0"/>
          <w:numId w:val="17"/>
        </w:numPr>
        <w:tabs>
          <w:tab w:val="left" w:pos="1247"/>
          <w:tab w:val="left" w:pos="1814"/>
          <w:tab w:val="left" w:pos="2381"/>
          <w:tab w:val="left" w:pos="2948"/>
          <w:tab w:val="left" w:pos="3515"/>
          <w:tab w:val="left" w:pos="4082"/>
        </w:tabs>
        <w:ind w:left="1247" w:firstLine="570"/>
      </w:pPr>
      <w:r>
        <w:t xml:space="preserve">Aperçu des facteurs </w:t>
      </w:r>
      <w:r w:rsidR="00B42F14">
        <w:t>contextuels et d’échelle</w:t>
      </w:r>
      <w:r>
        <w:t xml:space="preserve"> pertinents dans l’évaluation des effets, comme au chapitre 3;</w:t>
      </w:r>
    </w:p>
    <w:p w:rsidR="00807C05" w:rsidRDefault="00807C05" w:rsidP="006E534E">
      <w:pPr>
        <w:pStyle w:val="Normalnumber"/>
        <w:numPr>
          <w:ilvl w:val="0"/>
          <w:numId w:val="17"/>
        </w:numPr>
        <w:tabs>
          <w:tab w:val="left" w:pos="1247"/>
          <w:tab w:val="left" w:pos="1814"/>
          <w:tab w:val="left" w:pos="2381"/>
          <w:tab w:val="left" w:pos="2948"/>
          <w:tab w:val="left" w:pos="3515"/>
          <w:tab w:val="left" w:pos="4082"/>
        </w:tabs>
        <w:ind w:left="1247" w:firstLine="570"/>
      </w:pPr>
      <w:r>
        <w:t>Ampleur, tendances et facteurs de la dégradation des terres et de la perte de services écosystémiques;</w:t>
      </w:r>
    </w:p>
    <w:p w:rsidR="009B6D00" w:rsidRDefault="009B6D00" w:rsidP="006E534E">
      <w:pPr>
        <w:pStyle w:val="Normalnumber"/>
        <w:numPr>
          <w:ilvl w:val="0"/>
          <w:numId w:val="17"/>
        </w:numPr>
        <w:tabs>
          <w:tab w:val="left" w:pos="1247"/>
          <w:tab w:val="left" w:pos="1814"/>
          <w:tab w:val="left" w:pos="2381"/>
          <w:tab w:val="left" w:pos="2948"/>
          <w:tab w:val="left" w:pos="3515"/>
          <w:tab w:val="left" w:pos="4082"/>
        </w:tabs>
        <w:ind w:left="1247" w:firstLine="570"/>
      </w:pPr>
      <w:r>
        <w:t>Évaluation des seuils négatifs ou positifs au-delà desquels l</w:t>
      </w:r>
      <w:r w:rsidR="00AF546A">
        <w:t>a</w:t>
      </w:r>
      <w:r>
        <w:t xml:space="preserve"> </w:t>
      </w:r>
      <w:r w:rsidR="00543E96">
        <w:t>ré</w:t>
      </w:r>
      <w:r w:rsidR="00AF546A">
        <w:t>génération</w:t>
      </w:r>
      <w:r w:rsidR="00543E96">
        <w:t xml:space="preserve"> est impossible ou au contraire, </w:t>
      </w:r>
      <w:r w:rsidR="00B42F14">
        <w:t xml:space="preserve">peut </w:t>
      </w:r>
      <w:r>
        <w:t>être considéré</w:t>
      </w:r>
      <w:r w:rsidR="00AF546A">
        <w:t>e</w:t>
      </w:r>
      <w:r w:rsidR="006E534E">
        <w:t xml:space="preserve"> comme réussi</w:t>
      </w:r>
      <w:r w:rsidR="00AF546A">
        <w:t>e</w:t>
      </w:r>
      <w:r>
        <w:t>;</w:t>
      </w:r>
    </w:p>
    <w:p w:rsidR="00807C05" w:rsidRDefault="00EC0503" w:rsidP="006E534E">
      <w:pPr>
        <w:pStyle w:val="Normalnumber"/>
        <w:numPr>
          <w:ilvl w:val="0"/>
          <w:numId w:val="17"/>
        </w:numPr>
        <w:tabs>
          <w:tab w:val="left" w:pos="1247"/>
          <w:tab w:val="left" w:pos="1814"/>
          <w:tab w:val="left" w:pos="2381"/>
          <w:tab w:val="left" w:pos="2948"/>
          <w:tab w:val="left" w:pos="3515"/>
          <w:tab w:val="left" w:pos="4082"/>
        </w:tabs>
        <w:ind w:left="1247" w:firstLine="570"/>
      </w:pPr>
      <w:r>
        <w:t>Intégration de l’évaluation des effets de la dégradation des terres et d</w:t>
      </w:r>
      <w:r w:rsidR="006E534E">
        <w:t>u</w:t>
      </w:r>
      <w:r>
        <w:t xml:space="preserve"> ré</w:t>
      </w:r>
      <w:r w:rsidR="006E534E">
        <w:t>tablissement</w:t>
      </w:r>
      <w:r>
        <w:t xml:space="preserve"> de la biodiversité et des services écosystémiques avec les savoirs autochtones et locaux.</w:t>
      </w:r>
    </w:p>
    <w:p w:rsidR="009A2222" w:rsidRDefault="00A40E6A" w:rsidP="005A4E0C">
      <w:pPr>
        <w:pStyle w:val="Normalnumber"/>
        <w:numPr>
          <w:ilvl w:val="0"/>
          <w:numId w:val="8"/>
        </w:numPr>
        <w:tabs>
          <w:tab w:val="left" w:pos="1247"/>
          <w:tab w:val="left" w:pos="1814"/>
          <w:tab w:val="left" w:pos="2381"/>
          <w:tab w:val="left" w:pos="2948"/>
          <w:tab w:val="left" w:pos="3515"/>
          <w:tab w:val="left" w:pos="4082"/>
        </w:tabs>
      </w:pPr>
      <w:r>
        <w:t>C</w:t>
      </w:r>
      <w:r w:rsidR="005A4E0C" w:rsidRPr="00C84061">
        <w:t>hapitre 5</w:t>
      </w:r>
      <w:r>
        <w:t> :</w:t>
      </w:r>
      <w:r w:rsidR="005A4E0C" w:rsidRPr="00C84061">
        <w:t xml:space="preserve"> </w:t>
      </w:r>
      <w:r w:rsidR="007F392C">
        <w:t xml:space="preserve">introduction aux concepts de </w:t>
      </w:r>
      <w:r w:rsidR="0075676A">
        <w:t>re</w:t>
      </w:r>
      <w:r w:rsidR="006F05E5">
        <w:t>stauration</w:t>
      </w:r>
      <w:r w:rsidR="007F392C">
        <w:t xml:space="preserve"> </w:t>
      </w:r>
      <w:r w:rsidR="00736952">
        <w:t xml:space="preserve">et </w:t>
      </w:r>
      <w:r w:rsidR="00543E96">
        <w:t>de réhabilitation</w:t>
      </w:r>
      <w:r w:rsidR="00736952">
        <w:t xml:space="preserve"> </w:t>
      </w:r>
      <w:r w:rsidR="00222B41">
        <w:t>des terres et</w:t>
      </w:r>
      <w:r w:rsidR="007F392C">
        <w:t xml:space="preserve"> </w:t>
      </w:r>
      <w:r w:rsidR="00736952">
        <w:t xml:space="preserve">d’atténuation </w:t>
      </w:r>
      <w:r w:rsidR="00222B41">
        <w:t>de la dégradation</w:t>
      </w:r>
      <w:r w:rsidR="00736952">
        <w:t>, pour différents régions et biomes :</w:t>
      </w:r>
    </w:p>
    <w:p w:rsidR="00736952" w:rsidRDefault="0025270E" w:rsidP="006E534E">
      <w:pPr>
        <w:pStyle w:val="Normalnumber"/>
        <w:numPr>
          <w:ilvl w:val="0"/>
          <w:numId w:val="18"/>
        </w:numPr>
        <w:tabs>
          <w:tab w:val="left" w:pos="1247"/>
          <w:tab w:val="left" w:pos="1814"/>
          <w:tab w:val="left" w:pos="2381"/>
          <w:tab w:val="left" w:pos="2948"/>
          <w:tab w:val="left" w:pos="3515"/>
          <w:tab w:val="left" w:pos="4082"/>
        </w:tabs>
        <w:ind w:left="1247" w:firstLine="570"/>
      </w:pPr>
      <w:r>
        <w:t>Les c</w:t>
      </w:r>
      <w:r w:rsidR="00736952">
        <w:t xml:space="preserve">oncepts de </w:t>
      </w:r>
      <w:r w:rsidR="0075676A">
        <w:t>re</w:t>
      </w:r>
      <w:r w:rsidR="006F05E5">
        <w:t>stauration</w:t>
      </w:r>
      <w:r w:rsidR="0075676A">
        <w:t xml:space="preserve"> des terres</w:t>
      </w:r>
      <w:r w:rsidR="00736952">
        <w:t xml:space="preserve">, </w:t>
      </w:r>
      <w:r w:rsidR="00222B41">
        <w:t xml:space="preserve">de </w:t>
      </w:r>
      <w:r w:rsidR="00543E96">
        <w:t>réhabilitation</w:t>
      </w:r>
      <w:r w:rsidR="00736952">
        <w:t xml:space="preserve"> et </w:t>
      </w:r>
      <w:r w:rsidR="00222B41">
        <w:t>d’</w:t>
      </w:r>
      <w:r w:rsidR="00736952">
        <w:t>atténuation</w:t>
      </w:r>
      <w:r w:rsidR="00222B41">
        <w:t xml:space="preserve"> pour</w:t>
      </w:r>
      <w:r w:rsidR="00736952">
        <w:t xml:space="preserve"> différents systèmes de savoir et de valeurs;</w:t>
      </w:r>
    </w:p>
    <w:p w:rsidR="00736952" w:rsidRDefault="00736952" w:rsidP="006E534E">
      <w:pPr>
        <w:pStyle w:val="Normalnumber"/>
        <w:numPr>
          <w:ilvl w:val="0"/>
          <w:numId w:val="18"/>
        </w:numPr>
        <w:tabs>
          <w:tab w:val="left" w:pos="1247"/>
          <w:tab w:val="left" w:pos="1814"/>
          <w:tab w:val="left" w:pos="2381"/>
          <w:tab w:val="left" w:pos="2948"/>
          <w:tab w:val="left" w:pos="3515"/>
          <w:tab w:val="left" w:pos="4082"/>
        </w:tabs>
        <w:ind w:left="1247" w:firstLine="570"/>
      </w:pPr>
      <w:r>
        <w:t xml:space="preserve">Approches </w:t>
      </w:r>
      <w:r w:rsidR="006F05E5">
        <w:t>de</w:t>
      </w:r>
      <w:r>
        <w:t xml:space="preserve"> </w:t>
      </w:r>
      <w:r w:rsidR="0075676A">
        <w:t>re</w:t>
      </w:r>
      <w:r w:rsidR="006F05E5">
        <w:t>stauration</w:t>
      </w:r>
      <w:r>
        <w:t xml:space="preserve">, </w:t>
      </w:r>
      <w:r w:rsidR="006F05E5">
        <w:t>d</w:t>
      </w:r>
      <w:r>
        <w:t xml:space="preserve">’atténuation et </w:t>
      </w:r>
      <w:r w:rsidR="006F05E5">
        <w:t>de</w:t>
      </w:r>
      <w:r w:rsidR="004D0FC7">
        <w:t xml:space="preserve"> réhabilitation</w:t>
      </w:r>
      <w:r>
        <w:t xml:space="preserve"> </w:t>
      </w:r>
      <w:r w:rsidR="00222B41">
        <w:t>applicables à</w:t>
      </w:r>
      <w:r>
        <w:t xml:space="preserve"> la biodiversité et </w:t>
      </w:r>
      <w:r w:rsidR="00222B41">
        <w:t>aux</w:t>
      </w:r>
      <w:r>
        <w:t xml:space="preserve"> services écosystémiques;</w:t>
      </w:r>
    </w:p>
    <w:p w:rsidR="00736952" w:rsidRDefault="0025270E" w:rsidP="006E534E">
      <w:pPr>
        <w:pStyle w:val="Normalnumber"/>
        <w:numPr>
          <w:ilvl w:val="0"/>
          <w:numId w:val="18"/>
        </w:numPr>
        <w:tabs>
          <w:tab w:val="left" w:pos="1247"/>
          <w:tab w:val="left" w:pos="1814"/>
          <w:tab w:val="left" w:pos="2381"/>
          <w:tab w:val="left" w:pos="2948"/>
          <w:tab w:val="left" w:pos="3515"/>
          <w:tab w:val="left" w:pos="4082"/>
        </w:tabs>
        <w:ind w:left="1247" w:firstLine="570"/>
      </w:pPr>
      <w:r>
        <w:t>Types</w:t>
      </w:r>
      <w:r w:rsidR="00736952">
        <w:t xml:space="preserve"> de </w:t>
      </w:r>
      <w:r w:rsidR="0075676A">
        <w:t>re</w:t>
      </w:r>
      <w:r w:rsidR="006F05E5">
        <w:t>stauration</w:t>
      </w:r>
      <w:r w:rsidR="00736952">
        <w:t xml:space="preserve">, </w:t>
      </w:r>
      <w:r w:rsidR="004D0FC7">
        <w:t>de réhabilitation</w:t>
      </w:r>
      <w:r w:rsidR="00736952">
        <w:t xml:space="preserve"> et d’atténuation;</w:t>
      </w:r>
    </w:p>
    <w:p w:rsidR="00736952" w:rsidRDefault="0004745A" w:rsidP="006E534E">
      <w:pPr>
        <w:pStyle w:val="Normalnumber"/>
        <w:numPr>
          <w:ilvl w:val="0"/>
          <w:numId w:val="18"/>
        </w:numPr>
        <w:tabs>
          <w:tab w:val="left" w:pos="1247"/>
          <w:tab w:val="left" w:pos="1814"/>
          <w:tab w:val="left" w:pos="2381"/>
          <w:tab w:val="left" w:pos="2948"/>
          <w:tab w:val="left" w:pos="3515"/>
          <w:tab w:val="left" w:pos="4082"/>
        </w:tabs>
        <w:ind w:left="1247" w:firstLine="570"/>
      </w:pPr>
      <w:r>
        <w:t>Effet</w:t>
      </w:r>
      <w:r w:rsidR="00736952">
        <w:t xml:space="preserve">s de la </w:t>
      </w:r>
      <w:r w:rsidR="0075676A">
        <w:t>re</w:t>
      </w:r>
      <w:r w:rsidR="006F05E5">
        <w:t>stauration</w:t>
      </w:r>
      <w:r>
        <w:t>,</w:t>
      </w:r>
      <w:r w:rsidR="00736952">
        <w:t xml:space="preserve"> de </w:t>
      </w:r>
      <w:r w:rsidR="0025270E">
        <w:t>la réhabilitation</w:t>
      </w:r>
      <w:r w:rsidR="00736952">
        <w:t xml:space="preserve"> </w:t>
      </w:r>
      <w:r>
        <w:t>et de l</w:t>
      </w:r>
      <w:r w:rsidR="00736952">
        <w:t>’atténuation sur la biodiversité et les services écosystémiques;</w:t>
      </w:r>
    </w:p>
    <w:p w:rsidR="00736952" w:rsidRPr="0025270E" w:rsidRDefault="00AE3601" w:rsidP="006E534E">
      <w:pPr>
        <w:pStyle w:val="Normalnumber"/>
        <w:numPr>
          <w:ilvl w:val="0"/>
          <w:numId w:val="18"/>
        </w:numPr>
        <w:tabs>
          <w:tab w:val="left" w:pos="1247"/>
          <w:tab w:val="left" w:pos="1814"/>
          <w:tab w:val="left" w:pos="2381"/>
          <w:tab w:val="left" w:pos="2948"/>
          <w:tab w:val="left" w:pos="3515"/>
          <w:tab w:val="left" w:pos="4082"/>
        </w:tabs>
        <w:ind w:left="1247" w:firstLine="570"/>
      </w:pPr>
      <w:r>
        <w:t>L</w:t>
      </w:r>
      <w:r w:rsidR="00AB1D37" w:rsidRPr="0025270E">
        <w:t>e</w:t>
      </w:r>
      <w:r w:rsidR="0025270E" w:rsidRPr="0025270E">
        <w:t>s variations, en fonction de l’</w:t>
      </w:r>
      <w:r w:rsidR="00AB1D37" w:rsidRPr="0025270E">
        <w:t xml:space="preserve">échelle (spatiale et temporelle) </w:t>
      </w:r>
      <w:r w:rsidR="0025270E" w:rsidRPr="0025270E">
        <w:t>des méthodes de</w:t>
      </w:r>
      <w:r w:rsidR="00AB1D37" w:rsidRPr="0025270E">
        <w:t xml:space="preserve"> </w:t>
      </w:r>
      <w:r w:rsidR="0075676A">
        <w:t>re</w:t>
      </w:r>
      <w:r w:rsidR="006F05E5">
        <w:t>stauration</w:t>
      </w:r>
      <w:r w:rsidR="0004745A">
        <w:t>,</w:t>
      </w:r>
      <w:r w:rsidR="00AB1D37" w:rsidRPr="0025270E">
        <w:t xml:space="preserve"> </w:t>
      </w:r>
      <w:r w:rsidR="0025270E" w:rsidRPr="0025270E">
        <w:t>d</w:t>
      </w:r>
      <w:r w:rsidR="0004745A">
        <w:t>e réhabilitation</w:t>
      </w:r>
      <w:r w:rsidR="00AB1D37" w:rsidRPr="0025270E">
        <w:t xml:space="preserve"> </w:t>
      </w:r>
      <w:r w:rsidR="0025270E" w:rsidRPr="0025270E">
        <w:t>et</w:t>
      </w:r>
      <w:r w:rsidR="00AB1D37" w:rsidRPr="0025270E">
        <w:t xml:space="preserve"> d’atténuation et </w:t>
      </w:r>
      <w:r w:rsidR="0004745A">
        <w:t xml:space="preserve">de </w:t>
      </w:r>
      <w:r w:rsidR="0025270E" w:rsidRPr="0025270E">
        <w:t>leurs</w:t>
      </w:r>
      <w:r w:rsidR="00AB1D37" w:rsidRPr="0025270E">
        <w:t xml:space="preserve"> effets</w:t>
      </w:r>
      <w:r w:rsidR="00790B0B">
        <w:t>.</w:t>
      </w:r>
    </w:p>
    <w:p w:rsidR="007F06F9" w:rsidRDefault="007F06F9" w:rsidP="005A4E0C">
      <w:pPr>
        <w:pStyle w:val="Normalnumber"/>
        <w:numPr>
          <w:ilvl w:val="0"/>
          <w:numId w:val="8"/>
        </w:numPr>
        <w:tabs>
          <w:tab w:val="left" w:pos="1247"/>
          <w:tab w:val="left" w:pos="1814"/>
          <w:tab w:val="left" w:pos="2381"/>
          <w:tab w:val="left" w:pos="2948"/>
          <w:tab w:val="left" w:pos="3515"/>
          <w:tab w:val="left" w:pos="4082"/>
        </w:tabs>
      </w:pPr>
      <w:r>
        <w:t>C</w:t>
      </w:r>
      <w:r w:rsidR="009A2222" w:rsidRPr="000E46DB">
        <w:t>hapitre </w:t>
      </w:r>
      <w:r>
        <w:t xml:space="preserve">6 : évaluation générale des mesures de </w:t>
      </w:r>
      <w:r w:rsidR="00AE3601">
        <w:t>ré</w:t>
      </w:r>
      <w:r w:rsidR="0004745A">
        <w:t>génér</w:t>
      </w:r>
      <w:r w:rsidR="00AE3601">
        <w:t>ation</w:t>
      </w:r>
      <w:r>
        <w:t xml:space="preserve"> de</w:t>
      </w:r>
      <w:r w:rsidR="00AF546A">
        <w:t>s</w:t>
      </w:r>
      <w:r>
        <w:t xml:space="preserve"> terres dégradées, y compris une évaluation des capacités installées pour la </w:t>
      </w:r>
      <w:r w:rsidR="006F05E5">
        <w:t>restauration</w:t>
      </w:r>
      <w:r w:rsidR="0075676A">
        <w:t xml:space="preserve"> des terres</w:t>
      </w:r>
      <w:r>
        <w:t>, dans divers régions et biomes :</w:t>
      </w:r>
    </w:p>
    <w:p w:rsidR="00E421DD" w:rsidRDefault="00034AD3" w:rsidP="006E534E">
      <w:pPr>
        <w:pStyle w:val="Normalnumber"/>
        <w:numPr>
          <w:ilvl w:val="0"/>
          <w:numId w:val="19"/>
        </w:numPr>
        <w:tabs>
          <w:tab w:val="left" w:pos="1247"/>
          <w:tab w:val="left" w:pos="1814"/>
          <w:tab w:val="left" w:pos="2381"/>
          <w:tab w:val="left" w:pos="2948"/>
          <w:tab w:val="left" w:pos="3515"/>
          <w:tab w:val="left" w:pos="4082"/>
        </w:tabs>
        <w:ind w:left="1247" w:firstLine="570"/>
      </w:pPr>
      <w:r>
        <w:t>Évaluation</w:t>
      </w:r>
      <w:r w:rsidR="00E421DD">
        <w:t xml:space="preserve"> de la superficie, des tendances et du contexte politique </w:t>
      </w:r>
      <w:r w:rsidR="00E34F86">
        <w:t>des</w:t>
      </w:r>
      <w:r w:rsidR="00E421DD">
        <w:t xml:space="preserve"> terres faisant l’objet d’une gestion active </w:t>
      </w:r>
      <w:r w:rsidR="00E34F86">
        <w:t>destinée à atténuer leur</w:t>
      </w:r>
      <w:r w:rsidR="00E421DD">
        <w:t xml:space="preserve"> dégradation ou </w:t>
      </w:r>
      <w:r w:rsidR="00E34F86">
        <w:t>à les réhabiliter</w:t>
      </w:r>
      <w:r w:rsidR="00E421DD">
        <w:t>;</w:t>
      </w:r>
    </w:p>
    <w:p w:rsidR="006667F9" w:rsidRDefault="00D109AF" w:rsidP="006E534E">
      <w:pPr>
        <w:pStyle w:val="Normalnumber"/>
        <w:numPr>
          <w:ilvl w:val="0"/>
          <w:numId w:val="19"/>
        </w:numPr>
        <w:tabs>
          <w:tab w:val="left" w:pos="1247"/>
          <w:tab w:val="left" w:pos="1814"/>
          <w:tab w:val="left" w:pos="2381"/>
          <w:tab w:val="left" w:pos="2948"/>
          <w:tab w:val="left" w:pos="3515"/>
          <w:tab w:val="left" w:pos="4082"/>
        </w:tabs>
        <w:ind w:left="1247" w:firstLine="570"/>
      </w:pPr>
      <w:r>
        <w:t>A</w:t>
      </w:r>
      <w:r w:rsidR="00E421DD">
        <w:t xml:space="preserve">perçu des </w:t>
      </w:r>
      <w:r w:rsidR="001A4BED">
        <w:t>options pour la ré</w:t>
      </w:r>
      <w:r w:rsidR="00AF546A">
        <w:t>gén</w:t>
      </w:r>
      <w:r w:rsidR="001A4BED">
        <w:t>ération de</w:t>
      </w:r>
      <w:r w:rsidR="00E421DD">
        <w:t xml:space="preserve"> terres dégradées, y compris la </w:t>
      </w:r>
      <w:r w:rsidR="006F05E5">
        <w:t>restauration</w:t>
      </w:r>
      <w:r w:rsidR="00E421DD">
        <w:t xml:space="preserve"> de la biodiversité et </w:t>
      </w:r>
      <w:r w:rsidR="001A4BED">
        <w:t>l</w:t>
      </w:r>
      <w:r w:rsidR="00AF546A">
        <w:t>e</w:t>
      </w:r>
      <w:r w:rsidR="001A4BED">
        <w:t xml:space="preserve"> ré</w:t>
      </w:r>
      <w:r w:rsidR="00AF546A">
        <w:t>tablissement</w:t>
      </w:r>
      <w:r w:rsidR="001A4BED">
        <w:t xml:space="preserve"> de</w:t>
      </w:r>
      <w:r w:rsidR="006667F9">
        <w:t xml:space="preserve"> services écosystémiques et </w:t>
      </w:r>
      <w:r w:rsidR="001A4BED">
        <w:t>de</w:t>
      </w:r>
      <w:r w:rsidR="000B422E">
        <w:t>s</w:t>
      </w:r>
      <w:r w:rsidR="006667F9">
        <w:t xml:space="preserve"> pratiques autochtones et traditionnelles </w:t>
      </w:r>
      <w:r w:rsidR="008700E0">
        <w:t>de</w:t>
      </w:r>
      <w:r w:rsidR="006667F9">
        <w:t xml:space="preserve"> gestion de la biodiversité et </w:t>
      </w:r>
      <w:r w:rsidR="00E421DD">
        <w:t xml:space="preserve">des services </w:t>
      </w:r>
      <w:r w:rsidR="00623109">
        <w:t>écosystémiques</w:t>
      </w:r>
      <w:r w:rsidR="006667F9">
        <w:t>;</w:t>
      </w:r>
    </w:p>
    <w:p w:rsidR="006667F9" w:rsidRDefault="006667F9" w:rsidP="006E534E">
      <w:pPr>
        <w:pStyle w:val="Normalnumber"/>
        <w:numPr>
          <w:ilvl w:val="0"/>
          <w:numId w:val="19"/>
        </w:numPr>
        <w:tabs>
          <w:tab w:val="left" w:pos="1247"/>
          <w:tab w:val="left" w:pos="1814"/>
          <w:tab w:val="left" w:pos="2381"/>
          <w:tab w:val="left" w:pos="2948"/>
          <w:tab w:val="left" w:pos="3515"/>
          <w:tab w:val="left" w:pos="4082"/>
        </w:tabs>
        <w:ind w:left="1247" w:firstLine="570"/>
      </w:pPr>
      <w:r>
        <w:t xml:space="preserve">Aperçu des options pour créer un monde où la dégradation des </w:t>
      </w:r>
      <w:r w:rsidR="0075676A">
        <w:t>terres</w:t>
      </w:r>
      <w:r>
        <w:t xml:space="preserve"> n’</w:t>
      </w:r>
      <w:r w:rsidR="008700E0">
        <w:t>est plus un problème</w:t>
      </w:r>
      <w:r>
        <w:t>;</w:t>
      </w:r>
    </w:p>
    <w:p w:rsidR="00F620D6" w:rsidRDefault="006667F9" w:rsidP="006E534E">
      <w:pPr>
        <w:pStyle w:val="Normalnumber"/>
        <w:numPr>
          <w:ilvl w:val="0"/>
          <w:numId w:val="19"/>
        </w:numPr>
        <w:tabs>
          <w:tab w:val="left" w:pos="1247"/>
          <w:tab w:val="left" w:pos="1814"/>
          <w:tab w:val="left" w:pos="2381"/>
          <w:tab w:val="left" w:pos="2948"/>
          <w:tab w:val="left" w:pos="3515"/>
          <w:tab w:val="left" w:pos="4082"/>
        </w:tabs>
        <w:ind w:left="1247" w:firstLine="570"/>
      </w:pPr>
      <w:r>
        <w:t xml:space="preserve">Scénarios et modèles </w:t>
      </w:r>
      <w:r w:rsidR="00036F80">
        <w:t>pour faciliter l’évaluation du</w:t>
      </w:r>
      <w:r>
        <w:t xml:space="preserve"> potentiel de </w:t>
      </w:r>
      <w:r w:rsidR="006F05E5">
        <w:t>restauration</w:t>
      </w:r>
      <w:r>
        <w:t xml:space="preserve">, </w:t>
      </w:r>
      <w:r w:rsidR="00036F80">
        <w:t>du</w:t>
      </w:r>
      <w:r>
        <w:t xml:space="preserve"> rôle de la biodiv</w:t>
      </w:r>
      <w:r w:rsidR="00036F80">
        <w:t xml:space="preserve">ersité dans la </w:t>
      </w:r>
      <w:r w:rsidR="006F05E5">
        <w:t>restauration</w:t>
      </w:r>
      <w:r w:rsidR="00036F80">
        <w:t xml:space="preserve"> et d</w:t>
      </w:r>
      <w:r>
        <w:t xml:space="preserve">es effets de la </w:t>
      </w:r>
      <w:r w:rsidR="006F05E5">
        <w:t>restauration</w:t>
      </w:r>
      <w:r>
        <w:t xml:space="preserve"> sur une série de services écosystémiques, </w:t>
      </w:r>
      <w:r>
        <w:lastRenderedPageBreak/>
        <w:t xml:space="preserve">notamment </w:t>
      </w:r>
      <w:r w:rsidR="0024231A">
        <w:t>ceux liés au cycle de l’eau et à l’équilibre du carbone, les effets</w:t>
      </w:r>
      <w:r w:rsidR="00F620D6">
        <w:t xml:space="preserve"> de rétroaction sur le climat régional et le contrôle des aéro</w:t>
      </w:r>
      <w:r w:rsidR="008700E0">
        <w:t>sol</w:t>
      </w:r>
      <w:r w:rsidR="0075676A">
        <w:t>s</w:t>
      </w:r>
      <w:r w:rsidR="00F620D6">
        <w:t>;</w:t>
      </w:r>
    </w:p>
    <w:p w:rsidR="007B7C5A" w:rsidRDefault="00F620D6" w:rsidP="006E534E">
      <w:pPr>
        <w:pStyle w:val="Normalnumber"/>
        <w:numPr>
          <w:ilvl w:val="0"/>
          <w:numId w:val="19"/>
        </w:numPr>
        <w:tabs>
          <w:tab w:val="left" w:pos="1247"/>
          <w:tab w:val="left" w:pos="1814"/>
          <w:tab w:val="left" w:pos="2381"/>
          <w:tab w:val="left" w:pos="2948"/>
          <w:tab w:val="left" w:pos="3515"/>
          <w:tab w:val="left" w:pos="4082"/>
        </w:tabs>
        <w:ind w:left="1247" w:firstLine="570"/>
      </w:pPr>
      <w:r>
        <w:t>Identification</w:t>
      </w:r>
      <w:r w:rsidR="0024231A">
        <w:t xml:space="preserve"> </w:t>
      </w:r>
      <w:r>
        <w:t xml:space="preserve">des conclusions </w:t>
      </w:r>
      <w:r w:rsidR="009912E9">
        <w:t>util</w:t>
      </w:r>
      <w:r>
        <w:t>es</w:t>
      </w:r>
      <w:r w:rsidR="007B7C5A">
        <w:t xml:space="preserve"> permettant </w:t>
      </w:r>
      <w:r w:rsidR="0091275D">
        <w:t>d’</w:t>
      </w:r>
      <w:r w:rsidR="008700E0">
        <w:t>aider</w:t>
      </w:r>
      <w:r w:rsidR="007B7C5A">
        <w:t xml:space="preserve"> les gouvernements, les collectivités autochtones et locales, le secteur pri</w:t>
      </w:r>
      <w:r w:rsidR="00036F80">
        <w:t>v</w:t>
      </w:r>
      <w:r w:rsidR="007B7C5A">
        <w:t>é et la société civile</w:t>
      </w:r>
      <w:r w:rsidR="008700E0">
        <w:t xml:space="preserve"> dans la prise de décisions</w:t>
      </w:r>
      <w:r w:rsidR="009912E9">
        <w:t xml:space="preserve"> politiques</w:t>
      </w:r>
      <w:r w:rsidR="007B7C5A">
        <w:t>.</w:t>
      </w:r>
    </w:p>
    <w:p w:rsidR="007B7C5A" w:rsidRDefault="00A37455" w:rsidP="007B7C5A">
      <w:pPr>
        <w:pStyle w:val="Normalnumber"/>
        <w:numPr>
          <w:ilvl w:val="0"/>
          <w:numId w:val="8"/>
        </w:numPr>
        <w:tabs>
          <w:tab w:val="left" w:pos="1247"/>
          <w:tab w:val="left" w:pos="1814"/>
          <w:tab w:val="left" w:pos="2381"/>
          <w:tab w:val="left" w:pos="2948"/>
          <w:tab w:val="left" w:pos="3515"/>
          <w:tab w:val="left" w:pos="4082"/>
        </w:tabs>
      </w:pPr>
      <w:r>
        <w:t>Chapitre 7 :</w:t>
      </w:r>
      <w:r w:rsidR="00B629FB">
        <w:t xml:space="preserve"> évaluation des études de cas d’</w:t>
      </w:r>
      <w:r>
        <w:t xml:space="preserve">impacts positifs et négatifs de la dégradation des terres </w:t>
      </w:r>
      <w:r w:rsidR="0091275D">
        <w:t xml:space="preserve">et </w:t>
      </w:r>
      <w:r w:rsidR="00B629FB">
        <w:t xml:space="preserve">des efforts de </w:t>
      </w:r>
      <w:r w:rsidR="00780BE3">
        <w:t>r</w:t>
      </w:r>
      <w:r w:rsidR="00AF546A">
        <w:t>égéné</w:t>
      </w:r>
      <w:r w:rsidR="00780BE3">
        <w:t>ration</w:t>
      </w:r>
      <w:r w:rsidR="00B629FB">
        <w:t xml:space="preserve"> sur les économies </w:t>
      </w:r>
      <w:r w:rsidR="0091275D">
        <w:t>ainsi que sur</w:t>
      </w:r>
      <w:r w:rsidR="00B629FB">
        <w:t xml:space="preserve"> la santé et le bien-être </w:t>
      </w:r>
      <w:r w:rsidR="0036408C">
        <w:t xml:space="preserve">des populations et identification des conclusions </w:t>
      </w:r>
      <w:r w:rsidR="009912E9">
        <w:t>utiles</w:t>
      </w:r>
      <w:r w:rsidR="0036408C">
        <w:t xml:space="preserve"> permettant d’</w:t>
      </w:r>
      <w:r w:rsidR="008700E0">
        <w:t>aider</w:t>
      </w:r>
      <w:r w:rsidR="0036408C">
        <w:t xml:space="preserve"> les gouvernements, les collectivités autochtones et locales, le secteur pri</w:t>
      </w:r>
      <w:r w:rsidR="0091275D">
        <w:t>v</w:t>
      </w:r>
      <w:r w:rsidR="0036408C">
        <w:t>é et la société civile</w:t>
      </w:r>
      <w:r w:rsidR="008700E0">
        <w:t xml:space="preserve"> dans  la prise de décisions</w:t>
      </w:r>
      <w:r w:rsidR="009912E9">
        <w:t xml:space="preserve"> politiques</w:t>
      </w:r>
      <w:r w:rsidR="008700E0">
        <w:t>.</w:t>
      </w:r>
    </w:p>
    <w:p w:rsidR="005A4E0C" w:rsidRPr="000E46DB" w:rsidRDefault="0036408C" w:rsidP="007B7C5A">
      <w:pPr>
        <w:pStyle w:val="Normalnumber"/>
        <w:numPr>
          <w:ilvl w:val="0"/>
          <w:numId w:val="8"/>
        </w:numPr>
        <w:tabs>
          <w:tab w:val="left" w:pos="1247"/>
          <w:tab w:val="left" w:pos="1814"/>
          <w:tab w:val="left" w:pos="2381"/>
          <w:tab w:val="left" w:pos="2948"/>
          <w:tab w:val="left" w:pos="3515"/>
          <w:tab w:val="left" w:pos="4082"/>
        </w:tabs>
      </w:pPr>
      <w:r>
        <w:t>Chapitre 8 :</w:t>
      </w:r>
      <w:r w:rsidR="007B7C5A">
        <w:t xml:space="preserve"> </w:t>
      </w:r>
      <w:r w:rsidR="00AA71FF">
        <w:t xml:space="preserve">création d’un cadre pour une approche </w:t>
      </w:r>
      <w:r w:rsidR="0091275D">
        <w:t>systémique holistique</w:t>
      </w:r>
      <w:r w:rsidR="00AA71FF">
        <w:t xml:space="preserve"> </w:t>
      </w:r>
      <w:r w:rsidR="00307EA5">
        <w:t xml:space="preserve">des évaluations et </w:t>
      </w:r>
      <w:r w:rsidR="0091275D">
        <w:t xml:space="preserve">des </w:t>
      </w:r>
      <w:r w:rsidR="00307EA5">
        <w:t xml:space="preserve">processus politiques et </w:t>
      </w:r>
      <w:r w:rsidR="008700E0">
        <w:t>décisionnels</w:t>
      </w:r>
      <w:r w:rsidR="00307EA5">
        <w:t>. Les produits</w:t>
      </w:r>
      <w:r w:rsidR="00A93110">
        <w:t xml:space="preserve"> comprendraient un cadre conceptuel, une typologie d’outils et de méthodes et une évaluation des facteurs qui empêchent ou </w:t>
      </w:r>
      <w:r w:rsidR="00632F20">
        <w:t xml:space="preserve">au contraire </w:t>
      </w:r>
      <w:r w:rsidR="00A93110">
        <w:t xml:space="preserve">facilitent </w:t>
      </w:r>
      <w:r w:rsidR="00632F20">
        <w:t>l’intégration d’une approche basée sur les écosystèmes dans divers types d’évaluation</w:t>
      </w:r>
      <w:r w:rsidR="008700E0">
        <w:t>s</w:t>
      </w:r>
      <w:r w:rsidR="00632F20">
        <w:t>.</w:t>
      </w:r>
      <w:r w:rsidR="005A4E0C" w:rsidRPr="000E46DB">
        <w:t xml:space="preserve"> </w:t>
      </w:r>
    </w:p>
    <w:p w:rsidR="005A4E0C" w:rsidRPr="00C84061" w:rsidRDefault="005A4E0C" w:rsidP="005A4E0C">
      <w:pPr>
        <w:pStyle w:val="CH1"/>
      </w:pPr>
      <w:r w:rsidRPr="00C84061">
        <w:tab/>
        <w:t>III.</w:t>
      </w:r>
      <w:r w:rsidRPr="00C84061">
        <w:tab/>
        <w:t>Déroulement et calendrier des travaux</w:t>
      </w:r>
    </w:p>
    <w:p w:rsidR="005A4E0C" w:rsidRDefault="000B298F" w:rsidP="005A4E0C">
      <w:pPr>
        <w:pStyle w:val="Normalnumber"/>
        <w:numPr>
          <w:ilvl w:val="0"/>
          <w:numId w:val="8"/>
        </w:numPr>
        <w:tabs>
          <w:tab w:val="left" w:pos="1247"/>
          <w:tab w:val="left" w:pos="1814"/>
          <w:tab w:val="left" w:pos="2381"/>
          <w:tab w:val="left" w:pos="2948"/>
          <w:tab w:val="left" w:pos="3515"/>
          <w:tab w:val="left" w:pos="4082"/>
        </w:tabs>
      </w:pPr>
      <w:r w:rsidRPr="00C9391E">
        <w:t>Le déroulement et le calendrier des travaux envisagés pour la réalisation de l’évaluation sont indiqués dans le tableau ci-après.</w:t>
      </w:r>
    </w:p>
    <w:tbl>
      <w:tblPr>
        <w:tblW w:w="8661" w:type="dxa"/>
        <w:jc w:val="right"/>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716"/>
        <w:gridCol w:w="5848"/>
      </w:tblGrid>
      <w:tr w:rsidR="00B14AC9" w:rsidRPr="00C84061" w:rsidTr="004940F8">
        <w:trPr>
          <w:trHeight w:val="584"/>
          <w:jc w:val="right"/>
        </w:trPr>
        <w:tc>
          <w:tcPr>
            <w:tcW w:w="2813" w:type="dxa"/>
            <w:gridSpan w:val="2"/>
            <w:shd w:val="clear" w:color="auto" w:fill="auto"/>
            <w:vAlign w:val="center"/>
          </w:tcPr>
          <w:p w:rsidR="00B14AC9" w:rsidRPr="007C0FAE" w:rsidRDefault="00B14AC9" w:rsidP="003D7BDB">
            <w:pPr>
              <w:pStyle w:val="Normal-pool"/>
              <w:spacing w:before="6" w:after="6"/>
              <w:rPr>
                <w:rFonts w:eastAsia="SimSun"/>
                <w:i/>
                <w:sz w:val="19"/>
                <w:szCs w:val="19"/>
                <w:lang w:val="fr-CA" w:eastAsia="zh-CN"/>
              </w:rPr>
            </w:pPr>
            <w:r w:rsidRPr="007C0FAE">
              <w:rPr>
                <w:rFonts w:eastAsia="SimSun"/>
                <w:i/>
                <w:sz w:val="19"/>
                <w:szCs w:val="19"/>
                <w:lang w:val="fr-CA" w:eastAsia="zh-CN"/>
              </w:rPr>
              <w:t>Calendrier</w:t>
            </w:r>
          </w:p>
        </w:tc>
        <w:tc>
          <w:tcPr>
            <w:tcW w:w="5848" w:type="dxa"/>
            <w:shd w:val="clear" w:color="auto" w:fill="auto"/>
            <w:vAlign w:val="center"/>
          </w:tcPr>
          <w:p w:rsidR="00B14AC9" w:rsidRPr="007C0FAE" w:rsidRDefault="00B14AC9" w:rsidP="003D7BDB">
            <w:pPr>
              <w:pStyle w:val="Normal-pool"/>
              <w:spacing w:before="40" w:after="40"/>
              <w:rPr>
                <w:i/>
                <w:lang w:val="fr-CA"/>
              </w:rPr>
            </w:pPr>
            <w:r w:rsidRPr="007C0FAE">
              <w:rPr>
                <w:i/>
                <w:lang w:val="fr-CA"/>
              </w:rPr>
              <w:t>Mesures</w:t>
            </w:r>
          </w:p>
        </w:tc>
      </w:tr>
      <w:tr w:rsidR="00B14AC9" w:rsidRPr="00C84061" w:rsidTr="004940F8">
        <w:trPr>
          <w:trHeight w:val="584"/>
          <w:jc w:val="right"/>
        </w:trPr>
        <w:tc>
          <w:tcPr>
            <w:tcW w:w="1097" w:type="dxa"/>
            <w:vMerge w:val="restart"/>
            <w:shd w:val="clear" w:color="auto" w:fill="auto"/>
            <w:vAlign w:val="center"/>
          </w:tcPr>
          <w:p w:rsidR="00B14AC9" w:rsidRPr="00373895" w:rsidRDefault="00B14AC9" w:rsidP="00006227">
            <w:pPr>
              <w:pStyle w:val="Normal-pool"/>
              <w:spacing w:before="40" w:after="40"/>
              <w:rPr>
                <w:rFonts w:eastAsia="SimSun"/>
                <w:sz w:val="18"/>
                <w:szCs w:val="18"/>
                <w:lang w:val="fr-CA" w:eastAsia="zh-CN"/>
              </w:rPr>
            </w:pPr>
            <w:r w:rsidRPr="00373895">
              <w:rPr>
                <w:rFonts w:eastAsia="SimSun"/>
                <w:sz w:val="18"/>
                <w:szCs w:val="18"/>
                <w:lang w:val="fr-CA" w:eastAsia="zh-CN"/>
              </w:rPr>
              <w:t>2013</w:t>
            </w: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Quatrième trimestre</w:t>
            </w:r>
          </w:p>
        </w:tc>
        <w:tc>
          <w:tcPr>
            <w:tcW w:w="5848" w:type="dxa"/>
            <w:shd w:val="clear" w:color="auto" w:fill="auto"/>
            <w:vAlign w:val="center"/>
          </w:tcPr>
          <w:p w:rsidR="00B14AC9" w:rsidRPr="00C84061" w:rsidRDefault="00B14AC9" w:rsidP="000B298F">
            <w:pPr>
              <w:pStyle w:val="Normal-pool"/>
              <w:spacing w:before="40" w:after="40"/>
              <w:rPr>
                <w:sz w:val="18"/>
                <w:szCs w:val="18"/>
                <w:lang w:val="fr-CA"/>
              </w:rPr>
            </w:pPr>
            <w:r w:rsidRPr="00C84061">
              <w:rPr>
                <w:sz w:val="18"/>
                <w:szCs w:val="18"/>
                <w:lang w:val="fr-CA"/>
              </w:rPr>
              <w:t xml:space="preserve">La Plénière examine et approuve </w:t>
            </w:r>
            <w:r>
              <w:rPr>
                <w:sz w:val="18"/>
                <w:szCs w:val="18"/>
                <w:lang w:val="fr-CA"/>
              </w:rPr>
              <w:t>le document de</w:t>
            </w:r>
            <w:r w:rsidRPr="00C84061">
              <w:rPr>
                <w:sz w:val="18"/>
                <w:szCs w:val="18"/>
                <w:lang w:val="fr-CA"/>
              </w:rPr>
              <w:t xml:space="preserve"> cadrage initial établi par le Groupe d’experts multidisciplinaire </w:t>
            </w:r>
            <w:r>
              <w:rPr>
                <w:sz w:val="18"/>
                <w:szCs w:val="18"/>
                <w:lang w:val="fr-CA"/>
              </w:rPr>
              <w:t>et demande au Groupe d’experts et au Bureau de réaliser l’évaluation complète après une étude de cadrage détaillée et dans les limites d’un budget convenu</w:t>
            </w:r>
            <w:r w:rsidRPr="00C84061">
              <w:rPr>
                <w:sz w:val="18"/>
                <w:szCs w:val="18"/>
                <w:lang w:val="fr-CA"/>
              </w:rPr>
              <w:t xml:space="preserve"> (14 décembre 2013).</w:t>
            </w:r>
          </w:p>
        </w:tc>
      </w:tr>
      <w:tr w:rsidR="00B14AC9" w:rsidRPr="00C84061" w:rsidTr="004940F8">
        <w:trPr>
          <w:trHeight w:val="584"/>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Pr="00C84061" w:rsidRDefault="00B14AC9" w:rsidP="00065DE1">
            <w:pPr>
              <w:pStyle w:val="Normal-pool"/>
              <w:spacing w:before="40" w:after="40"/>
              <w:rPr>
                <w:rFonts w:eastAsia="SimSun"/>
                <w:sz w:val="18"/>
                <w:szCs w:val="18"/>
                <w:lang w:val="fr-CA" w:eastAsia="zh-CN"/>
              </w:rPr>
            </w:pPr>
            <w:r>
              <w:rPr>
                <w:rFonts w:eastAsia="SimSun"/>
                <w:sz w:val="18"/>
                <w:szCs w:val="18"/>
                <w:lang w:val="fr-CA" w:eastAsia="zh-CN"/>
              </w:rPr>
              <w:t>Quatrième trimestre</w:t>
            </w:r>
          </w:p>
        </w:tc>
        <w:tc>
          <w:tcPr>
            <w:tcW w:w="5848" w:type="dxa"/>
            <w:shd w:val="clear" w:color="auto" w:fill="auto"/>
            <w:vAlign w:val="center"/>
          </w:tcPr>
          <w:p w:rsidR="00B14AC9" w:rsidRPr="00C84061" w:rsidRDefault="00B14AC9" w:rsidP="00B30814">
            <w:pPr>
              <w:pStyle w:val="Normal-pool"/>
              <w:spacing w:before="40" w:after="40"/>
              <w:rPr>
                <w:sz w:val="18"/>
                <w:szCs w:val="18"/>
                <w:lang w:val="fr-CA"/>
              </w:rPr>
            </w:pPr>
            <w:r w:rsidRPr="00C84061">
              <w:rPr>
                <w:sz w:val="18"/>
                <w:szCs w:val="18"/>
                <w:lang w:val="fr-CA"/>
              </w:rPr>
              <w:t xml:space="preserve">Le Groupe d’experts, par </w:t>
            </w:r>
            <w:r>
              <w:rPr>
                <w:sz w:val="18"/>
                <w:szCs w:val="18"/>
                <w:lang w:val="fr-CA"/>
              </w:rPr>
              <w:t>l’intermédiaire</w:t>
            </w:r>
            <w:r w:rsidRPr="00C84061">
              <w:rPr>
                <w:sz w:val="18"/>
                <w:szCs w:val="18"/>
                <w:lang w:val="fr-CA"/>
              </w:rPr>
              <w:t xml:space="preserve"> du secrétariat, demande aux gouvernements et aux autres parties prenantes de désigner des experts pour </w:t>
            </w:r>
            <w:r>
              <w:rPr>
                <w:sz w:val="18"/>
                <w:szCs w:val="18"/>
                <w:lang w:val="fr-CA"/>
              </w:rPr>
              <w:t xml:space="preserve">l’aider à </w:t>
            </w:r>
            <w:r w:rsidRPr="00C84061">
              <w:rPr>
                <w:sz w:val="18"/>
                <w:szCs w:val="18"/>
                <w:lang w:val="fr-CA"/>
              </w:rPr>
              <w:t xml:space="preserve">réaliser l’étude de cadrage </w:t>
            </w:r>
            <w:r>
              <w:rPr>
                <w:sz w:val="18"/>
                <w:szCs w:val="18"/>
                <w:lang w:val="fr-CA"/>
              </w:rPr>
              <w:t>(16 décembre 2013-31 janvier 2014)</w:t>
            </w:r>
            <w:r w:rsidRPr="00C84061">
              <w:rPr>
                <w:sz w:val="18"/>
                <w:szCs w:val="18"/>
                <w:lang w:val="fr-CA"/>
              </w:rPr>
              <w:t>.</w:t>
            </w:r>
          </w:p>
        </w:tc>
      </w:tr>
      <w:tr w:rsidR="00B14AC9" w:rsidRPr="00C84061" w:rsidTr="004940F8">
        <w:trPr>
          <w:trHeight w:val="584"/>
          <w:jc w:val="right"/>
        </w:trPr>
        <w:tc>
          <w:tcPr>
            <w:tcW w:w="1097" w:type="dxa"/>
            <w:vMerge w:val="restart"/>
            <w:shd w:val="clear" w:color="auto" w:fill="auto"/>
            <w:vAlign w:val="center"/>
          </w:tcPr>
          <w:p w:rsidR="00B14AC9" w:rsidRPr="003C3321" w:rsidRDefault="00B14AC9" w:rsidP="003C3321">
            <w:pPr>
              <w:pStyle w:val="Normal-pool"/>
              <w:spacing w:before="40" w:after="40"/>
              <w:rPr>
                <w:rFonts w:eastAsia="SimSun"/>
                <w:sz w:val="18"/>
                <w:szCs w:val="18"/>
                <w:lang w:val="fr-CA" w:eastAsia="zh-CN"/>
              </w:rPr>
            </w:pPr>
            <w:r w:rsidRPr="003C3321">
              <w:rPr>
                <w:rFonts w:eastAsia="SimSun"/>
                <w:lang w:eastAsia="zh-CN"/>
              </w:rPr>
              <w:t>2014</w:t>
            </w: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5848" w:type="dxa"/>
            <w:shd w:val="clear" w:color="auto" w:fill="auto"/>
            <w:vAlign w:val="center"/>
          </w:tcPr>
          <w:p w:rsidR="00B14AC9" w:rsidRPr="00C84061" w:rsidRDefault="00B14AC9" w:rsidP="006B1210">
            <w:pPr>
              <w:pStyle w:val="Normal-pool"/>
              <w:spacing w:before="40" w:after="40"/>
              <w:rPr>
                <w:sz w:val="18"/>
                <w:szCs w:val="18"/>
                <w:lang w:val="fr-CA"/>
              </w:rPr>
            </w:pPr>
            <w:r w:rsidRPr="00C84061">
              <w:rPr>
                <w:sz w:val="18"/>
                <w:szCs w:val="18"/>
                <w:lang w:val="fr-CA"/>
              </w:rPr>
              <w:t xml:space="preserve">Le Groupe d’experts, par </w:t>
            </w:r>
            <w:r>
              <w:rPr>
                <w:sz w:val="18"/>
                <w:szCs w:val="18"/>
                <w:lang w:val="fr-CA"/>
              </w:rPr>
              <w:t xml:space="preserve">le biais de </w:t>
            </w:r>
            <w:r w:rsidRPr="00C84061">
              <w:rPr>
                <w:sz w:val="18"/>
                <w:szCs w:val="18"/>
                <w:lang w:val="fr-CA"/>
              </w:rPr>
              <w:t>courriel</w:t>
            </w:r>
            <w:r>
              <w:rPr>
                <w:sz w:val="18"/>
                <w:szCs w:val="18"/>
                <w:lang w:val="fr-CA"/>
              </w:rPr>
              <w:t>s</w:t>
            </w:r>
            <w:r w:rsidRPr="00C84061">
              <w:rPr>
                <w:sz w:val="18"/>
                <w:szCs w:val="18"/>
                <w:lang w:val="fr-CA"/>
              </w:rPr>
              <w:t xml:space="preserve"> et </w:t>
            </w:r>
            <w:r>
              <w:rPr>
                <w:sz w:val="18"/>
                <w:szCs w:val="18"/>
                <w:lang w:val="fr-CA"/>
              </w:rPr>
              <w:t xml:space="preserve">de </w:t>
            </w:r>
            <w:r w:rsidRPr="00C84061">
              <w:rPr>
                <w:sz w:val="18"/>
                <w:szCs w:val="18"/>
                <w:lang w:val="fr-CA"/>
              </w:rPr>
              <w:t>téléconférences, choisit les</w:t>
            </w:r>
            <w:r>
              <w:rPr>
                <w:sz w:val="18"/>
                <w:szCs w:val="18"/>
                <w:lang w:val="fr-CA"/>
              </w:rPr>
              <w:t xml:space="preserve"> experts pour l’étude de cadrage</w:t>
            </w:r>
            <w:r w:rsidRPr="00C84061">
              <w:rPr>
                <w:sz w:val="18"/>
                <w:szCs w:val="18"/>
                <w:lang w:val="fr-CA"/>
              </w:rPr>
              <w:t xml:space="preserve">, en appliquant les critères approuvés à cet effet </w:t>
            </w:r>
            <w:r>
              <w:rPr>
                <w:sz w:val="18"/>
                <w:szCs w:val="18"/>
                <w:lang w:val="fr-CA"/>
              </w:rPr>
              <w:t>et énoncés dans le document I</w:t>
            </w:r>
            <w:r w:rsidRPr="00C84061">
              <w:rPr>
                <w:sz w:val="18"/>
                <w:szCs w:val="18"/>
                <w:lang w:val="fr-CA"/>
              </w:rPr>
              <w:t>PBES/2/9</w:t>
            </w:r>
            <w:r>
              <w:rPr>
                <w:sz w:val="18"/>
                <w:szCs w:val="18"/>
                <w:lang w:val="fr-CA"/>
              </w:rPr>
              <w:t xml:space="preserve"> (1</w:t>
            </w:r>
            <w:r w:rsidRPr="00055A38">
              <w:rPr>
                <w:sz w:val="18"/>
                <w:szCs w:val="18"/>
                <w:vertAlign w:val="superscript"/>
                <w:lang w:val="fr-CA"/>
              </w:rPr>
              <w:t>er</w:t>
            </w:r>
            <w:r>
              <w:rPr>
                <w:sz w:val="18"/>
                <w:szCs w:val="18"/>
                <w:lang w:val="fr-CA"/>
              </w:rPr>
              <w:t>–1</w:t>
            </w:r>
            <w:r w:rsidRPr="00C84061">
              <w:rPr>
                <w:sz w:val="18"/>
                <w:szCs w:val="18"/>
                <w:lang w:val="fr-CA"/>
              </w:rPr>
              <w:t>4 </w:t>
            </w:r>
            <w:r>
              <w:rPr>
                <w:sz w:val="18"/>
                <w:szCs w:val="18"/>
                <w:lang w:val="fr-CA"/>
              </w:rPr>
              <w:t>février 2014</w:t>
            </w:r>
            <w:r w:rsidRPr="00C84061">
              <w:rPr>
                <w:sz w:val="18"/>
                <w:szCs w:val="18"/>
                <w:lang w:val="fr-CA"/>
              </w:rPr>
              <w:t>).</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Pr="00C84061" w:rsidRDefault="00B14AC9" w:rsidP="006109D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5848" w:type="dxa"/>
            <w:shd w:val="clear" w:color="auto" w:fill="auto"/>
            <w:vAlign w:val="center"/>
          </w:tcPr>
          <w:p w:rsidR="00B14AC9" w:rsidRPr="00C84061" w:rsidRDefault="00B14AC9" w:rsidP="00126C14">
            <w:pPr>
              <w:pStyle w:val="Normal-pool"/>
              <w:spacing w:before="40" w:after="40"/>
              <w:rPr>
                <w:sz w:val="18"/>
                <w:szCs w:val="18"/>
                <w:lang w:val="fr-CA"/>
              </w:rPr>
            </w:pPr>
            <w:r>
              <w:rPr>
                <w:sz w:val="18"/>
                <w:szCs w:val="18"/>
                <w:lang w:val="fr-CA"/>
              </w:rPr>
              <w:t xml:space="preserve">Le Groupe d’experts et le Bureau supervisent la réalisation de l’exercice de cadrage détaillé, y compris l’établissement d’une structure, une estimation des coûts et une étude de faisabilité (3 mois). Une réunion concernant le cadrage se tient début avril 2014. </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5848" w:type="dxa"/>
            <w:shd w:val="clear" w:color="auto" w:fill="auto"/>
            <w:vAlign w:val="center"/>
          </w:tcPr>
          <w:p w:rsidR="00B14AC9" w:rsidRDefault="00B14AC9" w:rsidP="00664400">
            <w:pPr>
              <w:pStyle w:val="Normal-pool"/>
              <w:spacing w:before="40" w:after="40"/>
              <w:rPr>
                <w:sz w:val="18"/>
                <w:szCs w:val="18"/>
                <w:lang w:val="fr-CA"/>
              </w:rPr>
            </w:pPr>
            <w:r>
              <w:rPr>
                <w:sz w:val="18"/>
                <w:szCs w:val="18"/>
                <w:lang w:val="fr-CA"/>
              </w:rPr>
              <w:t>Le rapport de cadrage détaillé est transmis aux membres de la Plateforme et autres parties prenantes qui ont deux semaines, au cours de la deuxième moitié d’avril 2014, pour l’examiner et formuler des observations.</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5848" w:type="dxa"/>
            <w:shd w:val="clear" w:color="auto" w:fill="auto"/>
            <w:vAlign w:val="center"/>
          </w:tcPr>
          <w:p w:rsidR="00B14AC9" w:rsidRPr="00C84061" w:rsidRDefault="00B14AC9" w:rsidP="00006227">
            <w:pPr>
              <w:pStyle w:val="Normal-pool"/>
              <w:spacing w:before="40" w:after="40"/>
              <w:rPr>
                <w:sz w:val="18"/>
                <w:szCs w:val="18"/>
                <w:lang w:val="fr-CA"/>
              </w:rPr>
            </w:pPr>
            <w:r>
              <w:rPr>
                <w:sz w:val="18"/>
                <w:szCs w:val="18"/>
                <w:lang w:val="fr-CA"/>
              </w:rPr>
              <w:t>En se fondant sur les résultats de l’exercice de cadrage détaillé et les observations reçues des membres de la Plateforme et d’autres parties prenantes, le Groupe d’experts et le Bureau décident de poursuivre ou non la réalisation de l’évaluation, en supposant qu’elle peut être réalisée dans les limites du budget approuvé par la Plénière, dans la première moitié de mai 2014.</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5848" w:type="dxa"/>
            <w:shd w:val="clear" w:color="auto" w:fill="auto"/>
            <w:vAlign w:val="center"/>
          </w:tcPr>
          <w:p w:rsidR="00B14AC9" w:rsidRPr="00C84061" w:rsidRDefault="00B14AC9" w:rsidP="000B298F">
            <w:pPr>
              <w:pStyle w:val="Normal-pool"/>
              <w:spacing w:before="40" w:after="40"/>
              <w:rPr>
                <w:sz w:val="18"/>
                <w:szCs w:val="18"/>
                <w:lang w:val="fr-CA"/>
              </w:rPr>
            </w:pPr>
            <w:r w:rsidRPr="00C84061">
              <w:rPr>
                <w:sz w:val="18"/>
                <w:szCs w:val="18"/>
                <w:lang w:val="fr-CA"/>
              </w:rPr>
              <w:t xml:space="preserve">Le Groupe d’experts, par </w:t>
            </w:r>
            <w:r>
              <w:rPr>
                <w:sz w:val="18"/>
                <w:szCs w:val="18"/>
                <w:lang w:val="fr-CA"/>
              </w:rPr>
              <w:t>l’intermédiaire</w:t>
            </w:r>
            <w:r w:rsidRPr="00C84061">
              <w:rPr>
                <w:sz w:val="18"/>
                <w:szCs w:val="18"/>
                <w:lang w:val="fr-CA"/>
              </w:rPr>
              <w:t xml:space="preserve"> du secrétariat, demande aux gouvernements et aux autres parties prenantes de désigner des experts pour </w:t>
            </w:r>
            <w:r>
              <w:rPr>
                <w:sz w:val="18"/>
                <w:szCs w:val="18"/>
                <w:lang w:val="fr-CA"/>
              </w:rPr>
              <w:t>établir le rapport de l’évaluation. Les noms des experts doivent être communiqués au plus tard fin juin 2014</w:t>
            </w:r>
            <w:r w:rsidRPr="00C84061">
              <w:rPr>
                <w:sz w:val="18"/>
                <w:szCs w:val="18"/>
                <w:lang w:val="fr-CA"/>
              </w:rPr>
              <w:t xml:space="preserve"> </w:t>
            </w:r>
            <w:r>
              <w:rPr>
                <w:sz w:val="18"/>
                <w:szCs w:val="18"/>
                <w:lang w:val="fr-CA"/>
              </w:rPr>
              <w:t>(un mois et demi)</w:t>
            </w:r>
            <w:r w:rsidRPr="00C84061">
              <w:rPr>
                <w:sz w:val="18"/>
                <w:szCs w:val="18"/>
                <w:lang w:val="fr-CA"/>
              </w:rPr>
              <w:t>.</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Troisième trimestre</w:t>
            </w:r>
          </w:p>
        </w:tc>
        <w:tc>
          <w:tcPr>
            <w:tcW w:w="5848" w:type="dxa"/>
            <w:shd w:val="clear" w:color="auto" w:fill="auto"/>
            <w:vAlign w:val="center"/>
          </w:tcPr>
          <w:p w:rsidR="00B14AC9" w:rsidRPr="00C84061" w:rsidRDefault="00B14AC9" w:rsidP="00365D6D">
            <w:pPr>
              <w:pStyle w:val="Normal-pool"/>
              <w:spacing w:before="40" w:after="40"/>
              <w:rPr>
                <w:sz w:val="18"/>
                <w:szCs w:val="18"/>
                <w:lang w:val="fr-CA"/>
              </w:rPr>
            </w:pPr>
            <w:r>
              <w:rPr>
                <w:sz w:val="18"/>
                <w:szCs w:val="18"/>
                <w:lang w:val="fr-CA"/>
              </w:rPr>
              <w:t xml:space="preserve">Le Groupe d’experts </w:t>
            </w:r>
            <w:r w:rsidRPr="00C84061">
              <w:rPr>
                <w:sz w:val="18"/>
                <w:szCs w:val="18"/>
                <w:lang w:val="fr-CA"/>
              </w:rPr>
              <w:t>choisit les</w:t>
            </w:r>
            <w:r>
              <w:rPr>
                <w:sz w:val="18"/>
                <w:szCs w:val="18"/>
                <w:lang w:val="fr-CA"/>
              </w:rPr>
              <w:t xml:space="preserve"> </w:t>
            </w:r>
            <w:r w:rsidRPr="00C84061">
              <w:rPr>
                <w:sz w:val="18"/>
                <w:szCs w:val="18"/>
                <w:lang w:val="fr-CA"/>
              </w:rPr>
              <w:t>coprésidents, les auteurs coordonnateurs principaux, les auteurs principaux et les éditeurs-réviseurs</w:t>
            </w:r>
            <w:r>
              <w:rPr>
                <w:sz w:val="18"/>
                <w:szCs w:val="18"/>
                <w:lang w:val="fr-CA"/>
              </w:rPr>
              <w:t xml:space="preserve"> du rapport</w:t>
            </w:r>
            <w:r w:rsidRPr="00C84061">
              <w:rPr>
                <w:sz w:val="18"/>
                <w:szCs w:val="18"/>
                <w:lang w:val="fr-CA"/>
              </w:rPr>
              <w:t xml:space="preserve">, en appliquant les critères approuvés à cet effet </w:t>
            </w:r>
            <w:r>
              <w:rPr>
                <w:sz w:val="18"/>
                <w:szCs w:val="18"/>
                <w:lang w:val="fr-CA"/>
              </w:rPr>
              <w:t>(1</w:t>
            </w:r>
            <w:r w:rsidRPr="005B3F5F">
              <w:rPr>
                <w:sz w:val="18"/>
                <w:szCs w:val="18"/>
                <w:vertAlign w:val="superscript"/>
                <w:lang w:val="fr-CA"/>
              </w:rPr>
              <w:t>er</w:t>
            </w:r>
            <w:r>
              <w:rPr>
                <w:sz w:val="18"/>
                <w:szCs w:val="18"/>
                <w:lang w:val="fr-CA"/>
              </w:rPr>
              <w:t> juillet–15</w:t>
            </w:r>
            <w:r w:rsidRPr="00C84061">
              <w:rPr>
                <w:sz w:val="18"/>
                <w:szCs w:val="18"/>
                <w:lang w:val="fr-CA"/>
              </w:rPr>
              <w:t> </w:t>
            </w:r>
            <w:r>
              <w:rPr>
                <w:sz w:val="18"/>
                <w:szCs w:val="18"/>
                <w:lang w:val="fr-CA"/>
              </w:rPr>
              <w:t>août 2014</w:t>
            </w:r>
            <w:r w:rsidRPr="00C84061">
              <w:rPr>
                <w:sz w:val="18"/>
                <w:szCs w:val="18"/>
                <w:lang w:val="fr-CA"/>
              </w:rPr>
              <w:t>)</w:t>
            </w:r>
            <w:r>
              <w:rPr>
                <w:sz w:val="18"/>
                <w:szCs w:val="18"/>
                <w:lang w:val="fr-CA"/>
              </w:rPr>
              <w:t xml:space="preserve"> (un mois et demi)</w:t>
            </w:r>
            <w:r w:rsidRPr="00C84061">
              <w:rPr>
                <w:sz w:val="18"/>
                <w:szCs w:val="18"/>
                <w:lang w:val="fr-CA"/>
              </w:rPr>
              <w:t>.</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Troisième/quatrième trimestres</w:t>
            </w:r>
          </w:p>
        </w:tc>
        <w:tc>
          <w:tcPr>
            <w:tcW w:w="5848" w:type="dxa"/>
            <w:shd w:val="clear" w:color="auto" w:fill="auto"/>
            <w:vAlign w:val="center"/>
          </w:tcPr>
          <w:p w:rsidR="00B14AC9" w:rsidRPr="006A7B6B" w:rsidRDefault="00B14AC9" w:rsidP="00692F3A">
            <w:pPr>
              <w:pStyle w:val="Normal-pool"/>
              <w:spacing w:before="40" w:after="40"/>
              <w:rPr>
                <w:color w:val="FF0000"/>
                <w:sz w:val="18"/>
                <w:szCs w:val="18"/>
                <w:lang w:val="fr-CA"/>
              </w:rPr>
            </w:pPr>
            <w:r w:rsidRPr="00CC4085">
              <w:rPr>
                <w:sz w:val="18"/>
                <w:szCs w:val="18"/>
                <w:lang w:val="fr-CA"/>
              </w:rPr>
              <w:t>Les coprésidents, les auteurs coordonnateurs principaux et les auteurs principaux établissent un premier projet de rapport pour la mi-février 2015 (</w:t>
            </w:r>
            <w:r>
              <w:rPr>
                <w:sz w:val="18"/>
                <w:szCs w:val="18"/>
                <w:lang w:val="fr-CA"/>
              </w:rPr>
              <w:t>six</w:t>
            </w:r>
            <w:r w:rsidRPr="00CC4085">
              <w:rPr>
                <w:sz w:val="18"/>
                <w:szCs w:val="18"/>
                <w:lang w:val="fr-CA"/>
              </w:rPr>
              <w:t xml:space="preserve"> mois). Une première réunion des auteurs a lieu en septembre </w:t>
            </w:r>
            <w:r w:rsidRPr="00055A38">
              <w:rPr>
                <w:sz w:val="18"/>
                <w:szCs w:val="18"/>
                <w:lang w:val="fr-CA"/>
              </w:rPr>
              <w:t>2014. Des ateliers de dialogue et des réunions de travail au niveau des collectivités, avec des détenteurs des savoirs autochtones et locaux sont organisés.</w:t>
            </w:r>
          </w:p>
        </w:tc>
      </w:tr>
      <w:tr w:rsidR="00B14AC9" w:rsidRPr="00C84061" w:rsidTr="004940F8">
        <w:trPr>
          <w:trHeight w:val="42"/>
          <w:jc w:val="right"/>
        </w:trPr>
        <w:tc>
          <w:tcPr>
            <w:tcW w:w="1097" w:type="dxa"/>
            <w:vMerge w:val="restart"/>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lastRenderedPageBreak/>
              <w:t>2015</w:t>
            </w: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5848" w:type="dxa"/>
            <w:shd w:val="clear" w:color="auto" w:fill="auto"/>
            <w:vAlign w:val="center"/>
          </w:tcPr>
          <w:p w:rsidR="00B14AC9" w:rsidRPr="00C84061" w:rsidRDefault="00B14AC9" w:rsidP="00D66123">
            <w:pPr>
              <w:pStyle w:val="Normal-pool"/>
              <w:spacing w:before="40" w:after="40"/>
              <w:rPr>
                <w:sz w:val="18"/>
                <w:szCs w:val="18"/>
                <w:lang w:val="fr-CA"/>
              </w:rPr>
            </w:pPr>
            <w:r>
              <w:rPr>
                <w:sz w:val="18"/>
                <w:szCs w:val="18"/>
                <w:lang w:val="fr-CA"/>
              </w:rPr>
              <w:t>Le projet de rapport est examiné par les experts avant fin mars 2015 (un mois et demi à deux mois).</w:t>
            </w:r>
          </w:p>
        </w:tc>
      </w:tr>
      <w:tr w:rsidR="00B14AC9" w:rsidRPr="00C84061" w:rsidTr="004940F8">
        <w:trPr>
          <w:trHeight w:val="42"/>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Default="00B14AC9"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5848" w:type="dxa"/>
            <w:shd w:val="clear" w:color="auto" w:fill="auto"/>
            <w:vAlign w:val="center"/>
          </w:tcPr>
          <w:p w:rsidR="00B14AC9" w:rsidRPr="00C84061" w:rsidRDefault="00B14AC9" w:rsidP="00B96C4E">
            <w:pPr>
              <w:pStyle w:val="Normal-pool"/>
              <w:spacing w:before="40" w:after="40"/>
              <w:rPr>
                <w:sz w:val="18"/>
                <w:szCs w:val="18"/>
                <w:lang w:val="fr-CA"/>
              </w:rPr>
            </w:pPr>
            <w:r w:rsidRPr="00C84061">
              <w:rPr>
                <w:sz w:val="18"/>
                <w:szCs w:val="18"/>
                <w:lang w:val="fr-CA"/>
              </w:rPr>
              <w:t xml:space="preserve">Les coprésidents, les auteurs coordonnateurs principaux et les auteurs principaux établissent </w:t>
            </w:r>
            <w:r>
              <w:rPr>
                <w:sz w:val="18"/>
                <w:szCs w:val="18"/>
                <w:lang w:val="fr-CA"/>
              </w:rPr>
              <w:t>le deuxième projet</w:t>
            </w:r>
            <w:r w:rsidRPr="00C84061">
              <w:rPr>
                <w:sz w:val="18"/>
                <w:szCs w:val="18"/>
                <w:lang w:val="fr-CA"/>
              </w:rPr>
              <w:t xml:space="preserve"> de rapport et </w:t>
            </w:r>
            <w:r>
              <w:rPr>
                <w:sz w:val="18"/>
                <w:szCs w:val="18"/>
                <w:lang w:val="fr-CA"/>
              </w:rPr>
              <w:t xml:space="preserve">un premier projet </w:t>
            </w:r>
            <w:r w:rsidRPr="00C84061">
              <w:rPr>
                <w:sz w:val="18"/>
                <w:szCs w:val="18"/>
                <w:lang w:val="fr-CA"/>
              </w:rPr>
              <w:t>de résumé à l’intention des décideurs</w:t>
            </w:r>
            <w:r>
              <w:rPr>
                <w:sz w:val="18"/>
                <w:szCs w:val="18"/>
                <w:lang w:val="fr-CA"/>
              </w:rPr>
              <w:t xml:space="preserve">, sous les orientations des </w:t>
            </w:r>
            <w:r w:rsidRPr="00C84061">
              <w:rPr>
                <w:sz w:val="18"/>
                <w:szCs w:val="18"/>
                <w:lang w:val="fr-CA"/>
              </w:rPr>
              <w:t>éditeurs-réviseurs</w:t>
            </w:r>
            <w:r>
              <w:rPr>
                <w:sz w:val="18"/>
                <w:szCs w:val="18"/>
                <w:lang w:val="fr-CA"/>
              </w:rPr>
              <w:t xml:space="preserve"> et du Groupe d’experts</w:t>
            </w:r>
            <w:r w:rsidRPr="00C84061">
              <w:rPr>
                <w:sz w:val="18"/>
                <w:szCs w:val="18"/>
                <w:lang w:val="fr-CA"/>
              </w:rPr>
              <w:t xml:space="preserve"> (</w:t>
            </w:r>
            <w:r>
              <w:rPr>
                <w:sz w:val="18"/>
                <w:szCs w:val="18"/>
                <w:lang w:val="fr-CA"/>
              </w:rPr>
              <w:t>avril</w:t>
            </w:r>
            <w:r w:rsidRPr="00C84061">
              <w:rPr>
                <w:sz w:val="18"/>
                <w:szCs w:val="18"/>
                <w:lang w:val="fr-CA"/>
              </w:rPr>
              <w:t>–</w:t>
            </w:r>
            <w:r>
              <w:rPr>
                <w:sz w:val="18"/>
                <w:szCs w:val="18"/>
                <w:lang w:val="fr-CA"/>
              </w:rPr>
              <w:t>juin) (3 mois).</w:t>
            </w:r>
            <w:r w:rsidRPr="00C84061">
              <w:rPr>
                <w:sz w:val="18"/>
                <w:szCs w:val="18"/>
                <w:lang w:val="fr-CA"/>
              </w:rPr>
              <w:t xml:space="preserve"> Les auteurs se réunissent </w:t>
            </w:r>
            <w:r>
              <w:rPr>
                <w:sz w:val="18"/>
                <w:szCs w:val="18"/>
                <w:lang w:val="fr-CA"/>
              </w:rPr>
              <w:t>une deuxième fois en juin 2015.</w:t>
            </w:r>
            <w:r w:rsidRPr="00C84061">
              <w:rPr>
                <w:sz w:val="18"/>
                <w:szCs w:val="18"/>
                <w:lang w:val="fr-CA"/>
              </w:rPr>
              <w:t xml:space="preserve"> </w:t>
            </w:r>
          </w:p>
        </w:tc>
      </w:tr>
      <w:tr w:rsidR="00B14AC9" w:rsidRPr="00C84061" w:rsidTr="004940F8">
        <w:trPr>
          <w:trHeight w:val="584"/>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Troisième trimestre</w:t>
            </w:r>
          </w:p>
        </w:tc>
        <w:tc>
          <w:tcPr>
            <w:tcW w:w="5848" w:type="dxa"/>
            <w:shd w:val="clear" w:color="auto" w:fill="auto"/>
            <w:vAlign w:val="center"/>
          </w:tcPr>
          <w:p w:rsidR="00B14AC9" w:rsidRPr="00C84061" w:rsidRDefault="00B14AC9" w:rsidP="00BC534D">
            <w:pPr>
              <w:pStyle w:val="Normal-pool"/>
              <w:spacing w:before="40" w:after="40"/>
              <w:rPr>
                <w:sz w:val="18"/>
                <w:szCs w:val="18"/>
                <w:lang w:val="fr-CA"/>
              </w:rPr>
            </w:pPr>
            <w:r>
              <w:rPr>
                <w:sz w:val="18"/>
                <w:szCs w:val="18"/>
                <w:lang w:val="fr-CA"/>
              </w:rPr>
              <w:t>Le deuxième projet</w:t>
            </w:r>
            <w:r w:rsidRPr="00C84061">
              <w:rPr>
                <w:sz w:val="18"/>
                <w:szCs w:val="18"/>
                <w:lang w:val="fr-CA"/>
              </w:rPr>
              <w:t xml:space="preserve"> de rapport et </w:t>
            </w:r>
            <w:r>
              <w:rPr>
                <w:sz w:val="18"/>
                <w:szCs w:val="18"/>
                <w:lang w:val="fr-CA"/>
              </w:rPr>
              <w:t>l</w:t>
            </w:r>
            <w:r w:rsidRPr="00C84061">
              <w:rPr>
                <w:sz w:val="18"/>
                <w:szCs w:val="18"/>
                <w:lang w:val="fr-CA"/>
              </w:rPr>
              <w:t xml:space="preserve">e </w:t>
            </w:r>
            <w:r>
              <w:rPr>
                <w:sz w:val="18"/>
                <w:szCs w:val="18"/>
                <w:lang w:val="fr-CA"/>
              </w:rPr>
              <w:t xml:space="preserve">premier </w:t>
            </w:r>
            <w:r w:rsidRPr="00C84061">
              <w:rPr>
                <w:sz w:val="18"/>
                <w:szCs w:val="18"/>
                <w:lang w:val="fr-CA"/>
              </w:rPr>
              <w:t xml:space="preserve">résumé à l’intention des décideurs </w:t>
            </w:r>
            <w:r>
              <w:rPr>
                <w:sz w:val="18"/>
                <w:szCs w:val="18"/>
                <w:lang w:val="fr-CA"/>
              </w:rPr>
              <w:t>sont</w:t>
            </w:r>
            <w:r w:rsidRPr="00C84061">
              <w:rPr>
                <w:sz w:val="18"/>
                <w:szCs w:val="18"/>
                <w:lang w:val="fr-CA"/>
              </w:rPr>
              <w:t xml:space="preserve"> examiné</w:t>
            </w:r>
            <w:r>
              <w:rPr>
                <w:sz w:val="18"/>
                <w:szCs w:val="18"/>
                <w:lang w:val="fr-CA"/>
              </w:rPr>
              <w:t>s</w:t>
            </w:r>
            <w:r w:rsidRPr="00C84061">
              <w:rPr>
                <w:sz w:val="18"/>
                <w:szCs w:val="18"/>
                <w:lang w:val="fr-CA"/>
              </w:rPr>
              <w:t xml:space="preserve"> par les experts, les gouvernements et </w:t>
            </w:r>
            <w:r>
              <w:rPr>
                <w:sz w:val="18"/>
                <w:szCs w:val="18"/>
                <w:lang w:val="fr-CA"/>
              </w:rPr>
              <w:t>d’</w:t>
            </w:r>
            <w:r w:rsidRPr="00C84061">
              <w:rPr>
                <w:sz w:val="18"/>
                <w:szCs w:val="18"/>
                <w:lang w:val="fr-CA"/>
              </w:rPr>
              <w:t xml:space="preserve">autres parties prenantes </w:t>
            </w:r>
            <w:r>
              <w:rPr>
                <w:sz w:val="18"/>
                <w:szCs w:val="18"/>
                <w:lang w:val="fr-CA"/>
              </w:rPr>
              <w:t xml:space="preserve">au cours des mois de </w:t>
            </w:r>
            <w:r w:rsidRPr="00C84061">
              <w:rPr>
                <w:sz w:val="18"/>
                <w:szCs w:val="18"/>
                <w:lang w:val="fr-CA"/>
              </w:rPr>
              <w:t>juillet</w:t>
            </w:r>
            <w:r>
              <w:rPr>
                <w:sz w:val="18"/>
                <w:szCs w:val="18"/>
                <w:lang w:val="fr-CA"/>
              </w:rPr>
              <w:t xml:space="preserve"> et août 2015 (deux mois</w:t>
            </w:r>
            <w:r w:rsidRPr="00C84061">
              <w:rPr>
                <w:sz w:val="18"/>
                <w:szCs w:val="18"/>
                <w:lang w:val="fr-CA"/>
              </w:rPr>
              <w:t>).</w:t>
            </w:r>
          </w:p>
        </w:tc>
      </w:tr>
      <w:tr w:rsidR="00B14AC9" w:rsidRPr="00C84061" w:rsidTr="004940F8">
        <w:trPr>
          <w:trHeight w:val="120"/>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Troisième/quatrième trimestres</w:t>
            </w:r>
          </w:p>
        </w:tc>
        <w:tc>
          <w:tcPr>
            <w:tcW w:w="5848" w:type="dxa"/>
            <w:shd w:val="clear" w:color="auto" w:fill="auto"/>
            <w:vAlign w:val="center"/>
          </w:tcPr>
          <w:p w:rsidR="00B14AC9" w:rsidRPr="00C84061" w:rsidRDefault="00B14AC9" w:rsidP="009C1BB5">
            <w:pPr>
              <w:pStyle w:val="Normal-pool"/>
              <w:spacing w:before="40" w:after="40"/>
              <w:rPr>
                <w:sz w:val="18"/>
                <w:szCs w:val="18"/>
                <w:lang w:val="fr-CA"/>
              </w:rPr>
            </w:pPr>
            <w:r w:rsidRPr="00C84061">
              <w:rPr>
                <w:sz w:val="18"/>
                <w:szCs w:val="18"/>
                <w:lang w:val="fr-CA"/>
              </w:rPr>
              <w:t>Les coprésidents, les auteurs coordonnateurs principaux et les auteurs principaux</w:t>
            </w:r>
            <w:r>
              <w:rPr>
                <w:sz w:val="18"/>
                <w:szCs w:val="18"/>
                <w:lang w:val="fr-CA"/>
              </w:rPr>
              <w:t xml:space="preserve"> du rapport</w:t>
            </w:r>
            <w:r w:rsidRPr="00C84061">
              <w:rPr>
                <w:sz w:val="18"/>
                <w:szCs w:val="18"/>
                <w:lang w:val="fr-CA"/>
              </w:rPr>
              <w:t xml:space="preserve"> </w:t>
            </w:r>
            <w:r>
              <w:rPr>
                <w:sz w:val="18"/>
                <w:szCs w:val="18"/>
                <w:lang w:val="fr-CA"/>
              </w:rPr>
              <w:t>établissent</w:t>
            </w:r>
            <w:r w:rsidRPr="00C84061">
              <w:rPr>
                <w:sz w:val="18"/>
                <w:szCs w:val="18"/>
                <w:lang w:val="fr-CA"/>
              </w:rPr>
              <w:t xml:space="preserve"> le projet final de rapport et de résumé à l’intention des décideurs sous la supervision des éditeurs-réviseurs et du Groupe d’experts multidisciplinaire</w:t>
            </w:r>
            <w:r>
              <w:rPr>
                <w:sz w:val="18"/>
                <w:szCs w:val="18"/>
                <w:lang w:val="fr-CA"/>
              </w:rPr>
              <w:t>, au cours des mois de septembre et octobre 2015 (deux mois)</w:t>
            </w:r>
            <w:r w:rsidRPr="00C84061">
              <w:rPr>
                <w:sz w:val="18"/>
                <w:szCs w:val="18"/>
                <w:lang w:val="fr-CA"/>
              </w:rPr>
              <w:t xml:space="preserve">. </w:t>
            </w:r>
            <w:r>
              <w:rPr>
                <w:sz w:val="18"/>
                <w:szCs w:val="18"/>
                <w:lang w:val="fr-CA"/>
              </w:rPr>
              <w:t xml:space="preserve">Une troisième réunion des </w:t>
            </w:r>
            <w:r w:rsidRPr="00C84061">
              <w:rPr>
                <w:sz w:val="18"/>
                <w:szCs w:val="18"/>
                <w:lang w:val="fr-CA"/>
              </w:rPr>
              <w:t xml:space="preserve">auteurs </w:t>
            </w:r>
            <w:r>
              <w:rPr>
                <w:sz w:val="18"/>
                <w:szCs w:val="18"/>
                <w:lang w:val="fr-CA"/>
              </w:rPr>
              <w:t>se tient</w:t>
            </w:r>
            <w:r w:rsidRPr="00C84061">
              <w:rPr>
                <w:sz w:val="18"/>
                <w:szCs w:val="18"/>
                <w:lang w:val="fr-CA"/>
              </w:rPr>
              <w:t xml:space="preserve"> </w:t>
            </w:r>
            <w:r>
              <w:rPr>
                <w:sz w:val="18"/>
                <w:szCs w:val="18"/>
                <w:lang w:val="fr-CA"/>
              </w:rPr>
              <w:t>en octobre 2015.</w:t>
            </w:r>
          </w:p>
        </w:tc>
      </w:tr>
      <w:tr w:rsidR="00B14AC9" w:rsidRPr="00C84061" w:rsidTr="004940F8">
        <w:trPr>
          <w:trHeight w:val="556"/>
          <w:jc w:val="right"/>
        </w:trPr>
        <w:tc>
          <w:tcPr>
            <w:tcW w:w="1097" w:type="dxa"/>
            <w:vMerge/>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Quatrième trimestre</w:t>
            </w:r>
          </w:p>
        </w:tc>
        <w:tc>
          <w:tcPr>
            <w:tcW w:w="5848" w:type="dxa"/>
            <w:shd w:val="clear" w:color="auto" w:fill="auto"/>
            <w:vAlign w:val="center"/>
          </w:tcPr>
          <w:p w:rsidR="00B14AC9" w:rsidRPr="00C84061" w:rsidRDefault="00B14AC9" w:rsidP="004016CB">
            <w:pPr>
              <w:pStyle w:val="Normal-pool"/>
              <w:spacing w:before="40" w:after="40"/>
              <w:rPr>
                <w:sz w:val="18"/>
                <w:szCs w:val="18"/>
                <w:lang w:val="fr-CA"/>
              </w:rPr>
            </w:pPr>
            <w:r w:rsidRPr="00C84061">
              <w:rPr>
                <w:sz w:val="18"/>
                <w:szCs w:val="18"/>
                <w:lang w:val="fr-CA"/>
              </w:rPr>
              <w:t xml:space="preserve">Le résumé à l’intention des décideurs est traduit dans les six langues officielles de l’ONU </w:t>
            </w:r>
            <w:r>
              <w:rPr>
                <w:sz w:val="18"/>
                <w:szCs w:val="18"/>
                <w:lang w:val="fr-CA"/>
              </w:rPr>
              <w:t xml:space="preserve">à la mi-décembre 2015 au plus tard </w:t>
            </w:r>
            <w:r w:rsidRPr="00C84061">
              <w:rPr>
                <w:sz w:val="18"/>
                <w:szCs w:val="18"/>
                <w:lang w:val="fr-CA"/>
              </w:rPr>
              <w:t>(</w:t>
            </w:r>
            <w:r>
              <w:rPr>
                <w:sz w:val="18"/>
                <w:szCs w:val="18"/>
                <w:lang w:val="fr-CA"/>
              </w:rPr>
              <w:t>un mois et demi</w:t>
            </w:r>
            <w:r w:rsidRPr="00C84061">
              <w:rPr>
                <w:sz w:val="18"/>
                <w:szCs w:val="18"/>
                <w:lang w:val="fr-CA"/>
              </w:rPr>
              <w:t>).</w:t>
            </w:r>
          </w:p>
        </w:tc>
      </w:tr>
      <w:tr w:rsidR="00B14AC9" w:rsidRPr="00C84061" w:rsidTr="004940F8">
        <w:trPr>
          <w:trHeight w:val="504"/>
          <w:jc w:val="right"/>
        </w:trPr>
        <w:tc>
          <w:tcPr>
            <w:tcW w:w="1097" w:type="dxa"/>
            <w:vMerge w:val="restart"/>
            <w:shd w:val="clear" w:color="auto" w:fill="auto"/>
            <w:vAlign w:val="center"/>
          </w:tcPr>
          <w:p w:rsidR="00B14AC9" w:rsidRPr="00C84061" w:rsidRDefault="00B14AC9" w:rsidP="00343DA2">
            <w:pPr>
              <w:pStyle w:val="Normal-pool"/>
              <w:spacing w:before="40" w:after="40"/>
              <w:rPr>
                <w:rFonts w:eastAsia="SimSun"/>
                <w:sz w:val="18"/>
                <w:szCs w:val="18"/>
                <w:lang w:val="fr-CA" w:eastAsia="zh-CN"/>
              </w:rPr>
            </w:pPr>
            <w:r w:rsidRPr="00C84061">
              <w:rPr>
                <w:rFonts w:eastAsia="SimSun"/>
                <w:sz w:val="18"/>
                <w:szCs w:val="18"/>
                <w:lang w:val="fr-CA" w:eastAsia="zh-CN"/>
              </w:rPr>
              <w:t>201</w:t>
            </w:r>
            <w:r>
              <w:rPr>
                <w:rFonts w:eastAsia="SimSun"/>
                <w:sz w:val="18"/>
                <w:szCs w:val="18"/>
                <w:lang w:val="fr-CA" w:eastAsia="zh-CN"/>
              </w:rPr>
              <w:t>6</w:t>
            </w: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5848" w:type="dxa"/>
            <w:shd w:val="clear" w:color="auto" w:fill="auto"/>
            <w:vAlign w:val="center"/>
          </w:tcPr>
          <w:p w:rsidR="00B14AC9" w:rsidRPr="00C84061" w:rsidRDefault="00B14AC9" w:rsidP="00D359C9">
            <w:pPr>
              <w:pStyle w:val="Normal-pool"/>
              <w:spacing w:before="40" w:after="40"/>
              <w:rPr>
                <w:b/>
                <w:sz w:val="18"/>
                <w:szCs w:val="18"/>
                <w:lang w:val="fr-CA"/>
              </w:rPr>
            </w:pPr>
            <w:r w:rsidRPr="00C84061">
              <w:rPr>
                <w:sz w:val="18"/>
                <w:szCs w:val="18"/>
                <w:lang w:val="fr-CA"/>
              </w:rPr>
              <w:t xml:space="preserve">Le rapport </w:t>
            </w:r>
            <w:r>
              <w:rPr>
                <w:sz w:val="18"/>
                <w:szCs w:val="18"/>
                <w:lang w:val="fr-CA"/>
              </w:rPr>
              <w:t>final et l</w:t>
            </w:r>
            <w:r w:rsidRPr="00C84061">
              <w:rPr>
                <w:sz w:val="18"/>
                <w:szCs w:val="18"/>
                <w:lang w:val="fr-CA"/>
              </w:rPr>
              <w:t xml:space="preserve">e résumé à l’intention des décideurs </w:t>
            </w:r>
            <w:r>
              <w:rPr>
                <w:sz w:val="18"/>
                <w:szCs w:val="18"/>
                <w:lang w:val="fr-CA"/>
              </w:rPr>
              <w:t>sont</w:t>
            </w:r>
            <w:r w:rsidRPr="00C84061">
              <w:rPr>
                <w:sz w:val="18"/>
                <w:szCs w:val="18"/>
                <w:lang w:val="fr-CA"/>
              </w:rPr>
              <w:t xml:space="preserve"> </w:t>
            </w:r>
            <w:r>
              <w:rPr>
                <w:sz w:val="18"/>
                <w:szCs w:val="18"/>
                <w:lang w:val="fr-CA"/>
              </w:rPr>
              <w:t>envoyés</w:t>
            </w:r>
            <w:r w:rsidRPr="00C84061">
              <w:rPr>
                <w:sz w:val="18"/>
                <w:szCs w:val="18"/>
                <w:lang w:val="fr-CA"/>
              </w:rPr>
              <w:t xml:space="preserve"> aux gouvernements et aux autres parties prenantes pour examen final </w:t>
            </w:r>
            <w:r>
              <w:rPr>
                <w:sz w:val="18"/>
                <w:szCs w:val="18"/>
                <w:lang w:val="fr-CA"/>
              </w:rPr>
              <w:t xml:space="preserve">au cours des mois de janvier et février 2016 </w:t>
            </w:r>
            <w:r w:rsidRPr="00C84061">
              <w:rPr>
                <w:sz w:val="18"/>
                <w:szCs w:val="18"/>
                <w:lang w:val="fr-CA"/>
              </w:rPr>
              <w:t>(</w:t>
            </w:r>
            <w:r>
              <w:rPr>
                <w:sz w:val="18"/>
                <w:szCs w:val="18"/>
                <w:lang w:val="fr-CA"/>
              </w:rPr>
              <w:t>un mois et demi – deux mois</w:t>
            </w:r>
            <w:r w:rsidRPr="00C84061">
              <w:rPr>
                <w:sz w:val="18"/>
                <w:szCs w:val="18"/>
                <w:lang w:val="fr-CA"/>
              </w:rPr>
              <w:t>).</w:t>
            </w:r>
            <w:r>
              <w:rPr>
                <w:sz w:val="18"/>
                <w:szCs w:val="18"/>
                <w:lang w:val="fr-CA"/>
              </w:rPr>
              <w:t xml:space="preserve"> </w:t>
            </w:r>
            <w:r w:rsidRPr="00C84061">
              <w:rPr>
                <w:sz w:val="18"/>
                <w:szCs w:val="18"/>
                <w:lang w:val="fr-CA"/>
              </w:rPr>
              <w:t xml:space="preserve">Les gouvernements </w:t>
            </w:r>
            <w:r>
              <w:rPr>
                <w:sz w:val="18"/>
                <w:szCs w:val="18"/>
                <w:lang w:val="fr-CA"/>
              </w:rPr>
              <w:t>sont vivement encouragés à transmettre par écrit,</w:t>
            </w:r>
            <w:r w:rsidRPr="00C84061">
              <w:rPr>
                <w:sz w:val="18"/>
                <w:szCs w:val="18"/>
                <w:lang w:val="fr-CA"/>
              </w:rPr>
              <w:t xml:space="preserve"> des </w:t>
            </w:r>
            <w:r>
              <w:rPr>
                <w:sz w:val="18"/>
                <w:szCs w:val="18"/>
                <w:lang w:val="fr-CA"/>
              </w:rPr>
              <w:t>observations</w:t>
            </w:r>
            <w:r w:rsidRPr="00C84061">
              <w:rPr>
                <w:sz w:val="18"/>
                <w:szCs w:val="18"/>
                <w:lang w:val="fr-CA"/>
              </w:rPr>
              <w:t xml:space="preserve"> </w:t>
            </w:r>
            <w:r>
              <w:rPr>
                <w:sz w:val="18"/>
                <w:szCs w:val="18"/>
                <w:lang w:val="fr-CA"/>
              </w:rPr>
              <w:t>sur</w:t>
            </w:r>
            <w:r w:rsidRPr="00C84061">
              <w:rPr>
                <w:sz w:val="18"/>
                <w:szCs w:val="18"/>
                <w:lang w:val="fr-CA"/>
              </w:rPr>
              <w:t xml:space="preserve"> le résumé à l’intention des décideurs</w:t>
            </w:r>
            <w:r>
              <w:rPr>
                <w:sz w:val="18"/>
                <w:szCs w:val="18"/>
                <w:lang w:val="fr-CA"/>
              </w:rPr>
              <w:t>, au plus tard une semaine</w:t>
            </w:r>
            <w:r w:rsidRPr="00C84061">
              <w:rPr>
                <w:sz w:val="18"/>
                <w:szCs w:val="18"/>
                <w:lang w:val="fr-CA"/>
              </w:rPr>
              <w:t xml:space="preserve"> </w:t>
            </w:r>
            <w:r>
              <w:rPr>
                <w:sz w:val="18"/>
                <w:szCs w:val="18"/>
                <w:lang w:val="fr-CA"/>
              </w:rPr>
              <w:t>avant la quatrième session de la Plénière</w:t>
            </w:r>
            <w:r w:rsidRPr="00C84061">
              <w:rPr>
                <w:sz w:val="18"/>
                <w:szCs w:val="18"/>
                <w:lang w:val="fr-CA"/>
              </w:rPr>
              <w:t>.</w:t>
            </w:r>
          </w:p>
        </w:tc>
      </w:tr>
      <w:tr w:rsidR="00B14AC9" w:rsidRPr="00C84061" w:rsidTr="004940F8">
        <w:trPr>
          <w:trHeight w:val="567"/>
          <w:jc w:val="right"/>
        </w:trPr>
        <w:tc>
          <w:tcPr>
            <w:tcW w:w="1097" w:type="dxa"/>
            <w:vMerge/>
            <w:shd w:val="clear" w:color="auto" w:fill="auto"/>
          </w:tcPr>
          <w:p w:rsidR="00B14AC9" w:rsidRPr="00C84061" w:rsidRDefault="00B14AC9" w:rsidP="00006227">
            <w:pPr>
              <w:pStyle w:val="Normal-pool"/>
              <w:spacing w:before="40" w:after="40"/>
              <w:rPr>
                <w:rFonts w:eastAsia="SimSun"/>
                <w:sz w:val="18"/>
                <w:szCs w:val="18"/>
                <w:lang w:val="fr-CA" w:eastAsia="zh-CN"/>
              </w:rPr>
            </w:pPr>
          </w:p>
        </w:tc>
        <w:tc>
          <w:tcPr>
            <w:tcW w:w="1716" w:type="dxa"/>
            <w:shd w:val="clear" w:color="auto" w:fill="auto"/>
            <w:vAlign w:val="center"/>
          </w:tcPr>
          <w:p w:rsidR="00B14AC9" w:rsidRPr="00C84061" w:rsidRDefault="00B14AC9" w:rsidP="00006227">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5848" w:type="dxa"/>
            <w:shd w:val="clear" w:color="auto" w:fill="auto"/>
            <w:vAlign w:val="center"/>
          </w:tcPr>
          <w:p w:rsidR="00B14AC9" w:rsidRPr="00C84061" w:rsidRDefault="00B14AC9" w:rsidP="0019560A">
            <w:pPr>
              <w:pStyle w:val="Normal-pool"/>
              <w:spacing w:before="40" w:after="40"/>
              <w:rPr>
                <w:sz w:val="18"/>
                <w:szCs w:val="18"/>
                <w:lang w:val="fr-CA"/>
              </w:rPr>
            </w:pPr>
            <w:r w:rsidRPr="00C84061">
              <w:rPr>
                <w:sz w:val="18"/>
                <w:szCs w:val="18"/>
                <w:lang w:val="fr-CA"/>
              </w:rPr>
              <w:t xml:space="preserve">La Plénière examine et accepte le rapport et </w:t>
            </w:r>
            <w:r>
              <w:rPr>
                <w:sz w:val="18"/>
                <w:szCs w:val="18"/>
                <w:lang w:val="fr-CA"/>
              </w:rPr>
              <w:t xml:space="preserve">examine et </w:t>
            </w:r>
            <w:r w:rsidRPr="00C84061">
              <w:rPr>
                <w:sz w:val="18"/>
                <w:szCs w:val="18"/>
                <w:lang w:val="fr-CA"/>
              </w:rPr>
              <w:t xml:space="preserve">approuve le résumé à l’intention des décideurs </w:t>
            </w:r>
            <w:r>
              <w:rPr>
                <w:sz w:val="18"/>
                <w:szCs w:val="18"/>
                <w:lang w:val="fr-CA"/>
              </w:rPr>
              <w:t>à sa quatrième session</w:t>
            </w:r>
            <w:r w:rsidRPr="00C84061">
              <w:rPr>
                <w:sz w:val="18"/>
                <w:szCs w:val="18"/>
                <w:lang w:val="fr-CA"/>
              </w:rPr>
              <w:t>.</w:t>
            </w:r>
          </w:p>
        </w:tc>
      </w:tr>
    </w:tbl>
    <w:p w:rsidR="005A4E0C" w:rsidRPr="00C84061" w:rsidRDefault="0061521A" w:rsidP="005A4E0C">
      <w:pPr>
        <w:pStyle w:val="CH1"/>
      </w:pPr>
      <w:r>
        <w:tab/>
      </w:r>
      <w:r w:rsidR="005A4E0C" w:rsidRPr="00C84061">
        <w:t>IV.</w:t>
      </w:r>
      <w:r w:rsidR="005A4E0C" w:rsidRPr="00C84061">
        <w:tab/>
      </w:r>
      <w:r w:rsidR="00692F3A">
        <w:t>C</w:t>
      </w:r>
      <w:r w:rsidR="00197AE5">
        <w:t>oûts</w:t>
      </w:r>
      <w:r w:rsidR="00692F3A">
        <w:t xml:space="preserve"> estimatifs</w:t>
      </w:r>
    </w:p>
    <w:p w:rsidR="0043506B" w:rsidRDefault="00692F3A" w:rsidP="005A4E0C">
      <w:pPr>
        <w:pStyle w:val="Normalnumber"/>
        <w:keepNext/>
        <w:keepLines/>
        <w:numPr>
          <w:ilvl w:val="0"/>
          <w:numId w:val="8"/>
        </w:numPr>
        <w:tabs>
          <w:tab w:val="left" w:pos="1247"/>
          <w:tab w:val="left" w:pos="1814"/>
          <w:tab w:val="left" w:pos="2381"/>
          <w:tab w:val="left" w:pos="2948"/>
          <w:tab w:val="left" w:pos="3515"/>
          <w:tab w:val="left" w:pos="4082"/>
        </w:tabs>
      </w:pPr>
      <w:r w:rsidRPr="00C9391E">
        <w:t xml:space="preserve">Le tableau ci-après </w:t>
      </w:r>
      <w:r>
        <w:t xml:space="preserve">montre les coûts estimatifs </w:t>
      </w:r>
      <w:r w:rsidRPr="00C9391E">
        <w:t>de l’évaluation et de l’établissement du rapport correspondant</w:t>
      </w:r>
    </w:p>
    <w:p w:rsidR="005A4E0C" w:rsidRPr="00A74104" w:rsidRDefault="00197AE5" w:rsidP="0043506B">
      <w:pPr>
        <w:pStyle w:val="Normalnumber"/>
        <w:keepNext/>
        <w:keepLines/>
        <w:tabs>
          <w:tab w:val="left" w:pos="1247"/>
          <w:tab w:val="left" w:pos="1814"/>
          <w:tab w:val="left" w:pos="2381"/>
          <w:tab w:val="left" w:pos="2948"/>
          <w:tab w:val="left" w:pos="3515"/>
          <w:tab w:val="left" w:pos="4082"/>
        </w:tabs>
        <w:ind w:left="1247"/>
        <w:rPr>
          <w:sz w:val="18"/>
          <w:szCs w:val="18"/>
        </w:rPr>
      </w:pPr>
      <w:r w:rsidRPr="00A74104">
        <w:rPr>
          <w:sz w:val="18"/>
          <w:szCs w:val="18"/>
        </w:rPr>
        <w:t xml:space="preserve">(en dollars des </w:t>
      </w:r>
      <w:r w:rsidR="0043506B" w:rsidRPr="00A74104">
        <w:rPr>
          <w:sz w:val="18"/>
          <w:szCs w:val="18"/>
        </w:rPr>
        <w:t>États-Unis</w:t>
      </w:r>
      <w:r w:rsidRPr="00A74104">
        <w:rPr>
          <w:sz w:val="18"/>
          <w:szCs w:val="18"/>
        </w:rPr>
        <w:t>)</w:t>
      </w:r>
    </w:p>
    <w:tbl>
      <w:tblPr>
        <w:tblW w:w="0" w:type="auto"/>
        <w:jc w:val="righ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3532"/>
        <w:gridCol w:w="3119"/>
        <w:gridCol w:w="956"/>
      </w:tblGrid>
      <w:tr w:rsidR="001F730C" w:rsidRPr="00692F3A" w:rsidTr="00D077C3">
        <w:trPr>
          <w:jc w:val="right"/>
        </w:trPr>
        <w:tc>
          <w:tcPr>
            <w:tcW w:w="1054" w:type="dxa"/>
            <w:shd w:val="clear" w:color="auto" w:fill="auto"/>
          </w:tcPr>
          <w:p w:rsidR="001F730C" w:rsidRPr="00692F3A" w:rsidRDefault="001F730C" w:rsidP="00945A16">
            <w:pPr>
              <w:pStyle w:val="Normal-pool"/>
              <w:keepNext/>
              <w:keepLines/>
              <w:spacing w:before="40" w:after="40"/>
              <w:rPr>
                <w:rFonts w:eastAsia="SimSun"/>
                <w:i/>
                <w:sz w:val="18"/>
                <w:szCs w:val="18"/>
                <w:lang w:val="fr-CA" w:eastAsia="zh-CN"/>
              </w:rPr>
            </w:pPr>
            <w:r w:rsidRPr="00692F3A">
              <w:rPr>
                <w:rFonts w:eastAsia="SimSun"/>
                <w:i/>
                <w:sz w:val="18"/>
                <w:szCs w:val="18"/>
                <w:lang w:val="fr-CA" w:eastAsia="zh-CN"/>
              </w:rPr>
              <w:t>Année</w:t>
            </w:r>
          </w:p>
        </w:tc>
        <w:tc>
          <w:tcPr>
            <w:tcW w:w="3532" w:type="dxa"/>
            <w:shd w:val="clear" w:color="auto" w:fill="auto"/>
          </w:tcPr>
          <w:p w:rsidR="001F730C" w:rsidRPr="00692F3A" w:rsidRDefault="001F730C" w:rsidP="00692F3A">
            <w:pPr>
              <w:pStyle w:val="Normal-pool"/>
              <w:keepNext/>
              <w:keepLines/>
              <w:spacing w:before="40" w:after="40"/>
              <w:rPr>
                <w:rFonts w:eastAsia="SimSun"/>
                <w:i/>
                <w:sz w:val="18"/>
                <w:szCs w:val="18"/>
                <w:lang w:val="fr-CA" w:eastAsia="zh-CN"/>
              </w:rPr>
            </w:pPr>
            <w:r w:rsidRPr="00692F3A">
              <w:rPr>
                <w:rFonts w:eastAsia="SimSun"/>
                <w:i/>
                <w:sz w:val="18"/>
                <w:szCs w:val="18"/>
                <w:lang w:val="fr-CA" w:eastAsia="zh-CN"/>
              </w:rPr>
              <w:t>Poste de dépense</w:t>
            </w:r>
          </w:p>
        </w:tc>
        <w:tc>
          <w:tcPr>
            <w:tcW w:w="3119" w:type="dxa"/>
            <w:shd w:val="clear" w:color="auto" w:fill="auto"/>
          </w:tcPr>
          <w:p w:rsidR="001F730C" w:rsidRPr="00692F3A" w:rsidRDefault="001F730C" w:rsidP="00945A16">
            <w:pPr>
              <w:pStyle w:val="Normal-pool"/>
              <w:keepNext/>
              <w:keepLines/>
              <w:spacing w:before="40" w:after="40"/>
              <w:rPr>
                <w:rFonts w:eastAsia="SimSun"/>
                <w:i/>
                <w:sz w:val="18"/>
                <w:szCs w:val="18"/>
                <w:lang w:val="fr-CA" w:eastAsia="zh-CN"/>
              </w:rPr>
            </w:pPr>
            <w:r w:rsidRPr="00692F3A">
              <w:rPr>
                <w:rFonts w:eastAsia="SimSun"/>
                <w:i/>
                <w:sz w:val="18"/>
                <w:szCs w:val="18"/>
                <w:lang w:val="fr-CA" w:eastAsia="zh-CN"/>
              </w:rPr>
              <w:t>Hypothèses</w:t>
            </w:r>
          </w:p>
        </w:tc>
        <w:tc>
          <w:tcPr>
            <w:tcW w:w="956" w:type="dxa"/>
            <w:shd w:val="clear" w:color="auto" w:fill="auto"/>
          </w:tcPr>
          <w:p w:rsidR="001F730C" w:rsidRPr="00692F3A" w:rsidRDefault="001F730C" w:rsidP="00945A16">
            <w:pPr>
              <w:pStyle w:val="Normal-pool"/>
              <w:keepNext/>
              <w:keepLines/>
              <w:jc w:val="right"/>
              <w:rPr>
                <w:rFonts w:eastAsia="SimSun"/>
                <w:i/>
                <w:sz w:val="18"/>
                <w:szCs w:val="18"/>
                <w:lang w:val="fr-CA" w:eastAsia="zh-CN"/>
              </w:rPr>
            </w:pPr>
            <w:r w:rsidRPr="00692F3A">
              <w:rPr>
                <w:rFonts w:eastAsia="SimSun"/>
                <w:i/>
                <w:sz w:val="18"/>
                <w:szCs w:val="18"/>
                <w:lang w:val="fr-CA" w:eastAsia="zh-CN"/>
              </w:rPr>
              <w:t>Coût</w:t>
            </w:r>
          </w:p>
        </w:tc>
      </w:tr>
      <w:tr w:rsidR="003C3321" w:rsidRPr="001F730C" w:rsidTr="003C3321">
        <w:trPr>
          <w:trHeight w:val="207"/>
          <w:jc w:val="right"/>
        </w:trPr>
        <w:tc>
          <w:tcPr>
            <w:tcW w:w="1054" w:type="dxa"/>
            <w:vMerge w:val="restart"/>
            <w:shd w:val="clear" w:color="auto" w:fill="auto"/>
            <w:vAlign w:val="center"/>
          </w:tcPr>
          <w:p w:rsidR="003C3321" w:rsidRPr="003C3321" w:rsidRDefault="003C3321" w:rsidP="009B4830">
            <w:pPr>
              <w:pStyle w:val="Normal-pool"/>
              <w:spacing w:before="40" w:after="40"/>
              <w:rPr>
                <w:rFonts w:eastAsia="SimSun"/>
                <w:lang w:eastAsia="zh-CN"/>
              </w:rPr>
            </w:pPr>
            <w:r w:rsidRPr="003C3321">
              <w:rPr>
                <w:rFonts w:eastAsia="SimSun"/>
                <w:lang w:eastAsia="zh-CN"/>
              </w:rPr>
              <w:t>2014</w:t>
            </w:r>
          </w:p>
        </w:tc>
        <w:tc>
          <w:tcPr>
            <w:tcW w:w="3532" w:type="dxa"/>
            <w:vMerge w:val="restart"/>
            <w:shd w:val="clear" w:color="auto" w:fill="auto"/>
          </w:tcPr>
          <w:p w:rsidR="003C3321" w:rsidRPr="001F730C" w:rsidRDefault="003C3321" w:rsidP="00692F3A">
            <w:pPr>
              <w:pStyle w:val="Normal-pool"/>
              <w:keepNext/>
              <w:keepLines/>
              <w:spacing w:before="40" w:after="40"/>
              <w:rPr>
                <w:rFonts w:eastAsia="SimSun"/>
                <w:sz w:val="18"/>
                <w:szCs w:val="18"/>
                <w:lang w:val="fr-CA" w:eastAsia="zh-CN"/>
              </w:rPr>
            </w:pPr>
            <w:r w:rsidRPr="001F730C">
              <w:rPr>
                <w:rFonts w:eastAsia="SimSun"/>
                <w:sz w:val="18"/>
                <w:szCs w:val="18"/>
                <w:lang w:val="fr-CA" w:eastAsia="zh-CN"/>
              </w:rPr>
              <w:t>Réunion de cadrage</w:t>
            </w:r>
            <w:r>
              <w:rPr>
                <w:rFonts w:eastAsia="SimSun"/>
                <w:sz w:val="18"/>
                <w:szCs w:val="18"/>
                <w:lang w:val="fr-CA" w:eastAsia="zh-CN"/>
              </w:rPr>
              <w:t xml:space="preserve"> (40 participants : membres du Groupe d’experts multidisciplinaire/Bureau </w:t>
            </w:r>
            <w:r w:rsidR="00B971FC">
              <w:rPr>
                <w:rFonts w:eastAsia="SimSun"/>
                <w:sz w:val="18"/>
                <w:szCs w:val="18"/>
                <w:lang w:val="fr-CA" w:eastAsia="zh-CN"/>
              </w:rPr>
              <w:t xml:space="preserve">+ </w:t>
            </w:r>
            <w:r w:rsidR="00692F3A">
              <w:rPr>
                <w:rFonts w:eastAsia="SimSun"/>
                <w:sz w:val="18"/>
                <w:szCs w:val="18"/>
                <w:lang w:val="fr-CA" w:eastAsia="zh-CN"/>
              </w:rPr>
              <w:t>autres</w:t>
            </w:r>
            <w:r w:rsidR="00B971FC">
              <w:rPr>
                <w:rFonts w:eastAsia="SimSun"/>
                <w:sz w:val="18"/>
                <w:szCs w:val="18"/>
                <w:lang w:val="fr-CA" w:eastAsia="zh-CN"/>
              </w:rPr>
              <w:t xml:space="preserve"> </w:t>
            </w:r>
            <w:r>
              <w:rPr>
                <w:rFonts w:eastAsia="SimSun"/>
                <w:sz w:val="18"/>
                <w:szCs w:val="18"/>
                <w:lang w:val="fr-CA" w:eastAsia="zh-CN"/>
              </w:rPr>
              <w:t>experts)</w:t>
            </w:r>
          </w:p>
        </w:tc>
        <w:tc>
          <w:tcPr>
            <w:tcW w:w="3119" w:type="dxa"/>
            <w:shd w:val="clear" w:color="auto" w:fill="auto"/>
          </w:tcPr>
          <w:p w:rsidR="003C3321" w:rsidRPr="00C84061" w:rsidRDefault="003C3321" w:rsidP="00945A16">
            <w:pPr>
              <w:pStyle w:val="ColorfulList-Accent1"/>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C84061">
              <w:rPr>
                <w:rFonts w:ascii="Times New Roman" w:eastAsia="SimSun" w:hAnsi="Times New Roman"/>
                <w:sz w:val="18"/>
                <w:szCs w:val="18"/>
                <w:lang w:val="fr-CA" w:eastAsia="zh-CN"/>
              </w:rPr>
              <w:t>C</w:t>
            </w:r>
            <w:r>
              <w:rPr>
                <w:rFonts w:ascii="Times New Roman" w:eastAsia="SimSun" w:hAnsi="Times New Roman"/>
                <w:sz w:val="18"/>
                <w:szCs w:val="18"/>
                <w:lang w:val="fr-CA" w:eastAsia="zh-CN"/>
              </w:rPr>
              <w:t>oûts de la réunion (1 semaine, 4</w:t>
            </w:r>
            <w:r w:rsidRPr="00C84061">
              <w:rPr>
                <w:rFonts w:ascii="Times New Roman" w:eastAsia="SimSun" w:hAnsi="Times New Roman"/>
                <w:sz w:val="18"/>
                <w:szCs w:val="18"/>
                <w:lang w:val="fr-CA" w:eastAsia="zh-CN"/>
              </w:rPr>
              <w:t>0 participants) (25 % en nature)</w:t>
            </w:r>
          </w:p>
        </w:tc>
        <w:tc>
          <w:tcPr>
            <w:tcW w:w="956" w:type="dxa"/>
            <w:shd w:val="clear" w:color="auto" w:fill="auto"/>
          </w:tcPr>
          <w:p w:rsidR="003C3321" w:rsidRPr="00C84061" w:rsidRDefault="003C3321" w:rsidP="00945A16">
            <w:pPr>
              <w:pStyle w:val="Normal-pool"/>
              <w:keepNext/>
              <w:keepLines/>
              <w:jc w:val="right"/>
              <w:rPr>
                <w:rFonts w:eastAsia="SimSun"/>
                <w:sz w:val="18"/>
                <w:szCs w:val="18"/>
                <w:lang w:val="fr-CA" w:eastAsia="zh-CN"/>
              </w:rPr>
            </w:pPr>
            <w:r>
              <w:rPr>
                <w:rFonts w:eastAsia="SimSun"/>
                <w:sz w:val="18"/>
                <w:szCs w:val="18"/>
                <w:lang w:val="fr-CA" w:eastAsia="zh-CN"/>
              </w:rPr>
              <w:t>11 25</w:t>
            </w:r>
            <w:r w:rsidRPr="00C84061">
              <w:rPr>
                <w:rFonts w:eastAsia="SimSun"/>
                <w:sz w:val="18"/>
                <w:szCs w:val="18"/>
                <w:lang w:val="fr-CA" w:eastAsia="zh-CN"/>
              </w:rPr>
              <w:t>0</w:t>
            </w:r>
          </w:p>
        </w:tc>
      </w:tr>
      <w:tr w:rsidR="003C3321" w:rsidRPr="001F730C" w:rsidTr="00D077C3">
        <w:trPr>
          <w:trHeight w:val="206"/>
          <w:jc w:val="right"/>
        </w:trPr>
        <w:tc>
          <w:tcPr>
            <w:tcW w:w="1054" w:type="dxa"/>
            <w:vMerge/>
            <w:shd w:val="clear" w:color="auto" w:fill="auto"/>
          </w:tcPr>
          <w:p w:rsidR="003C3321" w:rsidRPr="001F730C" w:rsidRDefault="003C3321" w:rsidP="009B4830">
            <w:pPr>
              <w:pStyle w:val="Normal-pool"/>
              <w:keepNext/>
              <w:keepLines/>
              <w:rPr>
                <w:rFonts w:eastAsia="SimSun"/>
                <w:sz w:val="18"/>
                <w:szCs w:val="18"/>
                <w:lang w:val="fr-CA" w:eastAsia="zh-CN"/>
              </w:rPr>
            </w:pPr>
          </w:p>
        </w:tc>
        <w:tc>
          <w:tcPr>
            <w:tcW w:w="3532" w:type="dxa"/>
            <w:vMerge/>
            <w:shd w:val="clear" w:color="auto" w:fill="auto"/>
          </w:tcPr>
          <w:p w:rsidR="003C3321" w:rsidRPr="001F730C" w:rsidRDefault="003C3321" w:rsidP="00006227">
            <w:pPr>
              <w:pStyle w:val="Normal-pool"/>
              <w:keepNext/>
              <w:keepLines/>
              <w:spacing w:before="40" w:after="40"/>
              <w:rPr>
                <w:rFonts w:eastAsia="SimSun"/>
                <w:sz w:val="18"/>
                <w:szCs w:val="18"/>
                <w:lang w:val="fr-CA" w:eastAsia="zh-CN"/>
              </w:rPr>
            </w:pPr>
          </w:p>
        </w:tc>
        <w:tc>
          <w:tcPr>
            <w:tcW w:w="3119" w:type="dxa"/>
            <w:shd w:val="clear" w:color="auto" w:fill="auto"/>
          </w:tcPr>
          <w:p w:rsidR="003C3321" w:rsidRPr="00C84061" w:rsidRDefault="00692F3A" w:rsidP="00945A16">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t>Voyages et indemnités journalières</w:t>
            </w:r>
            <w:r w:rsidR="003C3321">
              <w:rPr>
                <w:rFonts w:ascii="Times New Roman" w:eastAsia="SimSun" w:hAnsi="Times New Roman"/>
                <w:sz w:val="18"/>
                <w:szCs w:val="18"/>
                <w:lang w:val="fr-CA" w:eastAsia="zh-CN"/>
              </w:rPr>
              <w:t xml:space="preserve"> de subsistance (3</w:t>
            </w:r>
            <w:r w:rsidR="003C3321" w:rsidRPr="00C84061">
              <w:rPr>
                <w:rFonts w:ascii="Times New Roman" w:eastAsia="SimSun" w:hAnsi="Times New Roman"/>
                <w:sz w:val="18"/>
                <w:szCs w:val="18"/>
                <w:lang w:val="fr-CA" w:eastAsia="zh-CN"/>
              </w:rPr>
              <w:t>0 x 3 000 dollars)</w:t>
            </w:r>
          </w:p>
        </w:tc>
        <w:tc>
          <w:tcPr>
            <w:tcW w:w="956" w:type="dxa"/>
            <w:shd w:val="clear" w:color="auto" w:fill="auto"/>
          </w:tcPr>
          <w:p w:rsidR="003C3321" w:rsidRPr="00C84061" w:rsidRDefault="003C3321" w:rsidP="00945A16">
            <w:pPr>
              <w:pStyle w:val="Normal-pool"/>
              <w:jc w:val="right"/>
              <w:rPr>
                <w:rFonts w:eastAsia="SimSun"/>
                <w:sz w:val="18"/>
                <w:szCs w:val="18"/>
                <w:lang w:val="fr-CA" w:eastAsia="zh-CN"/>
              </w:rPr>
            </w:pPr>
            <w:r>
              <w:rPr>
                <w:rFonts w:eastAsia="SimSun"/>
                <w:sz w:val="18"/>
                <w:szCs w:val="18"/>
                <w:lang w:val="fr-CA" w:eastAsia="zh-CN"/>
              </w:rPr>
              <w:t>90</w:t>
            </w:r>
            <w:r w:rsidRPr="00C84061">
              <w:rPr>
                <w:rFonts w:eastAsia="SimSun"/>
                <w:sz w:val="18"/>
                <w:szCs w:val="18"/>
                <w:lang w:val="fr-CA" w:eastAsia="zh-CN"/>
              </w:rPr>
              <w:t> 000</w:t>
            </w:r>
          </w:p>
        </w:tc>
      </w:tr>
      <w:tr w:rsidR="003C3321" w:rsidRPr="00C84061" w:rsidTr="00D077C3">
        <w:trPr>
          <w:jc w:val="right"/>
        </w:trPr>
        <w:tc>
          <w:tcPr>
            <w:tcW w:w="1054" w:type="dxa"/>
            <w:vMerge/>
            <w:shd w:val="clear" w:color="auto" w:fill="auto"/>
            <w:vAlign w:val="center"/>
          </w:tcPr>
          <w:p w:rsidR="003C3321" w:rsidRPr="00C84061" w:rsidRDefault="003C3321" w:rsidP="009B4830">
            <w:pPr>
              <w:pStyle w:val="Normal-pool"/>
              <w:keepNext/>
              <w:keepLines/>
              <w:rPr>
                <w:rFonts w:eastAsia="SimSun"/>
                <w:sz w:val="18"/>
                <w:szCs w:val="18"/>
                <w:lang w:val="fr-CA" w:eastAsia="zh-CN"/>
              </w:rPr>
            </w:pPr>
          </w:p>
        </w:tc>
        <w:tc>
          <w:tcPr>
            <w:tcW w:w="3532" w:type="dxa"/>
            <w:vMerge w:val="restart"/>
            <w:shd w:val="clear" w:color="auto" w:fill="auto"/>
            <w:vAlign w:val="center"/>
          </w:tcPr>
          <w:p w:rsidR="003C3321" w:rsidRPr="00C84061" w:rsidRDefault="00B971FC" w:rsidP="00006227">
            <w:pPr>
              <w:pStyle w:val="ColorfulList-Accent1"/>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t>Première réunion des auteurs (8</w:t>
            </w:r>
            <w:r w:rsidR="003C3321">
              <w:rPr>
                <w:rFonts w:ascii="Times New Roman" w:eastAsia="SimSun" w:hAnsi="Times New Roman"/>
                <w:sz w:val="18"/>
                <w:szCs w:val="18"/>
                <w:lang w:val="fr-CA" w:eastAsia="zh-CN"/>
              </w:rPr>
              <w:t>0</w:t>
            </w:r>
            <w:r w:rsidR="003C3321" w:rsidRPr="00C84061">
              <w:rPr>
                <w:rFonts w:ascii="Times New Roman" w:eastAsia="SimSun" w:hAnsi="Times New Roman"/>
                <w:sz w:val="18"/>
                <w:szCs w:val="18"/>
                <w:lang w:val="fr-CA" w:eastAsia="zh-CN"/>
              </w:rPr>
              <w:t> coprésidents, auteurs coordonnateurs principaux et auteurs principaux + 4 membres du Groupe d’experts multidisciplinaire/</w:t>
            </w:r>
            <w:r w:rsidR="003C3321">
              <w:rPr>
                <w:rFonts w:ascii="Times New Roman" w:eastAsia="SimSun" w:hAnsi="Times New Roman"/>
                <w:sz w:val="18"/>
                <w:szCs w:val="18"/>
                <w:lang w:val="fr-CA" w:eastAsia="zh-CN"/>
              </w:rPr>
              <w:t xml:space="preserve"> </w:t>
            </w:r>
            <w:r w:rsidR="003C3321" w:rsidRPr="00C84061">
              <w:rPr>
                <w:rFonts w:ascii="Times New Roman" w:eastAsia="SimSun" w:hAnsi="Times New Roman"/>
                <w:sz w:val="18"/>
                <w:szCs w:val="18"/>
                <w:lang w:val="fr-CA" w:eastAsia="zh-CN"/>
              </w:rPr>
              <w:t>Bureau +1 agent des services d’appui technique)</w:t>
            </w:r>
          </w:p>
        </w:tc>
        <w:tc>
          <w:tcPr>
            <w:tcW w:w="3119" w:type="dxa"/>
            <w:shd w:val="clear" w:color="auto" w:fill="auto"/>
          </w:tcPr>
          <w:p w:rsidR="003C3321" w:rsidRPr="00C84061" w:rsidRDefault="003C3321" w:rsidP="00006227">
            <w:pPr>
              <w:pStyle w:val="ColorfulList-Accent1"/>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C84061">
              <w:rPr>
                <w:rFonts w:ascii="Times New Roman" w:eastAsia="SimSun" w:hAnsi="Times New Roman"/>
                <w:sz w:val="18"/>
                <w:szCs w:val="18"/>
                <w:lang w:val="fr-CA" w:eastAsia="zh-CN"/>
              </w:rPr>
              <w:t>C</w:t>
            </w:r>
            <w:r w:rsidR="00D8715D">
              <w:rPr>
                <w:rFonts w:ascii="Times New Roman" w:eastAsia="SimSun" w:hAnsi="Times New Roman"/>
                <w:sz w:val="18"/>
                <w:szCs w:val="18"/>
                <w:lang w:val="fr-CA" w:eastAsia="zh-CN"/>
              </w:rPr>
              <w:t>oûts de la réunion (1 semaine, 8</w:t>
            </w:r>
            <w:r>
              <w:rPr>
                <w:rFonts w:ascii="Times New Roman" w:eastAsia="SimSun" w:hAnsi="Times New Roman"/>
                <w:sz w:val="18"/>
                <w:szCs w:val="18"/>
                <w:lang w:val="fr-CA" w:eastAsia="zh-CN"/>
              </w:rPr>
              <w:t>5</w:t>
            </w:r>
            <w:r w:rsidRPr="00C84061">
              <w:rPr>
                <w:rFonts w:ascii="Times New Roman" w:eastAsia="SimSun" w:hAnsi="Times New Roman"/>
                <w:sz w:val="18"/>
                <w:szCs w:val="18"/>
                <w:lang w:val="fr-CA" w:eastAsia="zh-CN"/>
              </w:rPr>
              <w:t> participants) (25 % en nature)</w:t>
            </w:r>
          </w:p>
        </w:tc>
        <w:tc>
          <w:tcPr>
            <w:tcW w:w="956" w:type="dxa"/>
            <w:shd w:val="clear" w:color="auto" w:fill="auto"/>
          </w:tcPr>
          <w:p w:rsidR="003C3321" w:rsidRPr="00C84061" w:rsidRDefault="003C3321" w:rsidP="00006227">
            <w:pPr>
              <w:pStyle w:val="Normal-pool"/>
              <w:keepNext/>
              <w:keepLines/>
              <w:jc w:val="right"/>
              <w:rPr>
                <w:rFonts w:eastAsia="SimSun"/>
                <w:sz w:val="18"/>
                <w:szCs w:val="18"/>
                <w:lang w:val="fr-CA" w:eastAsia="zh-CN"/>
              </w:rPr>
            </w:pPr>
            <w:r>
              <w:rPr>
                <w:rFonts w:eastAsia="SimSun"/>
                <w:sz w:val="18"/>
                <w:szCs w:val="18"/>
                <w:lang w:val="fr-CA" w:eastAsia="zh-CN"/>
              </w:rPr>
              <w:t>15 00</w:t>
            </w:r>
            <w:r w:rsidRPr="00C84061">
              <w:rPr>
                <w:rFonts w:eastAsia="SimSun"/>
                <w:sz w:val="18"/>
                <w:szCs w:val="18"/>
                <w:lang w:val="fr-CA" w:eastAsia="zh-CN"/>
              </w:rPr>
              <w:t>0</w:t>
            </w:r>
          </w:p>
        </w:tc>
      </w:tr>
      <w:tr w:rsidR="003C3321" w:rsidRPr="00C84061" w:rsidTr="00D077C3">
        <w:trPr>
          <w:trHeight w:val="337"/>
          <w:jc w:val="right"/>
        </w:trPr>
        <w:tc>
          <w:tcPr>
            <w:tcW w:w="1054" w:type="dxa"/>
            <w:vMerge/>
            <w:shd w:val="clear" w:color="auto" w:fill="auto"/>
            <w:vAlign w:val="center"/>
          </w:tcPr>
          <w:p w:rsidR="003C3321" w:rsidRPr="00C84061" w:rsidRDefault="003C3321"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shd w:val="clear" w:color="auto" w:fill="auto"/>
            <w:vAlign w:val="center"/>
          </w:tcPr>
          <w:p w:rsidR="003C3321" w:rsidRPr="00C84061" w:rsidRDefault="003C3321"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shd w:val="clear" w:color="auto" w:fill="auto"/>
          </w:tcPr>
          <w:p w:rsidR="003C3321" w:rsidRPr="00C84061" w:rsidRDefault="00692F3A" w:rsidP="00D8715D">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t>Voyages et indemnités journalières</w:t>
            </w:r>
            <w:r w:rsidR="003C3321">
              <w:rPr>
                <w:rFonts w:ascii="Times New Roman" w:eastAsia="SimSun" w:hAnsi="Times New Roman"/>
                <w:sz w:val="18"/>
                <w:szCs w:val="18"/>
                <w:lang w:val="fr-CA" w:eastAsia="zh-CN"/>
              </w:rPr>
              <w:t xml:space="preserve"> de subsistance (</w:t>
            </w:r>
            <w:r w:rsidR="00D8715D">
              <w:rPr>
                <w:rFonts w:ascii="Times New Roman" w:eastAsia="SimSun" w:hAnsi="Times New Roman"/>
                <w:sz w:val="18"/>
                <w:szCs w:val="18"/>
                <w:lang w:val="fr-CA" w:eastAsia="zh-CN"/>
              </w:rPr>
              <w:t>64</w:t>
            </w:r>
            <w:r w:rsidR="003C3321" w:rsidRPr="00C84061">
              <w:rPr>
                <w:rFonts w:ascii="Times New Roman" w:eastAsia="SimSun" w:hAnsi="Times New Roman"/>
                <w:sz w:val="18"/>
                <w:szCs w:val="18"/>
                <w:lang w:val="fr-CA" w:eastAsia="zh-CN"/>
              </w:rPr>
              <w:t> x 3 000 dollars)</w:t>
            </w:r>
          </w:p>
        </w:tc>
        <w:tc>
          <w:tcPr>
            <w:tcW w:w="956" w:type="dxa"/>
            <w:shd w:val="clear" w:color="auto" w:fill="auto"/>
          </w:tcPr>
          <w:p w:rsidR="003C3321" w:rsidRPr="00C84061" w:rsidRDefault="003C3321" w:rsidP="00006227">
            <w:pPr>
              <w:pStyle w:val="Normal-pool"/>
              <w:jc w:val="right"/>
              <w:rPr>
                <w:rFonts w:eastAsia="SimSun"/>
                <w:sz w:val="18"/>
                <w:szCs w:val="18"/>
                <w:lang w:val="fr-CA" w:eastAsia="zh-CN"/>
              </w:rPr>
            </w:pPr>
            <w:r w:rsidRPr="00C84061">
              <w:rPr>
                <w:rFonts w:eastAsia="SimSun"/>
                <w:sz w:val="18"/>
                <w:szCs w:val="18"/>
                <w:lang w:val="fr-CA" w:eastAsia="zh-CN"/>
              </w:rPr>
              <w:t>1</w:t>
            </w:r>
            <w:r w:rsidR="00D8715D">
              <w:rPr>
                <w:rFonts w:eastAsia="SimSun"/>
                <w:sz w:val="18"/>
                <w:szCs w:val="18"/>
                <w:lang w:val="fr-CA" w:eastAsia="zh-CN"/>
              </w:rPr>
              <w:t>92</w:t>
            </w:r>
            <w:r w:rsidRPr="00C84061">
              <w:rPr>
                <w:rFonts w:eastAsia="SimSun"/>
                <w:sz w:val="18"/>
                <w:szCs w:val="18"/>
                <w:lang w:val="fr-CA" w:eastAsia="zh-CN"/>
              </w:rPr>
              <w:t> 000</w:t>
            </w:r>
          </w:p>
        </w:tc>
      </w:tr>
      <w:tr w:rsidR="003C3321" w:rsidRPr="00C84061" w:rsidTr="00D077C3">
        <w:trPr>
          <w:jc w:val="right"/>
        </w:trPr>
        <w:tc>
          <w:tcPr>
            <w:tcW w:w="1054" w:type="dxa"/>
            <w:vMerge/>
            <w:shd w:val="clear" w:color="auto" w:fill="auto"/>
            <w:vAlign w:val="center"/>
          </w:tcPr>
          <w:p w:rsidR="003C3321" w:rsidRPr="00C84061" w:rsidRDefault="003C3321"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shd w:val="clear" w:color="auto" w:fill="auto"/>
            <w:vAlign w:val="center"/>
          </w:tcPr>
          <w:p w:rsidR="003C3321" w:rsidRPr="00C84061" w:rsidRDefault="003C3321" w:rsidP="00EA02AA">
            <w:pPr>
              <w:pStyle w:val="Normal-pool"/>
              <w:rPr>
                <w:rFonts w:eastAsia="SimSun"/>
                <w:sz w:val="18"/>
                <w:szCs w:val="18"/>
                <w:lang w:val="fr-CA" w:eastAsia="zh-CN"/>
              </w:rPr>
            </w:pPr>
            <w:r w:rsidRPr="00C84061">
              <w:rPr>
                <w:rFonts w:eastAsia="SimSun"/>
                <w:sz w:val="18"/>
                <w:szCs w:val="18"/>
                <w:lang w:val="fr-CA" w:eastAsia="zh-CN"/>
              </w:rPr>
              <w:t>Appui technique</w:t>
            </w:r>
          </w:p>
        </w:tc>
        <w:tc>
          <w:tcPr>
            <w:tcW w:w="3119" w:type="dxa"/>
            <w:shd w:val="clear" w:color="auto" w:fill="auto"/>
          </w:tcPr>
          <w:p w:rsidR="003C3321" w:rsidRPr="003C3321" w:rsidRDefault="003C3321" w:rsidP="00EA02AA">
            <w:pPr>
              <w:pStyle w:val="Normal-pool"/>
              <w:rPr>
                <w:rFonts w:eastAsia="SimSun"/>
                <w:sz w:val="18"/>
                <w:szCs w:val="18"/>
                <w:lang w:val="fr-CA" w:eastAsia="zh-CN"/>
              </w:rPr>
            </w:pPr>
            <w:r w:rsidRPr="003C3321">
              <w:rPr>
                <w:rFonts w:eastAsia="SimSun"/>
                <w:sz w:val="18"/>
                <w:szCs w:val="18"/>
                <w:lang w:val="fr-CA" w:eastAsia="zh-CN"/>
              </w:rPr>
              <w:t>1 poste d’administrateur équivalent plein temps (50 % en nature)</w:t>
            </w:r>
          </w:p>
        </w:tc>
        <w:tc>
          <w:tcPr>
            <w:tcW w:w="956" w:type="dxa"/>
            <w:shd w:val="clear" w:color="auto" w:fill="auto"/>
          </w:tcPr>
          <w:p w:rsidR="003C3321" w:rsidRPr="00C84061" w:rsidRDefault="003C3321" w:rsidP="00EA02AA">
            <w:pPr>
              <w:pStyle w:val="Normal-pool"/>
              <w:jc w:val="right"/>
              <w:rPr>
                <w:rFonts w:eastAsia="SimSun"/>
                <w:sz w:val="18"/>
                <w:szCs w:val="18"/>
                <w:lang w:val="fr-CA" w:eastAsia="zh-CN"/>
              </w:rPr>
            </w:pPr>
            <w:r>
              <w:rPr>
                <w:rFonts w:eastAsia="SimSun"/>
                <w:sz w:val="18"/>
                <w:szCs w:val="18"/>
                <w:lang w:val="fr-CA" w:eastAsia="zh-CN"/>
              </w:rPr>
              <w:t>75 0</w:t>
            </w:r>
            <w:r w:rsidRPr="00C84061">
              <w:rPr>
                <w:rFonts w:eastAsia="SimSun"/>
                <w:sz w:val="18"/>
                <w:szCs w:val="18"/>
                <w:lang w:val="fr-CA" w:eastAsia="zh-CN"/>
              </w:rPr>
              <w:t>00</w:t>
            </w:r>
          </w:p>
        </w:tc>
      </w:tr>
      <w:tr w:rsidR="00B9638E" w:rsidRPr="00C84061" w:rsidTr="00D077C3">
        <w:trPr>
          <w:jc w:val="right"/>
        </w:trPr>
        <w:tc>
          <w:tcPr>
            <w:tcW w:w="1054" w:type="dxa"/>
            <w:vMerge w:val="restart"/>
            <w:shd w:val="clear" w:color="auto" w:fill="auto"/>
            <w:vAlign w:val="center"/>
          </w:tcPr>
          <w:p w:rsidR="00B9638E" w:rsidRPr="00C84061" w:rsidRDefault="00B9638E"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t>2015</w:t>
            </w:r>
          </w:p>
        </w:tc>
        <w:tc>
          <w:tcPr>
            <w:tcW w:w="3532" w:type="dxa"/>
            <w:vMerge w:val="restart"/>
            <w:shd w:val="clear" w:color="auto" w:fill="auto"/>
            <w:vAlign w:val="center"/>
          </w:tcPr>
          <w:p w:rsidR="00B9638E" w:rsidRPr="00C84061" w:rsidRDefault="00D8715D" w:rsidP="00006227">
            <w:pPr>
              <w:pStyle w:val="Normal-pool"/>
              <w:rPr>
                <w:rFonts w:eastAsia="SimSun"/>
                <w:sz w:val="18"/>
                <w:szCs w:val="18"/>
                <w:lang w:val="fr-CA" w:eastAsia="zh-CN"/>
              </w:rPr>
            </w:pPr>
            <w:r>
              <w:rPr>
                <w:rFonts w:eastAsia="SimSun"/>
                <w:sz w:val="18"/>
                <w:szCs w:val="18"/>
                <w:lang w:val="fr-CA" w:eastAsia="zh-CN"/>
              </w:rPr>
              <w:t>Deuxième réunion des auteurs (8</w:t>
            </w:r>
            <w:r w:rsidR="00B9638E">
              <w:rPr>
                <w:rFonts w:eastAsia="SimSun"/>
                <w:sz w:val="18"/>
                <w:szCs w:val="18"/>
                <w:lang w:val="fr-CA" w:eastAsia="zh-CN"/>
              </w:rPr>
              <w:t>0</w:t>
            </w:r>
            <w:r w:rsidR="00B9638E" w:rsidRPr="00C84061">
              <w:rPr>
                <w:rFonts w:eastAsia="SimSun"/>
                <w:sz w:val="18"/>
                <w:szCs w:val="18"/>
                <w:lang w:val="fr-CA" w:eastAsia="zh-CN"/>
              </w:rPr>
              <w:t xml:space="preserve"> coprésidents, auteurs coordonnateurs principaux et auteurs principaux + </w:t>
            </w:r>
            <w:r>
              <w:rPr>
                <w:rFonts w:eastAsia="SimSun"/>
                <w:sz w:val="18"/>
                <w:szCs w:val="18"/>
                <w:lang w:val="fr-CA" w:eastAsia="zh-CN"/>
              </w:rPr>
              <w:t>16</w:t>
            </w:r>
            <w:r w:rsidR="00B9638E">
              <w:rPr>
                <w:rFonts w:eastAsia="SimSun"/>
                <w:sz w:val="18"/>
                <w:szCs w:val="18"/>
                <w:lang w:val="fr-CA" w:eastAsia="zh-CN"/>
              </w:rPr>
              <w:t> </w:t>
            </w:r>
            <w:r w:rsidR="00B9638E" w:rsidRPr="00C84061">
              <w:rPr>
                <w:sz w:val="18"/>
                <w:szCs w:val="18"/>
                <w:lang w:val="fr-CA"/>
              </w:rPr>
              <w:t>éditeurs-réviseurs</w:t>
            </w:r>
            <w:r w:rsidR="00B9638E">
              <w:rPr>
                <w:rFonts w:eastAsia="SimSun"/>
                <w:sz w:val="18"/>
                <w:szCs w:val="18"/>
                <w:lang w:val="fr-CA" w:eastAsia="zh-CN"/>
              </w:rPr>
              <w:t xml:space="preserve"> + </w:t>
            </w:r>
            <w:r w:rsidR="00B9638E" w:rsidRPr="00C84061">
              <w:rPr>
                <w:rFonts w:eastAsia="SimSun"/>
                <w:sz w:val="18"/>
                <w:szCs w:val="18"/>
                <w:lang w:val="fr-CA" w:eastAsia="zh-CN"/>
              </w:rPr>
              <w:t>4 membres du Groupe d’experts multidisciplinaire/Bureau + 1 agent des services d’appui technique)</w:t>
            </w:r>
          </w:p>
        </w:tc>
        <w:tc>
          <w:tcPr>
            <w:tcW w:w="3119" w:type="dxa"/>
            <w:shd w:val="clear" w:color="auto" w:fill="auto"/>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Co</w:t>
            </w:r>
            <w:r w:rsidR="00D8715D">
              <w:rPr>
                <w:rFonts w:eastAsia="SimSun"/>
                <w:sz w:val="18"/>
                <w:szCs w:val="18"/>
                <w:lang w:val="fr-CA" w:eastAsia="zh-CN"/>
              </w:rPr>
              <w:t>ûts de la réunion (1 semaine, 101</w:t>
            </w:r>
            <w:r w:rsidRPr="00C84061">
              <w:rPr>
                <w:rFonts w:eastAsia="SimSun"/>
                <w:sz w:val="18"/>
                <w:szCs w:val="18"/>
                <w:lang w:val="fr-CA" w:eastAsia="zh-CN"/>
              </w:rPr>
              <w:t> participants) (25 % en nature)</w:t>
            </w:r>
          </w:p>
        </w:tc>
        <w:tc>
          <w:tcPr>
            <w:tcW w:w="956" w:type="dxa"/>
            <w:shd w:val="clear" w:color="auto" w:fill="auto"/>
          </w:tcPr>
          <w:p w:rsidR="00B9638E" w:rsidRPr="00C84061" w:rsidRDefault="00B9638E" w:rsidP="00006227">
            <w:pPr>
              <w:pStyle w:val="Normal-pool"/>
              <w:jc w:val="right"/>
              <w:rPr>
                <w:rFonts w:eastAsia="SimSun"/>
                <w:sz w:val="18"/>
                <w:szCs w:val="18"/>
                <w:lang w:val="fr-CA" w:eastAsia="zh-CN"/>
              </w:rPr>
            </w:pPr>
            <w:r>
              <w:rPr>
                <w:rFonts w:eastAsia="SimSun"/>
                <w:sz w:val="18"/>
                <w:szCs w:val="18"/>
                <w:lang w:val="fr-CA" w:eastAsia="zh-CN"/>
              </w:rPr>
              <w:t>18 75</w:t>
            </w:r>
            <w:r w:rsidRPr="00C84061">
              <w:rPr>
                <w:rFonts w:eastAsia="SimSun"/>
                <w:sz w:val="18"/>
                <w:szCs w:val="18"/>
                <w:lang w:val="fr-CA" w:eastAsia="zh-CN"/>
              </w:rPr>
              <w:t>0</w:t>
            </w:r>
          </w:p>
        </w:tc>
      </w:tr>
      <w:tr w:rsidR="00B9638E" w:rsidRPr="00C84061" w:rsidTr="00D077C3">
        <w:trPr>
          <w:trHeight w:val="337"/>
          <w:jc w:val="right"/>
        </w:trPr>
        <w:tc>
          <w:tcPr>
            <w:tcW w:w="1054" w:type="dxa"/>
            <w:vMerge/>
            <w:shd w:val="clear" w:color="auto" w:fill="auto"/>
            <w:vAlign w:val="center"/>
          </w:tcPr>
          <w:p w:rsidR="00B9638E" w:rsidRPr="00C84061" w:rsidRDefault="00B9638E"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shd w:val="clear" w:color="auto" w:fill="auto"/>
          </w:tcPr>
          <w:p w:rsidR="00B9638E" w:rsidRPr="00C84061" w:rsidRDefault="00692F3A" w:rsidP="00006227">
            <w:pPr>
              <w:pStyle w:val="Normal-pool"/>
              <w:rPr>
                <w:rFonts w:eastAsia="SimSun"/>
                <w:sz w:val="18"/>
                <w:szCs w:val="18"/>
                <w:lang w:val="fr-CA" w:eastAsia="zh-CN"/>
              </w:rPr>
            </w:pPr>
            <w:r>
              <w:rPr>
                <w:rFonts w:eastAsia="SimSun"/>
                <w:sz w:val="18"/>
                <w:szCs w:val="18"/>
                <w:lang w:val="fr-CA" w:eastAsia="zh-CN"/>
              </w:rPr>
              <w:t>Voyages et indemnités journalières</w:t>
            </w:r>
            <w:r w:rsidR="00D8715D">
              <w:rPr>
                <w:rFonts w:eastAsia="SimSun"/>
                <w:sz w:val="18"/>
                <w:szCs w:val="18"/>
                <w:lang w:val="fr-CA" w:eastAsia="zh-CN"/>
              </w:rPr>
              <w:t xml:space="preserve"> de subsistance (75</w:t>
            </w:r>
            <w:r w:rsidR="00B9638E" w:rsidRPr="00C84061">
              <w:rPr>
                <w:rFonts w:eastAsia="SimSun"/>
                <w:sz w:val="18"/>
                <w:szCs w:val="18"/>
                <w:lang w:val="fr-CA" w:eastAsia="zh-CN"/>
              </w:rPr>
              <w:t> x 3 000 dollars)</w:t>
            </w:r>
          </w:p>
        </w:tc>
        <w:tc>
          <w:tcPr>
            <w:tcW w:w="956" w:type="dxa"/>
            <w:shd w:val="clear" w:color="auto" w:fill="auto"/>
          </w:tcPr>
          <w:p w:rsidR="00B9638E" w:rsidRPr="00C84061" w:rsidRDefault="00D8715D" w:rsidP="00006227">
            <w:pPr>
              <w:pStyle w:val="Normal-pool"/>
              <w:jc w:val="right"/>
              <w:rPr>
                <w:rFonts w:eastAsia="SimSun"/>
                <w:sz w:val="18"/>
                <w:szCs w:val="18"/>
                <w:lang w:val="fr-CA" w:eastAsia="zh-CN"/>
              </w:rPr>
            </w:pPr>
            <w:r>
              <w:rPr>
                <w:rFonts w:eastAsia="SimSun"/>
                <w:sz w:val="18"/>
                <w:szCs w:val="18"/>
                <w:lang w:val="fr-CA" w:eastAsia="zh-CN"/>
              </w:rPr>
              <w:t>225</w:t>
            </w:r>
            <w:r w:rsidR="00B9638E" w:rsidRPr="00C84061">
              <w:rPr>
                <w:rFonts w:eastAsia="SimSun"/>
                <w:sz w:val="18"/>
                <w:szCs w:val="18"/>
                <w:lang w:val="fr-CA" w:eastAsia="zh-CN"/>
              </w:rPr>
              <w:t> 000</w:t>
            </w:r>
          </w:p>
        </w:tc>
      </w:tr>
      <w:tr w:rsidR="00CE5C45" w:rsidRPr="00C84061" w:rsidTr="00D077C3">
        <w:trPr>
          <w:jc w:val="right"/>
        </w:trPr>
        <w:tc>
          <w:tcPr>
            <w:tcW w:w="1054" w:type="dxa"/>
            <w:vMerge/>
            <w:shd w:val="clear" w:color="auto" w:fill="auto"/>
            <w:vAlign w:val="center"/>
          </w:tcPr>
          <w:p w:rsidR="00CE5C45" w:rsidRPr="00C84061" w:rsidRDefault="00CE5C45"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val="restart"/>
            <w:shd w:val="clear" w:color="auto" w:fill="auto"/>
            <w:vAlign w:val="center"/>
          </w:tcPr>
          <w:p w:rsidR="00CE5C45" w:rsidRPr="00C84061" w:rsidRDefault="00CE5C45" w:rsidP="00006227">
            <w:pPr>
              <w:pStyle w:val="Normal-pool"/>
              <w:rPr>
                <w:rFonts w:eastAsia="SimSun"/>
                <w:sz w:val="18"/>
                <w:szCs w:val="18"/>
                <w:lang w:val="fr-CA" w:eastAsia="zh-CN"/>
              </w:rPr>
            </w:pPr>
            <w:r w:rsidRPr="00C84061">
              <w:rPr>
                <w:rFonts w:eastAsia="SimSun"/>
                <w:sz w:val="18"/>
                <w:szCs w:val="18"/>
                <w:lang w:val="fr-CA" w:eastAsia="zh-CN"/>
              </w:rPr>
              <w:t>T</w:t>
            </w:r>
            <w:r>
              <w:rPr>
                <w:rFonts w:eastAsia="SimSun"/>
                <w:sz w:val="18"/>
                <w:szCs w:val="18"/>
                <w:lang w:val="fr-CA" w:eastAsia="zh-CN"/>
              </w:rPr>
              <w:t>roisième réunion des auteurs (80</w:t>
            </w:r>
            <w:r w:rsidRPr="00C84061">
              <w:rPr>
                <w:rFonts w:eastAsia="SimSun"/>
                <w:sz w:val="18"/>
                <w:szCs w:val="18"/>
                <w:lang w:val="fr-CA" w:eastAsia="zh-CN"/>
              </w:rPr>
              <w:t> coprésidents, auteurs coordonnateurs principaux et auteurs principaux</w:t>
            </w:r>
            <w:r>
              <w:rPr>
                <w:rFonts w:eastAsia="SimSun"/>
                <w:sz w:val="18"/>
                <w:szCs w:val="18"/>
                <w:lang w:val="fr-CA" w:eastAsia="zh-CN"/>
              </w:rPr>
              <w:t xml:space="preserve"> </w:t>
            </w:r>
            <w:r w:rsidRPr="00C84061">
              <w:rPr>
                <w:rFonts w:eastAsia="SimSun"/>
                <w:sz w:val="18"/>
                <w:szCs w:val="18"/>
                <w:lang w:val="fr-CA" w:eastAsia="zh-CN"/>
              </w:rPr>
              <w:t xml:space="preserve">+ </w:t>
            </w:r>
            <w:r>
              <w:rPr>
                <w:rFonts w:eastAsia="SimSun"/>
                <w:sz w:val="18"/>
                <w:szCs w:val="18"/>
                <w:lang w:val="fr-CA" w:eastAsia="zh-CN"/>
              </w:rPr>
              <w:t>16 éditeurs-réviseurs</w:t>
            </w:r>
            <w:r w:rsidRPr="00C84061">
              <w:rPr>
                <w:rFonts w:eastAsia="SimSun"/>
                <w:sz w:val="18"/>
                <w:szCs w:val="18"/>
                <w:lang w:val="fr-CA" w:eastAsia="zh-CN"/>
              </w:rPr>
              <w:t xml:space="preserve"> + 4 membres du Groupe d’experts multidisciplinaire/Bureau + 1 agent des services d’appui technique)</w:t>
            </w:r>
          </w:p>
        </w:tc>
        <w:tc>
          <w:tcPr>
            <w:tcW w:w="3119" w:type="dxa"/>
            <w:shd w:val="clear" w:color="auto" w:fill="auto"/>
          </w:tcPr>
          <w:p w:rsidR="00CE5C45" w:rsidRPr="00C84061" w:rsidRDefault="00CE5C45" w:rsidP="00207D9F">
            <w:pPr>
              <w:pStyle w:val="Normal-pool"/>
              <w:rPr>
                <w:rFonts w:eastAsia="SimSun"/>
                <w:sz w:val="18"/>
                <w:szCs w:val="18"/>
                <w:lang w:val="fr-CA" w:eastAsia="zh-CN"/>
              </w:rPr>
            </w:pPr>
            <w:r w:rsidRPr="00C84061">
              <w:rPr>
                <w:rFonts w:eastAsia="SimSun"/>
                <w:sz w:val="18"/>
                <w:szCs w:val="18"/>
                <w:lang w:val="fr-CA" w:eastAsia="zh-CN"/>
              </w:rPr>
              <w:t>Co</w:t>
            </w:r>
            <w:r>
              <w:rPr>
                <w:rFonts w:eastAsia="SimSun"/>
                <w:sz w:val="18"/>
                <w:szCs w:val="18"/>
                <w:lang w:val="fr-CA" w:eastAsia="zh-CN"/>
              </w:rPr>
              <w:t>ûts de la réunion (1 semaine, 101</w:t>
            </w:r>
            <w:r w:rsidRPr="00C84061">
              <w:rPr>
                <w:rFonts w:eastAsia="SimSun"/>
                <w:sz w:val="18"/>
                <w:szCs w:val="18"/>
                <w:lang w:val="fr-CA" w:eastAsia="zh-CN"/>
              </w:rPr>
              <w:t> participants) (25 % en nature)</w:t>
            </w:r>
          </w:p>
        </w:tc>
        <w:tc>
          <w:tcPr>
            <w:tcW w:w="956" w:type="dxa"/>
            <w:shd w:val="clear" w:color="auto" w:fill="auto"/>
          </w:tcPr>
          <w:p w:rsidR="00CE5C45" w:rsidRPr="00C84061" w:rsidRDefault="00CE5C45" w:rsidP="00207D9F">
            <w:pPr>
              <w:pStyle w:val="Normal-pool"/>
              <w:jc w:val="right"/>
              <w:rPr>
                <w:rFonts w:eastAsia="SimSun"/>
                <w:sz w:val="18"/>
                <w:szCs w:val="18"/>
                <w:lang w:val="fr-CA" w:eastAsia="zh-CN"/>
              </w:rPr>
            </w:pPr>
            <w:r>
              <w:rPr>
                <w:rFonts w:eastAsia="SimSun"/>
                <w:sz w:val="18"/>
                <w:szCs w:val="18"/>
                <w:lang w:val="fr-CA" w:eastAsia="zh-CN"/>
              </w:rPr>
              <w:t>18 75</w:t>
            </w:r>
            <w:r w:rsidRPr="00C84061">
              <w:rPr>
                <w:rFonts w:eastAsia="SimSun"/>
                <w:sz w:val="18"/>
                <w:szCs w:val="18"/>
                <w:lang w:val="fr-CA" w:eastAsia="zh-CN"/>
              </w:rPr>
              <w:t>0</w:t>
            </w:r>
          </w:p>
        </w:tc>
      </w:tr>
      <w:tr w:rsidR="00CE5C45" w:rsidRPr="00C84061" w:rsidTr="00D077C3">
        <w:trPr>
          <w:trHeight w:val="339"/>
          <w:jc w:val="right"/>
        </w:trPr>
        <w:tc>
          <w:tcPr>
            <w:tcW w:w="1054" w:type="dxa"/>
            <w:vMerge/>
            <w:shd w:val="clear" w:color="auto" w:fill="auto"/>
            <w:vAlign w:val="center"/>
          </w:tcPr>
          <w:p w:rsidR="00CE5C45" w:rsidRPr="00C84061" w:rsidRDefault="00CE5C45"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tcBorders>
              <w:bottom w:val="single" w:sz="4" w:space="0" w:color="auto"/>
            </w:tcBorders>
            <w:shd w:val="clear" w:color="auto" w:fill="auto"/>
            <w:vAlign w:val="center"/>
          </w:tcPr>
          <w:p w:rsidR="00CE5C45" w:rsidRPr="00C84061" w:rsidRDefault="00CE5C45"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tcBorders>
              <w:bottom w:val="single" w:sz="4" w:space="0" w:color="auto"/>
            </w:tcBorders>
            <w:shd w:val="clear" w:color="auto" w:fill="auto"/>
          </w:tcPr>
          <w:p w:rsidR="00CE5C45" w:rsidRPr="00C84061" w:rsidRDefault="00692F3A" w:rsidP="00207D9F">
            <w:pPr>
              <w:pStyle w:val="Normal-pool"/>
              <w:rPr>
                <w:rFonts w:eastAsia="SimSun"/>
                <w:sz w:val="18"/>
                <w:szCs w:val="18"/>
                <w:lang w:val="fr-CA" w:eastAsia="zh-CN"/>
              </w:rPr>
            </w:pPr>
            <w:r>
              <w:rPr>
                <w:rFonts w:eastAsia="SimSun"/>
                <w:sz w:val="18"/>
                <w:szCs w:val="18"/>
                <w:lang w:val="fr-CA" w:eastAsia="zh-CN"/>
              </w:rPr>
              <w:t>Voyages et indemnités journalières</w:t>
            </w:r>
            <w:r w:rsidR="00CE5C45">
              <w:rPr>
                <w:rFonts w:eastAsia="SimSun"/>
                <w:sz w:val="18"/>
                <w:szCs w:val="18"/>
                <w:lang w:val="fr-CA" w:eastAsia="zh-CN"/>
              </w:rPr>
              <w:t xml:space="preserve"> de subsistance (75</w:t>
            </w:r>
            <w:r w:rsidR="00CE5C45" w:rsidRPr="00C84061">
              <w:rPr>
                <w:rFonts w:eastAsia="SimSun"/>
                <w:sz w:val="18"/>
                <w:szCs w:val="18"/>
                <w:lang w:val="fr-CA" w:eastAsia="zh-CN"/>
              </w:rPr>
              <w:t> x 3 000 dollars)</w:t>
            </w:r>
          </w:p>
        </w:tc>
        <w:tc>
          <w:tcPr>
            <w:tcW w:w="956" w:type="dxa"/>
            <w:tcBorders>
              <w:bottom w:val="single" w:sz="4" w:space="0" w:color="auto"/>
            </w:tcBorders>
            <w:shd w:val="clear" w:color="auto" w:fill="auto"/>
          </w:tcPr>
          <w:p w:rsidR="00CE5C45" w:rsidRPr="00C84061" w:rsidRDefault="00CE5C45" w:rsidP="00207D9F">
            <w:pPr>
              <w:pStyle w:val="Normal-pool"/>
              <w:jc w:val="right"/>
              <w:rPr>
                <w:rFonts w:eastAsia="SimSun"/>
                <w:sz w:val="18"/>
                <w:szCs w:val="18"/>
                <w:lang w:val="fr-CA" w:eastAsia="zh-CN"/>
              </w:rPr>
            </w:pPr>
            <w:r>
              <w:rPr>
                <w:rFonts w:eastAsia="SimSun"/>
                <w:sz w:val="18"/>
                <w:szCs w:val="18"/>
                <w:lang w:val="fr-CA" w:eastAsia="zh-CN"/>
              </w:rPr>
              <w:t>225</w:t>
            </w:r>
            <w:r w:rsidRPr="00C84061">
              <w:rPr>
                <w:rFonts w:eastAsia="SimSun"/>
                <w:sz w:val="18"/>
                <w:szCs w:val="18"/>
                <w:lang w:val="fr-CA" w:eastAsia="zh-CN"/>
              </w:rPr>
              <w:t> 000</w:t>
            </w:r>
          </w:p>
        </w:tc>
      </w:tr>
      <w:tr w:rsidR="00B9638E" w:rsidRPr="00C84061" w:rsidTr="00D077C3">
        <w:trPr>
          <w:trHeight w:val="361"/>
          <w:jc w:val="right"/>
        </w:trPr>
        <w:tc>
          <w:tcPr>
            <w:tcW w:w="1054" w:type="dxa"/>
            <w:vMerge/>
            <w:tcBorders>
              <w:bottom w:val="single" w:sz="4" w:space="0" w:color="auto"/>
            </w:tcBorders>
            <w:shd w:val="clear" w:color="auto" w:fill="auto"/>
            <w:vAlign w:val="center"/>
          </w:tcPr>
          <w:p w:rsidR="00B9638E" w:rsidRPr="00C84061" w:rsidRDefault="00B9638E" w:rsidP="009B4830">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shd w:val="clear" w:color="auto" w:fill="auto"/>
            <w:vAlign w:val="center"/>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Appui technique</w:t>
            </w:r>
          </w:p>
        </w:tc>
        <w:tc>
          <w:tcPr>
            <w:tcW w:w="3119" w:type="dxa"/>
            <w:shd w:val="clear" w:color="auto" w:fill="auto"/>
          </w:tcPr>
          <w:p w:rsidR="00B9638E" w:rsidRPr="00E43E42" w:rsidRDefault="00B9638E" w:rsidP="00006227">
            <w:pPr>
              <w:pStyle w:val="Normal-pool"/>
              <w:rPr>
                <w:rFonts w:eastAsia="SimSun"/>
                <w:sz w:val="18"/>
                <w:szCs w:val="18"/>
                <w:lang w:val="fr-CA" w:eastAsia="zh-CN"/>
              </w:rPr>
            </w:pPr>
            <w:r w:rsidRPr="00E43E42">
              <w:rPr>
                <w:rFonts w:eastAsia="SimSun"/>
                <w:sz w:val="18"/>
                <w:szCs w:val="18"/>
                <w:lang w:val="fr-CA" w:eastAsia="zh-CN"/>
              </w:rPr>
              <w:t>1 poste d’administrateur équivalent plein temps (50 % en nature)</w:t>
            </w:r>
          </w:p>
        </w:tc>
        <w:tc>
          <w:tcPr>
            <w:tcW w:w="956" w:type="dxa"/>
            <w:tcBorders>
              <w:bottom w:val="single" w:sz="4" w:space="0" w:color="auto"/>
            </w:tcBorders>
            <w:shd w:val="clear" w:color="auto" w:fill="auto"/>
          </w:tcPr>
          <w:p w:rsidR="00B9638E" w:rsidRPr="00C84061" w:rsidRDefault="00B9638E" w:rsidP="00006227">
            <w:pPr>
              <w:pStyle w:val="Normal-pool"/>
              <w:jc w:val="right"/>
              <w:rPr>
                <w:rFonts w:eastAsia="SimSun"/>
                <w:sz w:val="18"/>
                <w:szCs w:val="18"/>
                <w:lang w:val="fr-CA" w:eastAsia="zh-CN"/>
              </w:rPr>
            </w:pPr>
            <w:r>
              <w:rPr>
                <w:rFonts w:eastAsia="SimSun"/>
                <w:sz w:val="18"/>
                <w:szCs w:val="18"/>
                <w:lang w:val="fr-CA" w:eastAsia="zh-CN"/>
              </w:rPr>
              <w:t>75 0</w:t>
            </w:r>
            <w:r w:rsidRPr="00C84061">
              <w:rPr>
                <w:rFonts w:eastAsia="SimSun"/>
                <w:sz w:val="18"/>
                <w:szCs w:val="18"/>
                <w:lang w:val="fr-CA" w:eastAsia="zh-CN"/>
              </w:rPr>
              <w:t>00</w:t>
            </w:r>
          </w:p>
        </w:tc>
      </w:tr>
      <w:tr w:rsidR="001021EE" w:rsidRPr="00C84061" w:rsidTr="00D077C3">
        <w:trPr>
          <w:trHeight w:val="317"/>
          <w:jc w:val="right"/>
        </w:trPr>
        <w:tc>
          <w:tcPr>
            <w:tcW w:w="1054" w:type="dxa"/>
            <w:vMerge w:val="restart"/>
            <w:shd w:val="clear" w:color="auto" w:fill="auto"/>
            <w:vAlign w:val="center"/>
          </w:tcPr>
          <w:p w:rsidR="001021EE" w:rsidRPr="00C84061" w:rsidRDefault="007600E6" w:rsidP="009B4830">
            <w:pPr>
              <w:pStyle w:val="Normal-pool"/>
              <w:rPr>
                <w:rFonts w:eastAsia="SimSun"/>
                <w:sz w:val="18"/>
                <w:szCs w:val="18"/>
                <w:lang w:val="fr-CA" w:eastAsia="zh-CN"/>
              </w:rPr>
            </w:pPr>
            <w:r>
              <w:rPr>
                <w:rFonts w:eastAsia="SimSun"/>
                <w:sz w:val="18"/>
                <w:szCs w:val="18"/>
                <w:lang w:val="fr-CA" w:eastAsia="zh-CN"/>
              </w:rPr>
              <w:t>2016</w:t>
            </w:r>
          </w:p>
        </w:tc>
        <w:tc>
          <w:tcPr>
            <w:tcW w:w="3532" w:type="dxa"/>
            <w:shd w:val="clear" w:color="auto" w:fill="auto"/>
            <w:vAlign w:val="center"/>
          </w:tcPr>
          <w:p w:rsidR="001021EE" w:rsidRPr="00C84061" w:rsidRDefault="001021EE" w:rsidP="007600E6">
            <w:pPr>
              <w:pStyle w:val="Normal-pool"/>
              <w:rPr>
                <w:rFonts w:eastAsia="SimSun"/>
                <w:sz w:val="18"/>
                <w:szCs w:val="18"/>
                <w:lang w:val="fr-CA" w:eastAsia="zh-CN"/>
              </w:rPr>
            </w:pPr>
            <w:r w:rsidRPr="00C84061">
              <w:rPr>
                <w:rFonts w:eastAsia="SimSun"/>
                <w:sz w:val="18"/>
                <w:szCs w:val="18"/>
                <w:lang w:val="fr-CA" w:eastAsia="zh-CN"/>
              </w:rPr>
              <w:t>Participation de deux coprésidents et de deux auteurs coordonnateurs principaux</w:t>
            </w:r>
            <w:r w:rsidR="007600E6">
              <w:rPr>
                <w:rFonts w:eastAsia="SimSun"/>
                <w:sz w:val="18"/>
                <w:szCs w:val="18"/>
                <w:lang w:val="fr-CA" w:eastAsia="zh-CN"/>
              </w:rPr>
              <w:t xml:space="preserve"> </w:t>
            </w:r>
            <w:r w:rsidR="007600E6" w:rsidRPr="00C84061">
              <w:rPr>
                <w:rFonts w:eastAsia="SimSun"/>
                <w:sz w:val="18"/>
                <w:szCs w:val="18"/>
                <w:lang w:val="fr-CA" w:eastAsia="zh-CN"/>
              </w:rPr>
              <w:t xml:space="preserve">à la </w:t>
            </w:r>
            <w:r w:rsidR="007600E6">
              <w:rPr>
                <w:rFonts w:eastAsia="SimSun"/>
                <w:sz w:val="18"/>
                <w:szCs w:val="18"/>
                <w:lang w:val="fr-CA" w:eastAsia="zh-CN"/>
              </w:rPr>
              <w:t>quatrième</w:t>
            </w:r>
            <w:r w:rsidR="007600E6" w:rsidRPr="00C84061">
              <w:rPr>
                <w:rFonts w:eastAsia="SimSun"/>
                <w:sz w:val="18"/>
                <w:szCs w:val="18"/>
                <w:lang w:val="fr-CA" w:eastAsia="zh-CN"/>
              </w:rPr>
              <w:t xml:space="preserve"> session </w:t>
            </w:r>
            <w:r w:rsidR="007600E6">
              <w:rPr>
                <w:rFonts w:eastAsia="SimSun"/>
                <w:sz w:val="18"/>
                <w:szCs w:val="18"/>
                <w:lang w:val="fr-CA" w:eastAsia="zh-CN"/>
              </w:rPr>
              <w:t>de la</w:t>
            </w:r>
            <w:r w:rsidR="007600E6" w:rsidRPr="00C84061">
              <w:rPr>
                <w:rFonts w:eastAsia="SimSun"/>
                <w:sz w:val="18"/>
                <w:szCs w:val="18"/>
                <w:lang w:val="fr-CA" w:eastAsia="zh-CN"/>
              </w:rPr>
              <w:t xml:space="preserve"> Plénière</w:t>
            </w:r>
          </w:p>
        </w:tc>
        <w:tc>
          <w:tcPr>
            <w:tcW w:w="3119" w:type="dxa"/>
            <w:shd w:val="clear" w:color="auto" w:fill="auto"/>
          </w:tcPr>
          <w:p w:rsidR="001021EE" w:rsidRPr="00C84061" w:rsidRDefault="00692F3A" w:rsidP="00006227">
            <w:pPr>
              <w:pStyle w:val="Normal-pool"/>
              <w:rPr>
                <w:rFonts w:eastAsia="SimSun"/>
                <w:sz w:val="18"/>
                <w:szCs w:val="18"/>
                <w:lang w:val="fr-CA" w:eastAsia="zh-CN"/>
              </w:rPr>
            </w:pPr>
            <w:r>
              <w:rPr>
                <w:rFonts w:eastAsia="SimSun"/>
                <w:sz w:val="18"/>
                <w:szCs w:val="18"/>
                <w:lang w:val="fr-CA" w:eastAsia="zh-CN"/>
              </w:rPr>
              <w:t>Voyages et indemnités journalières</w:t>
            </w:r>
            <w:r w:rsidR="001021EE" w:rsidRPr="00C84061">
              <w:rPr>
                <w:rFonts w:eastAsia="SimSun"/>
                <w:sz w:val="18"/>
                <w:szCs w:val="18"/>
                <w:lang w:val="fr-CA" w:eastAsia="zh-CN"/>
              </w:rPr>
              <w:t xml:space="preserve"> de subsistance (3 x 3 000 dollars)</w:t>
            </w:r>
          </w:p>
        </w:tc>
        <w:tc>
          <w:tcPr>
            <w:tcW w:w="956" w:type="dxa"/>
            <w:shd w:val="clear" w:color="auto" w:fill="auto"/>
          </w:tcPr>
          <w:p w:rsidR="001021EE" w:rsidRPr="00C84061" w:rsidRDefault="001021EE" w:rsidP="00006227">
            <w:pPr>
              <w:pStyle w:val="Normal-pool"/>
              <w:jc w:val="right"/>
              <w:rPr>
                <w:rFonts w:eastAsia="SimSun"/>
                <w:sz w:val="18"/>
                <w:szCs w:val="18"/>
                <w:lang w:val="fr-CA" w:eastAsia="zh-CN"/>
              </w:rPr>
            </w:pPr>
            <w:r w:rsidRPr="00C84061">
              <w:rPr>
                <w:rFonts w:eastAsia="SimSun"/>
                <w:sz w:val="18"/>
                <w:szCs w:val="18"/>
                <w:lang w:val="fr-CA" w:eastAsia="zh-CN"/>
              </w:rPr>
              <w:t>9 000</w:t>
            </w:r>
          </w:p>
        </w:tc>
      </w:tr>
      <w:tr w:rsidR="001021EE" w:rsidRPr="00C84061" w:rsidDel="001E184E" w:rsidTr="00D077C3">
        <w:trPr>
          <w:trHeight w:val="560"/>
          <w:jc w:val="right"/>
        </w:trPr>
        <w:tc>
          <w:tcPr>
            <w:tcW w:w="1054" w:type="dxa"/>
            <w:vMerge/>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shd w:val="clear" w:color="auto" w:fill="auto"/>
          </w:tcPr>
          <w:p w:rsidR="001021EE" w:rsidRPr="00C84061" w:rsidRDefault="001021EE" w:rsidP="00EA02AA">
            <w:pPr>
              <w:pStyle w:val="Normal-pool"/>
              <w:rPr>
                <w:rFonts w:eastAsia="SimSun"/>
                <w:b/>
                <w:sz w:val="18"/>
                <w:szCs w:val="18"/>
                <w:lang w:val="fr-CA" w:eastAsia="zh-CN"/>
              </w:rPr>
            </w:pPr>
            <w:r w:rsidRPr="00C84061">
              <w:rPr>
                <w:rFonts w:eastAsia="SimSun"/>
                <w:sz w:val="18"/>
                <w:szCs w:val="18"/>
                <w:lang w:val="fr-CA" w:eastAsia="zh-CN"/>
              </w:rPr>
              <w:t xml:space="preserve">Diffusion </w:t>
            </w:r>
            <w:r w:rsidR="00EA02AA">
              <w:rPr>
                <w:rFonts w:eastAsia="SimSun"/>
                <w:sz w:val="18"/>
                <w:szCs w:val="18"/>
                <w:lang w:val="fr-CA" w:eastAsia="zh-CN"/>
              </w:rPr>
              <w:t xml:space="preserve">et </w:t>
            </w:r>
            <w:r w:rsidR="00EA02AA" w:rsidRPr="00C84061">
              <w:rPr>
                <w:rFonts w:eastAsia="SimSun"/>
                <w:sz w:val="18"/>
                <w:szCs w:val="18"/>
                <w:lang w:val="fr-CA" w:eastAsia="zh-CN"/>
              </w:rPr>
              <w:t xml:space="preserve">activités de sensibilisation </w:t>
            </w:r>
            <w:r w:rsidRPr="00C84061">
              <w:rPr>
                <w:rFonts w:eastAsia="SimSun"/>
                <w:sz w:val="18"/>
                <w:szCs w:val="18"/>
                <w:lang w:val="fr-CA" w:eastAsia="zh-CN"/>
              </w:rPr>
              <w:t xml:space="preserve">(résumé à l’intention des décideurs </w:t>
            </w:r>
            <w:r w:rsidR="00EA02AA">
              <w:rPr>
                <w:rFonts w:eastAsia="SimSun"/>
                <w:sz w:val="18"/>
                <w:szCs w:val="18"/>
                <w:lang w:val="fr-CA" w:eastAsia="zh-CN"/>
              </w:rPr>
              <w:t>(1</w:t>
            </w:r>
            <w:r w:rsidRPr="00C84061">
              <w:rPr>
                <w:rFonts w:eastAsia="SimSun"/>
                <w:sz w:val="18"/>
                <w:szCs w:val="18"/>
                <w:lang w:val="fr-CA" w:eastAsia="zh-CN"/>
              </w:rPr>
              <w:t>0 pages</w:t>
            </w:r>
            <w:r w:rsidR="00EA02AA">
              <w:rPr>
                <w:rFonts w:eastAsia="SimSun"/>
                <w:sz w:val="18"/>
                <w:szCs w:val="18"/>
                <w:lang w:val="fr-CA" w:eastAsia="zh-CN"/>
              </w:rPr>
              <w:t>) et rapport principal (200 pages</w:t>
            </w:r>
            <w:r w:rsidRPr="00C84061">
              <w:rPr>
                <w:rFonts w:eastAsia="SimSun"/>
                <w:sz w:val="18"/>
                <w:szCs w:val="18"/>
                <w:lang w:val="fr-CA" w:eastAsia="zh-CN"/>
              </w:rPr>
              <w:t xml:space="preserve">) </w:t>
            </w:r>
          </w:p>
        </w:tc>
        <w:tc>
          <w:tcPr>
            <w:tcW w:w="3119" w:type="dxa"/>
            <w:shd w:val="clear" w:color="auto" w:fill="auto"/>
          </w:tcPr>
          <w:p w:rsidR="001021EE" w:rsidRPr="00C84061" w:rsidRDefault="001021EE" w:rsidP="002800FD">
            <w:pPr>
              <w:pStyle w:val="Normal-pool"/>
              <w:rPr>
                <w:rFonts w:eastAsia="SimSun"/>
                <w:sz w:val="18"/>
                <w:szCs w:val="18"/>
                <w:lang w:val="fr-CA" w:eastAsia="zh-CN"/>
              </w:rPr>
            </w:pPr>
            <w:r w:rsidRPr="00C84061">
              <w:rPr>
                <w:rFonts w:eastAsia="SimSun"/>
                <w:sz w:val="18"/>
                <w:szCs w:val="18"/>
                <w:lang w:val="fr-CA" w:eastAsia="zh-CN"/>
              </w:rPr>
              <w:t>Traduction du résumé à l’intention des décideurs dans les six langues officielles de l’ONU, publication</w:t>
            </w:r>
            <w:r w:rsidR="002800FD">
              <w:rPr>
                <w:rFonts w:eastAsia="SimSun"/>
                <w:sz w:val="18"/>
                <w:szCs w:val="18"/>
                <w:lang w:val="fr-CA" w:eastAsia="zh-CN"/>
              </w:rPr>
              <w:t xml:space="preserve"> et</w:t>
            </w:r>
            <w:r w:rsidRPr="00C84061">
              <w:rPr>
                <w:rFonts w:eastAsia="SimSun"/>
                <w:sz w:val="18"/>
                <w:szCs w:val="18"/>
                <w:lang w:val="fr-CA" w:eastAsia="zh-CN"/>
              </w:rPr>
              <w:t xml:space="preserve"> activités de sensibilisation</w:t>
            </w:r>
          </w:p>
        </w:tc>
        <w:tc>
          <w:tcPr>
            <w:tcW w:w="956" w:type="dxa"/>
            <w:shd w:val="clear" w:color="auto" w:fill="auto"/>
          </w:tcPr>
          <w:p w:rsidR="001021EE" w:rsidRPr="00C84061" w:rsidDel="001E184E" w:rsidRDefault="001021EE" w:rsidP="00006227">
            <w:pPr>
              <w:pStyle w:val="Normal-pool"/>
              <w:jc w:val="right"/>
              <w:rPr>
                <w:rFonts w:eastAsia="SimSun"/>
                <w:sz w:val="18"/>
                <w:szCs w:val="18"/>
                <w:lang w:val="fr-CA" w:eastAsia="zh-CN"/>
              </w:rPr>
            </w:pPr>
            <w:r w:rsidRPr="00C84061">
              <w:rPr>
                <w:rFonts w:eastAsia="SimSun"/>
                <w:sz w:val="18"/>
                <w:szCs w:val="18"/>
                <w:lang w:val="fr-CA" w:eastAsia="zh-CN"/>
              </w:rPr>
              <w:t>117 000</w:t>
            </w:r>
          </w:p>
        </w:tc>
      </w:tr>
      <w:tr w:rsidR="001021EE" w:rsidRPr="00C84061" w:rsidTr="00D077C3">
        <w:trPr>
          <w:jc w:val="right"/>
        </w:trPr>
        <w:tc>
          <w:tcPr>
            <w:tcW w:w="1054" w:type="dxa"/>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b/>
                <w:sz w:val="18"/>
                <w:szCs w:val="18"/>
                <w:lang w:val="fr-CA" w:eastAsia="zh-CN"/>
              </w:rPr>
            </w:pPr>
            <w:r w:rsidRPr="00C84061">
              <w:rPr>
                <w:rFonts w:ascii="Times New Roman" w:eastAsia="SimSun" w:hAnsi="Times New Roman"/>
                <w:b/>
                <w:sz w:val="18"/>
                <w:szCs w:val="18"/>
                <w:lang w:val="fr-CA" w:eastAsia="zh-CN"/>
              </w:rPr>
              <w:t>Total</w:t>
            </w:r>
          </w:p>
        </w:tc>
        <w:tc>
          <w:tcPr>
            <w:tcW w:w="3532" w:type="dxa"/>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956" w:type="dxa"/>
            <w:shd w:val="clear" w:color="auto" w:fill="auto"/>
          </w:tcPr>
          <w:p w:rsidR="001021EE" w:rsidRPr="00C84061" w:rsidRDefault="00373071" w:rsidP="00006227">
            <w:pPr>
              <w:pStyle w:val="ColorfulList-Accent1"/>
              <w:tabs>
                <w:tab w:val="left" w:pos="426"/>
              </w:tabs>
              <w:autoSpaceDE w:val="0"/>
              <w:autoSpaceDN w:val="0"/>
              <w:adjustRightInd w:val="0"/>
              <w:spacing w:before="60" w:after="60" w:line="240" w:lineRule="auto"/>
              <w:ind w:left="0"/>
              <w:contextualSpacing w:val="0"/>
              <w:jc w:val="right"/>
              <w:rPr>
                <w:rFonts w:ascii="Times New Roman" w:eastAsia="SimSun" w:hAnsi="Times New Roman"/>
                <w:b/>
                <w:sz w:val="18"/>
                <w:szCs w:val="18"/>
                <w:lang w:val="fr-CA" w:eastAsia="zh-CN"/>
              </w:rPr>
            </w:pPr>
            <w:r>
              <w:rPr>
                <w:rFonts w:ascii="Times New Roman" w:eastAsia="SimSun" w:hAnsi="Times New Roman"/>
                <w:b/>
                <w:sz w:val="18"/>
                <w:szCs w:val="18"/>
                <w:lang w:val="fr-CA" w:eastAsia="zh-CN"/>
              </w:rPr>
              <w:t>1 071 75</w:t>
            </w:r>
            <w:r w:rsidR="001021EE" w:rsidRPr="00C84061">
              <w:rPr>
                <w:rFonts w:ascii="Times New Roman" w:eastAsia="SimSun" w:hAnsi="Times New Roman"/>
                <w:b/>
                <w:sz w:val="18"/>
                <w:szCs w:val="18"/>
                <w:lang w:val="fr-CA" w:eastAsia="zh-CN"/>
              </w:rPr>
              <w:t>0</w:t>
            </w:r>
          </w:p>
        </w:tc>
      </w:tr>
    </w:tbl>
    <w:p w:rsidR="000A7562" w:rsidRPr="00C84061" w:rsidRDefault="000A7562" w:rsidP="00D650CD">
      <w:pPr>
        <w:pStyle w:val="Normal-pool"/>
        <w:rPr>
          <w:lang w:val="fr-CA"/>
        </w:rPr>
      </w:pPr>
    </w:p>
    <w:tbl>
      <w:tblPr>
        <w:tblW w:w="0" w:type="auto"/>
        <w:tblLook w:val="01E0"/>
      </w:tblPr>
      <w:tblGrid>
        <w:gridCol w:w="3237"/>
        <w:gridCol w:w="3237"/>
        <w:gridCol w:w="3238"/>
      </w:tblGrid>
      <w:tr w:rsidR="000A7562" w:rsidRPr="00C84061" w:rsidTr="00E863CA">
        <w:tc>
          <w:tcPr>
            <w:tcW w:w="3237" w:type="dxa"/>
          </w:tcPr>
          <w:p w:rsidR="000A7562" w:rsidRPr="00C84061" w:rsidRDefault="000A7562" w:rsidP="00D650CD">
            <w:pPr>
              <w:pStyle w:val="Normal-pool"/>
              <w:rPr>
                <w:lang w:val="fr-CA"/>
              </w:rPr>
            </w:pPr>
          </w:p>
        </w:tc>
        <w:tc>
          <w:tcPr>
            <w:tcW w:w="3237" w:type="dxa"/>
            <w:tcBorders>
              <w:bottom w:val="single" w:sz="4" w:space="0" w:color="auto"/>
            </w:tcBorders>
          </w:tcPr>
          <w:p w:rsidR="000A7562" w:rsidRPr="00C84061" w:rsidRDefault="000A7562" w:rsidP="00D650CD">
            <w:pPr>
              <w:pStyle w:val="Normal-pool"/>
              <w:rPr>
                <w:lang w:val="fr-CA"/>
              </w:rPr>
            </w:pPr>
          </w:p>
        </w:tc>
        <w:tc>
          <w:tcPr>
            <w:tcW w:w="3238" w:type="dxa"/>
          </w:tcPr>
          <w:p w:rsidR="000A7562" w:rsidRPr="00C84061" w:rsidRDefault="000A7562" w:rsidP="00D650CD">
            <w:pPr>
              <w:pStyle w:val="Normal-pool"/>
              <w:rPr>
                <w:lang w:val="fr-CA"/>
              </w:rPr>
            </w:pPr>
          </w:p>
        </w:tc>
      </w:tr>
    </w:tbl>
    <w:p w:rsidR="000A7562" w:rsidRPr="00C84061" w:rsidRDefault="000A7562" w:rsidP="00D650CD">
      <w:pPr>
        <w:pStyle w:val="Normal-pool"/>
        <w:rPr>
          <w:lang w:val="fr-CA"/>
        </w:rPr>
      </w:pPr>
    </w:p>
    <w:sectPr w:rsidR="000A7562" w:rsidRPr="00C84061" w:rsidSect="00896512">
      <w:headerReference w:type="even" r:id="rId11"/>
      <w:headerReference w:type="default" r:id="rId12"/>
      <w:footerReference w:type="even" r:id="rId13"/>
      <w:footerReference w:type="default" r:id="rId14"/>
      <w:headerReference w:type="first" r:id="rId15"/>
      <w:footerReference w:type="first" r:id="rId16"/>
      <w:pgSz w:w="12240" w:h="15840" w:code="1"/>
      <w:pgMar w:top="907" w:right="992" w:bottom="1418" w:left="1418" w:header="53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E6" w:rsidRDefault="005319E6" w:rsidP="000A7562">
      <w:r>
        <w:separator/>
      </w:r>
    </w:p>
  </w:endnote>
  <w:endnote w:type="continuationSeparator" w:id="0">
    <w:p w:rsidR="005319E6" w:rsidRDefault="005319E6" w:rsidP="000A7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0" w:rsidRPr="00896512" w:rsidRDefault="00077D10">
    <w:pPr>
      <w:pStyle w:val="Footer"/>
      <w:rPr>
        <w:b/>
        <w:szCs w:val="18"/>
      </w:rPr>
    </w:pPr>
    <w:r w:rsidRPr="00896512">
      <w:rPr>
        <w:b/>
        <w:szCs w:val="18"/>
      </w:rPr>
      <w:fldChar w:fldCharType="begin"/>
    </w:r>
    <w:r w:rsidRPr="00896512">
      <w:rPr>
        <w:b/>
        <w:szCs w:val="18"/>
      </w:rPr>
      <w:instrText xml:space="preserve"> PAGE   \* MERGEFORMAT </w:instrText>
    </w:r>
    <w:r w:rsidRPr="00896512">
      <w:rPr>
        <w:b/>
        <w:szCs w:val="18"/>
      </w:rPr>
      <w:fldChar w:fldCharType="separate"/>
    </w:r>
    <w:r w:rsidR="00CD2AE9">
      <w:rPr>
        <w:b/>
        <w:noProof/>
        <w:szCs w:val="18"/>
      </w:rPr>
      <w:t>6</w:t>
    </w:r>
    <w:r w:rsidRPr="00896512">
      <w:rPr>
        <w:b/>
        <w:noProof/>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0" w:rsidRPr="00896512" w:rsidRDefault="00077D10" w:rsidP="00896512">
    <w:pPr>
      <w:pStyle w:val="Footer"/>
      <w:jc w:val="right"/>
      <w:rPr>
        <w:b/>
      </w:rPr>
    </w:pPr>
    <w:r w:rsidRPr="00896512">
      <w:rPr>
        <w:b/>
      </w:rPr>
      <w:fldChar w:fldCharType="begin"/>
    </w:r>
    <w:r w:rsidRPr="00896512">
      <w:rPr>
        <w:b/>
      </w:rPr>
      <w:instrText xml:space="preserve"> PAGE   \* MERGEFORMAT </w:instrText>
    </w:r>
    <w:r w:rsidRPr="00896512">
      <w:rPr>
        <w:b/>
      </w:rPr>
      <w:fldChar w:fldCharType="separate"/>
    </w:r>
    <w:r w:rsidR="00CD2AE9">
      <w:rPr>
        <w:b/>
        <w:noProof/>
      </w:rPr>
      <w:t>7</w:t>
    </w:r>
    <w:r w:rsidRPr="00896512">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0" w:rsidRDefault="00BD65F1" w:rsidP="00901758">
    <w:pPr>
      <w:pStyle w:val="Footer"/>
      <w:tabs>
        <w:tab w:val="clear" w:pos="4320"/>
        <w:tab w:val="clear" w:pos="8640"/>
        <w:tab w:val="left" w:pos="624"/>
      </w:tabs>
    </w:pPr>
    <w:r>
      <w:t>K1353293</w:t>
    </w:r>
    <w:r>
      <w:tab/>
      <w:t>12</w:t>
    </w:r>
    <w:r w:rsidR="00077D10">
      <w:t>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E6" w:rsidRDefault="005319E6" w:rsidP="00D650CD">
      <w:pPr>
        <w:spacing w:after="120"/>
        <w:ind w:left="624"/>
      </w:pPr>
      <w:r>
        <w:separator/>
      </w:r>
    </w:p>
  </w:footnote>
  <w:footnote w:type="continuationSeparator" w:id="0">
    <w:p w:rsidR="005319E6" w:rsidRDefault="005319E6" w:rsidP="000A7562">
      <w:r>
        <w:continuationSeparator/>
      </w:r>
    </w:p>
  </w:footnote>
  <w:footnote w:id="1">
    <w:p w:rsidR="00077D10" w:rsidRPr="0075676A" w:rsidRDefault="00077D10" w:rsidP="000A7562">
      <w:pPr>
        <w:pStyle w:val="FootnoteText"/>
        <w:rPr>
          <w:szCs w:val="18"/>
          <w:lang w:val="fr-FR"/>
        </w:rPr>
      </w:pPr>
      <w:r w:rsidRPr="00D650CD">
        <w:rPr>
          <w:rStyle w:val="FootnoteReference"/>
          <w:sz w:val="18"/>
        </w:rPr>
        <w:sym w:font="Symbol" w:char="F02A"/>
      </w:r>
      <w:r w:rsidRPr="00D650CD">
        <w:rPr>
          <w:szCs w:val="18"/>
        </w:rPr>
        <w:t xml:space="preserve"> IPBES/</w:t>
      </w:r>
      <w:r w:rsidRPr="00D650CD">
        <w:rPr>
          <w:szCs w:val="18"/>
          <w:lang w:eastAsia="ja-JP"/>
        </w:rPr>
        <w:t>2/1.</w:t>
      </w:r>
    </w:p>
  </w:footnote>
  <w:footnote w:id="2">
    <w:p w:rsidR="00077D10" w:rsidRPr="00E20E0F" w:rsidRDefault="00077D10">
      <w:pPr>
        <w:pStyle w:val="FootnoteText"/>
        <w:rPr>
          <w:lang w:val="nl-NL"/>
        </w:rPr>
      </w:pPr>
      <w:r>
        <w:rPr>
          <w:rStyle w:val="FootnoteReference"/>
        </w:rPr>
        <w:footnoteRef/>
      </w:r>
      <w:r>
        <w:t xml:space="preserve"> Document final de la Conférence des Nations Unies sur le développement durable, tenue à Rio de Janeiro, Brésil, du 20 au 22 juin 2012, intitulé « L’avenir que nous voulons », Résolution 66/288 de l’Assemblée générale, annexe, par. 206. </w:t>
      </w:r>
    </w:p>
  </w:footnote>
  <w:footnote w:id="3">
    <w:p w:rsidR="00077D10" w:rsidRPr="00592335" w:rsidRDefault="00077D10">
      <w:pPr>
        <w:pStyle w:val="FootnoteText"/>
        <w:rPr>
          <w:lang w:val="nl-NL"/>
        </w:rPr>
      </w:pPr>
      <w:r>
        <w:rPr>
          <w:rStyle w:val="FootnoteReference"/>
        </w:rPr>
        <w:footnoteRef/>
      </w:r>
      <w:r w:rsidRPr="0075676A">
        <w:rPr>
          <w:lang w:val="nl-NL"/>
        </w:rPr>
        <w:t xml:space="preserve"> </w:t>
      </w:r>
      <w:r w:rsidRPr="0075676A">
        <w:rPr>
          <w:szCs w:val="18"/>
          <w:lang w:val="nl-NL"/>
        </w:rPr>
        <w:t xml:space="preserve">H. Eswaran, R. Lal, et P. F. Reich, “Land degradation: an overview”, dans </w:t>
      </w:r>
      <w:r w:rsidRPr="0075676A">
        <w:rPr>
          <w:i/>
          <w:szCs w:val="18"/>
          <w:lang w:val="nl-NL"/>
        </w:rPr>
        <w:t>Responses to Land Degradation, Proceedings, Second International Conference on Land Degradation and Desertification</w:t>
      </w:r>
      <w:r w:rsidRPr="0075676A">
        <w:rPr>
          <w:szCs w:val="18"/>
          <w:lang w:val="nl-NL"/>
        </w:rPr>
        <w:t xml:space="preserve"> (2005), disponible au Département américain de l’agriculture, </w:t>
      </w:r>
      <w:hyperlink r:id="rId1" w:history="1">
        <w:r w:rsidRPr="0075676A">
          <w:rPr>
            <w:rStyle w:val="Hyperlink"/>
            <w:sz w:val="18"/>
            <w:szCs w:val="18"/>
            <w:lang w:val="nl-NL"/>
          </w:rPr>
          <w:t>http://soils.usda.gov/use/worldsoils/papers/land-degradation-overview.html</w:t>
        </w:r>
      </w:hyperlink>
      <w:r w:rsidRPr="0075676A">
        <w:rPr>
          <w:szCs w:val="18"/>
          <w:lang w:val="nl-NL"/>
        </w:rPr>
        <w:t xml:space="preserve"> (consulté le 4 octobre 2013).</w:t>
      </w:r>
    </w:p>
  </w:footnote>
  <w:footnote w:id="4">
    <w:p w:rsidR="00077D10" w:rsidRPr="003D2FE5" w:rsidRDefault="00077D10">
      <w:pPr>
        <w:pStyle w:val="FootnoteText"/>
        <w:rPr>
          <w:lang w:val="nl-NL"/>
        </w:rPr>
      </w:pPr>
      <w:r>
        <w:rPr>
          <w:rStyle w:val="FootnoteReference"/>
        </w:rPr>
        <w:footnoteRef/>
      </w:r>
      <w:r w:rsidRPr="0075676A">
        <w:rPr>
          <w:lang w:val="en-US"/>
        </w:rPr>
        <w:t xml:space="preserve"> </w:t>
      </w:r>
      <w:r w:rsidRPr="0075676A">
        <w:rPr>
          <w:szCs w:val="18"/>
          <w:lang w:val="en-US"/>
        </w:rPr>
        <w:t xml:space="preserve">H. J. </w:t>
      </w:r>
      <w:r w:rsidRPr="00EA0290">
        <w:rPr>
          <w:szCs w:val="18"/>
          <w:lang w:val="en-US"/>
        </w:rPr>
        <w:t xml:space="preserve">Geist. </w:t>
      </w:r>
      <w:r>
        <w:rPr>
          <w:szCs w:val="18"/>
          <w:lang w:val="en-US"/>
        </w:rPr>
        <w:t>et</w:t>
      </w:r>
      <w:r w:rsidRPr="00EA0290">
        <w:rPr>
          <w:szCs w:val="18"/>
          <w:lang w:val="en-US"/>
        </w:rPr>
        <w:t xml:space="preserve"> E. F. Lambin, “Proximate causes and underlying driving forces of tropical deforestation”, </w:t>
      </w:r>
      <w:r w:rsidRPr="00EA0290">
        <w:rPr>
          <w:i/>
          <w:szCs w:val="18"/>
          <w:lang w:val="en-US"/>
        </w:rPr>
        <w:t>BioScience</w:t>
      </w:r>
      <w:r w:rsidRPr="00EA0290">
        <w:rPr>
          <w:szCs w:val="18"/>
          <w:lang w:val="en-US"/>
        </w:rPr>
        <w:t>, vol. 52, no. 2, pp.: 143–150; J.</w:t>
      </w:r>
      <w:r>
        <w:rPr>
          <w:szCs w:val="18"/>
          <w:lang w:val="en-US"/>
        </w:rPr>
        <w:t xml:space="preserve"> </w:t>
      </w:r>
      <w:r w:rsidRPr="00EA0290">
        <w:rPr>
          <w:szCs w:val="18"/>
          <w:lang w:val="en-US"/>
        </w:rPr>
        <w:t xml:space="preserve">F. Reynolds </w:t>
      </w:r>
      <w:r>
        <w:rPr>
          <w:szCs w:val="18"/>
          <w:lang w:val="en-US"/>
        </w:rPr>
        <w:t>et</w:t>
      </w:r>
      <w:r w:rsidRPr="00EA0290">
        <w:rPr>
          <w:szCs w:val="18"/>
          <w:lang w:val="en-US"/>
        </w:rPr>
        <w:t xml:space="preserve"> D.</w:t>
      </w:r>
      <w:r>
        <w:rPr>
          <w:szCs w:val="18"/>
          <w:lang w:val="en-US"/>
        </w:rPr>
        <w:t xml:space="preserve"> </w:t>
      </w:r>
      <w:r w:rsidRPr="00EA0290">
        <w:rPr>
          <w:szCs w:val="18"/>
          <w:lang w:val="en-US"/>
        </w:rPr>
        <w:t xml:space="preserve">M. Stafford Smith, “Do humans cause deserts?”, </w:t>
      </w:r>
      <w:r>
        <w:rPr>
          <w:szCs w:val="18"/>
          <w:lang w:val="en-US"/>
        </w:rPr>
        <w:t>dans</w:t>
      </w:r>
      <w:r w:rsidRPr="00EA0290">
        <w:rPr>
          <w:szCs w:val="18"/>
          <w:lang w:val="en-US"/>
        </w:rPr>
        <w:t xml:space="preserve"> J.F.</w:t>
      </w:r>
      <w:r>
        <w:rPr>
          <w:szCs w:val="18"/>
          <w:lang w:val="en-US"/>
        </w:rPr>
        <w:t> </w:t>
      </w:r>
      <w:r w:rsidRPr="00EA0290">
        <w:rPr>
          <w:szCs w:val="18"/>
          <w:lang w:val="en-US"/>
        </w:rPr>
        <w:t xml:space="preserve">Reynolds </w:t>
      </w:r>
      <w:r>
        <w:rPr>
          <w:szCs w:val="18"/>
          <w:lang w:val="en-US"/>
        </w:rPr>
        <w:t>et</w:t>
      </w:r>
      <w:r w:rsidRPr="00EA0290">
        <w:rPr>
          <w:szCs w:val="18"/>
          <w:lang w:val="en-US"/>
        </w:rPr>
        <w:t xml:space="preserve"> D.M. Stafford Smith, eds., </w:t>
      </w:r>
      <w:r w:rsidRPr="00EA0290">
        <w:rPr>
          <w:i/>
          <w:szCs w:val="18"/>
          <w:lang w:val="en-US"/>
        </w:rPr>
        <w:t>Global Desertification: Do Humans Cause Deserts? (</w:t>
      </w:r>
      <w:r w:rsidRPr="00EA0290">
        <w:rPr>
          <w:szCs w:val="18"/>
          <w:lang w:val="en-US"/>
        </w:rPr>
        <w:t>Da</w:t>
      </w:r>
      <w:r>
        <w:rPr>
          <w:szCs w:val="18"/>
          <w:lang w:val="en-US"/>
        </w:rPr>
        <w:t>hlem University Press 2002); D. </w:t>
      </w:r>
      <w:r w:rsidRPr="00EA0290">
        <w:rPr>
          <w:szCs w:val="18"/>
          <w:lang w:val="en-US"/>
        </w:rPr>
        <w:t>Sietz, M.K.B</w:t>
      </w:r>
      <w:r>
        <w:rPr>
          <w:szCs w:val="18"/>
          <w:lang w:val="en-US"/>
        </w:rPr>
        <w:t>.</w:t>
      </w:r>
      <w:r w:rsidRPr="00EA0290">
        <w:rPr>
          <w:szCs w:val="18"/>
          <w:lang w:val="en-US"/>
        </w:rPr>
        <w:t xml:space="preserve"> Lüdeke </w:t>
      </w:r>
      <w:r>
        <w:rPr>
          <w:szCs w:val="18"/>
          <w:lang w:val="en-US"/>
        </w:rPr>
        <w:t>et</w:t>
      </w:r>
      <w:r w:rsidRPr="00EA0290">
        <w:rPr>
          <w:szCs w:val="18"/>
          <w:lang w:val="en-US"/>
        </w:rPr>
        <w:t xml:space="preserve"> C. Walther, “Categorization of typical vulnerability patterns in global drylands”, </w:t>
      </w:r>
      <w:r w:rsidRPr="00EA0290">
        <w:rPr>
          <w:i/>
          <w:szCs w:val="18"/>
          <w:lang w:val="en-US"/>
        </w:rPr>
        <w:t>Global Environmental Change</w:t>
      </w:r>
      <w:r w:rsidRPr="00EA0290">
        <w:rPr>
          <w:szCs w:val="18"/>
          <w:lang w:val="en-US"/>
        </w:rPr>
        <w:t xml:space="preserve">, vol. 21, </w:t>
      </w:r>
      <w:r>
        <w:rPr>
          <w:szCs w:val="18"/>
          <w:lang w:val="en-US"/>
        </w:rPr>
        <w:t>N</w:t>
      </w:r>
      <w:r w:rsidRPr="00EA0290">
        <w:rPr>
          <w:szCs w:val="18"/>
          <w:lang w:val="en-US"/>
        </w:rPr>
        <w:t>o. 2, pp. 431–440.</w:t>
      </w:r>
    </w:p>
  </w:footnote>
  <w:footnote w:id="5">
    <w:p w:rsidR="00077D10" w:rsidRPr="00EA0290" w:rsidRDefault="00077D10" w:rsidP="00B821F3">
      <w:pPr>
        <w:pStyle w:val="FootnoteText"/>
        <w:rPr>
          <w:b/>
          <w:szCs w:val="18"/>
          <w:lang w:val="en-US"/>
        </w:rPr>
      </w:pPr>
      <w:r w:rsidRPr="00EA0290">
        <w:rPr>
          <w:rStyle w:val="FootnoteReference"/>
        </w:rPr>
        <w:footnoteRef/>
      </w:r>
      <w:r w:rsidRPr="0075676A">
        <w:rPr>
          <w:szCs w:val="18"/>
          <w:lang w:val="en-US"/>
        </w:rPr>
        <w:t xml:space="preserve"> M.S. </w:t>
      </w:r>
      <w:r w:rsidRPr="00EA0290">
        <w:rPr>
          <w:lang/>
        </w:rPr>
        <w:t>Reed</w:t>
      </w:r>
      <w:r>
        <w:rPr>
          <w:lang/>
        </w:rPr>
        <w:t xml:space="preserve"> et al.,</w:t>
      </w:r>
      <w:r w:rsidRPr="00EA0290">
        <w:rPr>
          <w:lang/>
        </w:rPr>
        <w:t xml:space="preserve"> </w:t>
      </w:r>
      <w:r>
        <w:rPr>
          <w:lang/>
        </w:rPr>
        <w:t>“</w:t>
      </w:r>
      <w:r w:rsidRPr="00EA0290">
        <w:rPr>
          <w:lang/>
        </w:rPr>
        <w:t>Knowledge management for land degradation monitoring and assessment: an analysis of contemporary thinking</w:t>
      </w:r>
      <w:r>
        <w:rPr>
          <w:lang/>
        </w:rPr>
        <w:t xml:space="preserve">”, </w:t>
      </w:r>
      <w:r w:rsidRPr="00EA0290">
        <w:rPr>
          <w:i/>
          <w:lang/>
        </w:rPr>
        <w:t>Land Degradation and Development</w:t>
      </w:r>
      <w:r>
        <w:rPr>
          <w:lang/>
        </w:rPr>
        <w:t>, vol.</w:t>
      </w:r>
      <w:r w:rsidRPr="00EA0290">
        <w:rPr>
          <w:lang/>
        </w:rPr>
        <w:t xml:space="preserve"> 24</w:t>
      </w:r>
      <w:r>
        <w:rPr>
          <w:lang/>
        </w:rPr>
        <w:t>, pp.</w:t>
      </w:r>
      <w:r w:rsidRPr="00EA0290">
        <w:rPr>
          <w:lang/>
        </w:rPr>
        <w:t xml:space="preserve"> 307–322</w:t>
      </w:r>
      <w:r>
        <w:rPr>
          <w:lang/>
        </w:rPr>
        <w:t xml:space="preserve"> (2013)</w:t>
      </w:r>
      <w:r w:rsidRPr="00EA0290">
        <w:rPr>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0" w:rsidRPr="000A7562" w:rsidRDefault="00077D10">
    <w:pPr>
      <w:pStyle w:val="Header"/>
      <w:rPr>
        <w:szCs w:val="18"/>
      </w:rPr>
    </w:pPr>
    <w:r w:rsidRPr="000A7562">
      <w:rPr>
        <w:szCs w:val="18"/>
      </w:rPr>
      <w:t>IPBES</w:t>
    </w:r>
    <w:r w:rsidRPr="000A7562">
      <w:rPr>
        <w:szCs w:val="18"/>
        <w:lang w:eastAsia="ja-JP"/>
      </w:rPr>
      <w:t>/2/</w:t>
    </w:r>
    <w:r>
      <w:rPr>
        <w:szCs w:val="18"/>
        <w:lang w:eastAsia="ja-JP"/>
      </w:rPr>
      <w:t>16/Add.2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0" w:rsidRPr="00901758" w:rsidRDefault="00077D10" w:rsidP="00901758">
    <w:pPr>
      <w:pStyle w:val="Header"/>
      <w:jc w:val="right"/>
      <w:rPr>
        <w:szCs w:val="18"/>
      </w:rPr>
    </w:pPr>
    <w:r w:rsidRPr="000A7562">
      <w:rPr>
        <w:szCs w:val="18"/>
      </w:rPr>
      <w:t>IPBES</w:t>
    </w:r>
    <w:r>
      <w:rPr>
        <w:szCs w:val="18"/>
        <w:lang w:eastAsia="ja-JP"/>
      </w:rPr>
      <w:t>/2/16/Add.2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10" w:rsidRDefault="00077D10" w:rsidP="0089651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669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13C5C"/>
    <w:multiLevelType w:val="hybridMultilevel"/>
    <w:tmpl w:val="B57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A128D"/>
    <w:multiLevelType w:val="hybridMultilevel"/>
    <w:tmpl w:val="BFA481FE"/>
    <w:lvl w:ilvl="0" w:tplc="51323EFC">
      <w:start w:val="1"/>
      <w:numFmt w:val="lowerLetter"/>
      <w:lvlText w:val="%1)"/>
      <w:lvlJc w:val="left"/>
      <w:pPr>
        <w:ind w:left="2387" w:hanging="57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nsid w:val="12877B58"/>
    <w:multiLevelType w:val="hybridMultilevel"/>
    <w:tmpl w:val="BBC04E38"/>
    <w:lvl w:ilvl="0" w:tplc="337EE3E8">
      <w:start w:val="1"/>
      <w:numFmt w:val="lowerLetter"/>
      <w:lvlText w:val="%1)"/>
      <w:lvlJc w:val="left"/>
      <w:pPr>
        <w:ind w:left="2387" w:hanging="57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nsid w:val="14D90EE5"/>
    <w:multiLevelType w:val="hybridMultilevel"/>
    <w:tmpl w:val="2864F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263DB"/>
    <w:multiLevelType w:val="hybridMultilevel"/>
    <w:tmpl w:val="0F78C6C8"/>
    <w:lvl w:ilvl="0" w:tplc="15802056">
      <w:start w:val="1"/>
      <w:numFmt w:val="lowerLetter"/>
      <w:lvlText w:val="%1)"/>
      <w:lvlJc w:val="left"/>
      <w:pPr>
        <w:ind w:left="2387" w:hanging="57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76F0A0F"/>
    <w:multiLevelType w:val="hybridMultilevel"/>
    <w:tmpl w:val="897A714A"/>
    <w:lvl w:ilvl="0" w:tplc="E0862ED8">
      <w:start w:val="1"/>
      <w:numFmt w:val="lowerLetter"/>
      <w:lvlText w:val="%1)"/>
      <w:lvlJc w:val="left"/>
      <w:pPr>
        <w:ind w:left="2387" w:hanging="57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3FF43761"/>
    <w:multiLevelType w:val="hybridMultilevel"/>
    <w:tmpl w:val="C5E0983E"/>
    <w:lvl w:ilvl="0" w:tplc="FC387ABA">
      <w:start w:val="1"/>
      <w:numFmt w:val="lowerLetter"/>
      <w:lvlText w:val="%1)"/>
      <w:lvlJc w:val="left"/>
      <w:pPr>
        <w:ind w:left="2387" w:hanging="57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0">
    <w:nsid w:val="445B21D1"/>
    <w:multiLevelType w:val="hybridMultilevel"/>
    <w:tmpl w:val="A3BE4A60"/>
    <w:lvl w:ilvl="0" w:tplc="D7AED58A">
      <w:start w:val="1"/>
      <w:numFmt w:val="lowerLetter"/>
      <w:lvlText w:val="%1)"/>
      <w:lvlJc w:val="left"/>
      <w:pPr>
        <w:ind w:left="2387" w:hanging="5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11">
    <w:nsid w:val="46754119"/>
    <w:multiLevelType w:val="hybridMultilevel"/>
    <w:tmpl w:val="7B7E2C20"/>
    <w:lvl w:ilvl="0" w:tplc="E21A7D68">
      <w:start w:val="1"/>
      <w:numFmt w:val="lowerLetter"/>
      <w:lvlText w:val="%1)"/>
      <w:lvlJc w:val="left"/>
      <w:pPr>
        <w:ind w:left="2387" w:hanging="57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2">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A663407"/>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6"/>
  </w:num>
  <w:num w:numId="2">
    <w:abstractNumId w:val="8"/>
  </w:num>
  <w:num w:numId="3">
    <w:abstractNumId w:val="12"/>
  </w:num>
  <w:num w:numId="4">
    <w:abstractNumId w:val="14"/>
  </w:num>
  <w:num w:numId="5">
    <w:abstractNumId w:val="6"/>
  </w:num>
  <w:num w:numId="6">
    <w:abstractNumId w:val="8"/>
  </w:num>
  <w:num w:numId="7">
    <w:abstractNumId w:val="12"/>
  </w:num>
  <w:num w:numId="8">
    <w:abstractNumId w:val="14"/>
  </w:num>
  <w:num w:numId="9">
    <w:abstractNumId w:val="4"/>
  </w:num>
  <w:num w:numId="10">
    <w:abstractNumId w:val="1"/>
  </w:num>
  <w:num w:numId="11">
    <w:abstractNumId w:val="0"/>
  </w:num>
  <w:num w:numId="12">
    <w:abstractNumId w:val="10"/>
  </w:num>
  <w:num w:numId="13">
    <w:abstractNumId w:val="13"/>
  </w:num>
  <w:num w:numId="14">
    <w:abstractNumId w:val="7"/>
  </w:num>
  <w:num w:numId="15">
    <w:abstractNumId w:val="2"/>
  </w:num>
  <w:num w:numId="16">
    <w:abstractNumId w:val="9"/>
  </w:num>
  <w:num w:numId="17">
    <w:abstractNumId w:val="11"/>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0008"/>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0A7562"/>
    <w:rsid w:val="0000517F"/>
    <w:rsid w:val="00005783"/>
    <w:rsid w:val="00006227"/>
    <w:rsid w:val="00007B8B"/>
    <w:rsid w:val="00011C9F"/>
    <w:rsid w:val="00021B3F"/>
    <w:rsid w:val="000349D2"/>
    <w:rsid w:val="00034AD3"/>
    <w:rsid w:val="00035FB9"/>
    <w:rsid w:val="000368B6"/>
    <w:rsid w:val="00036F80"/>
    <w:rsid w:val="0004745A"/>
    <w:rsid w:val="00047ED8"/>
    <w:rsid w:val="00053C64"/>
    <w:rsid w:val="00055A38"/>
    <w:rsid w:val="0006160B"/>
    <w:rsid w:val="00063CBC"/>
    <w:rsid w:val="00065DE1"/>
    <w:rsid w:val="00070C08"/>
    <w:rsid w:val="00071287"/>
    <w:rsid w:val="00071D35"/>
    <w:rsid w:val="00074393"/>
    <w:rsid w:val="00077D10"/>
    <w:rsid w:val="00091D4B"/>
    <w:rsid w:val="00092451"/>
    <w:rsid w:val="00095068"/>
    <w:rsid w:val="000A45F9"/>
    <w:rsid w:val="000A7562"/>
    <w:rsid w:val="000B0EC1"/>
    <w:rsid w:val="000B298F"/>
    <w:rsid w:val="000B422E"/>
    <w:rsid w:val="000B7CDC"/>
    <w:rsid w:val="000C67D6"/>
    <w:rsid w:val="000E3325"/>
    <w:rsid w:val="000E46DB"/>
    <w:rsid w:val="000F30FD"/>
    <w:rsid w:val="000F3A2A"/>
    <w:rsid w:val="000F7034"/>
    <w:rsid w:val="001021EE"/>
    <w:rsid w:val="00105C31"/>
    <w:rsid w:val="00111487"/>
    <w:rsid w:val="00126C14"/>
    <w:rsid w:val="0013014F"/>
    <w:rsid w:val="00147DF9"/>
    <w:rsid w:val="00150ED1"/>
    <w:rsid w:val="00157639"/>
    <w:rsid w:val="00171581"/>
    <w:rsid w:val="00172CC5"/>
    <w:rsid w:val="00180E96"/>
    <w:rsid w:val="001872CF"/>
    <w:rsid w:val="001931F8"/>
    <w:rsid w:val="001951AA"/>
    <w:rsid w:val="00195347"/>
    <w:rsid w:val="0019560A"/>
    <w:rsid w:val="00197AE5"/>
    <w:rsid w:val="001A2A8A"/>
    <w:rsid w:val="001A315B"/>
    <w:rsid w:val="001A4BED"/>
    <w:rsid w:val="001A5079"/>
    <w:rsid w:val="001C5E56"/>
    <w:rsid w:val="001D3BBE"/>
    <w:rsid w:val="001D5BDA"/>
    <w:rsid w:val="001E291A"/>
    <w:rsid w:val="001E3CAA"/>
    <w:rsid w:val="001E4172"/>
    <w:rsid w:val="001E433D"/>
    <w:rsid w:val="001E7727"/>
    <w:rsid w:val="001F6691"/>
    <w:rsid w:val="001F730C"/>
    <w:rsid w:val="00205551"/>
    <w:rsid w:val="00207780"/>
    <w:rsid w:val="00207D9F"/>
    <w:rsid w:val="00212FA4"/>
    <w:rsid w:val="00216D5F"/>
    <w:rsid w:val="00222B41"/>
    <w:rsid w:val="00240259"/>
    <w:rsid w:val="00240C7F"/>
    <w:rsid w:val="0024231A"/>
    <w:rsid w:val="00246E85"/>
    <w:rsid w:val="00251D3B"/>
    <w:rsid w:val="0025270E"/>
    <w:rsid w:val="00253717"/>
    <w:rsid w:val="0025595A"/>
    <w:rsid w:val="00266245"/>
    <w:rsid w:val="00266500"/>
    <w:rsid w:val="00267A16"/>
    <w:rsid w:val="0027154C"/>
    <w:rsid w:val="0027208A"/>
    <w:rsid w:val="002800FD"/>
    <w:rsid w:val="00283688"/>
    <w:rsid w:val="002863FB"/>
    <w:rsid w:val="002879C9"/>
    <w:rsid w:val="00290CAC"/>
    <w:rsid w:val="00294AE1"/>
    <w:rsid w:val="002A4343"/>
    <w:rsid w:val="002B2F8C"/>
    <w:rsid w:val="002C3E4B"/>
    <w:rsid w:val="002C5E71"/>
    <w:rsid w:val="002D0F0E"/>
    <w:rsid w:val="002D16D3"/>
    <w:rsid w:val="002D76D2"/>
    <w:rsid w:val="002E14D0"/>
    <w:rsid w:val="002F3599"/>
    <w:rsid w:val="002F3B23"/>
    <w:rsid w:val="002F5C61"/>
    <w:rsid w:val="00301FE9"/>
    <w:rsid w:val="00302001"/>
    <w:rsid w:val="00303514"/>
    <w:rsid w:val="00307EA5"/>
    <w:rsid w:val="0031022F"/>
    <w:rsid w:val="00312266"/>
    <w:rsid w:val="0031744A"/>
    <w:rsid w:val="00323164"/>
    <w:rsid w:val="00324A4B"/>
    <w:rsid w:val="00327C42"/>
    <w:rsid w:val="00335218"/>
    <w:rsid w:val="00340BA9"/>
    <w:rsid w:val="00343DA2"/>
    <w:rsid w:val="003476A4"/>
    <w:rsid w:val="00351C32"/>
    <w:rsid w:val="003529B6"/>
    <w:rsid w:val="003629D0"/>
    <w:rsid w:val="00363BE3"/>
    <w:rsid w:val="0036408C"/>
    <w:rsid w:val="00364E2E"/>
    <w:rsid w:val="00365D6D"/>
    <w:rsid w:val="00367D15"/>
    <w:rsid w:val="00372931"/>
    <w:rsid w:val="00373071"/>
    <w:rsid w:val="00373895"/>
    <w:rsid w:val="00376CBD"/>
    <w:rsid w:val="00385651"/>
    <w:rsid w:val="00391073"/>
    <w:rsid w:val="003929C6"/>
    <w:rsid w:val="003B34B4"/>
    <w:rsid w:val="003B5CBE"/>
    <w:rsid w:val="003B7504"/>
    <w:rsid w:val="003C3321"/>
    <w:rsid w:val="003C76C5"/>
    <w:rsid w:val="003D01F5"/>
    <w:rsid w:val="003D2FE5"/>
    <w:rsid w:val="003D69C4"/>
    <w:rsid w:val="003D7BDB"/>
    <w:rsid w:val="003E76F0"/>
    <w:rsid w:val="003F2572"/>
    <w:rsid w:val="004016CB"/>
    <w:rsid w:val="00412B0B"/>
    <w:rsid w:val="004216E0"/>
    <w:rsid w:val="004319F0"/>
    <w:rsid w:val="0043506B"/>
    <w:rsid w:val="00435EB1"/>
    <w:rsid w:val="004368B0"/>
    <w:rsid w:val="00440599"/>
    <w:rsid w:val="00441480"/>
    <w:rsid w:val="0044188E"/>
    <w:rsid w:val="00444484"/>
    <w:rsid w:val="00446BD4"/>
    <w:rsid w:val="00450B7A"/>
    <w:rsid w:val="00453F2C"/>
    <w:rsid w:val="00466C0B"/>
    <w:rsid w:val="00467E7E"/>
    <w:rsid w:val="00470122"/>
    <w:rsid w:val="00470C7F"/>
    <w:rsid w:val="00471DDC"/>
    <w:rsid w:val="004734FD"/>
    <w:rsid w:val="00473B66"/>
    <w:rsid w:val="00481C24"/>
    <w:rsid w:val="00484F3F"/>
    <w:rsid w:val="0048694B"/>
    <w:rsid w:val="00490004"/>
    <w:rsid w:val="004930B7"/>
    <w:rsid w:val="004940F8"/>
    <w:rsid w:val="004A36F0"/>
    <w:rsid w:val="004A45A8"/>
    <w:rsid w:val="004A494A"/>
    <w:rsid w:val="004B32BD"/>
    <w:rsid w:val="004B471A"/>
    <w:rsid w:val="004B6051"/>
    <w:rsid w:val="004B70C7"/>
    <w:rsid w:val="004C2D15"/>
    <w:rsid w:val="004C5FE6"/>
    <w:rsid w:val="004D0E01"/>
    <w:rsid w:val="004D0FC7"/>
    <w:rsid w:val="004D2CBC"/>
    <w:rsid w:val="004E6453"/>
    <w:rsid w:val="004E7158"/>
    <w:rsid w:val="004E7321"/>
    <w:rsid w:val="004F0BA2"/>
    <w:rsid w:val="004F20E9"/>
    <w:rsid w:val="005043BF"/>
    <w:rsid w:val="005074D5"/>
    <w:rsid w:val="00507914"/>
    <w:rsid w:val="005152CB"/>
    <w:rsid w:val="00526892"/>
    <w:rsid w:val="00531543"/>
    <w:rsid w:val="005319E6"/>
    <w:rsid w:val="00537592"/>
    <w:rsid w:val="00542DF7"/>
    <w:rsid w:val="00543E96"/>
    <w:rsid w:val="005534CC"/>
    <w:rsid w:val="00562CFE"/>
    <w:rsid w:val="00567DF1"/>
    <w:rsid w:val="00571EC5"/>
    <w:rsid w:val="00573A63"/>
    <w:rsid w:val="00575159"/>
    <w:rsid w:val="0057597B"/>
    <w:rsid w:val="005818CC"/>
    <w:rsid w:val="00584294"/>
    <w:rsid w:val="00585127"/>
    <w:rsid w:val="00592335"/>
    <w:rsid w:val="005943B1"/>
    <w:rsid w:val="005A4E0C"/>
    <w:rsid w:val="005A66F6"/>
    <w:rsid w:val="005B2E83"/>
    <w:rsid w:val="005B3195"/>
    <w:rsid w:val="005B3257"/>
    <w:rsid w:val="005B3ED0"/>
    <w:rsid w:val="005B3F5F"/>
    <w:rsid w:val="005D307B"/>
    <w:rsid w:val="005D7F6C"/>
    <w:rsid w:val="005F658E"/>
    <w:rsid w:val="00600443"/>
    <w:rsid w:val="006109D5"/>
    <w:rsid w:val="0061293C"/>
    <w:rsid w:val="0061521A"/>
    <w:rsid w:val="006170F5"/>
    <w:rsid w:val="00617418"/>
    <w:rsid w:val="006206DA"/>
    <w:rsid w:val="006230CB"/>
    <w:rsid w:val="00623109"/>
    <w:rsid w:val="00626151"/>
    <w:rsid w:val="00626212"/>
    <w:rsid w:val="00627711"/>
    <w:rsid w:val="00627EF6"/>
    <w:rsid w:val="00631ECE"/>
    <w:rsid w:val="00632100"/>
    <w:rsid w:val="00632293"/>
    <w:rsid w:val="00632F20"/>
    <w:rsid w:val="00633950"/>
    <w:rsid w:val="00633DC8"/>
    <w:rsid w:val="00634BEB"/>
    <w:rsid w:val="0064461D"/>
    <w:rsid w:val="00646DB7"/>
    <w:rsid w:val="00646FF5"/>
    <w:rsid w:val="006539EC"/>
    <w:rsid w:val="00654D41"/>
    <w:rsid w:val="00655818"/>
    <w:rsid w:val="00664400"/>
    <w:rsid w:val="006666B3"/>
    <w:rsid w:val="006667C0"/>
    <w:rsid w:val="006667F9"/>
    <w:rsid w:val="00680249"/>
    <w:rsid w:val="00682FE8"/>
    <w:rsid w:val="00690924"/>
    <w:rsid w:val="00692F3A"/>
    <w:rsid w:val="006A01DD"/>
    <w:rsid w:val="006A7B6B"/>
    <w:rsid w:val="006B1210"/>
    <w:rsid w:val="006B34F2"/>
    <w:rsid w:val="006D6717"/>
    <w:rsid w:val="006D7D2F"/>
    <w:rsid w:val="006E237B"/>
    <w:rsid w:val="006E534E"/>
    <w:rsid w:val="006E5A69"/>
    <w:rsid w:val="006E7930"/>
    <w:rsid w:val="006F05E5"/>
    <w:rsid w:val="006F2485"/>
    <w:rsid w:val="007025F9"/>
    <w:rsid w:val="00712F17"/>
    <w:rsid w:val="0072210C"/>
    <w:rsid w:val="00722B6B"/>
    <w:rsid w:val="00723F5C"/>
    <w:rsid w:val="00736952"/>
    <w:rsid w:val="00741DF7"/>
    <w:rsid w:val="00742AFD"/>
    <w:rsid w:val="00747B61"/>
    <w:rsid w:val="00752166"/>
    <w:rsid w:val="007525B0"/>
    <w:rsid w:val="00753FFD"/>
    <w:rsid w:val="00755780"/>
    <w:rsid w:val="0075676A"/>
    <w:rsid w:val="007600E6"/>
    <w:rsid w:val="00764EA5"/>
    <w:rsid w:val="00766558"/>
    <w:rsid w:val="00773C5E"/>
    <w:rsid w:val="00780BE3"/>
    <w:rsid w:val="00787076"/>
    <w:rsid w:val="007873F6"/>
    <w:rsid w:val="00787C67"/>
    <w:rsid w:val="00790B0B"/>
    <w:rsid w:val="00791BC3"/>
    <w:rsid w:val="00793CCC"/>
    <w:rsid w:val="00794E88"/>
    <w:rsid w:val="00795048"/>
    <w:rsid w:val="007A073A"/>
    <w:rsid w:val="007A2C8F"/>
    <w:rsid w:val="007B17E9"/>
    <w:rsid w:val="007B3E21"/>
    <w:rsid w:val="007B41CD"/>
    <w:rsid w:val="007B71CD"/>
    <w:rsid w:val="007B7C5A"/>
    <w:rsid w:val="007C0FAE"/>
    <w:rsid w:val="007C2B19"/>
    <w:rsid w:val="007C4A72"/>
    <w:rsid w:val="007D6772"/>
    <w:rsid w:val="007D7E40"/>
    <w:rsid w:val="007E6C75"/>
    <w:rsid w:val="007F06F9"/>
    <w:rsid w:val="007F1F4B"/>
    <w:rsid w:val="007F392C"/>
    <w:rsid w:val="007F3B46"/>
    <w:rsid w:val="007F40E6"/>
    <w:rsid w:val="00807C05"/>
    <w:rsid w:val="00812D8C"/>
    <w:rsid w:val="00822B61"/>
    <w:rsid w:val="008252E4"/>
    <w:rsid w:val="00831447"/>
    <w:rsid w:val="008334EC"/>
    <w:rsid w:val="008346D3"/>
    <w:rsid w:val="008370D2"/>
    <w:rsid w:val="008377C0"/>
    <w:rsid w:val="00843540"/>
    <w:rsid w:val="008452C3"/>
    <w:rsid w:val="00846285"/>
    <w:rsid w:val="008463F7"/>
    <w:rsid w:val="00852380"/>
    <w:rsid w:val="00855BAF"/>
    <w:rsid w:val="0086057D"/>
    <w:rsid w:val="00864705"/>
    <w:rsid w:val="00864E63"/>
    <w:rsid w:val="008700E0"/>
    <w:rsid w:val="00881CFA"/>
    <w:rsid w:val="00883FF2"/>
    <w:rsid w:val="00885489"/>
    <w:rsid w:val="0088633A"/>
    <w:rsid w:val="0089059B"/>
    <w:rsid w:val="00890796"/>
    <w:rsid w:val="00896001"/>
    <w:rsid w:val="00896512"/>
    <w:rsid w:val="008A3671"/>
    <w:rsid w:val="008A65C7"/>
    <w:rsid w:val="008A66B6"/>
    <w:rsid w:val="008B0C31"/>
    <w:rsid w:val="008B3805"/>
    <w:rsid w:val="008B3FEB"/>
    <w:rsid w:val="008C5042"/>
    <w:rsid w:val="008D32BF"/>
    <w:rsid w:val="008D7C36"/>
    <w:rsid w:val="008E1FA1"/>
    <w:rsid w:val="008E4DF4"/>
    <w:rsid w:val="008E5128"/>
    <w:rsid w:val="008E7B8F"/>
    <w:rsid w:val="008F53EC"/>
    <w:rsid w:val="00900CA0"/>
    <w:rsid w:val="00901758"/>
    <w:rsid w:val="00902424"/>
    <w:rsid w:val="009027FC"/>
    <w:rsid w:val="00902DF3"/>
    <w:rsid w:val="0090799A"/>
    <w:rsid w:val="00910155"/>
    <w:rsid w:val="0091275D"/>
    <w:rsid w:val="00916EFE"/>
    <w:rsid w:val="0092071D"/>
    <w:rsid w:val="00943A04"/>
    <w:rsid w:val="00945A16"/>
    <w:rsid w:val="009537C8"/>
    <w:rsid w:val="009565EB"/>
    <w:rsid w:val="00960C85"/>
    <w:rsid w:val="00961365"/>
    <w:rsid w:val="00961E44"/>
    <w:rsid w:val="00962F1F"/>
    <w:rsid w:val="00976975"/>
    <w:rsid w:val="0098191C"/>
    <w:rsid w:val="0098575D"/>
    <w:rsid w:val="00985AEE"/>
    <w:rsid w:val="009912E9"/>
    <w:rsid w:val="009A07F6"/>
    <w:rsid w:val="009A2222"/>
    <w:rsid w:val="009A7227"/>
    <w:rsid w:val="009B4830"/>
    <w:rsid w:val="009B6640"/>
    <w:rsid w:val="009B6D00"/>
    <w:rsid w:val="009C1BB5"/>
    <w:rsid w:val="009C7D48"/>
    <w:rsid w:val="009D08D6"/>
    <w:rsid w:val="009D1CA4"/>
    <w:rsid w:val="009D2EE2"/>
    <w:rsid w:val="00A00D38"/>
    <w:rsid w:val="00A06298"/>
    <w:rsid w:val="00A10056"/>
    <w:rsid w:val="00A122E8"/>
    <w:rsid w:val="00A141A5"/>
    <w:rsid w:val="00A163B9"/>
    <w:rsid w:val="00A166A7"/>
    <w:rsid w:val="00A17113"/>
    <w:rsid w:val="00A37455"/>
    <w:rsid w:val="00A40E6A"/>
    <w:rsid w:val="00A468BB"/>
    <w:rsid w:val="00A506F3"/>
    <w:rsid w:val="00A61D9E"/>
    <w:rsid w:val="00A71F0A"/>
    <w:rsid w:val="00A7237F"/>
    <w:rsid w:val="00A74104"/>
    <w:rsid w:val="00A75FE0"/>
    <w:rsid w:val="00A77752"/>
    <w:rsid w:val="00A81D6D"/>
    <w:rsid w:val="00A81DBA"/>
    <w:rsid w:val="00A86EE2"/>
    <w:rsid w:val="00A90F41"/>
    <w:rsid w:val="00A93110"/>
    <w:rsid w:val="00A942CC"/>
    <w:rsid w:val="00AA36AC"/>
    <w:rsid w:val="00AA71FF"/>
    <w:rsid w:val="00AB1D37"/>
    <w:rsid w:val="00AB7708"/>
    <w:rsid w:val="00AC1193"/>
    <w:rsid w:val="00AC2A1E"/>
    <w:rsid w:val="00AC3573"/>
    <w:rsid w:val="00AC5AB9"/>
    <w:rsid w:val="00AC6730"/>
    <w:rsid w:val="00AD10C7"/>
    <w:rsid w:val="00AD1C53"/>
    <w:rsid w:val="00AE3601"/>
    <w:rsid w:val="00AE5B6E"/>
    <w:rsid w:val="00AF41D4"/>
    <w:rsid w:val="00AF546A"/>
    <w:rsid w:val="00AF55C7"/>
    <w:rsid w:val="00AF5749"/>
    <w:rsid w:val="00AF63E2"/>
    <w:rsid w:val="00B011A6"/>
    <w:rsid w:val="00B0209C"/>
    <w:rsid w:val="00B02C61"/>
    <w:rsid w:val="00B1054B"/>
    <w:rsid w:val="00B114E9"/>
    <w:rsid w:val="00B130F3"/>
    <w:rsid w:val="00B14AC9"/>
    <w:rsid w:val="00B1732F"/>
    <w:rsid w:val="00B30814"/>
    <w:rsid w:val="00B34E1E"/>
    <w:rsid w:val="00B36F35"/>
    <w:rsid w:val="00B42F14"/>
    <w:rsid w:val="00B53EA6"/>
    <w:rsid w:val="00B54516"/>
    <w:rsid w:val="00B55D0B"/>
    <w:rsid w:val="00B56582"/>
    <w:rsid w:val="00B57621"/>
    <w:rsid w:val="00B61440"/>
    <w:rsid w:val="00B619EB"/>
    <w:rsid w:val="00B629FB"/>
    <w:rsid w:val="00B646EA"/>
    <w:rsid w:val="00B662A4"/>
    <w:rsid w:val="00B67D71"/>
    <w:rsid w:val="00B75766"/>
    <w:rsid w:val="00B8081B"/>
    <w:rsid w:val="00B821F3"/>
    <w:rsid w:val="00B843AA"/>
    <w:rsid w:val="00B85BD2"/>
    <w:rsid w:val="00B94524"/>
    <w:rsid w:val="00B9638E"/>
    <w:rsid w:val="00B96C4E"/>
    <w:rsid w:val="00B971FC"/>
    <w:rsid w:val="00BA39B4"/>
    <w:rsid w:val="00BA441B"/>
    <w:rsid w:val="00BB3E70"/>
    <w:rsid w:val="00BB507E"/>
    <w:rsid w:val="00BC534D"/>
    <w:rsid w:val="00BC56BD"/>
    <w:rsid w:val="00BD261D"/>
    <w:rsid w:val="00BD2BB3"/>
    <w:rsid w:val="00BD65F1"/>
    <w:rsid w:val="00BE23E8"/>
    <w:rsid w:val="00C10287"/>
    <w:rsid w:val="00C15AAE"/>
    <w:rsid w:val="00C16B28"/>
    <w:rsid w:val="00C2534F"/>
    <w:rsid w:val="00C271B7"/>
    <w:rsid w:val="00C27D8A"/>
    <w:rsid w:val="00C43988"/>
    <w:rsid w:val="00C4580B"/>
    <w:rsid w:val="00C4724B"/>
    <w:rsid w:val="00C54B2E"/>
    <w:rsid w:val="00C56AFA"/>
    <w:rsid w:val="00C66FCC"/>
    <w:rsid w:val="00C70F15"/>
    <w:rsid w:val="00C7529C"/>
    <w:rsid w:val="00C7622D"/>
    <w:rsid w:val="00C76BA3"/>
    <w:rsid w:val="00C84061"/>
    <w:rsid w:val="00C846FE"/>
    <w:rsid w:val="00C92465"/>
    <w:rsid w:val="00C940DE"/>
    <w:rsid w:val="00C9639D"/>
    <w:rsid w:val="00CA5FC2"/>
    <w:rsid w:val="00CA736B"/>
    <w:rsid w:val="00CB069E"/>
    <w:rsid w:val="00CB2BEC"/>
    <w:rsid w:val="00CB554F"/>
    <w:rsid w:val="00CC0E9D"/>
    <w:rsid w:val="00CC1C7D"/>
    <w:rsid w:val="00CC1D4D"/>
    <w:rsid w:val="00CC4085"/>
    <w:rsid w:val="00CD2AE9"/>
    <w:rsid w:val="00CD3152"/>
    <w:rsid w:val="00CD3386"/>
    <w:rsid w:val="00CD3C21"/>
    <w:rsid w:val="00CD639A"/>
    <w:rsid w:val="00CD6544"/>
    <w:rsid w:val="00CE2331"/>
    <w:rsid w:val="00CE5C45"/>
    <w:rsid w:val="00CE6081"/>
    <w:rsid w:val="00CF5E63"/>
    <w:rsid w:val="00CF7106"/>
    <w:rsid w:val="00CF7116"/>
    <w:rsid w:val="00CF7B3D"/>
    <w:rsid w:val="00D028F9"/>
    <w:rsid w:val="00D039C7"/>
    <w:rsid w:val="00D04DD3"/>
    <w:rsid w:val="00D0552F"/>
    <w:rsid w:val="00D077C3"/>
    <w:rsid w:val="00D10549"/>
    <w:rsid w:val="00D109AF"/>
    <w:rsid w:val="00D15E4F"/>
    <w:rsid w:val="00D2372A"/>
    <w:rsid w:val="00D256B1"/>
    <w:rsid w:val="00D26C4B"/>
    <w:rsid w:val="00D2794D"/>
    <w:rsid w:val="00D30E27"/>
    <w:rsid w:val="00D359C9"/>
    <w:rsid w:val="00D40ECF"/>
    <w:rsid w:val="00D55478"/>
    <w:rsid w:val="00D55E8F"/>
    <w:rsid w:val="00D56A81"/>
    <w:rsid w:val="00D650CD"/>
    <w:rsid w:val="00D66123"/>
    <w:rsid w:val="00D70C4A"/>
    <w:rsid w:val="00D70E44"/>
    <w:rsid w:val="00D712AD"/>
    <w:rsid w:val="00D8715D"/>
    <w:rsid w:val="00D9188D"/>
    <w:rsid w:val="00D94C6A"/>
    <w:rsid w:val="00D94EB9"/>
    <w:rsid w:val="00D9695A"/>
    <w:rsid w:val="00DB10E7"/>
    <w:rsid w:val="00DB52A4"/>
    <w:rsid w:val="00DC20F6"/>
    <w:rsid w:val="00DC3CB1"/>
    <w:rsid w:val="00DC41E6"/>
    <w:rsid w:val="00DC4836"/>
    <w:rsid w:val="00DD08E8"/>
    <w:rsid w:val="00DF1D16"/>
    <w:rsid w:val="00DF3DDA"/>
    <w:rsid w:val="00DF59AD"/>
    <w:rsid w:val="00E00648"/>
    <w:rsid w:val="00E00D64"/>
    <w:rsid w:val="00E03F26"/>
    <w:rsid w:val="00E06785"/>
    <w:rsid w:val="00E07047"/>
    <w:rsid w:val="00E079C1"/>
    <w:rsid w:val="00E12733"/>
    <w:rsid w:val="00E128C5"/>
    <w:rsid w:val="00E14199"/>
    <w:rsid w:val="00E20E0F"/>
    <w:rsid w:val="00E215ED"/>
    <w:rsid w:val="00E21DB6"/>
    <w:rsid w:val="00E23D66"/>
    <w:rsid w:val="00E34F86"/>
    <w:rsid w:val="00E421DD"/>
    <w:rsid w:val="00E43E42"/>
    <w:rsid w:val="00E477DB"/>
    <w:rsid w:val="00E543E5"/>
    <w:rsid w:val="00E65C86"/>
    <w:rsid w:val="00E661F0"/>
    <w:rsid w:val="00E663E6"/>
    <w:rsid w:val="00E7623E"/>
    <w:rsid w:val="00E800D0"/>
    <w:rsid w:val="00E83471"/>
    <w:rsid w:val="00E83FFE"/>
    <w:rsid w:val="00E863CA"/>
    <w:rsid w:val="00E871E5"/>
    <w:rsid w:val="00E91A98"/>
    <w:rsid w:val="00E938BE"/>
    <w:rsid w:val="00E94A43"/>
    <w:rsid w:val="00EA02AA"/>
    <w:rsid w:val="00EA0A54"/>
    <w:rsid w:val="00EB4011"/>
    <w:rsid w:val="00EC0503"/>
    <w:rsid w:val="00EC1249"/>
    <w:rsid w:val="00EC4FC0"/>
    <w:rsid w:val="00ED5135"/>
    <w:rsid w:val="00ED7C05"/>
    <w:rsid w:val="00EE057F"/>
    <w:rsid w:val="00EE2A6D"/>
    <w:rsid w:val="00EE4DC2"/>
    <w:rsid w:val="00EE663C"/>
    <w:rsid w:val="00EF02E9"/>
    <w:rsid w:val="00F0386A"/>
    <w:rsid w:val="00F05C24"/>
    <w:rsid w:val="00F07055"/>
    <w:rsid w:val="00F070EC"/>
    <w:rsid w:val="00F0730C"/>
    <w:rsid w:val="00F07CCC"/>
    <w:rsid w:val="00F11024"/>
    <w:rsid w:val="00F168BB"/>
    <w:rsid w:val="00F214DC"/>
    <w:rsid w:val="00F26BF4"/>
    <w:rsid w:val="00F27B3B"/>
    <w:rsid w:val="00F31107"/>
    <w:rsid w:val="00F31146"/>
    <w:rsid w:val="00F422D2"/>
    <w:rsid w:val="00F433B1"/>
    <w:rsid w:val="00F442D1"/>
    <w:rsid w:val="00F620D6"/>
    <w:rsid w:val="00F6559F"/>
    <w:rsid w:val="00F70851"/>
    <w:rsid w:val="00F73FA4"/>
    <w:rsid w:val="00F741BC"/>
    <w:rsid w:val="00F84D3E"/>
    <w:rsid w:val="00F95743"/>
    <w:rsid w:val="00F96320"/>
    <w:rsid w:val="00FB3A9B"/>
    <w:rsid w:val="00FC085B"/>
    <w:rsid w:val="00FC28D5"/>
    <w:rsid w:val="00FD10C3"/>
    <w:rsid w:val="00FD3911"/>
    <w:rsid w:val="00FE2063"/>
    <w:rsid w:val="00FF0383"/>
    <w:rsid w:val="00FF28C0"/>
    <w:rsid w:val="00FF5708"/>
    <w:rsid w:val="00FF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6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sz w:val="20"/>
      <w:szCs w:val="20"/>
      <w:u w:val="single"/>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863CA"/>
    <w:p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0A7562"/>
    <w:rPr>
      <w:rFonts w:eastAsia="Times New Roman"/>
      <w:lang w:val="en-GB"/>
    </w:rPr>
  </w:style>
  <w:style w:type="paragraph" w:styleId="ColorfulList-Accent1">
    <w:name w:val="Colorful List Accent 1"/>
    <w:basedOn w:val="Normal"/>
    <w:uiPriority w:val="34"/>
    <w:qFormat/>
    <w:rsid w:val="000A7562"/>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0A7562"/>
    <w:rPr>
      <w:sz w:val="16"/>
      <w:szCs w:val="16"/>
    </w:rPr>
  </w:style>
  <w:style w:type="character" w:customStyle="1" w:styleId="NormalnumberChar">
    <w:name w:val="Normal_number Char"/>
    <w:link w:val="Normalnumber"/>
    <w:locked/>
    <w:rsid w:val="00E863CA"/>
    <w:rPr>
      <w:rFonts w:eastAsia="Times New Roman"/>
      <w:lang w:val="fr-CA"/>
    </w:rPr>
  </w:style>
  <w:style w:type="character" w:styleId="FollowedHyperlink">
    <w:name w:val="FollowedHyperlink"/>
    <w:rsid w:val="00C4580B"/>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ils.usda.gov/use/worldsoils/papers/land-degradation-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EF51-18A0-4A45-98A9-81166312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CharactersWithSpaces>
  <SharedDoc>false</SharedDoc>
  <HLinks>
    <vt:vector size="6" baseType="variant">
      <vt:variant>
        <vt:i4>7864440</vt:i4>
      </vt:variant>
      <vt:variant>
        <vt:i4>0</vt:i4>
      </vt:variant>
      <vt:variant>
        <vt:i4>0</vt:i4>
      </vt:variant>
      <vt:variant>
        <vt:i4>5</vt:i4>
      </vt:variant>
      <vt:variant>
        <vt:lpwstr>http://soils.usda.gov/use/worldsoils/papers/land-degradation-overview.html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2013-09-29T17:31:00Z</cp:lastPrinted>
  <dcterms:created xsi:type="dcterms:W3CDTF">2013-11-15T15:44:00Z</dcterms:created>
  <dcterms:modified xsi:type="dcterms:W3CDTF">2013-11-15T15:44:00Z</dcterms:modified>
</cp:coreProperties>
</file>