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387"/>
        <w:gridCol w:w="2833"/>
      </w:tblGrid>
      <w:tr w:rsidR="003D2A96" w:rsidRPr="004238D0" w:rsidTr="003D2A96">
        <w:tblPrEx>
          <w:tblCellMar>
            <w:top w:w="0" w:type="dxa"/>
            <w:bottom w:w="0" w:type="dxa"/>
          </w:tblCellMar>
        </w:tblPrEx>
        <w:trPr>
          <w:cantSplit/>
          <w:trHeight w:val="850"/>
        </w:trPr>
        <w:tc>
          <w:tcPr>
            <w:tcW w:w="1560" w:type="dxa"/>
          </w:tcPr>
          <w:p w:rsidR="003D2A96" w:rsidRPr="004238D0" w:rsidRDefault="003D2A96" w:rsidP="003D2A96">
            <w:pPr>
              <w:ind w:right="-186"/>
              <w:rPr>
                <w:rFonts w:ascii="Univers" w:hAnsi="Univers"/>
                <w:b/>
                <w:noProof/>
                <w:sz w:val="27"/>
                <w:szCs w:val="27"/>
                <w:lang w:val="es-ES_tradnl"/>
              </w:rPr>
            </w:pPr>
            <w:bookmarkStart w:id="0" w:name="_GoBack"/>
            <w:bookmarkEnd w:id="0"/>
            <w:r w:rsidRPr="004238D0">
              <w:rPr>
                <w:rFonts w:ascii="Univers" w:hAnsi="Univers"/>
                <w:b/>
                <w:noProof/>
                <w:sz w:val="27"/>
                <w:szCs w:val="27"/>
                <w:lang w:val="es-ES_tradnl"/>
              </w:rPr>
              <w:t>NACIONES</w:t>
            </w:r>
            <w:r w:rsidRPr="004238D0">
              <w:rPr>
                <w:rFonts w:ascii="Univers" w:hAnsi="Univers"/>
                <w:b/>
                <w:noProof/>
                <w:sz w:val="27"/>
                <w:szCs w:val="27"/>
                <w:lang w:val="es-ES_tradnl"/>
              </w:rPr>
              <w:br/>
              <w:t>UNIDAS</w:t>
            </w:r>
          </w:p>
        </w:tc>
        <w:tc>
          <w:tcPr>
            <w:tcW w:w="5387" w:type="dxa"/>
          </w:tcPr>
          <w:p w:rsidR="003D2A96" w:rsidRPr="004238D0" w:rsidRDefault="003D2A96" w:rsidP="003D2A96">
            <w:pPr>
              <w:rPr>
                <w:rFonts w:ascii="Univers" w:hAnsi="Univers"/>
                <w:b/>
                <w:sz w:val="27"/>
                <w:szCs w:val="27"/>
                <w:lang w:val="es-ES_tradnl"/>
              </w:rPr>
            </w:pPr>
          </w:p>
        </w:tc>
        <w:tc>
          <w:tcPr>
            <w:tcW w:w="2833" w:type="dxa"/>
          </w:tcPr>
          <w:p w:rsidR="003D2A96" w:rsidRPr="004238D0" w:rsidRDefault="003D2A96" w:rsidP="003D2A96">
            <w:pPr>
              <w:jc w:val="right"/>
              <w:rPr>
                <w:rFonts w:ascii="Univers" w:hAnsi="Univers"/>
                <w:b/>
                <w:sz w:val="72"/>
                <w:szCs w:val="72"/>
                <w:lang w:val="es-ES_tradnl"/>
              </w:rPr>
            </w:pPr>
            <w:r w:rsidRPr="004238D0">
              <w:rPr>
                <w:rFonts w:ascii="Univers" w:hAnsi="Univers"/>
                <w:b/>
                <w:sz w:val="72"/>
                <w:szCs w:val="72"/>
                <w:lang w:val="es-ES_tradnl"/>
              </w:rPr>
              <w:t>EP</w:t>
            </w:r>
          </w:p>
        </w:tc>
      </w:tr>
      <w:tr w:rsidR="003D2A96" w:rsidRPr="004238D0" w:rsidTr="003D2A96">
        <w:tblPrEx>
          <w:tblCellMar>
            <w:top w:w="0" w:type="dxa"/>
            <w:bottom w:w="0" w:type="dxa"/>
          </w:tblCellMar>
        </w:tblPrEx>
        <w:trPr>
          <w:cantSplit/>
          <w:trHeight w:val="281"/>
        </w:trPr>
        <w:tc>
          <w:tcPr>
            <w:tcW w:w="1560" w:type="dxa"/>
            <w:tcBorders>
              <w:bottom w:val="single" w:sz="4" w:space="0" w:color="auto"/>
            </w:tcBorders>
          </w:tcPr>
          <w:p w:rsidR="003D2A96" w:rsidRPr="004238D0" w:rsidRDefault="003D2A96" w:rsidP="003D2A96">
            <w:pPr>
              <w:rPr>
                <w:noProof/>
                <w:sz w:val="18"/>
                <w:szCs w:val="18"/>
                <w:lang w:val="es-ES_tradnl"/>
              </w:rPr>
            </w:pPr>
          </w:p>
        </w:tc>
        <w:tc>
          <w:tcPr>
            <w:tcW w:w="5387" w:type="dxa"/>
            <w:tcBorders>
              <w:bottom w:val="single" w:sz="4" w:space="0" w:color="auto"/>
            </w:tcBorders>
          </w:tcPr>
          <w:p w:rsidR="003D2A96" w:rsidRPr="004238D0" w:rsidRDefault="003D2A96" w:rsidP="003D2A96">
            <w:pPr>
              <w:rPr>
                <w:rFonts w:ascii="Univers" w:hAnsi="Univers"/>
                <w:b/>
                <w:sz w:val="18"/>
                <w:szCs w:val="18"/>
                <w:lang w:val="es-ES_tradnl"/>
              </w:rPr>
            </w:pPr>
          </w:p>
        </w:tc>
        <w:tc>
          <w:tcPr>
            <w:tcW w:w="2833" w:type="dxa"/>
            <w:tcBorders>
              <w:bottom w:val="single" w:sz="4" w:space="0" w:color="auto"/>
            </w:tcBorders>
          </w:tcPr>
          <w:p w:rsidR="003D2A96" w:rsidRPr="004238D0" w:rsidRDefault="003D2A96" w:rsidP="003D2A96">
            <w:pPr>
              <w:rPr>
                <w:noProof/>
                <w:sz w:val="18"/>
                <w:szCs w:val="18"/>
                <w:lang w:val="es-ES_tradnl" w:eastAsia="ja-JP"/>
              </w:rPr>
            </w:pPr>
            <w:r w:rsidRPr="004238D0">
              <w:rPr>
                <w:b/>
                <w:sz w:val="24"/>
                <w:szCs w:val="24"/>
                <w:lang w:val="es-ES_tradnl"/>
              </w:rPr>
              <w:t>IPBES</w:t>
            </w:r>
            <w:r w:rsidRPr="004238D0">
              <w:rPr>
                <w:lang w:val="es-ES_tradnl" w:eastAsia="ja-JP"/>
              </w:rPr>
              <w:t>/2/16/Add.2</w:t>
            </w:r>
          </w:p>
        </w:tc>
      </w:tr>
      <w:bookmarkStart w:id="1" w:name="_MON_1021710482"/>
      <w:bookmarkStart w:id="2" w:name="_MON_1021710510"/>
      <w:bookmarkEnd w:id="1"/>
      <w:bookmarkEnd w:id="2"/>
      <w:tr w:rsidR="003D2A96" w:rsidRPr="004238D0" w:rsidTr="003D2A96">
        <w:tblPrEx>
          <w:tblCellMar>
            <w:top w:w="0" w:type="dxa"/>
            <w:bottom w:w="0" w:type="dxa"/>
          </w:tblCellMar>
        </w:tblPrEx>
        <w:trPr>
          <w:cantSplit/>
          <w:trHeight w:val="2549"/>
        </w:trPr>
        <w:tc>
          <w:tcPr>
            <w:tcW w:w="1560" w:type="dxa"/>
            <w:tcBorders>
              <w:top w:val="single" w:sz="4" w:space="0" w:color="auto"/>
              <w:bottom w:val="single" w:sz="24" w:space="0" w:color="auto"/>
            </w:tcBorders>
          </w:tcPr>
          <w:p w:rsidR="003D2A96" w:rsidRPr="004238D0" w:rsidRDefault="003D2A96" w:rsidP="003D2A96">
            <w:pPr>
              <w:rPr>
                <w:noProof/>
                <w:lang w:val="es-ES_tradnl"/>
              </w:rPr>
            </w:pPr>
            <w:r w:rsidRPr="004238D0">
              <w:rPr>
                <w:noProof/>
                <w:lang w:val="es-ES_tradnl"/>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fillcolor="window">
                  <v:imagedata r:id="rId8" o:title=""/>
                </v:shape>
              </w:object>
            </w:r>
            <w:r w:rsidR="003B25C3">
              <w:rPr>
                <w:noProof/>
                <w:snapToGrid/>
                <w:lang w:val="en-US" w:eastAsia="en-US"/>
              </w:rPr>
              <w:drawing>
                <wp:inline distT="0" distB="0" distL="0" distR="0">
                  <wp:extent cx="723900" cy="762000"/>
                  <wp:effectExtent l="1905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9"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3D2A96" w:rsidRPr="004238D0" w:rsidRDefault="003D2A96" w:rsidP="003D2A96">
            <w:pPr>
              <w:spacing w:before="1400"/>
              <w:rPr>
                <w:rFonts w:ascii="Univers" w:hAnsi="Univers"/>
                <w:b/>
                <w:sz w:val="28"/>
                <w:lang w:val="es-ES_tradnl"/>
              </w:rPr>
            </w:pPr>
            <w:r w:rsidRPr="004238D0">
              <w:rPr>
                <w:rFonts w:ascii="Univers" w:hAnsi="Univers"/>
                <w:b/>
                <w:sz w:val="32"/>
                <w:szCs w:val="32"/>
                <w:lang w:val="es-ES_tradnl"/>
              </w:rPr>
              <w:t>Programa de las</w:t>
            </w:r>
            <w:r w:rsidRPr="004238D0">
              <w:rPr>
                <w:rFonts w:ascii="Univers" w:hAnsi="Univers"/>
                <w:b/>
                <w:sz w:val="32"/>
                <w:szCs w:val="32"/>
                <w:lang w:val="es-ES_tradnl"/>
              </w:rPr>
              <w:br/>
            </w:r>
            <w:r w:rsidR="006B7539" w:rsidRPr="004238D0">
              <w:rPr>
                <w:rFonts w:ascii="Univers" w:hAnsi="Univers"/>
                <w:b/>
                <w:sz w:val="32"/>
                <w:szCs w:val="32"/>
                <w:lang w:val="es-ES_tradnl"/>
              </w:rPr>
              <w:t>Naciones Unidas</w:t>
            </w:r>
            <w:r w:rsidRPr="004238D0">
              <w:rPr>
                <w:rFonts w:ascii="Univers" w:hAnsi="Univers"/>
                <w:b/>
                <w:sz w:val="32"/>
                <w:szCs w:val="32"/>
                <w:lang w:val="es-ES_tradnl"/>
              </w:rPr>
              <w:br/>
              <w:t xml:space="preserve">para el Medio Ambiente </w:t>
            </w:r>
          </w:p>
        </w:tc>
        <w:tc>
          <w:tcPr>
            <w:tcW w:w="2833" w:type="dxa"/>
            <w:tcBorders>
              <w:top w:val="single" w:sz="4" w:space="0" w:color="auto"/>
              <w:bottom w:val="single" w:sz="24" w:space="0" w:color="auto"/>
            </w:tcBorders>
          </w:tcPr>
          <w:p w:rsidR="003D2A96" w:rsidRPr="004238D0" w:rsidRDefault="003D2A96" w:rsidP="003D2A96">
            <w:pPr>
              <w:spacing w:before="240"/>
              <w:rPr>
                <w:lang w:val="es-ES_tradnl"/>
              </w:rPr>
            </w:pPr>
            <w:r w:rsidRPr="004238D0">
              <w:rPr>
                <w:lang w:val="es-ES_tradnl"/>
              </w:rPr>
              <w:t>Distr. general</w:t>
            </w:r>
            <w:r w:rsidRPr="004238D0">
              <w:rPr>
                <w:lang w:val="es-ES_tradnl"/>
              </w:rPr>
              <w:br/>
              <w:t>26 de septiembre de 2013</w:t>
            </w:r>
          </w:p>
          <w:p w:rsidR="003D2A96" w:rsidRPr="004238D0" w:rsidRDefault="003D2A96" w:rsidP="003D2A96">
            <w:pPr>
              <w:spacing w:before="120"/>
              <w:rPr>
                <w:lang w:val="es-ES_tradnl"/>
              </w:rPr>
            </w:pPr>
            <w:r w:rsidRPr="004238D0">
              <w:rPr>
                <w:lang w:val="es-ES_tradnl"/>
              </w:rPr>
              <w:t>Español</w:t>
            </w:r>
            <w:r w:rsidRPr="004238D0">
              <w:rPr>
                <w:lang w:val="es-ES_tradnl"/>
              </w:rPr>
              <w:br/>
              <w:t xml:space="preserve">Original: inglés </w:t>
            </w:r>
          </w:p>
        </w:tc>
      </w:tr>
    </w:tbl>
    <w:p w:rsidR="00140653" w:rsidRPr="004238D0" w:rsidRDefault="00140653" w:rsidP="003D2A96">
      <w:pPr>
        <w:pStyle w:val="AATitle"/>
        <w:keepNext w:val="0"/>
        <w:keepLines w:val="0"/>
        <w:ind w:right="3969"/>
        <w:rPr>
          <w:szCs w:val="24"/>
          <w:lang w:val="es-ES"/>
        </w:rPr>
      </w:pPr>
      <w:r w:rsidRPr="004238D0">
        <w:rPr>
          <w:szCs w:val="24"/>
          <w:lang w:val="es-ES"/>
        </w:rPr>
        <w:t>Plenario de la Plataforma Intergubernamental Científico</w:t>
      </w:r>
      <w:r w:rsidR="006B7539" w:rsidRPr="004238D0">
        <w:rPr>
          <w:szCs w:val="24"/>
          <w:lang w:val="es-ES"/>
        </w:rPr>
        <w:noBreakHyphen/>
      </w:r>
      <w:r w:rsidRPr="004238D0">
        <w:rPr>
          <w:szCs w:val="24"/>
          <w:lang w:val="es-ES"/>
        </w:rPr>
        <w:t>normativa sobre Diversidad Biológica y Servicios de los Ecosistemas</w:t>
      </w:r>
    </w:p>
    <w:p w:rsidR="00140653" w:rsidRPr="004238D0" w:rsidRDefault="00140653">
      <w:pPr>
        <w:pStyle w:val="AATitle"/>
        <w:keepNext w:val="0"/>
        <w:keepLines w:val="0"/>
        <w:rPr>
          <w:szCs w:val="24"/>
          <w:lang w:val="es-ES"/>
        </w:rPr>
      </w:pPr>
      <w:r w:rsidRPr="004238D0">
        <w:rPr>
          <w:szCs w:val="24"/>
          <w:lang w:val="es-ES"/>
        </w:rPr>
        <w:t>Segundo período de sesiones</w:t>
      </w:r>
    </w:p>
    <w:p w:rsidR="00140653" w:rsidRPr="004238D0" w:rsidRDefault="00140653">
      <w:pPr>
        <w:pStyle w:val="AATitle"/>
        <w:keepNext w:val="0"/>
        <w:keepLines w:val="0"/>
        <w:rPr>
          <w:b w:val="0"/>
          <w:szCs w:val="24"/>
          <w:lang w:val="es-ES"/>
        </w:rPr>
      </w:pPr>
      <w:r w:rsidRPr="004238D0">
        <w:rPr>
          <w:b w:val="0"/>
          <w:szCs w:val="24"/>
          <w:lang w:val="es-ES"/>
        </w:rPr>
        <w:t>Antalya (Turquía), 9 a 14 de diciembre de 2013</w:t>
      </w:r>
    </w:p>
    <w:p w:rsidR="00140653" w:rsidRPr="004238D0" w:rsidRDefault="00140653">
      <w:pPr>
        <w:pStyle w:val="AATitle"/>
        <w:keepNext w:val="0"/>
        <w:keepLines w:val="0"/>
        <w:rPr>
          <w:b w:val="0"/>
          <w:szCs w:val="24"/>
          <w:lang w:val="es-ES"/>
        </w:rPr>
      </w:pPr>
      <w:r w:rsidRPr="004238D0">
        <w:rPr>
          <w:b w:val="0"/>
          <w:noProof/>
          <w:szCs w:val="24"/>
          <w:lang w:val="es-ES"/>
        </w:rPr>
        <w:t>Tema 4 a) del programa provisional:</w:t>
      </w:r>
      <w:r w:rsidRPr="004238D0">
        <w:rPr>
          <w:rStyle w:val="FootnoteReference"/>
          <w:b w:val="0"/>
          <w:noProof/>
          <w:sz w:val="20"/>
          <w:lang w:val="es-ES"/>
        </w:rPr>
        <w:footnoteReference w:customMarkFollows="1" w:id="1"/>
        <w:sym w:font="Symbol" w:char="F02A"/>
      </w:r>
      <w:r w:rsidRPr="004238D0">
        <w:rPr>
          <w:b w:val="0"/>
          <w:noProof/>
          <w:szCs w:val="24"/>
          <w:lang w:val="es-ES"/>
        </w:rPr>
        <w:t> </w:t>
      </w:r>
    </w:p>
    <w:p w:rsidR="00140653" w:rsidRPr="004238D0" w:rsidRDefault="00140653">
      <w:pPr>
        <w:pStyle w:val="AATitle2"/>
        <w:spacing w:before="60"/>
        <w:rPr>
          <w:szCs w:val="24"/>
          <w:lang w:val="es-ES"/>
        </w:rPr>
      </w:pPr>
      <w:r w:rsidRPr="004238D0">
        <w:rPr>
          <w:szCs w:val="24"/>
          <w:lang w:val="es-ES"/>
        </w:rPr>
        <w:t>Programa de trabajo inicial de la Plataforma:</w:t>
      </w:r>
      <w:r w:rsidR="003D2A96" w:rsidRPr="004238D0">
        <w:rPr>
          <w:szCs w:val="24"/>
          <w:lang w:val="es-ES"/>
        </w:rPr>
        <w:br/>
        <w:t>p</w:t>
      </w:r>
      <w:r w:rsidRPr="004238D0">
        <w:rPr>
          <w:szCs w:val="24"/>
          <w:lang w:val="es-ES"/>
        </w:rPr>
        <w:t>rograma de trabajo para el período 2014–2018</w:t>
      </w:r>
    </w:p>
    <w:p w:rsidR="00140653" w:rsidRPr="004238D0" w:rsidRDefault="00584A79" w:rsidP="003D2A96">
      <w:pPr>
        <w:pStyle w:val="BBTitle"/>
        <w:spacing w:before="240" w:after="0"/>
        <w:rPr>
          <w:szCs w:val="24"/>
          <w:lang w:val="es-ES"/>
        </w:rPr>
      </w:pPr>
      <w:r w:rsidRPr="004238D0">
        <w:rPr>
          <w:szCs w:val="24"/>
          <w:lang w:val="es-ES"/>
        </w:rPr>
        <w:t>Análisis</w:t>
      </w:r>
      <w:r w:rsidR="00140653" w:rsidRPr="004238D0">
        <w:rPr>
          <w:szCs w:val="24"/>
          <w:lang w:val="es-ES"/>
        </w:rPr>
        <w:t xml:space="preserve"> </w:t>
      </w:r>
      <w:r w:rsidR="006052A9" w:rsidRPr="004238D0">
        <w:rPr>
          <w:szCs w:val="24"/>
          <w:lang w:val="es-ES"/>
        </w:rPr>
        <w:t xml:space="preserve">inicial </w:t>
      </w:r>
      <w:r w:rsidR="00D17800" w:rsidRPr="004238D0">
        <w:rPr>
          <w:szCs w:val="24"/>
          <w:lang w:val="es-ES"/>
        </w:rPr>
        <w:t>de</w:t>
      </w:r>
      <w:r w:rsidR="00140653" w:rsidRPr="004238D0">
        <w:rPr>
          <w:szCs w:val="24"/>
          <w:lang w:val="es-ES"/>
        </w:rPr>
        <w:t xml:space="preserve"> la evaluación temática sobre degradación y rehabilitación de la tierra</w:t>
      </w:r>
    </w:p>
    <w:p w:rsidR="00140653" w:rsidRPr="004238D0" w:rsidRDefault="00140653">
      <w:pPr>
        <w:pStyle w:val="CH2"/>
        <w:rPr>
          <w:lang w:val="es-ES"/>
        </w:rPr>
      </w:pPr>
      <w:r w:rsidRPr="004238D0">
        <w:rPr>
          <w:lang w:val="es-ES"/>
        </w:rPr>
        <w:tab/>
      </w:r>
      <w:r w:rsidRPr="004238D0">
        <w:rPr>
          <w:lang w:val="es-ES"/>
        </w:rPr>
        <w:tab/>
        <w:t>Nota de la secretaría</w:t>
      </w:r>
    </w:p>
    <w:p w:rsidR="008F0D53" w:rsidRPr="004238D0" w:rsidRDefault="008F0D53" w:rsidP="008F0D53">
      <w:pPr>
        <w:pStyle w:val="CH1"/>
        <w:rPr>
          <w:szCs w:val="24"/>
          <w:lang w:val="es-ES"/>
        </w:rPr>
      </w:pPr>
      <w:r w:rsidRPr="004238D0">
        <w:rPr>
          <w:szCs w:val="24"/>
          <w:lang w:val="es-ES"/>
        </w:rPr>
        <w:tab/>
        <w:t>I.</w:t>
      </w:r>
      <w:r w:rsidRPr="004238D0">
        <w:rPr>
          <w:szCs w:val="24"/>
          <w:lang w:val="es-ES"/>
        </w:rPr>
        <w:tab/>
        <w:t>Introducción</w:t>
      </w:r>
    </w:p>
    <w:p w:rsidR="00140653" w:rsidRPr="004238D0" w:rsidRDefault="001F0A02" w:rsidP="004238D0">
      <w:pPr>
        <w:pStyle w:val="Normalnumber"/>
        <w:tabs>
          <w:tab w:val="clear" w:pos="1247"/>
          <w:tab w:val="clear" w:pos="1814"/>
          <w:tab w:val="clear" w:pos="2381"/>
          <w:tab w:val="clear" w:pos="2948"/>
          <w:tab w:val="clear" w:pos="3515"/>
        </w:tabs>
        <w:ind w:left="1247" w:firstLine="0"/>
        <w:rPr>
          <w:szCs w:val="24"/>
          <w:lang w:val="es-ES"/>
        </w:rPr>
      </w:pPr>
      <w:r w:rsidRPr="004238D0">
        <w:rPr>
          <w:szCs w:val="24"/>
          <w:lang w:val="es-ES"/>
        </w:rPr>
        <w:t>Reconociendo la necesidad de avanzar con el programa de trabajo para el período 2014–2018, tras su aprobación por el Plenario de la Plataforma Intergubernamental Científico-normativa sobre Diversidad Biológica y Servicios de los Ecosistemas en su segundo período de sesiones, la Mesa y el Grupo multidisciplinario de expertos acordaron preparar, para su examen por el Plenario en ese período de sesiones, una serie de documentos de análisis inicial basándose en las prioridades asignadas a las solicitudes, sugerencias y aportaciones presentadas a la Plataforma y en los productos previstos que se incluían en el proyecto de programa de trabajo (IPBES/2/2). En la presente nota figura el análisis inicial de una propuesta de evaluación temática</w:t>
      </w:r>
      <w:r w:rsidRPr="004238D0">
        <w:rPr>
          <w:rFonts w:eastAsia="MS Mincho"/>
          <w:szCs w:val="24"/>
          <w:lang w:val="es-ES"/>
        </w:rPr>
        <w:t xml:space="preserve"> </w:t>
      </w:r>
      <w:r w:rsidR="00140653" w:rsidRPr="004238D0">
        <w:rPr>
          <w:szCs w:val="24"/>
          <w:lang w:val="es-ES"/>
        </w:rPr>
        <w:t>sobre degradación y rehabilitación de la tierra</w:t>
      </w:r>
      <w:r w:rsidRPr="004238D0">
        <w:rPr>
          <w:szCs w:val="24"/>
          <w:lang w:val="es-ES"/>
        </w:rPr>
        <w:t>. El análisis se elaboró de conformidad con el proyecto de procedimientos para preparar los resultados previstos de la Plataforma (IPBES/2/9).</w:t>
      </w:r>
    </w:p>
    <w:p w:rsidR="00140653" w:rsidRPr="004238D0" w:rsidRDefault="00140653">
      <w:pPr>
        <w:pStyle w:val="CH1"/>
        <w:rPr>
          <w:szCs w:val="24"/>
          <w:lang w:val="es-ES"/>
        </w:rPr>
      </w:pPr>
      <w:r w:rsidRPr="004238D0">
        <w:rPr>
          <w:b w:val="0"/>
          <w:sz w:val="22"/>
          <w:szCs w:val="24"/>
          <w:lang w:val="es-ES"/>
        </w:rPr>
        <w:t xml:space="preserve"> </w:t>
      </w:r>
      <w:r w:rsidRPr="004238D0">
        <w:rPr>
          <w:szCs w:val="24"/>
          <w:lang w:val="es-ES"/>
        </w:rPr>
        <w:tab/>
        <w:t>I</w:t>
      </w:r>
      <w:r w:rsidR="008F0D53" w:rsidRPr="004238D0">
        <w:rPr>
          <w:szCs w:val="24"/>
          <w:lang w:val="es-ES"/>
        </w:rPr>
        <w:t>I</w:t>
      </w:r>
      <w:r w:rsidRPr="004238D0">
        <w:rPr>
          <w:szCs w:val="24"/>
          <w:lang w:val="es-ES"/>
        </w:rPr>
        <w:t>.</w:t>
      </w:r>
      <w:r w:rsidRPr="004238D0">
        <w:rPr>
          <w:szCs w:val="24"/>
          <w:lang w:val="es-ES"/>
        </w:rPr>
        <w:tab/>
      </w:r>
      <w:r w:rsidR="00D87971" w:rsidRPr="004238D0">
        <w:rPr>
          <w:szCs w:val="24"/>
          <w:lang w:val="es-ES"/>
        </w:rPr>
        <w:t>Ámbito</w:t>
      </w:r>
      <w:r w:rsidRPr="004238D0">
        <w:rPr>
          <w:szCs w:val="24"/>
          <w:lang w:val="es-ES"/>
        </w:rPr>
        <w:t>, fundamento</w:t>
      </w:r>
      <w:r w:rsidR="00D87971" w:rsidRPr="004238D0">
        <w:rPr>
          <w:szCs w:val="24"/>
          <w:lang w:val="es-ES"/>
        </w:rPr>
        <w:t>,</w:t>
      </w:r>
      <w:r w:rsidRPr="004238D0">
        <w:rPr>
          <w:szCs w:val="24"/>
          <w:lang w:val="es-ES"/>
        </w:rPr>
        <w:t xml:space="preserve"> utilidad</w:t>
      </w:r>
      <w:r w:rsidR="00D87971" w:rsidRPr="004238D0">
        <w:rPr>
          <w:szCs w:val="24"/>
          <w:lang w:val="es-ES"/>
        </w:rPr>
        <w:t xml:space="preserve"> y supuestos</w:t>
      </w:r>
    </w:p>
    <w:p w:rsidR="00140653" w:rsidRPr="004238D0" w:rsidRDefault="00140653">
      <w:pPr>
        <w:pStyle w:val="CH2"/>
        <w:rPr>
          <w:lang w:val="es-ES"/>
        </w:rPr>
      </w:pPr>
      <w:r w:rsidRPr="004238D0">
        <w:rPr>
          <w:lang w:val="es-ES"/>
        </w:rPr>
        <w:t>A.</w:t>
      </w:r>
      <w:r w:rsidRPr="004238D0">
        <w:rPr>
          <w:lang w:val="es-ES"/>
        </w:rPr>
        <w:tab/>
      </w:r>
      <w:r w:rsidR="00D87971" w:rsidRPr="004238D0">
        <w:rPr>
          <w:lang w:val="es-ES"/>
        </w:rPr>
        <w:t>Ámbito</w:t>
      </w:r>
    </w:p>
    <w:p w:rsidR="00140653" w:rsidRPr="004238D0" w:rsidRDefault="00140653" w:rsidP="00B84CF4">
      <w:pPr>
        <w:pStyle w:val="Normalnumber"/>
        <w:ind w:left="1247" w:firstLine="0"/>
        <w:rPr>
          <w:szCs w:val="24"/>
          <w:lang w:val="es-ES"/>
        </w:rPr>
      </w:pPr>
      <w:r w:rsidRPr="004238D0">
        <w:rPr>
          <w:szCs w:val="24"/>
          <w:lang w:val="es-ES"/>
        </w:rPr>
        <w:t xml:space="preserve">El objetivo de la evaluación de la degradación y la rehabilitación de la tierra </w:t>
      </w:r>
      <w:r w:rsidR="00121A8F" w:rsidRPr="004238D0">
        <w:rPr>
          <w:szCs w:val="24"/>
          <w:lang w:val="es-ES"/>
        </w:rPr>
        <w:t xml:space="preserve">propuesta </w:t>
      </w:r>
      <w:r w:rsidRPr="004238D0">
        <w:rPr>
          <w:szCs w:val="24"/>
          <w:lang w:val="es-ES"/>
        </w:rPr>
        <w:t>es estudiar las metodologías de evaluación y categorización de la degradación de la tierra; la situación, las tendencias y los factores que intervienen en la degradación de la tierra a nivel mundial, por región y tipo de cubierta terrestre, teniendo en cuenta los diversos sistemas de conocimientos y valores; el efecto de la degradación de la tierra en los valores de la diversidad biológica, los servicios de los ecosistemas y el bienestar humano; y el estado de los conocimientos sobre medidas para mitigar la degradación y rehabilitar o restaurar la diversidad biológica y los servicios de los ecosistemas, por región y tipo de cubierta terrestre.</w:t>
      </w:r>
    </w:p>
    <w:p w:rsidR="00140653" w:rsidRPr="004238D0" w:rsidRDefault="00140653">
      <w:pPr>
        <w:pStyle w:val="CH2"/>
        <w:rPr>
          <w:lang w:val="es-ES"/>
        </w:rPr>
      </w:pPr>
      <w:r w:rsidRPr="004238D0">
        <w:rPr>
          <w:lang w:val="es-ES"/>
        </w:rPr>
        <w:lastRenderedPageBreak/>
        <w:tab/>
        <w:t>B.</w:t>
      </w:r>
      <w:r w:rsidRPr="004238D0">
        <w:rPr>
          <w:lang w:val="es-ES"/>
        </w:rPr>
        <w:tab/>
      </w:r>
      <w:r w:rsidR="004A43F6" w:rsidRPr="004238D0">
        <w:rPr>
          <w:lang w:val="es-ES"/>
        </w:rPr>
        <w:t>Fundamento</w:t>
      </w:r>
    </w:p>
    <w:p w:rsidR="00140653" w:rsidRPr="004238D0" w:rsidRDefault="00140653" w:rsidP="00B84CF4">
      <w:pPr>
        <w:pStyle w:val="Normalnumber"/>
        <w:ind w:left="1247" w:firstLine="0"/>
        <w:rPr>
          <w:szCs w:val="24"/>
          <w:lang w:val="es-ES"/>
        </w:rPr>
      </w:pPr>
      <w:r w:rsidRPr="004238D0">
        <w:rPr>
          <w:szCs w:val="24"/>
          <w:lang w:val="es-ES"/>
        </w:rPr>
        <w:t>A los efectos de la presente nota, la degradación de la tierra se define como una disminución a largo plazo de la diversidad biológica</w:t>
      </w:r>
      <w:r w:rsidR="005A7DCF" w:rsidRPr="004238D0">
        <w:rPr>
          <w:szCs w:val="24"/>
          <w:lang w:val="es-ES"/>
        </w:rPr>
        <w:t xml:space="preserve"> o</w:t>
      </w:r>
      <w:r w:rsidRPr="004238D0">
        <w:rPr>
          <w:szCs w:val="24"/>
          <w:lang w:val="es-ES"/>
        </w:rPr>
        <w:t xml:space="preserve"> la función ecosistémica o la pérdida de los servicios de los ecosistemas que la tierra no puede recuperar sin ayuda. Es un grave problema ambiental que afecta, de diferente manera y en diversas escalas, a todos los continentes con as</w:t>
      </w:r>
      <w:r w:rsidR="00584A79" w:rsidRPr="004238D0">
        <w:rPr>
          <w:szCs w:val="24"/>
          <w:lang w:val="es-ES"/>
        </w:rPr>
        <w:t>e</w:t>
      </w:r>
      <w:r w:rsidR="001077B0" w:rsidRPr="004238D0">
        <w:rPr>
          <w:szCs w:val="24"/>
          <w:lang w:val="es-ES"/>
        </w:rPr>
        <w:t xml:space="preserve">ntamientos humanos permanentes. Ello </w:t>
      </w:r>
      <w:r w:rsidRPr="004238D0">
        <w:rPr>
          <w:szCs w:val="24"/>
          <w:lang w:val="es-ES"/>
        </w:rPr>
        <w:t xml:space="preserve">se reconoció en la Conferencia de las </w:t>
      </w:r>
      <w:r w:rsidR="006B7539" w:rsidRPr="004238D0">
        <w:rPr>
          <w:szCs w:val="24"/>
          <w:lang w:val="es-ES"/>
        </w:rPr>
        <w:t>Naciones Unidas</w:t>
      </w:r>
      <w:r w:rsidRPr="004238D0">
        <w:rPr>
          <w:szCs w:val="24"/>
          <w:lang w:val="es-ES"/>
        </w:rPr>
        <w:t xml:space="preserve"> sobre el Desarrollo Sostenible (Río+20), en que los participantes afirmaron que procurarían </w:t>
      </w:r>
      <w:r w:rsidR="006B7539" w:rsidRPr="004238D0">
        <w:rPr>
          <w:szCs w:val="24"/>
          <w:lang w:val="es-ES"/>
        </w:rPr>
        <w:t>“</w:t>
      </w:r>
      <w:r w:rsidRPr="004238D0">
        <w:rPr>
          <w:szCs w:val="24"/>
          <w:lang w:val="es-ES"/>
        </w:rPr>
        <w:t>lograr un mundo con una degradación neutral del suelo en el contexto del desarrollo sostenible</w:t>
      </w:r>
      <w:r w:rsidR="006B7539" w:rsidRPr="004238D0">
        <w:rPr>
          <w:szCs w:val="24"/>
          <w:lang w:val="es-ES"/>
        </w:rPr>
        <w:t>”</w:t>
      </w:r>
      <w:r w:rsidRPr="004238D0">
        <w:rPr>
          <w:rStyle w:val="FootnoteReference"/>
          <w:sz w:val="20"/>
          <w:szCs w:val="24"/>
          <w:lang w:val="es-ES"/>
        </w:rPr>
        <w:footnoteReference w:id="2"/>
      </w:r>
      <w:r w:rsidR="00584A79" w:rsidRPr="004238D0">
        <w:rPr>
          <w:szCs w:val="24"/>
          <w:lang w:val="es-ES"/>
        </w:rPr>
        <w:t>.</w:t>
      </w:r>
    </w:p>
    <w:p w:rsidR="00140653" w:rsidRPr="004238D0" w:rsidRDefault="00D5504A" w:rsidP="00B84CF4">
      <w:pPr>
        <w:pStyle w:val="Normalnumber"/>
        <w:ind w:left="1247" w:firstLine="0"/>
        <w:rPr>
          <w:szCs w:val="24"/>
          <w:lang w:val="es-ES"/>
        </w:rPr>
      </w:pPr>
      <w:r w:rsidRPr="004238D0">
        <w:rPr>
          <w:szCs w:val="24"/>
          <w:lang w:val="es-ES"/>
        </w:rPr>
        <w:t>Debido a sus consecuencias negativas para la producción agrícola, la diversidad biológica y la calidad de vida, l</w:t>
      </w:r>
      <w:r w:rsidR="00140653" w:rsidRPr="004238D0">
        <w:rPr>
          <w:szCs w:val="24"/>
          <w:lang w:val="es-ES"/>
        </w:rPr>
        <w:t>a degradación de la tierra seguirá siendo un importante problema a</w:t>
      </w:r>
      <w:r w:rsidRPr="004238D0">
        <w:rPr>
          <w:szCs w:val="24"/>
          <w:lang w:val="es-ES"/>
        </w:rPr>
        <w:t xml:space="preserve"> escala mundial en el siglo XXI.</w:t>
      </w:r>
      <w:r w:rsidR="001077B0" w:rsidRPr="004238D0">
        <w:rPr>
          <w:szCs w:val="24"/>
          <w:lang w:val="es-ES"/>
        </w:rPr>
        <w:t xml:space="preserve"> </w:t>
      </w:r>
      <w:r w:rsidRPr="004238D0">
        <w:rPr>
          <w:szCs w:val="24"/>
          <w:lang w:val="es-ES"/>
        </w:rPr>
        <w:t>S</w:t>
      </w:r>
      <w:r w:rsidR="00140653" w:rsidRPr="004238D0">
        <w:rPr>
          <w:szCs w:val="24"/>
          <w:lang w:val="es-ES"/>
        </w:rPr>
        <w:t>e estima que es responsable de pérdidas económ</w:t>
      </w:r>
      <w:r w:rsidR="001077B0" w:rsidRPr="004238D0">
        <w:rPr>
          <w:szCs w:val="24"/>
          <w:lang w:val="es-ES"/>
        </w:rPr>
        <w:t>icas mundiales de entre 50.000 y</w:t>
      </w:r>
      <w:r w:rsidR="00140653" w:rsidRPr="004238D0">
        <w:rPr>
          <w:szCs w:val="24"/>
          <w:lang w:val="es-ES"/>
        </w:rPr>
        <w:t xml:space="preserve"> 400.000 millones de dólares de los </w:t>
      </w:r>
      <w:r w:rsidR="006B7539" w:rsidRPr="004238D0">
        <w:rPr>
          <w:szCs w:val="24"/>
          <w:lang w:val="es-ES"/>
        </w:rPr>
        <w:t>Estados Unidos</w:t>
      </w:r>
      <w:r w:rsidR="00140653" w:rsidRPr="004238D0">
        <w:rPr>
          <w:szCs w:val="24"/>
          <w:lang w:val="es-ES"/>
        </w:rPr>
        <w:t xml:space="preserve"> anuales. Al menos un 40% de la tierra del contine</w:t>
      </w:r>
      <w:r w:rsidR="00584A79" w:rsidRPr="004238D0">
        <w:rPr>
          <w:szCs w:val="24"/>
          <w:lang w:val="es-ES"/>
        </w:rPr>
        <w:t>nt</w:t>
      </w:r>
      <w:r w:rsidR="001077B0" w:rsidRPr="004238D0">
        <w:rPr>
          <w:szCs w:val="24"/>
          <w:lang w:val="es-ES"/>
        </w:rPr>
        <w:t>e africano está degradada. En</w:t>
      </w:r>
      <w:r w:rsidR="00584A79" w:rsidRPr="004238D0">
        <w:rPr>
          <w:szCs w:val="24"/>
          <w:lang w:val="es-ES"/>
        </w:rPr>
        <w:t xml:space="preserve"> las tierras áridas </w:t>
      </w:r>
      <w:r w:rsidR="001077B0" w:rsidRPr="004238D0">
        <w:rPr>
          <w:szCs w:val="24"/>
          <w:lang w:val="es-ES"/>
        </w:rPr>
        <w:t>es donde</w:t>
      </w:r>
      <w:r w:rsidR="00584A79" w:rsidRPr="004238D0">
        <w:rPr>
          <w:szCs w:val="24"/>
          <w:lang w:val="es-ES"/>
        </w:rPr>
        <w:t xml:space="preserve"> l</w:t>
      </w:r>
      <w:r w:rsidR="00140653" w:rsidRPr="004238D0">
        <w:rPr>
          <w:szCs w:val="24"/>
          <w:lang w:val="es-ES"/>
        </w:rPr>
        <w:t xml:space="preserve">a degradación de la tierra es particularmente severa y requiere medidas urgentes </w:t>
      </w:r>
      <w:r w:rsidR="00584A79" w:rsidRPr="004238D0">
        <w:rPr>
          <w:szCs w:val="24"/>
          <w:lang w:val="es-ES"/>
        </w:rPr>
        <w:t xml:space="preserve">(pues se habla de </w:t>
      </w:r>
      <w:r w:rsidR="006B7539" w:rsidRPr="004238D0">
        <w:rPr>
          <w:szCs w:val="24"/>
          <w:lang w:val="es-ES"/>
        </w:rPr>
        <w:t>“</w:t>
      </w:r>
      <w:r w:rsidR="00584A79" w:rsidRPr="004238D0">
        <w:rPr>
          <w:szCs w:val="24"/>
          <w:lang w:val="es-ES"/>
        </w:rPr>
        <w:t>desertificación</w:t>
      </w:r>
      <w:r w:rsidR="006B7539" w:rsidRPr="004238D0">
        <w:rPr>
          <w:szCs w:val="24"/>
          <w:lang w:val="es-ES"/>
        </w:rPr>
        <w:t>”</w:t>
      </w:r>
      <w:r w:rsidR="00584A79" w:rsidRPr="004238D0">
        <w:rPr>
          <w:szCs w:val="24"/>
          <w:lang w:val="es-ES"/>
        </w:rPr>
        <w:t xml:space="preserve"> y afecta al 33% de la superficie terrestre</w:t>
      </w:r>
      <w:r w:rsidR="00584A79" w:rsidRPr="004238D0">
        <w:rPr>
          <w:rStyle w:val="FootnoteReference"/>
          <w:sz w:val="20"/>
          <w:szCs w:val="24"/>
          <w:lang w:val="es-ES"/>
        </w:rPr>
        <w:footnoteReference w:id="3"/>
      </w:r>
      <w:r w:rsidR="00584A79" w:rsidRPr="004238D0">
        <w:rPr>
          <w:szCs w:val="24"/>
          <w:lang w:val="es-ES"/>
        </w:rPr>
        <w:t>)</w:t>
      </w:r>
      <w:r w:rsidR="00140653" w:rsidRPr="004238D0">
        <w:rPr>
          <w:szCs w:val="24"/>
          <w:lang w:val="es-ES"/>
        </w:rPr>
        <w:t xml:space="preserve">. En este caso, los medios de subsistencia de más de mil millones de personas dependen de su mitigación, </w:t>
      </w:r>
      <w:r w:rsidR="00584A79" w:rsidRPr="004238D0">
        <w:rPr>
          <w:szCs w:val="24"/>
          <w:lang w:val="es-ES"/>
        </w:rPr>
        <w:t>ya que</w:t>
      </w:r>
      <w:r w:rsidR="00140653" w:rsidRPr="004238D0">
        <w:rPr>
          <w:szCs w:val="24"/>
          <w:lang w:val="es-ES"/>
        </w:rPr>
        <w:t xml:space="preserve"> la tierra constituye la principal fuente de alimento. </w:t>
      </w:r>
    </w:p>
    <w:p w:rsidR="00140653" w:rsidRPr="004238D0" w:rsidRDefault="00140653" w:rsidP="00B84CF4">
      <w:pPr>
        <w:pStyle w:val="Normalnumber"/>
        <w:ind w:left="1247" w:firstLine="0"/>
        <w:rPr>
          <w:szCs w:val="24"/>
          <w:lang w:val="es-ES"/>
        </w:rPr>
      </w:pPr>
      <w:r w:rsidRPr="004238D0">
        <w:rPr>
          <w:szCs w:val="24"/>
          <w:lang w:val="es-ES"/>
        </w:rPr>
        <w:t>Las múltiples formas y causas de la degradación hacen de ella un problema complejo, de difícil consideración hasta el momento, pese a los diversos esfuerzos realizados por sistematizar esa complejidad</w:t>
      </w:r>
      <w:r w:rsidRPr="004238D0">
        <w:rPr>
          <w:rStyle w:val="FootnoteReference"/>
          <w:sz w:val="20"/>
          <w:szCs w:val="24"/>
          <w:lang w:val="es-ES"/>
        </w:rPr>
        <w:footnoteReference w:id="4"/>
      </w:r>
      <w:r w:rsidRPr="004238D0">
        <w:rPr>
          <w:szCs w:val="24"/>
          <w:lang w:val="es-ES"/>
        </w:rPr>
        <w:t>. Las evaluaciones deben ser sensibles al contexto y a los diversos sistemas de conocimientos, y realizarse en escalas comparables y pertinentes</w:t>
      </w:r>
      <w:r w:rsidRPr="004238D0">
        <w:rPr>
          <w:rStyle w:val="FootnoteReference"/>
          <w:sz w:val="20"/>
          <w:szCs w:val="24"/>
          <w:lang w:val="es-ES"/>
        </w:rPr>
        <w:footnoteReference w:id="5"/>
      </w:r>
      <w:r w:rsidRPr="004238D0">
        <w:rPr>
          <w:szCs w:val="24"/>
          <w:lang w:val="es-ES"/>
        </w:rPr>
        <w:t xml:space="preserve"> a fin de mantener su credibilidad frente a los principales interesados. También deberán abordar los posibles beneficios de la recuperación de los servicios de los ecosistemas, así como las prácticas sostenibles de gestión de la tierra en el futuro. </w:t>
      </w:r>
    </w:p>
    <w:p w:rsidR="00140653" w:rsidRPr="004238D0" w:rsidRDefault="00140653" w:rsidP="00B84CF4">
      <w:pPr>
        <w:pStyle w:val="Normalnumber"/>
        <w:ind w:left="1247" w:firstLine="0"/>
        <w:rPr>
          <w:szCs w:val="24"/>
          <w:lang w:val="es-ES"/>
        </w:rPr>
      </w:pPr>
      <w:r w:rsidRPr="004238D0">
        <w:rPr>
          <w:szCs w:val="24"/>
          <w:lang w:val="es-ES"/>
        </w:rPr>
        <w:t xml:space="preserve">Existen, o se están elaborando, técnicas y estrategias para abordar el problema de la degradación de la tierra en algunas situaciones, aunque no en todas, por lo que la evaluación propuesta deberá determinar las principales carencias de conocimientos y la forma de solucionarlas. Se deberán llevar a cabo sistemáticamente evaluaciones del alcance y de las tendencias mundiales de la degradación de la tierra, a partir de un conjunto compatible de evaluaciones regionales, así como de la gama de herramientas de mitigación y restauración disponibles y el contexto normativo pertinente, </w:t>
      </w:r>
      <w:r w:rsidR="00584A79" w:rsidRPr="004238D0">
        <w:rPr>
          <w:szCs w:val="24"/>
          <w:lang w:val="es-ES"/>
        </w:rPr>
        <w:t>con el objeto</w:t>
      </w:r>
      <w:r w:rsidRPr="004238D0">
        <w:rPr>
          <w:szCs w:val="24"/>
          <w:lang w:val="es-ES"/>
        </w:rPr>
        <w:t xml:space="preserve"> de promover la adopción de decisiones bien fundamentadas. Los responsables de formular políticas son quienes más conocimientos piden sobre posi</w:t>
      </w:r>
      <w:r w:rsidR="00B757FD" w:rsidRPr="004238D0">
        <w:rPr>
          <w:szCs w:val="24"/>
          <w:lang w:val="es-ES"/>
        </w:rPr>
        <w:t xml:space="preserve">bles sinergias y </w:t>
      </w:r>
      <w:r w:rsidRPr="004238D0">
        <w:rPr>
          <w:szCs w:val="24"/>
          <w:lang w:val="es-ES"/>
        </w:rPr>
        <w:t>soluciones de aplicación en el corto y mediano plazo.</w:t>
      </w:r>
    </w:p>
    <w:p w:rsidR="00140653" w:rsidRPr="004238D0" w:rsidRDefault="00140653">
      <w:pPr>
        <w:pStyle w:val="CH2"/>
        <w:rPr>
          <w:lang w:val="es-ES"/>
        </w:rPr>
      </w:pPr>
      <w:r w:rsidRPr="004238D0">
        <w:rPr>
          <w:lang w:val="es-ES"/>
        </w:rPr>
        <w:tab/>
        <w:t>C.</w:t>
      </w:r>
      <w:r w:rsidRPr="004238D0">
        <w:rPr>
          <w:lang w:val="es-ES"/>
        </w:rPr>
        <w:tab/>
        <w:t>Utilidad</w:t>
      </w:r>
    </w:p>
    <w:p w:rsidR="00140653" w:rsidRPr="004238D0" w:rsidRDefault="00140653" w:rsidP="00B84CF4">
      <w:pPr>
        <w:pStyle w:val="Normalnumber"/>
        <w:ind w:left="1247" w:firstLine="0"/>
        <w:rPr>
          <w:szCs w:val="24"/>
          <w:lang w:val="es-ES"/>
        </w:rPr>
      </w:pPr>
      <w:r w:rsidRPr="004238D0">
        <w:rPr>
          <w:szCs w:val="24"/>
          <w:lang w:val="es-ES"/>
        </w:rPr>
        <w:t xml:space="preserve">Si se lleva a cabo, la evaluación propuesta permitirá: efectuar una valoración rigurosa, teniendo en cuenta la escala, de las categorías de degradación de la tierra; evaluar la situación y los factores de la degradación a nivel mundial, contextualizados según diversos sistemas de conocimientos; medir la magnitud de la degradación para la diversidad biológica y los servicios de los ecosistemas y examinar las opciones de restauración, mitigación y recuperación de las tierras degradadas; arribar a conclusiones de importancia para la formulación de políticas y la adopción de decisiones y para la gestión adaptativa por parte de los gobiernos, las comunidades autóctonas y locales, el sector privado y la sociedad civil; y crear un marco para la incorporación de un enfoque de sistemas en la vigilancia y los mecanismos de respuesta a la degradación de la tierra, así como en el proceso de adopción de decisiones en materia de políticas. Al </w:t>
      </w:r>
      <w:r w:rsidRPr="004238D0">
        <w:rPr>
          <w:szCs w:val="24"/>
          <w:lang w:val="es-ES"/>
        </w:rPr>
        <w:lastRenderedPageBreak/>
        <w:t xml:space="preserve">incluir los conocimientos de las comunidades autóctonas y locales, y al tener en cuenta la escala y el bioma, la evaluación contribuirá a la elaboración de herramientas de apoyo a las políticas: </w:t>
      </w:r>
    </w:p>
    <w:p w:rsidR="00140653" w:rsidRPr="004238D0" w:rsidRDefault="00140653" w:rsidP="00D6361C">
      <w:pPr>
        <w:pStyle w:val="Normalnumber"/>
        <w:numPr>
          <w:ilvl w:val="1"/>
          <w:numId w:val="4"/>
        </w:numPr>
        <w:tabs>
          <w:tab w:val="clear" w:pos="1247"/>
        </w:tabs>
        <w:ind w:left="1247" w:firstLine="624"/>
        <w:rPr>
          <w:szCs w:val="24"/>
          <w:lang w:val="es-ES"/>
        </w:rPr>
      </w:pPr>
      <w:r w:rsidRPr="004238D0">
        <w:rPr>
          <w:szCs w:val="24"/>
          <w:lang w:val="es-ES"/>
        </w:rPr>
        <w:t>para lograr la Meta 5 de Aichi</w:t>
      </w:r>
      <w:r w:rsidR="005A7DCF" w:rsidRPr="004238D0">
        <w:rPr>
          <w:szCs w:val="24"/>
          <w:lang w:val="es-ES"/>
        </w:rPr>
        <w:t xml:space="preserve"> para la Diversidad Biológica</w:t>
      </w:r>
      <w:r w:rsidR="004238D0" w:rsidRPr="004238D0">
        <w:rPr>
          <w:szCs w:val="24"/>
          <w:lang w:val="es-ES"/>
        </w:rPr>
        <w:t>, que establece que para el año </w:t>
      </w:r>
      <w:r w:rsidRPr="004238D0">
        <w:rPr>
          <w:szCs w:val="24"/>
          <w:lang w:val="es-ES"/>
        </w:rPr>
        <w:t>2020 se deberá rehabilitar al menos un 15% de los ecosistemas degradados;</w:t>
      </w:r>
    </w:p>
    <w:p w:rsidR="00140653" w:rsidRPr="004238D0" w:rsidRDefault="00140653" w:rsidP="00310FD1">
      <w:pPr>
        <w:pStyle w:val="Normalnumber"/>
        <w:numPr>
          <w:ilvl w:val="1"/>
          <w:numId w:val="4"/>
        </w:numPr>
        <w:tabs>
          <w:tab w:val="clear" w:pos="1247"/>
        </w:tabs>
        <w:ind w:left="1247" w:firstLine="624"/>
        <w:rPr>
          <w:szCs w:val="24"/>
          <w:lang w:val="es-ES"/>
        </w:rPr>
      </w:pPr>
      <w:r w:rsidRPr="004238D0">
        <w:rPr>
          <w:szCs w:val="24"/>
          <w:lang w:val="es-ES"/>
        </w:rPr>
        <w:t>para contribuir a la mitigación del cambio climático y a la adaptación a este;</w:t>
      </w:r>
    </w:p>
    <w:p w:rsidR="00140653" w:rsidRPr="004238D0" w:rsidRDefault="00140653" w:rsidP="00310FD1">
      <w:pPr>
        <w:pStyle w:val="Normalnumber"/>
        <w:numPr>
          <w:ilvl w:val="1"/>
          <w:numId w:val="4"/>
        </w:numPr>
        <w:tabs>
          <w:tab w:val="clear" w:pos="1247"/>
        </w:tabs>
        <w:ind w:left="1247" w:firstLine="624"/>
        <w:rPr>
          <w:szCs w:val="24"/>
          <w:lang w:val="es-ES"/>
        </w:rPr>
      </w:pPr>
      <w:r w:rsidRPr="004238D0">
        <w:rPr>
          <w:szCs w:val="24"/>
          <w:lang w:val="es-ES"/>
        </w:rPr>
        <w:t>para luchar contra la desertificación;</w:t>
      </w:r>
    </w:p>
    <w:p w:rsidR="00140653" w:rsidRPr="004238D0" w:rsidRDefault="00140653" w:rsidP="00310FD1">
      <w:pPr>
        <w:pStyle w:val="Normalnumber"/>
        <w:numPr>
          <w:ilvl w:val="1"/>
          <w:numId w:val="4"/>
        </w:numPr>
        <w:tabs>
          <w:tab w:val="clear" w:pos="1247"/>
        </w:tabs>
        <w:ind w:left="1247" w:firstLine="624"/>
        <w:rPr>
          <w:szCs w:val="24"/>
          <w:lang w:val="es-ES"/>
        </w:rPr>
      </w:pPr>
      <w:r w:rsidRPr="004238D0">
        <w:rPr>
          <w:szCs w:val="24"/>
          <w:lang w:val="es-ES"/>
        </w:rPr>
        <w:t>para conseguir el objetivo de Río +20 de lograr un mundo con una degradación neutral del suelo.</w:t>
      </w:r>
    </w:p>
    <w:p w:rsidR="00140653" w:rsidRPr="004238D0" w:rsidRDefault="00140653">
      <w:pPr>
        <w:pStyle w:val="CH2"/>
        <w:rPr>
          <w:lang w:val="es-ES"/>
        </w:rPr>
      </w:pPr>
      <w:r w:rsidRPr="004238D0">
        <w:rPr>
          <w:lang w:val="es-ES"/>
        </w:rPr>
        <w:t>D.</w:t>
      </w:r>
      <w:r w:rsidRPr="004238D0">
        <w:rPr>
          <w:lang w:val="es-ES"/>
        </w:rPr>
        <w:tab/>
      </w:r>
      <w:r w:rsidR="00D17800" w:rsidRPr="004238D0">
        <w:rPr>
          <w:lang w:val="es-ES"/>
        </w:rPr>
        <w:t>Supuestos</w:t>
      </w:r>
    </w:p>
    <w:p w:rsidR="00140653" w:rsidRPr="004238D0" w:rsidRDefault="00140653" w:rsidP="00B84CF4">
      <w:pPr>
        <w:pStyle w:val="Normalnumber"/>
        <w:ind w:left="1247" w:firstLine="0"/>
        <w:rPr>
          <w:szCs w:val="24"/>
          <w:lang w:val="es-ES"/>
        </w:rPr>
      </w:pPr>
      <w:r w:rsidRPr="004238D0">
        <w:rPr>
          <w:szCs w:val="24"/>
          <w:lang w:val="es-ES"/>
        </w:rPr>
        <w:t xml:space="preserve">La evaluación se basará en publicaciones científicas actuales, elaboradas a partir </w:t>
      </w:r>
      <w:r w:rsidR="00B757FD" w:rsidRPr="004238D0">
        <w:rPr>
          <w:szCs w:val="24"/>
          <w:lang w:val="es-ES"/>
        </w:rPr>
        <w:t xml:space="preserve">de </w:t>
      </w:r>
      <w:r w:rsidRPr="004238D0">
        <w:rPr>
          <w:szCs w:val="24"/>
          <w:lang w:val="es-ES"/>
        </w:rPr>
        <w:t xml:space="preserve">la labor de instituciones como el Convenio sobre la Diversidad Biológica, la Organización de las </w:t>
      </w:r>
      <w:r w:rsidR="006B7539" w:rsidRPr="004238D0">
        <w:rPr>
          <w:szCs w:val="24"/>
          <w:lang w:val="es-ES"/>
        </w:rPr>
        <w:t>Naciones Unidas</w:t>
      </w:r>
      <w:r w:rsidRPr="004238D0">
        <w:rPr>
          <w:szCs w:val="24"/>
          <w:lang w:val="es-ES"/>
        </w:rPr>
        <w:t xml:space="preserve"> para la Agricultura y la Alimentación</w:t>
      </w:r>
      <w:r w:rsidR="005A7DCF" w:rsidRPr="004238D0">
        <w:rPr>
          <w:szCs w:val="24"/>
          <w:lang w:val="es-ES"/>
        </w:rPr>
        <w:t xml:space="preserve"> (FAO)</w:t>
      </w:r>
      <w:r w:rsidRPr="004238D0">
        <w:rPr>
          <w:szCs w:val="24"/>
          <w:lang w:val="es-ES"/>
        </w:rPr>
        <w:t xml:space="preserve">, la Convención de las </w:t>
      </w:r>
      <w:r w:rsidR="006B7539" w:rsidRPr="004238D0">
        <w:rPr>
          <w:szCs w:val="24"/>
          <w:lang w:val="es-ES"/>
        </w:rPr>
        <w:t>Naciones Unidas</w:t>
      </w:r>
      <w:r w:rsidRPr="004238D0">
        <w:rPr>
          <w:szCs w:val="24"/>
          <w:lang w:val="es-ES"/>
        </w:rPr>
        <w:t xml:space="preserve"> de Lucha contra la Desertificación en los Países Afectados por Sequía Grave o Desertificación, en particular en África, y el Fondo para el Medio Ambiente Mundial. De particular interés será la degradación de las tierras áridas. El Convenio sobre la Diversidad Biológica, con su programa de trabajo sobre diversidad biológica de las tierras áridas y subhúmedas, y la Convención de Lucha contra la </w:t>
      </w:r>
      <w:r w:rsidR="004A43F6" w:rsidRPr="004238D0">
        <w:rPr>
          <w:szCs w:val="24"/>
          <w:lang w:val="es-ES"/>
        </w:rPr>
        <w:t>Desertificación</w:t>
      </w:r>
      <w:r w:rsidRPr="004238D0">
        <w:rPr>
          <w:szCs w:val="24"/>
          <w:lang w:val="es-ES"/>
        </w:rPr>
        <w:t xml:space="preserve"> son los principales acuerdos ambientales multilaterales en materia de tierras áridas y subhúmedas. Varias de las Metas de Aichi para la Diversidad Biológica abordan la situación de las tierras áridas y se relacionan directamente con cuestiones de interés para la Convención de Lucha contra la Desertificación (por ejemplo, el objetivo 2 de su marco y plan estratégico: </w:t>
      </w:r>
      <w:r w:rsidR="006B7539" w:rsidRPr="004238D0">
        <w:rPr>
          <w:szCs w:val="24"/>
          <w:lang w:val="es-ES"/>
        </w:rPr>
        <w:t>“</w:t>
      </w:r>
      <w:r w:rsidRPr="004238D0">
        <w:rPr>
          <w:szCs w:val="24"/>
          <w:lang w:val="es-ES"/>
        </w:rPr>
        <w:t>mejorar las condiciones de los ecosistemas afectados</w:t>
      </w:r>
      <w:r w:rsidR="006B7539" w:rsidRPr="004238D0">
        <w:rPr>
          <w:szCs w:val="24"/>
          <w:lang w:val="es-ES"/>
        </w:rPr>
        <w:t>”</w:t>
      </w:r>
      <w:r w:rsidRPr="004238D0">
        <w:rPr>
          <w:szCs w:val="24"/>
          <w:lang w:val="es-ES"/>
        </w:rPr>
        <w:t>). Dos conferencias científicas internacionales, convocadas con los auspicios de la Convención de Lucha contra la Desertificación, ya han congregado a la comunidad científica. La 11ª reunión de la Conferencia de las Partes en esa Convención, prevista para septiembre de 2013, también definirá el alcance de la evaluación. Asimismo, la evaluación sobre la degradación y la rehabilitación de la tierra se apoyará en la Alianza mundial sobre los suelos de la FAO y la Iniciativa internacional para la conservación y la utilización sostenible de la diversidad biológica de los suelos. Los sistemas de conocimientos autóctonos y locales realizarán sus aportaciones a través de las publicaciones existentes, así como de los talleres de diálogo y las reuniones de trabajo comunitarias.</w:t>
      </w:r>
    </w:p>
    <w:p w:rsidR="00140653" w:rsidRPr="004238D0" w:rsidRDefault="00140653">
      <w:pPr>
        <w:pStyle w:val="CH1"/>
        <w:rPr>
          <w:szCs w:val="24"/>
          <w:lang w:val="es-ES"/>
        </w:rPr>
      </w:pPr>
      <w:r w:rsidRPr="004238D0">
        <w:rPr>
          <w:szCs w:val="24"/>
          <w:lang w:val="es-ES"/>
        </w:rPr>
        <w:tab/>
        <w:t>II</w:t>
      </w:r>
      <w:r w:rsidR="008F0D53" w:rsidRPr="004238D0">
        <w:rPr>
          <w:szCs w:val="24"/>
          <w:lang w:val="es-ES"/>
        </w:rPr>
        <w:t>I</w:t>
      </w:r>
      <w:r w:rsidRPr="004238D0">
        <w:rPr>
          <w:szCs w:val="24"/>
          <w:lang w:val="es-ES"/>
        </w:rPr>
        <w:t>.</w:t>
      </w:r>
      <w:r w:rsidRPr="004238D0">
        <w:rPr>
          <w:szCs w:val="24"/>
          <w:lang w:val="es-ES"/>
        </w:rPr>
        <w:tab/>
        <w:t>Es</w:t>
      </w:r>
      <w:r w:rsidR="00D17800" w:rsidRPr="004238D0">
        <w:rPr>
          <w:szCs w:val="24"/>
          <w:lang w:val="es-ES"/>
        </w:rPr>
        <w:t xml:space="preserve">tructura por </w:t>
      </w:r>
      <w:r w:rsidRPr="004238D0">
        <w:rPr>
          <w:szCs w:val="24"/>
          <w:lang w:val="es-ES"/>
        </w:rPr>
        <w:t>capítulos</w:t>
      </w:r>
    </w:p>
    <w:p w:rsidR="00140653" w:rsidRPr="004238D0" w:rsidRDefault="00140653" w:rsidP="00B84CF4">
      <w:pPr>
        <w:pStyle w:val="Normalnumber"/>
        <w:ind w:left="1247" w:firstLine="0"/>
        <w:rPr>
          <w:szCs w:val="24"/>
          <w:lang w:val="es-ES"/>
        </w:rPr>
      </w:pPr>
      <w:r w:rsidRPr="004238D0">
        <w:rPr>
          <w:szCs w:val="24"/>
          <w:lang w:val="es-ES"/>
        </w:rPr>
        <w:t xml:space="preserve">Se prevé que los resultados de la evaluación temática se presenten en un informe, </w:t>
      </w:r>
      <w:r w:rsidR="005A7DCF" w:rsidRPr="004238D0">
        <w:rPr>
          <w:szCs w:val="24"/>
          <w:lang w:val="es-ES"/>
        </w:rPr>
        <w:t>estructurado en ocho capítulos,</w:t>
      </w:r>
      <w:r w:rsidR="0057009C">
        <w:rPr>
          <w:szCs w:val="24"/>
          <w:lang w:val="es-ES"/>
        </w:rPr>
        <w:t xml:space="preserve"> de la siguiente manera.</w:t>
      </w:r>
    </w:p>
    <w:p w:rsidR="00140653" w:rsidRPr="004238D0" w:rsidRDefault="00140653" w:rsidP="005A7DCF">
      <w:pPr>
        <w:pStyle w:val="Normalnumber"/>
        <w:ind w:left="1247" w:firstLine="0"/>
        <w:rPr>
          <w:szCs w:val="24"/>
          <w:lang w:val="es-ES"/>
        </w:rPr>
      </w:pPr>
      <w:r w:rsidRPr="004238D0">
        <w:rPr>
          <w:szCs w:val="24"/>
          <w:lang w:val="es-ES"/>
        </w:rPr>
        <w:t>Capítulo 1</w:t>
      </w:r>
      <w:r w:rsidR="005A7DCF" w:rsidRPr="004238D0">
        <w:rPr>
          <w:szCs w:val="24"/>
          <w:lang w:val="es-ES"/>
        </w:rPr>
        <w:t>.</w:t>
      </w:r>
      <w:r w:rsidRPr="004238D0">
        <w:rPr>
          <w:szCs w:val="24"/>
          <w:lang w:val="es-ES"/>
        </w:rPr>
        <w:tab/>
        <w:t>Introducción a los conceptos de degradación de la tierra y opciones para su mitigación y restauración en regiones y biomas diversos</w:t>
      </w:r>
      <w:r w:rsidR="0057009C">
        <w:rPr>
          <w:szCs w:val="24"/>
          <w:lang w:val="es-ES"/>
        </w:rPr>
        <w:t>:</w:t>
      </w:r>
    </w:p>
    <w:p w:rsidR="00140653" w:rsidRPr="004238D0" w:rsidRDefault="00140653" w:rsidP="004238D0">
      <w:pPr>
        <w:pStyle w:val="Normalnumber"/>
        <w:numPr>
          <w:ilvl w:val="0"/>
          <w:numId w:val="8"/>
        </w:numPr>
        <w:tabs>
          <w:tab w:val="clear" w:pos="1247"/>
          <w:tab w:val="clear" w:pos="1814"/>
          <w:tab w:val="clear" w:pos="2381"/>
          <w:tab w:val="clear" w:pos="2948"/>
          <w:tab w:val="clear" w:pos="3515"/>
        </w:tabs>
        <w:ind w:left="1248" w:firstLine="623"/>
        <w:rPr>
          <w:szCs w:val="24"/>
          <w:lang w:val="es-ES"/>
        </w:rPr>
      </w:pPr>
      <w:r w:rsidRPr="004238D0">
        <w:rPr>
          <w:szCs w:val="24"/>
          <w:lang w:val="es-ES"/>
        </w:rPr>
        <w:t>El concepto de degradación de la tierra</w:t>
      </w:r>
      <w:r w:rsidR="004238D0">
        <w:rPr>
          <w:szCs w:val="24"/>
          <w:lang w:val="es-ES"/>
        </w:rPr>
        <w:t>;</w:t>
      </w:r>
    </w:p>
    <w:p w:rsidR="00140653" w:rsidRPr="004238D0" w:rsidRDefault="00140653" w:rsidP="004238D0">
      <w:pPr>
        <w:pStyle w:val="Normalnumber"/>
        <w:numPr>
          <w:ilvl w:val="0"/>
          <w:numId w:val="8"/>
        </w:numPr>
        <w:tabs>
          <w:tab w:val="clear" w:pos="1247"/>
          <w:tab w:val="clear" w:pos="1814"/>
          <w:tab w:val="clear" w:pos="2381"/>
          <w:tab w:val="clear" w:pos="2948"/>
          <w:tab w:val="clear" w:pos="3515"/>
        </w:tabs>
        <w:ind w:left="1248" w:firstLine="623"/>
        <w:rPr>
          <w:szCs w:val="24"/>
          <w:lang w:val="es-ES"/>
        </w:rPr>
      </w:pPr>
      <w:r w:rsidRPr="004238D0">
        <w:rPr>
          <w:szCs w:val="24"/>
          <w:lang w:val="es-ES"/>
        </w:rPr>
        <w:t>Categorías de degradación de la tierra</w:t>
      </w:r>
      <w:r w:rsidR="004238D0">
        <w:rPr>
          <w:szCs w:val="24"/>
          <w:lang w:val="es-ES"/>
        </w:rPr>
        <w:t>;</w:t>
      </w:r>
    </w:p>
    <w:p w:rsidR="00140653" w:rsidRPr="004238D0" w:rsidRDefault="00140653" w:rsidP="004238D0">
      <w:pPr>
        <w:pStyle w:val="Normalnumber"/>
        <w:numPr>
          <w:ilvl w:val="0"/>
          <w:numId w:val="8"/>
        </w:numPr>
        <w:tabs>
          <w:tab w:val="clear" w:pos="1247"/>
          <w:tab w:val="clear" w:pos="1814"/>
          <w:tab w:val="clear" w:pos="2381"/>
          <w:tab w:val="clear" w:pos="2948"/>
          <w:tab w:val="clear" w:pos="3515"/>
        </w:tabs>
        <w:ind w:left="1248" w:firstLine="623"/>
        <w:rPr>
          <w:szCs w:val="24"/>
          <w:lang w:val="es-ES"/>
        </w:rPr>
      </w:pPr>
      <w:r w:rsidRPr="004238D0">
        <w:rPr>
          <w:szCs w:val="24"/>
          <w:lang w:val="es-ES"/>
        </w:rPr>
        <w:t>La degradación de la tierra como fenómeno ecológico, incluida la función de la diversidad biológica del suelo</w:t>
      </w:r>
      <w:r w:rsidR="004238D0">
        <w:rPr>
          <w:szCs w:val="24"/>
          <w:lang w:val="es-ES"/>
        </w:rPr>
        <w:t>;</w:t>
      </w:r>
    </w:p>
    <w:p w:rsidR="00140653" w:rsidRPr="004238D0" w:rsidRDefault="00140653" w:rsidP="004238D0">
      <w:pPr>
        <w:pStyle w:val="Normalnumber"/>
        <w:numPr>
          <w:ilvl w:val="0"/>
          <w:numId w:val="8"/>
        </w:numPr>
        <w:tabs>
          <w:tab w:val="clear" w:pos="1247"/>
          <w:tab w:val="clear" w:pos="1814"/>
          <w:tab w:val="clear" w:pos="2381"/>
          <w:tab w:val="clear" w:pos="2948"/>
          <w:tab w:val="clear" w:pos="3515"/>
        </w:tabs>
        <w:ind w:left="1248" w:firstLine="623"/>
        <w:rPr>
          <w:szCs w:val="24"/>
          <w:lang w:val="es-ES"/>
        </w:rPr>
      </w:pPr>
      <w:r w:rsidRPr="004238D0">
        <w:rPr>
          <w:szCs w:val="24"/>
          <w:lang w:val="es-ES"/>
        </w:rPr>
        <w:t>Consecuencias de la degradación de la tierra en la diversidad biológica y los servicios de los ecosistemas</w:t>
      </w:r>
      <w:r w:rsidR="004238D0">
        <w:rPr>
          <w:szCs w:val="24"/>
          <w:lang w:val="es-ES"/>
        </w:rPr>
        <w:t>;</w:t>
      </w:r>
    </w:p>
    <w:p w:rsidR="00140653" w:rsidRPr="004238D0" w:rsidRDefault="00140653" w:rsidP="004238D0">
      <w:pPr>
        <w:pStyle w:val="Normalnumber"/>
        <w:numPr>
          <w:ilvl w:val="0"/>
          <w:numId w:val="8"/>
        </w:numPr>
        <w:tabs>
          <w:tab w:val="clear" w:pos="1247"/>
          <w:tab w:val="clear" w:pos="1814"/>
          <w:tab w:val="clear" w:pos="2381"/>
          <w:tab w:val="clear" w:pos="2948"/>
          <w:tab w:val="clear" w:pos="3515"/>
        </w:tabs>
        <w:ind w:left="1248" w:firstLine="623"/>
        <w:rPr>
          <w:szCs w:val="24"/>
          <w:lang w:val="es-ES"/>
        </w:rPr>
      </w:pPr>
      <w:r w:rsidRPr="004238D0">
        <w:rPr>
          <w:szCs w:val="24"/>
          <w:lang w:val="es-ES"/>
        </w:rPr>
        <w:t>La dependencia del contexto en los conceptos de degradación de la tierra y sus consecuencias, teniendo en cuenta los diversos sistemas de conocimientos y valores</w:t>
      </w:r>
      <w:r w:rsidR="004238D0">
        <w:rPr>
          <w:szCs w:val="24"/>
          <w:lang w:val="es-ES"/>
        </w:rPr>
        <w:t>;</w:t>
      </w:r>
    </w:p>
    <w:p w:rsidR="00140653" w:rsidRPr="004238D0" w:rsidRDefault="00140653" w:rsidP="004238D0">
      <w:pPr>
        <w:pStyle w:val="Normalnumber"/>
        <w:numPr>
          <w:ilvl w:val="0"/>
          <w:numId w:val="8"/>
        </w:numPr>
        <w:tabs>
          <w:tab w:val="clear" w:pos="1247"/>
          <w:tab w:val="clear" w:pos="1814"/>
          <w:tab w:val="clear" w:pos="2381"/>
          <w:tab w:val="clear" w:pos="2948"/>
          <w:tab w:val="clear" w:pos="3515"/>
        </w:tabs>
        <w:ind w:left="1248" w:firstLine="623"/>
        <w:rPr>
          <w:szCs w:val="24"/>
          <w:lang w:val="es-ES"/>
        </w:rPr>
      </w:pPr>
      <w:r w:rsidRPr="004238D0">
        <w:rPr>
          <w:szCs w:val="24"/>
          <w:lang w:val="es-ES"/>
        </w:rPr>
        <w:t>La dependencia de la escala (en el tiempo y en el espacio) en la degradación de la tierra y sus consecuencias</w:t>
      </w:r>
      <w:r w:rsidR="004238D0">
        <w:rPr>
          <w:szCs w:val="24"/>
          <w:lang w:val="es-ES"/>
        </w:rPr>
        <w:t>;</w:t>
      </w:r>
    </w:p>
    <w:p w:rsidR="00140653" w:rsidRPr="004238D0" w:rsidRDefault="00140653" w:rsidP="004238D0">
      <w:pPr>
        <w:pStyle w:val="Normalnumber"/>
        <w:numPr>
          <w:ilvl w:val="0"/>
          <w:numId w:val="8"/>
        </w:numPr>
        <w:tabs>
          <w:tab w:val="clear" w:pos="1247"/>
          <w:tab w:val="clear" w:pos="1814"/>
          <w:tab w:val="clear" w:pos="2381"/>
          <w:tab w:val="clear" w:pos="2948"/>
          <w:tab w:val="clear" w:pos="3515"/>
        </w:tabs>
        <w:ind w:left="1248" w:firstLine="623"/>
        <w:rPr>
          <w:szCs w:val="24"/>
          <w:lang w:val="es-ES"/>
        </w:rPr>
      </w:pPr>
      <w:r w:rsidRPr="004238D0">
        <w:rPr>
          <w:szCs w:val="24"/>
          <w:lang w:val="es-ES"/>
        </w:rPr>
        <w:t>Procedimientos para rehabilitar y restaurar la diversidad biológica y los servicios de los ecosistemas, y mitigar su degradación</w:t>
      </w:r>
      <w:r w:rsidR="004238D0">
        <w:rPr>
          <w:szCs w:val="24"/>
          <w:lang w:val="es-ES"/>
        </w:rPr>
        <w:t>;</w:t>
      </w:r>
    </w:p>
    <w:p w:rsidR="00140653" w:rsidRPr="004238D0" w:rsidRDefault="00140653" w:rsidP="004238D0">
      <w:pPr>
        <w:pStyle w:val="Normalnumber"/>
        <w:numPr>
          <w:ilvl w:val="0"/>
          <w:numId w:val="8"/>
        </w:numPr>
        <w:tabs>
          <w:tab w:val="clear" w:pos="1247"/>
          <w:tab w:val="clear" w:pos="1814"/>
          <w:tab w:val="clear" w:pos="2381"/>
          <w:tab w:val="clear" w:pos="2948"/>
          <w:tab w:val="clear" w:pos="3515"/>
        </w:tabs>
        <w:ind w:left="1248" w:firstLine="623"/>
        <w:rPr>
          <w:szCs w:val="24"/>
          <w:lang w:val="es-ES"/>
        </w:rPr>
      </w:pPr>
      <w:r w:rsidRPr="004238D0">
        <w:rPr>
          <w:szCs w:val="24"/>
          <w:lang w:val="es-ES"/>
        </w:rPr>
        <w:t>Contexto normativo de la degradación de la tierra evaluada en el informe</w:t>
      </w:r>
      <w:r w:rsidR="0057009C">
        <w:rPr>
          <w:szCs w:val="24"/>
          <w:lang w:val="es-ES"/>
        </w:rPr>
        <w:t>.</w:t>
      </w:r>
    </w:p>
    <w:p w:rsidR="00140653" w:rsidRPr="004238D0" w:rsidRDefault="00140653" w:rsidP="004238D0">
      <w:pPr>
        <w:pStyle w:val="Normalnumber"/>
        <w:ind w:left="1247" w:firstLine="0"/>
        <w:rPr>
          <w:szCs w:val="24"/>
          <w:lang w:val="es-ES"/>
        </w:rPr>
      </w:pPr>
      <w:r w:rsidRPr="004238D0">
        <w:rPr>
          <w:szCs w:val="24"/>
          <w:lang w:val="es-ES"/>
        </w:rPr>
        <w:lastRenderedPageBreak/>
        <w:t>Capítulo 2:</w:t>
      </w:r>
      <w:r w:rsidRPr="004238D0">
        <w:rPr>
          <w:szCs w:val="24"/>
          <w:lang w:val="es-ES"/>
        </w:rPr>
        <w:tab/>
      </w:r>
      <w:r w:rsidR="00584A79" w:rsidRPr="004238D0">
        <w:rPr>
          <w:szCs w:val="24"/>
          <w:lang w:val="es-ES"/>
        </w:rPr>
        <w:t>Sinopsis</w:t>
      </w:r>
      <w:r w:rsidRPr="004238D0">
        <w:rPr>
          <w:szCs w:val="24"/>
          <w:lang w:val="es-ES"/>
        </w:rPr>
        <w:t xml:space="preserve"> y evaluación de metodologías para la vigilancia de la degradación de la tierra y sus consecuencias en diversas regiones, biomas y escalas en el contexto de distintos sistemas de conocimientos y valores</w:t>
      </w:r>
      <w:r w:rsidR="0057009C">
        <w:rPr>
          <w:szCs w:val="24"/>
          <w:lang w:val="es-ES"/>
        </w:rPr>
        <w:t>:</w:t>
      </w:r>
    </w:p>
    <w:p w:rsidR="00140653" w:rsidRPr="004238D0" w:rsidRDefault="00140653" w:rsidP="004238D0">
      <w:pPr>
        <w:pStyle w:val="Normalnumber"/>
        <w:numPr>
          <w:ilvl w:val="0"/>
          <w:numId w:val="19"/>
        </w:numPr>
        <w:tabs>
          <w:tab w:val="clear" w:pos="1247"/>
          <w:tab w:val="clear" w:pos="1814"/>
          <w:tab w:val="clear" w:pos="2381"/>
          <w:tab w:val="clear" w:pos="2948"/>
          <w:tab w:val="clear" w:pos="3515"/>
        </w:tabs>
        <w:ind w:left="1248" w:firstLine="623"/>
        <w:rPr>
          <w:szCs w:val="24"/>
          <w:lang w:val="es-ES"/>
        </w:rPr>
      </w:pPr>
      <w:r w:rsidRPr="004238D0">
        <w:rPr>
          <w:szCs w:val="24"/>
          <w:lang w:val="es-ES"/>
        </w:rPr>
        <w:t>Metodologías para la vigilancia de la degradación de la tierra y sus consecuencias</w:t>
      </w:r>
      <w:r w:rsidR="0057009C">
        <w:rPr>
          <w:szCs w:val="24"/>
          <w:lang w:val="es-ES"/>
        </w:rPr>
        <w:t>;</w:t>
      </w:r>
    </w:p>
    <w:p w:rsidR="00140653" w:rsidRPr="004238D0" w:rsidRDefault="00140653" w:rsidP="004238D0">
      <w:pPr>
        <w:pStyle w:val="Normalnumber"/>
        <w:numPr>
          <w:ilvl w:val="0"/>
          <w:numId w:val="19"/>
        </w:numPr>
        <w:tabs>
          <w:tab w:val="clear" w:pos="1247"/>
          <w:tab w:val="clear" w:pos="1814"/>
          <w:tab w:val="clear" w:pos="2381"/>
          <w:tab w:val="clear" w:pos="2948"/>
          <w:tab w:val="clear" w:pos="3515"/>
        </w:tabs>
        <w:ind w:left="1248" w:firstLine="623"/>
        <w:rPr>
          <w:szCs w:val="24"/>
          <w:lang w:val="es-ES"/>
        </w:rPr>
      </w:pPr>
      <w:r w:rsidRPr="004238D0">
        <w:rPr>
          <w:szCs w:val="24"/>
          <w:lang w:val="es-ES"/>
        </w:rPr>
        <w:t>Metodologías para la caracterización de las diversas consecuencias económicas y sociales (p. ej. en los beneficios culturales, psicosociales, espirituales y estéticos en común) de la degradación de la tierra y la pérdida de los servicios de los ecosistemas</w:t>
      </w:r>
      <w:r w:rsidR="0057009C">
        <w:rPr>
          <w:szCs w:val="24"/>
          <w:lang w:val="es-ES"/>
        </w:rPr>
        <w:t>;</w:t>
      </w:r>
    </w:p>
    <w:p w:rsidR="00140653" w:rsidRPr="004238D0" w:rsidRDefault="00140653" w:rsidP="004238D0">
      <w:pPr>
        <w:pStyle w:val="Normalnumber"/>
        <w:numPr>
          <w:ilvl w:val="0"/>
          <w:numId w:val="19"/>
        </w:numPr>
        <w:tabs>
          <w:tab w:val="clear" w:pos="1247"/>
          <w:tab w:val="clear" w:pos="1814"/>
          <w:tab w:val="clear" w:pos="2381"/>
          <w:tab w:val="clear" w:pos="2948"/>
          <w:tab w:val="clear" w:pos="3515"/>
        </w:tabs>
        <w:ind w:left="1248" w:firstLine="623"/>
        <w:rPr>
          <w:szCs w:val="24"/>
          <w:lang w:val="es-ES"/>
        </w:rPr>
      </w:pPr>
      <w:r w:rsidRPr="004238D0">
        <w:rPr>
          <w:szCs w:val="24"/>
          <w:lang w:val="es-ES"/>
        </w:rPr>
        <w:t>Metodologías para comparar resultados en diferentes biomas, con contextos socioeconómicos distintos y en escalas diferentes</w:t>
      </w:r>
      <w:r w:rsidR="0057009C">
        <w:rPr>
          <w:szCs w:val="24"/>
          <w:lang w:val="es-ES"/>
        </w:rPr>
        <w:t>.</w:t>
      </w:r>
    </w:p>
    <w:p w:rsidR="00140653" w:rsidRPr="004238D0" w:rsidRDefault="00140653" w:rsidP="004238D0">
      <w:pPr>
        <w:pStyle w:val="Normalnumber"/>
        <w:ind w:left="1247" w:firstLine="0"/>
        <w:rPr>
          <w:szCs w:val="24"/>
          <w:lang w:val="es-ES"/>
        </w:rPr>
      </w:pPr>
      <w:r w:rsidRPr="004238D0">
        <w:rPr>
          <w:szCs w:val="24"/>
          <w:lang w:val="es-ES"/>
        </w:rPr>
        <w:t>Capítulo 3:</w:t>
      </w:r>
      <w:r w:rsidRPr="004238D0">
        <w:rPr>
          <w:szCs w:val="24"/>
          <w:lang w:val="es-ES"/>
        </w:rPr>
        <w:tab/>
        <w:t>Evaluación de la situación, las tendencias y los factores de la degradación de la tierra a nivel mundial, desglosados por región y tipo de bioma y contextualizados según la escala y los distintos sistemas de conocimientos y valores</w:t>
      </w:r>
      <w:r w:rsidR="0057009C">
        <w:rPr>
          <w:szCs w:val="24"/>
          <w:lang w:val="es-ES"/>
        </w:rPr>
        <w:t>:</w:t>
      </w:r>
    </w:p>
    <w:p w:rsidR="00140653" w:rsidRPr="004238D0" w:rsidRDefault="00140653" w:rsidP="004238D0">
      <w:pPr>
        <w:pStyle w:val="Normalnumber"/>
        <w:keepNext/>
        <w:keepLines/>
        <w:numPr>
          <w:ilvl w:val="0"/>
          <w:numId w:val="22"/>
        </w:numPr>
        <w:tabs>
          <w:tab w:val="clear" w:pos="1247"/>
          <w:tab w:val="clear" w:pos="1814"/>
          <w:tab w:val="clear" w:pos="2381"/>
          <w:tab w:val="clear" w:pos="2948"/>
          <w:tab w:val="clear" w:pos="3515"/>
        </w:tabs>
        <w:ind w:left="1248" w:firstLine="623"/>
        <w:rPr>
          <w:szCs w:val="24"/>
          <w:lang w:val="es-ES"/>
        </w:rPr>
      </w:pPr>
      <w:r w:rsidRPr="004238D0">
        <w:rPr>
          <w:szCs w:val="24"/>
          <w:lang w:val="es-ES"/>
        </w:rPr>
        <w:t>Sinopsis de los factores relativos a la escala (pequeña o grande) y el contexto en la vigilancia de la degradación de la tierra</w:t>
      </w:r>
      <w:r w:rsidR="0057009C">
        <w:rPr>
          <w:szCs w:val="24"/>
          <w:lang w:val="es-ES"/>
        </w:rPr>
        <w:t>;</w:t>
      </w:r>
    </w:p>
    <w:p w:rsidR="00140653" w:rsidRPr="004238D0" w:rsidRDefault="00140653" w:rsidP="004238D0">
      <w:pPr>
        <w:pStyle w:val="Normalnumber"/>
        <w:keepNext/>
        <w:keepLines/>
        <w:numPr>
          <w:ilvl w:val="0"/>
          <w:numId w:val="22"/>
        </w:numPr>
        <w:tabs>
          <w:tab w:val="clear" w:pos="1247"/>
          <w:tab w:val="clear" w:pos="1814"/>
          <w:tab w:val="clear" w:pos="2381"/>
          <w:tab w:val="clear" w:pos="2948"/>
          <w:tab w:val="clear" w:pos="3515"/>
        </w:tabs>
        <w:ind w:left="1248" w:firstLine="623"/>
        <w:rPr>
          <w:szCs w:val="24"/>
          <w:lang w:val="es-ES"/>
        </w:rPr>
      </w:pPr>
      <w:r w:rsidRPr="004238D0">
        <w:rPr>
          <w:szCs w:val="24"/>
          <w:lang w:val="es-ES"/>
        </w:rPr>
        <w:t>Alcance, tendencias y factores, si procede, de la degradación de la tierra</w:t>
      </w:r>
      <w:r w:rsidR="0057009C">
        <w:rPr>
          <w:szCs w:val="24"/>
          <w:lang w:val="es-ES"/>
        </w:rPr>
        <w:t>;</w:t>
      </w:r>
    </w:p>
    <w:p w:rsidR="00140653" w:rsidRPr="004238D0" w:rsidRDefault="00140653" w:rsidP="004238D0">
      <w:pPr>
        <w:pStyle w:val="Normalnumber"/>
        <w:numPr>
          <w:ilvl w:val="0"/>
          <w:numId w:val="22"/>
        </w:numPr>
        <w:tabs>
          <w:tab w:val="clear" w:pos="1247"/>
          <w:tab w:val="clear" w:pos="1814"/>
          <w:tab w:val="clear" w:pos="2381"/>
          <w:tab w:val="clear" w:pos="2948"/>
          <w:tab w:val="clear" w:pos="3515"/>
        </w:tabs>
        <w:ind w:left="1248" w:firstLine="623"/>
        <w:rPr>
          <w:szCs w:val="24"/>
          <w:lang w:val="es-ES"/>
        </w:rPr>
      </w:pPr>
      <w:r w:rsidRPr="004238D0">
        <w:rPr>
          <w:szCs w:val="24"/>
          <w:lang w:val="es-ES"/>
        </w:rPr>
        <w:t>Integración de la evaluación sobre la degradación de la tierra en el conocimiento autóctono y local</w:t>
      </w:r>
      <w:r w:rsidR="0057009C">
        <w:rPr>
          <w:szCs w:val="24"/>
          <w:lang w:val="es-ES"/>
        </w:rPr>
        <w:t>.</w:t>
      </w:r>
    </w:p>
    <w:p w:rsidR="00140653" w:rsidRPr="004238D0" w:rsidRDefault="00140653" w:rsidP="004238D0">
      <w:pPr>
        <w:pStyle w:val="Normalnumber"/>
        <w:ind w:left="1247" w:firstLine="0"/>
        <w:rPr>
          <w:szCs w:val="24"/>
          <w:lang w:val="es-ES"/>
        </w:rPr>
      </w:pPr>
      <w:r w:rsidRPr="004238D0">
        <w:rPr>
          <w:szCs w:val="24"/>
          <w:lang w:val="es-ES"/>
        </w:rPr>
        <w:t>Capítulo 4:</w:t>
      </w:r>
      <w:r w:rsidRPr="004238D0">
        <w:rPr>
          <w:szCs w:val="24"/>
          <w:lang w:val="es-ES"/>
        </w:rPr>
        <w:tab/>
        <w:t>Evaluación de la magnitud de la degradación de la tierra a nivel mundial para la diversidad biológica y los servicios de los ecosistemas, desglosada por región y tipo de bioma, y contextualizada según la escala y los diversos sistemas de conocimientos y valores</w:t>
      </w:r>
      <w:r w:rsidR="0057009C">
        <w:rPr>
          <w:szCs w:val="24"/>
          <w:lang w:val="es-ES"/>
        </w:rPr>
        <w:t>:</w:t>
      </w:r>
    </w:p>
    <w:p w:rsidR="00140653" w:rsidRPr="004238D0" w:rsidRDefault="00140653" w:rsidP="004238D0">
      <w:pPr>
        <w:pStyle w:val="Normalnumber"/>
        <w:numPr>
          <w:ilvl w:val="0"/>
          <w:numId w:val="23"/>
        </w:numPr>
        <w:tabs>
          <w:tab w:val="clear" w:pos="1247"/>
          <w:tab w:val="clear" w:pos="1814"/>
          <w:tab w:val="clear" w:pos="2381"/>
          <w:tab w:val="clear" w:pos="2948"/>
          <w:tab w:val="clear" w:pos="3515"/>
        </w:tabs>
        <w:ind w:left="1248" w:firstLine="623"/>
        <w:rPr>
          <w:szCs w:val="24"/>
          <w:lang w:val="es-ES"/>
        </w:rPr>
      </w:pPr>
      <w:r w:rsidRPr="004238D0">
        <w:rPr>
          <w:szCs w:val="24"/>
          <w:lang w:val="es-ES"/>
        </w:rPr>
        <w:t>Sinopsis de los factores relativos a la escala y el contexto en la evaluación de las consecuencias, como se plantea en el capítulo 3</w:t>
      </w:r>
      <w:r w:rsidR="0057009C">
        <w:rPr>
          <w:szCs w:val="24"/>
          <w:lang w:val="es-ES"/>
        </w:rPr>
        <w:t>;</w:t>
      </w:r>
    </w:p>
    <w:p w:rsidR="00140653" w:rsidRPr="004238D0" w:rsidRDefault="00140653" w:rsidP="004238D0">
      <w:pPr>
        <w:pStyle w:val="Normalnumber"/>
        <w:numPr>
          <w:ilvl w:val="0"/>
          <w:numId w:val="23"/>
        </w:numPr>
        <w:tabs>
          <w:tab w:val="clear" w:pos="1247"/>
          <w:tab w:val="clear" w:pos="1814"/>
          <w:tab w:val="clear" w:pos="2381"/>
          <w:tab w:val="clear" w:pos="2948"/>
          <w:tab w:val="clear" w:pos="3515"/>
        </w:tabs>
        <w:ind w:left="1248" w:firstLine="623"/>
        <w:rPr>
          <w:szCs w:val="24"/>
          <w:lang w:val="es-ES"/>
        </w:rPr>
      </w:pPr>
      <w:r w:rsidRPr="004238D0">
        <w:rPr>
          <w:szCs w:val="24"/>
          <w:lang w:val="es-ES"/>
        </w:rPr>
        <w:t>Alcance, tendencias y factores de la degradación de la tierra y la pérdida de servicios de los ecosistemas</w:t>
      </w:r>
      <w:r w:rsidR="0057009C">
        <w:rPr>
          <w:szCs w:val="24"/>
          <w:lang w:val="es-ES"/>
        </w:rPr>
        <w:t>;</w:t>
      </w:r>
    </w:p>
    <w:p w:rsidR="00140653" w:rsidRPr="004238D0" w:rsidRDefault="00140653" w:rsidP="004238D0">
      <w:pPr>
        <w:pStyle w:val="Normalnumber"/>
        <w:numPr>
          <w:ilvl w:val="0"/>
          <w:numId w:val="23"/>
        </w:numPr>
        <w:tabs>
          <w:tab w:val="clear" w:pos="1247"/>
          <w:tab w:val="clear" w:pos="1814"/>
          <w:tab w:val="clear" w:pos="2381"/>
          <w:tab w:val="clear" w:pos="2948"/>
          <w:tab w:val="clear" w:pos="3515"/>
        </w:tabs>
        <w:ind w:left="1248" w:firstLine="623"/>
        <w:rPr>
          <w:szCs w:val="24"/>
          <w:lang w:val="es-ES"/>
        </w:rPr>
      </w:pPr>
      <w:r w:rsidRPr="004238D0">
        <w:rPr>
          <w:szCs w:val="24"/>
          <w:lang w:val="es-ES"/>
        </w:rPr>
        <w:t>Evaluación de los umbrales negativos o positivos a partir de los cuales la recuperación es imposible o puede considerarse factible</w:t>
      </w:r>
      <w:r w:rsidR="0057009C">
        <w:rPr>
          <w:szCs w:val="24"/>
          <w:lang w:val="es-ES"/>
        </w:rPr>
        <w:t>;</w:t>
      </w:r>
    </w:p>
    <w:p w:rsidR="00140653" w:rsidRPr="004238D0" w:rsidRDefault="00140653" w:rsidP="004238D0">
      <w:pPr>
        <w:pStyle w:val="Normalnumber"/>
        <w:numPr>
          <w:ilvl w:val="0"/>
          <w:numId w:val="23"/>
        </w:numPr>
        <w:tabs>
          <w:tab w:val="clear" w:pos="1247"/>
          <w:tab w:val="clear" w:pos="1814"/>
          <w:tab w:val="clear" w:pos="2381"/>
          <w:tab w:val="clear" w:pos="2948"/>
          <w:tab w:val="clear" w:pos="3515"/>
        </w:tabs>
        <w:ind w:left="1248" w:firstLine="623"/>
        <w:rPr>
          <w:szCs w:val="24"/>
          <w:lang w:val="es-ES"/>
        </w:rPr>
      </w:pPr>
      <w:r w:rsidRPr="004238D0">
        <w:rPr>
          <w:szCs w:val="24"/>
          <w:lang w:val="es-ES"/>
        </w:rPr>
        <w:t>Integración de la evaluación de las consecuencias de la degradación de la tierra y la recuperación de la diversidad biológica y los servicios de los ecosistemas en el conocimiento autóctono y local</w:t>
      </w:r>
      <w:r w:rsidR="0057009C">
        <w:rPr>
          <w:szCs w:val="24"/>
          <w:lang w:val="es-ES"/>
        </w:rPr>
        <w:t>.</w:t>
      </w:r>
    </w:p>
    <w:p w:rsidR="00140653" w:rsidRPr="004238D0" w:rsidRDefault="00140653" w:rsidP="004238D0">
      <w:pPr>
        <w:pStyle w:val="Normalnumber"/>
        <w:ind w:left="1247" w:firstLine="0"/>
        <w:rPr>
          <w:szCs w:val="24"/>
          <w:lang w:val="es-ES"/>
        </w:rPr>
      </w:pPr>
      <w:r w:rsidRPr="004238D0">
        <w:rPr>
          <w:szCs w:val="24"/>
          <w:lang w:val="es-ES"/>
        </w:rPr>
        <w:t>Capítulo 5:</w:t>
      </w:r>
      <w:r w:rsidRPr="004238D0">
        <w:rPr>
          <w:szCs w:val="24"/>
          <w:lang w:val="es-ES"/>
        </w:rPr>
        <w:tab/>
        <w:t>Introducción a los conceptos de rehabilitación y restauración de la tierra y mitigación de su degradación en regiones y biomas diversos</w:t>
      </w:r>
      <w:r w:rsidR="0057009C">
        <w:rPr>
          <w:szCs w:val="24"/>
          <w:lang w:val="es-ES"/>
        </w:rPr>
        <w:t>:</w:t>
      </w:r>
    </w:p>
    <w:p w:rsidR="00140653" w:rsidRPr="004238D0" w:rsidRDefault="00140653" w:rsidP="004238D0">
      <w:pPr>
        <w:pStyle w:val="Normalnumber"/>
        <w:numPr>
          <w:ilvl w:val="0"/>
          <w:numId w:val="24"/>
        </w:numPr>
        <w:tabs>
          <w:tab w:val="clear" w:pos="1247"/>
          <w:tab w:val="clear" w:pos="1814"/>
          <w:tab w:val="clear" w:pos="2381"/>
          <w:tab w:val="clear" w:pos="2948"/>
          <w:tab w:val="clear" w:pos="3515"/>
        </w:tabs>
        <w:ind w:left="1248" w:firstLine="623"/>
        <w:rPr>
          <w:szCs w:val="24"/>
          <w:lang w:val="es-ES"/>
        </w:rPr>
      </w:pPr>
      <w:r w:rsidRPr="004238D0">
        <w:rPr>
          <w:szCs w:val="24"/>
          <w:lang w:val="es-ES"/>
        </w:rPr>
        <w:t>El concepto de rehabilitación y restauración de la tierra y mitigación de su degradación según diversos sistemas de conocimientos y valores</w:t>
      </w:r>
      <w:r w:rsidR="0057009C">
        <w:rPr>
          <w:szCs w:val="24"/>
          <w:lang w:val="es-ES"/>
        </w:rPr>
        <w:t>;</w:t>
      </w:r>
    </w:p>
    <w:p w:rsidR="00140653" w:rsidRPr="004238D0" w:rsidRDefault="00140653" w:rsidP="004238D0">
      <w:pPr>
        <w:pStyle w:val="Normalnumber"/>
        <w:numPr>
          <w:ilvl w:val="0"/>
          <w:numId w:val="24"/>
        </w:numPr>
        <w:tabs>
          <w:tab w:val="clear" w:pos="1247"/>
          <w:tab w:val="clear" w:pos="1814"/>
          <w:tab w:val="clear" w:pos="2381"/>
          <w:tab w:val="clear" w:pos="2948"/>
          <w:tab w:val="clear" w:pos="3515"/>
        </w:tabs>
        <w:ind w:left="1248" w:firstLine="623"/>
        <w:rPr>
          <w:szCs w:val="24"/>
          <w:lang w:val="es-ES"/>
        </w:rPr>
      </w:pPr>
      <w:r w:rsidRPr="004238D0">
        <w:rPr>
          <w:szCs w:val="24"/>
          <w:lang w:val="es-ES"/>
        </w:rPr>
        <w:t>Procedimientos para rehabilitar y restaurar la diversidad biológica y los servicios de los ecosistemas, y mitigar su degradación</w:t>
      </w:r>
      <w:r w:rsidR="0057009C">
        <w:rPr>
          <w:szCs w:val="24"/>
          <w:lang w:val="es-ES"/>
        </w:rPr>
        <w:t>;</w:t>
      </w:r>
    </w:p>
    <w:p w:rsidR="00140653" w:rsidRPr="004238D0" w:rsidRDefault="00140653" w:rsidP="004238D0">
      <w:pPr>
        <w:pStyle w:val="Normalnumber"/>
        <w:numPr>
          <w:ilvl w:val="0"/>
          <w:numId w:val="24"/>
        </w:numPr>
        <w:tabs>
          <w:tab w:val="clear" w:pos="1247"/>
          <w:tab w:val="clear" w:pos="1814"/>
          <w:tab w:val="clear" w:pos="2381"/>
          <w:tab w:val="clear" w:pos="2948"/>
          <w:tab w:val="clear" w:pos="3515"/>
        </w:tabs>
        <w:ind w:left="1248" w:firstLine="623"/>
        <w:rPr>
          <w:szCs w:val="24"/>
          <w:lang w:val="es-ES"/>
        </w:rPr>
      </w:pPr>
      <w:r w:rsidRPr="004238D0">
        <w:rPr>
          <w:szCs w:val="24"/>
          <w:lang w:val="es-ES"/>
        </w:rPr>
        <w:t>Categorías de rehabilitación y restauración de la tierra y de mitigación de su degradación</w:t>
      </w:r>
      <w:r w:rsidR="0057009C">
        <w:rPr>
          <w:szCs w:val="24"/>
          <w:lang w:val="es-ES"/>
        </w:rPr>
        <w:t>;</w:t>
      </w:r>
    </w:p>
    <w:p w:rsidR="00140653" w:rsidRPr="004238D0" w:rsidRDefault="00140653" w:rsidP="004238D0">
      <w:pPr>
        <w:pStyle w:val="Normalnumber"/>
        <w:numPr>
          <w:ilvl w:val="0"/>
          <w:numId w:val="24"/>
        </w:numPr>
        <w:tabs>
          <w:tab w:val="clear" w:pos="1247"/>
          <w:tab w:val="clear" w:pos="1814"/>
          <w:tab w:val="clear" w:pos="2381"/>
          <w:tab w:val="clear" w:pos="2948"/>
          <w:tab w:val="clear" w:pos="3515"/>
        </w:tabs>
        <w:ind w:left="1248" w:firstLine="623"/>
        <w:rPr>
          <w:szCs w:val="24"/>
          <w:lang w:val="es-ES"/>
        </w:rPr>
      </w:pPr>
      <w:r w:rsidRPr="004238D0">
        <w:rPr>
          <w:szCs w:val="24"/>
          <w:lang w:val="es-ES"/>
        </w:rPr>
        <w:t>Consecuencias de la rehabilitación y la restauración de la tierra y de la mitigación de su degradación en la diversidad biológica y los servicios de los ecosistemas</w:t>
      </w:r>
      <w:r w:rsidR="0057009C">
        <w:rPr>
          <w:szCs w:val="24"/>
          <w:lang w:val="es-ES"/>
        </w:rPr>
        <w:t>;</w:t>
      </w:r>
    </w:p>
    <w:p w:rsidR="00140653" w:rsidRPr="004238D0" w:rsidRDefault="00140653" w:rsidP="004238D0">
      <w:pPr>
        <w:pStyle w:val="Normalnumber"/>
        <w:numPr>
          <w:ilvl w:val="0"/>
          <w:numId w:val="24"/>
        </w:numPr>
        <w:tabs>
          <w:tab w:val="clear" w:pos="1247"/>
          <w:tab w:val="clear" w:pos="1814"/>
          <w:tab w:val="clear" w:pos="2381"/>
          <w:tab w:val="clear" w:pos="2948"/>
          <w:tab w:val="clear" w:pos="3515"/>
        </w:tabs>
        <w:ind w:left="1248" w:firstLine="623"/>
        <w:rPr>
          <w:szCs w:val="24"/>
          <w:lang w:val="es-ES"/>
        </w:rPr>
      </w:pPr>
      <w:r w:rsidRPr="004238D0">
        <w:rPr>
          <w:szCs w:val="24"/>
          <w:lang w:val="es-ES"/>
        </w:rPr>
        <w:t>La dependencia de la escala (en el tiempo y en el espacio) en la rehabilitación y la restauración de la tierra y en la mitigación de su degradación y sus consecuencias</w:t>
      </w:r>
      <w:r w:rsidR="0057009C">
        <w:rPr>
          <w:szCs w:val="24"/>
          <w:lang w:val="es-ES"/>
        </w:rPr>
        <w:t>.</w:t>
      </w:r>
    </w:p>
    <w:p w:rsidR="00140653" w:rsidRPr="004238D0" w:rsidRDefault="00140653" w:rsidP="004238D0">
      <w:pPr>
        <w:pStyle w:val="Normalnumber"/>
        <w:ind w:left="1247" w:firstLine="0"/>
        <w:rPr>
          <w:szCs w:val="24"/>
          <w:lang w:val="es-ES"/>
        </w:rPr>
      </w:pPr>
      <w:r w:rsidRPr="004238D0">
        <w:rPr>
          <w:szCs w:val="24"/>
          <w:lang w:val="es-ES"/>
        </w:rPr>
        <w:t>Capítulo 6:</w:t>
      </w:r>
      <w:r w:rsidRPr="004238D0">
        <w:rPr>
          <w:szCs w:val="24"/>
          <w:lang w:val="es-ES"/>
        </w:rPr>
        <w:tab/>
        <w:t>Evaluación mundial de las medidas de recuperación de tierras degradadas, incluida una evaluación de la capacidad disponible para la rehabilitación de la tierra en regiones y biomas diversos</w:t>
      </w:r>
      <w:r w:rsidR="000275D5">
        <w:rPr>
          <w:szCs w:val="24"/>
          <w:lang w:val="es-ES"/>
        </w:rPr>
        <w:t>:</w:t>
      </w:r>
    </w:p>
    <w:p w:rsidR="00140653" w:rsidRPr="004238D0" w:rsidRDefault="00140653" w:rsidP="004238D0">
      <w:pPr>
        <w:pStyle w:val="Normalnumber"/>
        <w:numPr>
          <w:ilvl w:val="0"/>
          <w:numId w:val="25"/>
        </w:numPr>
        <w:tabs>
          <w:tab w:val="clear" w:pos="1247"/>
          <w:tab w:val="clear" w:pos="1814"/>
          <w:tab w:val="clear" w:pos="2381"/>
          <w:tab w:val="clear" w:pos="2948"/>
          <w:tab w:val="clear" w:pos="3515"/>
        </w:tabs>
        <w:ind w:left="1248" w:firstLine="623"/>
        <w:rPr>
          <w:szCs w:val="24"/>
          <w:lang w:val="es-ES"/>
        </w:rPr>
      </w:pPr>
      <w:r w:rsidRPr="004238D0">
        <w:rPr>
          <w:szCs w:val="24"/>
          <w:lang w:val="es-ES"/>
        </w:rPr>
        <w:t>Evaluación de la extensión, en superficie, las tendencias y el contexto normativo de las tierras objeto de gestión activa para mitigar o corregir su degradación</w:t>
      </w:r>
      <w:r w:rsidR="0057009C">
        <w:rPr>
          <w:szCs w:val="24"/>
          <w:lang w:val="es-ES"/>
        </w:rPr>
        <w:t>;</w:t>
      </w:r>
    </w:p>
    <w:p w:rsidR="00140653" w:rsidRPr="004238D0" w:rsidRDefault="00140653" w:rsidP="004238D0">
      <w:pPr>
        <w:pStyle w:val="Normalnumber"/>
        <w:numPr>
          <w:ilvl w:val="0"/>
          <w:numId w:val="25"/>
        </w:numPr>
        <w:tabs>
          <w:tab w:val="clear" w:pos="1247"/>
          <w:tab w:val="clear" w:pos="1814"/>
          <w:tab w:val="clear" w:pos="2381"/>
          <w:tab w:val="clear" w:pos="2948"/>
          <w:tab w:val="clear" w:pos="3515"/>
        </w:tabs>
        <w:ind w:left="1248" w:firstLine="623"/>
        <w:rPr>
          <w:szCs w:val="24"/>
          <w:lang w:val="es-ES"/>
        </w:rPr>
      </w:pPr>
      <w:r w:rsidRPr="004238D0">
        <w:rPr>
          <w:szCs w:val="24"/>
          <w:lang w:val="es-ES"/>
        </w:rPr>
        <w:t>Sinopsis de opciones para la recuperación de tierras degradadas, incluidas la rehabilitación de la diversidad biológica y la recuperación de los servicios de los ecosistemas, y prácticas autóctonas y tradicionales relacionadas con la gestión de la diversidad biológica y los servicios de los ecosistemas</w:t>
      </w:r>
      <w:r w:rsidR="0057009C">
        <w:rPr>
          <w:szCs w:val="24"/>
          <w:lang w:val="es-ES"/>
        </w:rPr>
        <w:t>;</w:t>
      </w:r>
    </w:p>
    <w:p w:rsidR="00140653" w:rsidRPr="004238D0" w:rsidRDefault="00140653" w:rsidP="004238D0">
      <w:pPr>
        <w:pStyle w:val="Normalnumber"/>
        <w:numPr>
          <w:ilvl w:val="0"/>
          <w:numId w:val="25"/>
        </w:numPr>
        <w:tabs>
          <w:tab w:val="clear" w:pos="1247"/>
          <w:tab w:val="clear" w:pos="1814"/>
          <w:tab w:val="clear" w:pos="2381"/>
          <w:tab w:val="clear" w:pos="2948"/>
          <w:tab w:val="clear" w:pos="3515"/>
        </w:tabs>
        <w:ind w:left="1248" w:firstLine="623"/>
        <w:rPr>
          <w:szCs w:val="24"/>
          <w:lang w:val="es-ES"/>
        </w:rPr>
      </w:pPr>
      <w:r w:rsidRPr="004238D0">
        <w:rPr>
          <w:szCs w:val="24"/>
          <w:lang w:val="es-ES"/>
        </w:rPr>
        <w:lastRenderedPageBreak/>
        <w:t>Sinopsis de opciones para lograr un mundo con una degradación neutral del suelo</w:t>
      </w:r>
      <w:r w:rsidR="0057009C">
        <w:rPr>
          <w:szCs w:val="24"/>
          <w:lang w:val="es-ES"/>
        </w:rPr>
        <w:t>;</w:t>
      </w:r>
    </w:p>
    <w:p w:rsidR="00140653" w:rsidRPr="004238D0" w:rsidRDefault="005A7DCF" w:rsidP="004238D0">
      <w:pPr>
        <w:pStyle w:val="Normalnumber"/>
        <w:numPr>
          <w:ilvl w:val="0"/>
          <w:numId w:val="25"/>
        </w:numPr>
        <w:tabs>
          <w:tab w:val="clear" w:pos="1247"/>
          <w:tab w:val="clear" w:pos="1814"/>
          <w:tab w:val="clear" w:pos="2381"/>
          <w:tab w:val="clear" w:pos="2948"/>
          <w:tab w:val="clear" w:pos="3515"/>
        </w:tabs>
        <w:ind w:left="1248" w:firstLine="623"/>
        <w:rPr>
          <w:szCs w:val="24"/>
          <w:lang w:val="es-ES"/>
        </w:rPr>
      </w:pPr>
      <w:r w:rsidRPr="004238D0">
        <w:rPr>
          <w:szCs w:val="24"/>
          <w:lang w:val="es-ES"/>
        </w:rPr>
        <w:t>Hipótesis</w:t>
      </w:r>
      <w:r w:rsidR="00140653" w:rsidRPr="004238D0">
        <w:rPr>
          <w:szCs w:val="24"/>
          <w:lang w:val="es-ES"/>
        </w:rPr>
        <w:t xml:space="preserve"> y modelos para evaluar las posibilidades y los efectos de la rehabilitación, y el papel que en ella desempeña la diversidad biológica, en diversos servicios de los ecosistemas, como los relacionados con el ciclo del agua, el balance de carbono</w:t>
      </w:r>
      <w:r w:rsidRPr="004238D0">
        <w:rPr>
          <w:szCs w:val="24"/>
          <w:lang w:val="es-ES"/>
        </w:rPr>
        <w:t>,</w:t>
      </w:r>
      <w:r w:rsidR="00140653" w:rsidRPr="004238D0">
        <w:rPr>
          <w:szCs w:val="24"/>
          <w:lang w:val="es-ES"/>
        </w:rPr>
        <w:t xml:space="preserve"> los efectos de retroa</w:t>
      </w:r>
      <w:r w:rsidRPr="004238D0">
        <w:rPr>
          <w:szCs w:val="24"/>
          <w:lang w:val="es-ES"/>
        </w:rPr>
        <w:t xml:space="preserve">cción </w:t>
      </w:r>
      <w:r w:rsidR="00140653" w:rsidRPr="004238D0">
        <w:rPr>
          <w:szCs w:val="24"/>
          <w:lang w:val="es-ES"/>
        </w:rPr>
        <w:t>en el clima regional, y el control de los aerosoles</w:t>
      </w:r>
      <w:r w:rsidR="0057009C">
        <w:rPr>
          <w:szCs w:val="24"/>
          <w:lang w:val="es-ES"/>
        </w:rPr>
        <w:t>;</w:t>
      </w:r>
    </w:p>
    <w:p w:rsidR="00140653" w:rsidRPr="004238D0" w:rsidRDefault="00140653" w:rsidP="004238D0">
      <w:pPr>
        <w:pStyle w:val="Normalnumber"/>
        <w:numPr>
          <w:ilvl w:val="0"/>
          <w:numId w:val="25"/>
        </w:numPr>
        <w:tabs>
          <w:tab w:val="clear" w:pos="1247"/>
          <w:tab w:val="clear" w:pos="1814"/>
          <w:tab w:val="clear" w:pos="2381"/>
          <w:tab w:val="clear" w:pos="2948"/>
          <w:tab w:val="clear" w:pos="3515"/>
        </w:tabs>
        <w:ind w:left="1248" w:firstLine="623"/>
        <w:rPr>
          <w:szCs w:val="24"/>
          <w:lang w:val="es-ES"/>
        </w:rPr>
      </w:pPr>
      <w:r w:rsidRPr="004238D0">
        <w:rPr>
          <w:szCs w:val="24"/>
          <w:lang w:val="es-ES"/>
        </w:rPr>
        <w:t>Determinación de conclusiones pertinentes para las políticas en apoyo de la adopción de decisiones por parte de los gobiernos, las comunidades autóctonas y locales,</w:t>
      </w:r>
      <w:r w:rsidR="00584A79" w:rsidRPr="004238D0">
        <w:rPr>
          <w:szCs w:val="24"/>
          <w:lang w:val="es-ES"/>
        </w:rPr>
        <w:t xml:space="preserve"> </w:t>
      </w:r>
      <w:r w:rsidRPr="004238D0">
        <w:rPr>
          <w:szCs w:val="24"/>
          <w:lang w:val="es-ES"/>
        </w:rPr>
        <w:t>el sector privado y la sociedad civil</w:t>
      </w:r>
      <w:r w:rsidR="000275D5">
        <w:rPr>
          <w:szCs w:val="24"/>
          <w:lang w:val="es-ES"/>
        </w:rPr>
        <w:t>.</w:t>
      </w:r>
    </w:p>
    <w:p w:rsidR="00140653" w:rsidRPr="0057009C" w:rsidRDefault="00140653" w:rsidP="0057009C">
      <w:pPr>
        <w:pStyle w:val="Normalnumber"/>
        <w:ind w:left="1247" w:firstLine="0"/>
        <w:rPr>
          <w:szCs w:val="24"/>
          <w:lang w:val="es-ES"/>
        </w:rPr>
      </w:pPr>
      <w:r w:rsidRPr="0057009C">
        <w:rPr>
          <w:szCs w:val="24"/>
          <w:lang w:val="es-ES"/>
        </w:rPr>
        <w:t>Capítulo 7:</w:t>
      </w:r>
      <w:r w:rsidRPr="0057009C">
        <w:rPr>
          <w:szCs w:val="24"/>
          <w:lang w:val="es-ES"/>
        </w:rPr>
        <w:tab/>
        <w:t>Valoración de estudios de caso sobre las consecuencias positivas y negativas de la degradación de la tierra e iniciativas de recuperación de las economías y la salud y el bienestar humanos</w:t>
      </w:r>
      <w:r w:rsidR="005A7DCF" w:rsidRPr="0057009C">
        <w:rPr>
          <w:szCs w:val="24"/>
          <w:lang w:val="es-ES"/>
        </w:rPr>
        <w:t xml:space="preserve"> y</w:t>
      </w:r>
      <w:r w:rsidR="0057009C">
        <w:rPr>
          <w:szCs w:val="24"/>
          <w:lang w:val="es-ES"/>
        </w:rPr>
        <w:t xml:space="preserve"> d</w:t>
      </w:r>
      <w:r w:rsidRPr="0057009C">
        <w:rPr>
          <w:szCs w:val="24"/>
          <w:lang w:val="es-ES"/>
        </w:rPr>
        <w:t>eterminación de conclusiones pertinentes para las políticas en apoyo de la adopción de decisiones por parte de los gobiernos, las comunidades autóctonas y locales, el sector privado y la sociedad civil</w:t>
      </w:r>
      <w:r w:rsidR="000275D5">
        <w:rPr>
          <w:szCs w:val="24"/>
          <w:lang w:val="es-ES"/>
        </w:rPr>
        <w:t>.</w:t>
      </w:r>
    </w:p>
    <w:p w:rsidR="00140653" w:rsidRPr="004238D0" w:rsidRDefault="00140653" w:rsidP="004238D0">
      <w:pPr>
        <w:pStyle w:val="Normalnumber"/>
        <w:ind w:left="1247" w:firstLine="0"/>
        <w:rPr>
          <w:szCs w:val="24"/>
          <w:lang w:val="es-ES"/>
        </w:rPr>
      </w:pPr>
      <w:r w:rsidRPr="004238D0">
        <w:rPr>
          <w:szCs w:val="24"/>
          <w:lang w:val="es-ES"/>
        </w:rPr>
        <w:t>Capítulo 8:</w:t>
      </w:r>
      <w:r w:rsidRPr="004238D0">
        <w:rPr>
          <w:szCs w:val="24"/>
          <w:lang w:val="es-ES"/>
        </w:rPr>
        <w:tab/>
        <w:t>Crear un marco para incorporar un enfoque sistémico holístico en las evaluaciones y procesos de formulación de políticas y adopción de decisiones Entre los entregables pueden figurar un marco conceptual, una tipología de herramientas, metodologías y una evaluación de los factores que impiden o facilitan la incorporación de un enfoque basado en los ecosistemas en los diversos tipos de evaluaciones</w:t>
      </w:r>
      <w:r w:rsidR="000275D5">
        <w:rPr>
          <w:szCs w:val="24"/>
          <w:lang w:val="es-ES"/>
        </w:rPr>
        <w:t>.</w:t>
      </w:r>
    </w:p>
    <w:p w:rsidR="00140653" w:rsidRPr="004238D0" w:rsidRDefault="00140653" w:rsidP="00291EAD">
      <w:pPr>
        <w:pStyle w:val="CH1"/>
        <w:spacing w:before="120"/>
        <w:rPr>
          <w:szCs w:val="24"/>
          <w:lang w:val="es-ES"/>
        </w:rPr>
      </w:pPr>
      <w:r w:rsidRPr="004238D0">
        <w:rPr>
          <w:szCs w:val="24"/>
          <w:lang w:val="es-ES"/>
        </w:rPr>
        <w:tab/>
      </w:r>
      <w:r w:rsidR="008F0D53" w:rsidRPr="004238D0">
        <w:rPr>
          <w:szCs w:val="24"/>
          <w:lang w:val="es-ES"/>
        </w:rPr>
        <w:t>IV</w:t>
      </w:r>
      <w:r w:rsidRPr="004238D0">
        <w:rPr>
          <w:szCs w:val="24"/>
          <w:lang w:val="es-ES"/>
        </w:rPr>
        <w:t>.</w:t>
      </w:r>
      <w:r w:rsidRPr="004238D0">
        <w:rPr>
          <w:szCs w:val="24"/>
          <w:lang w:val="es-ES"/>
        </w:rPr>
        <w:tab/>
        <w:t>Proceso y calendario</w:t>
      </w:r>
      <w:r w:rsidR="00D17800" w:rsidRPr="004238D0">
        <w:rPr>
          <w:szCs w:val="24"/>
          <w:lang w:val="es-ES"/>
        </w:rPr>
        <w:t xml:space="preserve"> de trabajo</w:t>
      </w:r>
    </w:p>
    <w:p w:rsidR="00140653" w:rsidRPr="004238D0" w:rsidRDefault="00140653" w:rsidP="00291EAD">
      <w:pPr>
        <w:pStyle w:val="Normalnumber"/>
        <w:ind w:left="1247" w:firstLine="0"/>
        <w:rPr>
          <w:szCs w:val="24"/>
          <w:lang w:val="es-ES"/>
        </w:rPr>
      </w:pPr>
      <w:r w:rsidRPr="004238D0">
        <w:rPr>
          <w:szCs w:val="24"/>
          <w:lang w:val="es-ES"/>
        </w:rPr>
        <w:t xml:space="preserve">En el cuadro </w:t>
      </w:r>
      <w:r w:rsidR="00FC3A18" w:rsidRPr="004238D0">
        <w:rPr>
          <w:szCs w:val="24"/>
          <w:lang w:val="es-ES"/>
        </w:rPr>
        <w:t xml:space="preserve">que figura </w:t>
      </w:r>
      <w:r w:rsidRPr="004238D0">
        <w:rPr>
          <w:szCs w:val="24"/>
          <w:lang w:val="es-ES"/>
        </w:rPr>
        <w:t>a continuación se proponen un proceso y un calendario</w:t>
      </w:r>
      <w:r w:rsidR="00FC3A18" w:rsidRPr="004238D0">
        <w:rPr>
          <w:szCs w:val="24"/>
          <w:lang w:val="es-ES"/>
        </w:rPr>
        <w:t xml:space="preserve"> de trabajo</w:t>
      </w:r>
      <w:r w:rsidRPr="004238D0">
        <w:rPr>
          <w:szCs w:val="24"/>
          <w:lang w:val="es-ES"/>
        </w:rPr>
        <w:t xml:space="preserve"> para llevar a cabo la evaluación.</w:t>
      </w:r>
    </w:p>
    <w:tbl>
      <w:tblPr>
        <w:tblW w:w="8925"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2"/>
        <w:gridCol w:w="932"/>
        <w:gridCol w:w="7371"/>
      </w:tblGrid>
      <w:tr w:rsidR="00E5426C" w:rsidRPr="004238D0" w:rsidTr="000275D5">
        <w:trPr>
          <w:trHeight w:val="584"/>
          <w:tblHeader/>
        </w:trPr>
        <w:tc>
          <w:tcPr>
            <w:tcW w:w="1554" w:type="dxa"/>
            <w:gridSpan w:val="2"/>
            <w:vAlign w:val="center"/>
          </w:tcPr>
          <w:p w:rsidR="00E5426C" w:rsidRPr="004238D0" w:rsidRDefault="00E5426C" w:rsidP="001F0A02">
            <w:pPr>
              <w:keepNext/>
              <w:keepLines/>
              <w:tabs>
                <w:tab w:val="left" w:pos="426"/>
                <w:tab w:val="num" w:pos="1353"/>
              </w:tabs>
              <w:autoSpaceDE w:val="0"/>
              <w:autoSpaceDN w:val="0"/>
              <w:adjustRightInd w:val="0"/>
              <w:spacing w:after="120"/>
              <w:rPr>
                <w:rFonts w:eastAsia="Times New Roman"/>
                <w:i/>
                <w:noProof/>
                <w:sz w:val="18"/>
                <w:szCs w:val="24"/>
                <w:lang w:val="es-ES"/>
              </w:rPr>
            </w:pPr>
            <w:r w:rsidRPr="004238D0">
              <w:rPr>
                <w:rFonts w:eastAsia="Times New Roman"/>
                <w:i/>
                <w:noProof/>
                <w:sz w:val="18"/>
                <w:szCs w:val="24"/>
                <w:lang w:val="es-ES"/>
              </w:rPr>
              <w:t>Marco temporal</w:t>
            </w:r>
          </w:p>
        </w:tc>
        <w:tc>
          <w:tcPr>
            <w:tcW w:w="7371" w:type="dxa"/>
            <w:vAlign w:val="center"/>
          </w:tcPr>
          <w:p w:rsidR="00E5426C" w:rsidRPr="004238D0" w:rsidRDefault="00E5426C" w:rsidP="001F0A02">
            <w:pPr>
              <w:pStyle w:val="Normal-pool"/>
              <w:keepNext/>
              <w:keepLines/>
              <w:spacing w:before="20" w:after="20"/>
              <w:rPr>
                <w:i/>
                <w:sz w:val="18"/>
                <w:szCs w:val="24"/>
                <w:lang w:val="es-ES"/>
              </w:rPr>
            </w:pPr>
            <w:r w:rsidRPr="004238D0">
              <w:rPr>
                <w:i/>
                <w:sz w:val="18"/>
                <w:szCs w:val="24"/>
                <w:lang w:val="es-ES"/>
              </w:rPr>
              <w:t>Actividades</w:t>
            </w:r>
          </w:p>
        </w:tc>
      </w:tr>
      <w:tr w:rsidR="00CC73B3" w:rsidRPr="004238D0" w:rsidTr="004238D0">
        <w:trPr>
          <w:trHeight w:val="584"/>
        </w:trPr>
        <w:tc>
          <w:tcPr>
            <w:tcW w:w="622" w:type="dxa"/>
            <w:vMerge w:val="restart"/>
            <w:vAlign w:val="center"/>
          </w:tcPr>
          <w:p w:rsidR="00CC73B3" w:rsidRPr="004238D0" w:rsidRDefault="00CC73B3" w:rsidP="001F0A02">
            <w:pPr>
              <w:keepNext/>
              <w:keepLines/>
              <w:tabs>
                <w:tab w:val="left" w:pos="426"/>
                <w:tab w:val="num" w:pos="1353"/>
              </w:tabs>
              <w:autoSpaceDE w:val="0"/>
              <w:autoSpaceDN w:val="0"/>
              <w:adjustRightInd w:val="0"/>
              <w:spacing w:after="120"/>
              <w:jc w:val="center"/>
              <w:rPr>
                <w:rFonts w:eastAsia="Times New Roman"/>
                <w:sz w:val="18"/>
                <w:szCs w:val="24"/>
                <w:lang w:val="es-ES"/>
              </w:rPr>
            </w:pPr>
            <w:r w:rsidRPr="004238D0">
              <w:rPr>
                <w:rFonts w:eastAsia="Times New Roman"/>
                <w:sz w:val="18"/>
                <w:szCs w:val="24"/>
                <w:lang w:val="es-ES"/>
              </w:rPr>
              <w:t>2013</w:t>
            </w:r>
          </w:p>
        </w:tc>
        <w:tc>
          <w:tcPr>
            <w:tcW w:w="932" w:type="dxa"/>
          </w:tcPr>
          <w:p w:rsidR="00CC73B3" w:rsidRPr="004238D0" w:rsidRDefault="00CC73B3">
            <w:pPr>
              <w:keepNext/>
              <w:keepLines/>
              <w:tabs>
                <w:tab w:val="left" w:pos="426"/>
                <w:tab w:val="num" w:pos="1353"/>
              </w:tabs>
              <w:autoSpaceDE w:val="0"/>
              <w:autoSpaceDN w:val="0"/>
              <w:adjustRightInd w:val="0"/>
              <w:spacing w:after="120"/>
              <w:rPr>
                <w:rFonts w:eastAsia="Times New Roman"/>
                <w:szCs w:val="24"/>
                <w:lang w:val="es-ES"/>
              </w:rPr>
            </w:pPr>
            <w:r w:rsidRPr="004238D0">
              <w:rPr>
                <w:rFonts w:eastAsia="Times New Roman"/>
                <w:noProof/>
                <w:sz w:val="18"/>
                <w:szCs w:val="24"/>
                <w:lang w:val="es-ES"/>
              </w:rPr>
              <w:t>Cuarto trimestre</w:t>
            </w:r>
          </w:p>
        </w:tc>
        <w:tc>
          <w:tcPr>
            <w:tcW w:w="7371" w:type="dxa"/>
            <w:vAlign w:val="center"/>
          </w:tcPr>
          <w:p w:rsidR="00CC73B3" w:rsidRPr="004238D0" w:rsidRDefault="00CC73B3" w:rsidP="00CC73B3">
            <w:pPr>
              <w:keepLines/>
              <w:tabs>
                <w:tab w:val="left" w:pos="426"/>
                <w:tab w:val="num" w:pos="1353"/>
              </w:tabs>
              <w:autoSpaceDE w:val="0"/>
              <w:autoSpaceDN w:val="0"/>
              <w:adjustRightInd w:val="0"/>
              <w:spacing w:before="20" w:after="20"/>
              <w:rPr>
                <w:rFonts w:eastAsia="SimSun"/>
                <w:sz w:val="19"/>
                <w:szCs w:val="19"/>
                <w:lang w:val="es-ES_tradnl" w:eastAsia="zh-CN"/>
              </w:rPr>
            </w:pPr>
            <w:r w:rsidRPr="004238D0">
              <w:rPr>
                <w:rFonts w:eastAsia="SimSun"/>
                <w:sz w:val="19"/>
                <w:szCs w:val="19"/>
                <w:lang w:val="es-ES_tradnl" w:eastAsia="zh-CN"/>
              </w:rPr>
              <w:t>El Plenario examina y aprueba el análisis inicial preparado por el Grupo multidisciplinario de expertos y pide al Grupo y la Mesa que, en el marco de un conjunto de costos convenidos, proceda a realizar una evaluación exhaustiva tras el estudio del análisis inicial detallado (14 de diciembre de 2013)</w:t>
            </w:r>
          </w:p>
        </w:tc>
      </w:tr>
      <w:tr w:rsidR="00CC73B3" w:rsidRPr="004238D0" w:rsidTr="004238D0">
        <w:trPr>
          <w:trHeight w:val="584"/>
        </w:trPr>
        <w:tc>
          <w:tcPr>
            <w:tcW w:w="622" w:type="dxa"/>
            <w:vMerge/>
            <w:vAlign w:val="center"/>
          </w:tcPr>
          <w:p w:rsidR="00CC73B3" w:rsidRPr="004238D0" w:rsidRDefault="00CC73B3" w:rsidP="004238D0">
            <w:pPr>
              <w:keepNext/>
              <w:keepLines/>
              <w:tabs>
                <w:tab w:val="left" w:pos="426"/>
                <w:tab w:val="num" w:pos="1353"/>
              </w:tabs>
              <w:autoSpaceDE w:val="0"/>
              <w:autoSpaceDN w:val="0"/>
              <w:adjustRightInd w:val="0"/>
              <w:spacing w:after="120"/>
              <w:jc w:val="center"/>
              <w:rPr>
                <w:rFonts w:eastAsia="Times New Roman"/>
                <w:sz w:val="18"/>
                <w:szCs w:val="24"/>
                <w:lang w:val="es-ES"/>
              </w:rPr>
            </w:pPr>
          </w:p>
        </w:tc>
        <w:tc>
          <w:tcPr>
            <w:tcW w:w="932" w:type="dxa"/>
          </w:tcPr>
          <w:p w:rsidR="00CC73B3" w:rsidRPr="004238D0" w:rsidRDefault="00CC73B3" w:rsidP="004238D0">
            <w:pPr>
              <w:keepNext/>
              <w:keepLines/>
              <w:tabs>
                <w:tab w:val="left" w:pos="426"/>
                <w:tab w:val="num" w:pos="1353"/>
              </w:tabs>
              <w:autoSpaceDE w:val="0"/>
              <w:autoSpaceDN w:val="0"/>
              <w:adjustRightInd w:val="0"/>
              <w:spacing w:after="120"/>
              <w:rPr>
                <w:rFonts w:eastAsia="Times New Roman"/>
                <w:sz w:val="18"/>
                <w:szCs w:val="24"/>
                <w:lang w:val="es-ES"/>
              </w:rPr>
            </w:pPr>
            <w:r w:rsidRPr="004238D0">
              <w:rPr>
                <w:rFonts w:eastAsia="Times New Roman"/>
                <w:noProof/>
                <w:sz w:val="18"/>
                <w:szCs w:val="24"/>
                <w:lang w:val="es-ES"/>
              </w:rPr>
              <w:t>Cuarto trimestre</w:t>
            </w:r>
          </w:p>
        </w:tc>
        <w:tc>
          <w:tcPr>
            <w:tcW w:w="7371" w:type="dxa"/>
            <w:vAlign w:val="center"/>
          </w:tcPr>
          <w:p w:rsidR="00CC73B3" w:rsidRPr="004238D0" w:rsidRDefault="00CC73B3" w:rsidP="00CC73B3">
            <w:pPr>
              <w:keepLines/>
              <w:tabs>
                <w:tab w:val="left" w:pos="426"/>
                <w:tab w:val="num" w:pos="1353"/>
              </w:tabs>
              <w:autoSpaceDE w:val="0"/>
              <w:autoSpaceDN w:val="0"/>
              <w:adjustRightInd w:val="0"/>
              <w:spacing w:before="20" w:after="20"/>
              <w:rPr>
                <w:rFonts w:eastAsia="SimSun"/>
                <w:sz w:val="19"/>
                <w:szCs w:val="19"/>
                <w:lang w:val="es-ES_tradnl" w:eastAsia="zh-CN"/>
              </w:rPr>
            </w:pPr>
            <w:r w:rsidRPr="004238D0">
              <w:rPr>
                <w:rFonts w:eastAsia="SimSun"/>
                <w:sz w:val="19"/>
                <w:szCs w:val="19"/>
                <w:lang w:val="es-ES_tradnl" w:eastAsia="zh-CN"/>
              </w:rPr>
              <w:t>El Grupo de expertos hace un llamamiento, por conducto de la secretaría, a los gobiernos y otros interesados que propongan expertos para que colaboren con el análisis (16 de diciembre de 2013 a 31 de enero de 2014)</w:t>
            </w:r>
          </w:p>
        </w:tc>
      </w:tr>
      <w:tr w:rsidR="00140653" w:rsidRPr="004238D0" w:rsidTr="004238D0">
        <w:trPr>
          <w:trHeight w:val="584"/>
        </w:trPr>
        <w:tc>
          <w:tcPr>
            <w:tcW w:w="622" w:type="dxa"/>
            <w:vMerge w:val="restart"/>
            <w:vAlign w:val="center"/>
          </w:tcPr>
          <w:p w:rsidR="00140653" w:rsidRPr="004238D0" w:rsidRDefault="00140653" w:rsidP="001F0A02">
            <w:pPr>
              <w:keepNext/>
              <w:keepLines/>
              <w:tabs>
                <w:tab w:val="left" w:pos="426"/>
                <w:tab w:val="num" w:pos="1353"/>
              </w:tabs>
              <w:autoSpaceDE w:val="0"/>
              <w:autoSpaceDN w:val="0"/>
              <w:adjustRightInd w:val="0"/>
              <w:spacing w:after="120"/>
              <w:jc w:val="center"/>
              <w:rPr>
                <w:rFonts w:eastAsia="Times New Roman"/>
                <w:sz w:val="18"/>
                <w:szCs w:val="24"/>
                <w:lang w:val="es-ES"/>
              </w:rPr>
            </w:pPr>
            <w:r w:rsidRPr="004238D0">
              <w:rPr>
                <w:rFonts w:eastAsia="Times New Roman"/>
                <w:sz w:val="18"/>
                <w:szCs w:val="24"/>
                <w:lang w:val="es-ES"/>
              </w:rPr>
              <w:t>2014</w:t>
            </w:r>
          </w:p>
        </w:tc>
        <w:tc>
          <w:tcPr>
            <w:tcW w:w="932" w:type="dxa"/>
          </w:tcPr>
          <w:p w:rsidR="00140653" w:rsidRPr="004238D0" w:rsidRDefault="00E5426C" w:rsidP="001F0A02">
            <w:pPr>
              <w:keepNext/>
              <w:keepLines/>
              <w:tabs>
                <w:tab w:val="left" w:pos="426"/>
                <w:tab w:val="num" w:pos="1353"/>
              </w:tabs>
              <w:autoSpaceDE w:val="0"/>
              <w:autoSpaceDN w:val="0"/>
              <w:adjustRightInd w:val="0"/>
              <w:spacing w:after="120"/>
              <w:rPr>
                <w:rFonts w:eastAsia="Times New Roman"/>
                <w:szCs w:val="24"/>
                <w:lang w:val="es-ES"/>
              </w:rPr>
            </w:pPr>
            <w:r w:rsidRPr="004238D0">
              <w:rPr>
                <w:rFonts w:eastAsia="Times New Roman"/>
                <w:noProof/>
                <w:sz w:val="18"/>
                <w:szCs w:val="24"/>
                <w:lang w:val="es-ES"/>
              </w:rPr>
              <w:t>Primer trimestre</w:t>
            </w:r>
          </w:p>
        </w:tc>
        <w:tc>
          <w:tcPr>
            <w:tcW w:w="7371" w:type="dxa"/>
          </w:tcPr>
          <w:p w:rsidR="00140653" w:rsidRPr="004238D0" w:rsidRDefault="00CC73B3" w:rsidP="00CC73B3">
            <w:pPr>
              <w:pStyle w:val="Normal-pool"/>
              <w:keepNext/>
              <w:keepLines/>
              <w:spacing w:before="20" w:after="20"/>
              <w:rPr>
                <w:szCs w:val="24"/>
                <w:lang w:val="es-ES"/>
              </w:rPr>
            </w:pPr>
            <w:r w:rsidRPr="004238D0">
              <w:rPr>
                <w:sz w:val="18"/>
                <w:szCs w:val="24"/>
                <w:lang w:val="es-ES"/>
              </w:rPr>
              <w:t>El Grupo, mediante correos electrónicos y teleconferencias, selecciona a los expertos para el estudio sobre el análisis inicial valiéndose de los criterios de selección aprobados en el documento IPBES/2/9 (1 a 14 de febrero de 2014)</w:t>
            </w:r>
          </w:p>
        </w:tc>
      </w:tr>
      <w:tr w:rsidR="00140653" w:rsidRPr="004238D0" w:rsidTr="004238D0">
        <w:trPr>
          <w:trHeight w:val="584"/>
        </w:trPr>
        <w:tc>
          <w:tcPr>
            <w:tcW w:w="622" w:type="dxa"/>
            <w:vMerge/>
          </w:tcPr>
          <w:p w:rsidR="00140653" w:rsidRPr="004238D0" w:rsidRDefault="00140653">
            <w:pPr>
              <w:keepNext/>
              <w:keepLines/>
              <w:tabs>
                <w:tab w:val="left" w:pos="426"/>
                <w:tab w:val="num" w:pos="1353"/>
              </w:tabs>
              <w:autoSpaceDE w:val="0"/>
              <w:autoSpaceDN w:val="0"/>
              <w:adjustRightInd w:val="0"/>
              <w:spacing w:after="120"/>
              <w:jc w:val="center"/>
              <w:rPr>
                <w:rFonts w:eastAsia="Times New Roman"/>
                <w:sz w:val="18"/>
                <w:szCs w:val="24"/>
                <w:lang w:val="es-ES"/>
              </w:rPr>
            </w:pPr>
          </w:p>
        </w:tc>
        <w:tc>
          <w:tcPr>
            <w:tcW w:w="932" w:type="dxa"/>
          </w:tcPr>
          <w:p w:rsidR="00140653" w:rsidRPr="004238D0" w:rsidRDefault="00E5426C" w:rsidP="001F0A02">
            <w:pPr>
              <w:keepNext/>
              <w:keepLines/>
              <w:tabs>
                <w:tab w:val="left" w:pos="426"/>
                <w:tab w:val="num" w:pos="1353"/>
              </w:tabs>
              <w:autoSpaceDE w:val="0"/>
              <w:autoSpaceDN w:val="0"/>
              <w:adjustRightInd w:val="0"/>
              <w:spacing w:after="120"/>
              <w:rPr>
                <w:rFonts w:eastAsia="Times New Roman"/>
                <w:sz w:val="18"/>
                <w:szCs w:val="24"/>
                <w:lang w:val="es-ES"/>
              </w:rPr>
            </w:pPr>
            <w:r w:rsidRPr="004238D0">
              <w:rPr>
                <w:rFonts w:eastAsia="Times New Roman"/>
                <w:noProof/>
                <w:sz w:val="18"/>
                <w:szCs w:val="24"/>
                <w:lang w:val="es-ES"/>
              </w:rPr>
              <w:t xml:space="preserve">Segundo </w:t>
            </w:r>
            <w:r w:rsidR="0057009C" w:rsidRPr="004238D0">
              <w:rPr>
                <w:rFonts w:eastAsia="Times New Roman"/>
                <w:noProof/>
                <w:sz w:val="18"/>
                <w:szCs w:val="24"/>
                <w:lang w:val="es-ES"/>
              </w:rPr>
              <w:t>t</w:t>
            </w:r>
            <w:r w:rsidRPr="004238D0">
              <w:rPr>
                <w:rFonts w:eastAsia="Times New Roman"/>
                <w:noProof/>
                <w:sz w:val="18"/>
                <w:szCs w:val="24"/>
                <w:lang w:val="es-ES"/>
              </w:rPr>
              <w:t>rimestre</w:t>
            </w:r>
          </w:p>
        </w:tc>
        <w:tc>
          <w:tcPr>
            <w:tcW w:w="7371" w:type="dxa"/>
          </w:tcPr>
          <w:p w:rsidR="00140653" w:rsidRPr="004238D0" w:rsidRDefault="00CC73B3">
            <w:pPr>
              <w:pStyle w:val="Normal-pool"/>
              <w:keepNext/>
              <w:keepLines/>
              <w:spacing w:before="20" w:after="20"/>
              <w:rPr>
                <w:szCs w:val="24"/>
                <w:lang w:val="es-ES"/>
              </w:rPr>
            </w:pPr>
            <w:r w:rsidRPr="004238D0">
              <w:rPr>
                <w:sz w:val="18"/>
                <w:szCs w:val="24"/>
                <w:lang w:val="es-ES"/>
              </w:rPr>
              <w:t>El Grupo y la Mesa supervisan el análisis inicial detallado, con inclusión de la preparación de un esquema, una estimación de los costos y una evaluación de la viabilidad (3 meses). A comienzos de abril de 2014 se celebra una reunión sobre el análisis inicial</w:t>
            </w:r>
          </w:p>
        </w:tc>
      </w:tr>
      <w:tr w:rsidR="00140653" w:rsidRPr="004238D0" w:rsidTr="004238D0">
        <w:trPr>
          <w:trHeight w:val="584"/>
        </w:trPr>
        <w:tc>
          <w:tcPr>
            <w:tcW w:w="622" w:type="dxa"/>
            <w:vMerge/>
          </w:tcPr>
          <w:p w:rsidR="00140653" w:rsidRPr="004238D0" w:rsidRDefault="00140653">
            <w:pPr>
              <w:keepNext/>
              <w:keepLines/>
              <w:tabs>
                <w:tab w:val="left" w:pos="426"/>
                <w:tab w:val="num" w:pos="1353"/>
              </w:tabs>
              <w:autoSpaceDE w:val="0"/>
              <w:autoSpaceDN w:val="0"/>
              <w:adjustRightInd w:val="0"/>
              <w:spacing w:after="120"/>
              <w:jc w:val="center"/>
              <w:rPr>
                <w:rFonts w:eastAsia="Times New Roman"/>
                <w:sz w:val="18"/>
                <w:szCs w:val="24"/>
                <w:lang w:val="es-ES"/>
              </w:rPr>
            </w:pPr>
          </w:p>
        </w:tc>
        <w:tc>
          <w:tcPr>
            <w:tcW w:w="932" w:type="dxa"/>
          </w:tcPr>
          <w:p w:rsidR="00140653" w:rsidRPr="004238D0" w:rsidRDefault="00E5426C" w:rsidP="001F0A02">
            <w:pPr>
              <w:keepNext/>
              <w:keepLines/>
              <w:tabs>
                <w:tab w:val="left" w:pos="426"/>
                <w:tab w:val="num" w:pos="1353"/>
              </w:tabs>
              <w:autoSpaceDE w:val="0"/>
              <w:autoSpaceDN w:val="0"/>
              <w:adjustRightInd w:val="0"/>
              <w:spacing w:after="120"/>
              <w:rPr>
                <w:rFonts w:eastAsia="Times New Roman"/>
                <w:sz w:val="18"/>
                <w:szCs w:val="24"/>
                <w:lang w:val="es-ES"/>
              </w:rPr>
            </w:pPr>
            <w:r w:rsidRPr="004238D0">
              <w:rPr>
                <w:rFonts w:eastAsia="Times New Roman"/>
                <w:noProof/>
                <w:sz w:val="18"/>
                <w:szCs w:val="24"/>
                <w:lang w:val="es-ES"/>
              </w:rPr>
              <w:t xml:space="preserve">Segundo </w:t>
            </w:r>
            <w:r w:rsidR="0057009C" w:rsidRPr="004238D0">
              <w:rPr>
                <w:rFonts w:eastAsia="Times New Roman"/>
                <w:noProof/>
                <w:sz w:val="18"/>
                <w:szCs w:val="24"/>
                <w:lang w:val="es-ES"/>
              </w:rPr>
              <w:t>trimestre</w:t>
            </w:r>
          </w:p>
        </w:tc>
        <w:tc>
          <w:tcPr>
            <w:tcW w:w="7371" w:type="dxa"/>
          </w:tcPr>
          <w:p w:rsidR="00140653" w:rsidRPr="004238D0" w:rsidRDefault="00CC73B3">
            <w:pPr>
              <w:pStyle w:val="Normal-pool"/>
              <w:keepNext/>
              <w:keepLines/>
              <w:spacing w:before="20" w:after="20"/>
              <w:rPr>
                <w:szCs w:val="24"/>
                <w:lang w:val="es-ES"/>
              </w:rPr>
            </w:pPr>
            <w:r w:rsidRPr="004238D0">
              <w:rPr>
                <w:sz w:val="18"/>
                <w:szCs w:val="24"/>
                <w:lang w:val="es-ES"/>
              </w:rPr>
              <w:t>El informe sobre el análisis inicial detallado se envía a los miembros de la Plataforma y otros interesados para que lo examinen y formulen observaciones durante dos semanas en la segunda mitad de abril de 2014</w:t>
            </w:r>
          </w:p>
        </w:tc>
      </w:tr>
      <w:tr w:rsidR="00140653" w:rsidRPr="004238D0" w:rsidTr="004238D0">
        <w:trPr>
          <w:trHeight w:val="274"/>
        </w:trPr>
        <w:tc>
          <w:tcPr>
            <w:tcW w:w="622" w:type="dxa"/>
            <w:vMerge/>
          </w:tcPr>
          <w:p w:rsidR="00140653" w:rsidRPr="004238D0" w:rsidRDefault="00140653">
            <w:pPr>
              <w:keepLines/>
              <w:tabs>
                <w:tab w:val="left" w:pos="426"/>
                <w:tab w:val="num" w:pos="1353"/>
              </w:tabs>
              <w:autoSpaceDE w:val="0"/>
              <w:autoSpaceDN w:val="0"/>
              <w:adjustRightInd w:val="0"/>
              <w:spacing w:after="120"/>
              <w:jc w:val="center"/>
              <w:rPr>
                <w:rFonts w:eastAsia="Times New Roman"/>
                <w:sz w:val="18"/>
                <w:szCs w:val="24"/>
                <w:lang w:val="es-ES"/>
              </w:rPr>
            </w:pPr>
          </w:p>
        </w:tc>
        <w:tc>
          <w:tcPr>
            <w:tcW w:w="932" w:type="dxa"/>
          </w:tcPr>
          <w:p w:rsidR="00140653" w:rsidRPr="004238D0" w:rsidRDefault="00E5426C" w:rsidP="001F0A02">
            <w:pPr>
              <w:keepLines/>
              <w:tabs>
                <w:tab w:val="left" w:pos="426"/>
                <w:tab w:val="num" w:pos="1353"/>
              </w:tabs>
              <w:autoSpaceDE w:val="0"/>
              <w:autoSpaceDN w:val="0"/>
              <w:adjustRightInd w:val="0"/>
              <w:spacing w:after="120"/>
              <w:rPr>
                <w:rFonts w:eastAsia="Times New Roman"/>
                <w:szCs w:val="24"/>
                <w:lang w:val="es-ES"/>
              </w:rPr>
            </w:pPr>
            <w:r w:rsidRPr="004238D0">
              <w:rPr>
                <w:rFonts w:eastAsia="Times New Roman"/>
                <w:noProof/>
                <w:sz w:val="18"/>
                <w:szCs w:val="24"/>
                <w:lang w:val="es-ES"/>
              </w:rPr>
              <w:t xml:space="preserve">Segundo </w:t>
            </w:r>
            <w:r w:rsidR="0057009C" w:rsidRPr="004238D0">
              <w:rPr>
                <w:rFonts w:eastAsia="Times New Roman"/>
                <w:noProof/>
                <w:sz w:val="18"/>
                <w:szCs w:val="24"/>
                <w:lang w:val="es-ES"/>
              </w:rPr>
              <w:t>trimestre</w:t>
            </w:r>
          </w:p>
        </w:tc>
        <w:tc>
          <w:tcPr>
            <w:tcW w:w="7371" w:type="dxa"/>
          </w:tcPr>
          <w:p w:rsidR="00140653" w:rsidRPr="004238D0" w:rsidRDefault="00CC73B3">
            <w:pPr>
              <w:pStyle w:val="Normal-pool"/>
              <w:spacing w:before="20" w:after="20"/>
              <w:rPr>
                <w:szCs w:val="24"/>
                <w:lang w:val="es-ES"/>
              </w:rPr>
            </w:pPr>
            <w:r w:rsidRPr="004238D0">
              <w:rPr>
                <w:sz w:val="18"/>
                <w:szCs w:val="24"/>
                <w:lang w:val="es-ES"/>
              </w:rPr>
              <w:t>Sobre la base de los resultados del ejercicio de análisis inicial detallado, y las observaciones presentadas por los miembros de la Plataforma y otros interesados, el Grupo y la Mesa deciden si se procede o no con la evaluación, suponiendo que esta pueda realizarse en el marco del presupuesto aprobado por el Plenario en la primera mitad de mayo de 2014</w:t>
            </w:r>
          </w:p>
        </w:tc>
      </w:tr>
      <w:tr w:rsidR="00140653" w:rsidRPr="004238D0" w:rsidTr="004238D0">
        <w:trPr>
          <w:trHeight w:val="584"/>
        </w:trPr>
        <w:tc>
          <w:tcPr>
            <w:tcW w:w="622" w:type="dxa"/>
            <w:vMerge/>
          </w:tcPr>
          <w:p w:rsidR="00140653" w:rsidRPr="004238D0" w:rsidRDefault="00140653">
            <w:pPr>
              <w:keepLines/>
              <w:tabs>
                <w:tab w:val="left" w:pos="426"/>
                <w:tab w:val="num" w:pos="1353"/>
              </w:tabs>
              <w:autoSpaceDE w:val="0"/>
              <w:autoSpaceDN w:val="0"/>
              <w:adjustRightInd w:val="0"/>
              <w:spacing w:after="120"/>
              <w:jc w:val="center"/>
              <w:rPr>
                <w:rFonts w:eastAsia="Times New Roman"/>
                <w:sz w:val="18"/>
                <w:szCs w:val="24"/>
                <w:lang w:val="es-ES"/>
              </w:rPr>
            </w:pPr>
          </w:p>
        </w:tc>
        <w:tc>
          <w:tcPr>
            <w:tcW w:w="932" w:type="dxa"/>
          </w:tcPr>
          <w:p w:rsidR="00140653" w:rsidRPr="004238D0" w:rsidRDefault="00E5426C" w:rsidP="001F0A02">
            <w:pPr>
              <w:keepLines/>
              <w:tabs>
                <w:tab w:val="left" w:pos="426"/>
                <w:tab w:val="num" w:pos="1353"/>
              </w:tabs>
              <w:autoSpaceDE w:val="0"/>
              <w:autoSpaceDN w:val="0"/>
              <w:adjustRightInd w:val="0"/>
              <w:spacing w:after="120"/>
              <w:rPr>
                <w:rFonts w:eastAsia="Times New Roman"/>
                <w:sz w:val="18"/>
                <w:szCs w:val="24"/>
                <w:lang w:val="es-ES"/>
              </w:rPr>
            </w:pPr>
            <w:r w:rsidRPr="004238D0">
              <w:rPr>
                <w:rFonts w:eastAsia="Times New Roman"/>
                <w:noProof/>
                <w:sz w:val="18"/>
                <w:szCs w:val="24"/>
                <w:lang w:val="es-ES"/>
              </w:rPr>
              <w:t xml:space="preserve">Segundo </w:t>
            </w:r>
            <w:r w:rsidR="0057009C" w:rsidRPr="004238D0">
              <w:rPr>
                <w:rFonts w:eastAsia="Times New Roman"/>
                <w:noProof/>
                <w:sz w:val="18"/>
                <w:szCs w:val="24"/>
                <w:lang w:val="es-ES"/>
              </w:rPr>
              <w:t>trimestre</w:t>
            </w:r>
          </w:p>
        </w:tc>
        <w:tc>
          <w:tcPr>
            <w:tcW w:w="7371" w:type="dxa"/>
          </w:tcPr>
          <w:p w:rsidR="00140653" w:rsidRPr="004238D0" w:rsidRDefault="00CC73B3" w:rsidP="00127A76">
            <w:pPr>
              <w:pStyle w:val="Normal-pool"/>
              <w:spacing w:before="20" w:after="20"/>
              <w:rPr>
                <w:szCs w:val="24"/>
                <w:lang w:val="es-ES"/>
              </w:rPr>
            </w:pPr>
            <w:r w:rsidRPr="004238D0">
              <w:rPr>
                <w:sz w:val="18"/>
                <w:szCs w:val="24"/>
                <w:lang w:val="es-ES"/>
              </w:rPr>
              <w:t>Por conducto de la secretaría, el Grupo pide a los gobiernos y otros interesados que propongan expertos para preparar el informe de evaluación. Las candidaturas se deberán presentar antes de fines de junio de 2014 (1 mes y medio)</w:t>
            </w:r>
          </w:p>
        </w:tc>
      </w:tr>
      <w:tr w:rsidR="00140653" w:rsidRPr="004238D0" w:rsidTr="004238D0">
        <w:trPr>
          <w:trHeight w:val="584"/>
        </w:trPr>
        <w:tc>
          <w:tcPr>
            <w:tcW w:w="622" w:type="dxa"/>
            <w:vMerge/>
          </w:tcPr>
          <w:p w:rsidR="00140653" w:rsidRPr="004238D0" w:rsidRDefault="00140653">
            <w:pPr>
              <w:keepLines/>
              <w:tabs>
                <w:tab w:val="left" w:pos="426"/>
                <w:tab w:val="num" w:pos="1353"/>
              </w:tabs>
              <w:autoSpaceDE w:val="0"/>
              <w:autoSpaceDN w:val="0"/>
              <w:adjustRightInd w:val="0"/>
              <w:spacing w:after="120"/>
              <w:jc w:val="center"/>
              <w:rPr>
                <w:rFonts w:eastAsia="Times New Roman"/>
                <w:sz w:val="18"/>
                <w:szCs w:val="24"/>
                <w:lang w:val="es-ES"/>
              </w:rPr>
            </w:pPr>
          </w:p>
        </w:tc>
        <w:tc>
          <w:tcPr>
            <w:tcW w:w="932" w:type="dxa"/>
          </w:tcPr>
          <w:p w:rsidR="00140653" w:rsidRPr="004238D0" w:rsidRDefault="00E5426C" w:rsidP="001F0A02">
            <w:pPr>
              <w:keepLines/>
              <w:tabs>
                <w:tab w:val="left" w:pos="426"/>
                <w:tab w:val="num" w:pos="1353"/>
              </w:tabs>
              <w:autoSpaceDE w:val="0"/>
              <w:autoSpaceDN w:val="0"/>
              <w:adjustRightInd w:val="0"/>
              <w:spacing w:after="120"/>
              <w:rPr>
                <w:rFonts w:eastAsia="Times New Roman"/>
                <w:sz w:val="18"/>
                <w:szCs w:val="24"/>
                <w:lang w:val="es-ES"/>
              </w:rPr>
            </w:pPr>
            <w:r w:rsidRPr="004238D0">
              <w:rPr>
                <w:rFonts w:eastAsia="Times New Roman"/>
                <w:noProof/>
                <w:sz w:val="18"/>
                <w:szCs w:val="24"/>
                <w:lang w:val="es-ES"/>
              </w:rPr>
              <w:t>Tercer trimestre</w:t>
            </w:r>
          </w:p>
        </w:tc>
        <w:tc>
          <w:tcPr>
            <w:tcW w:w="7371" w:type="dxa"/>
          </w:tcPr>
          <w:p w:rsidR="00140653" w:rsidRPr="004238D0" w:rsidRDefault="00CC73B3" w:rsidP="00CC73B3">
            <w:pPr>
              <w:pStyle w:val="Normal-pool"/>
              <w:spacing w:before="20" w:after="20"/>
              <w:rPr>
                <w:szCs w:val="24"/>
                <w:lang w:val="es-ES"/>
              </w:rPr>
            </w:pPr>
            <w:r w:rsidRPr="004238D0">
              <w:rPr>
                <w:sz w:val="18"/>
                <w:szCs w:val="24"/>
                <w:lang w:val="es-ES"/>
              </w:rPr>
              <w:t>El Grupo selecciona a los copresidentes del informe, los autores principales encargados de la coordinación, los autores principales y los revisores valiéndose de los criterios de selección aprobados (1 de julio a 15 de agosto de 2014) (1 mes y medio)</w:t>
            </w:r>
          </w:p>
        </w:tc>
      </w:tr>
      <w:tr w:rsidR="00140653" w:rsidRPr="004238D0" w:rsidTr="00423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622" w:type="dxa"/>
            <w:vMerge/>
            <w:tcBorders>
              <w:top w:val="single" w:sz="4" w:space="0" w:color="auto"/>
              <w:left w:val="single" w:sz="4" w:space="0" w:color="auto"/>
              <w:bottom w:val="single" w:sz="4" w:space="0" w:color="auto"/>
              <w:right w:val="single" w:sz="4" w:space="0" w:color="auto"/>
            </w:tcBorders>
          </w:tcPr>
          <w:p w:rsidR="00140653" w:rsidRPr="004238D0" w:rsidRDefault="00140653">
            <w:pPr>
              <w:keepLines/>
              <w:tabs>
                <w:tab w:val="left" w:pos="426"/>
                <w:tab w:val="num" w:pos="1353"/>
              </w:tabs>
              <w:autoSpaceDE w:val="0"/>
              <w:autoSpaceDN w:val="0"/>
              <w:adjustRightInd w:val="0"/>
              <w:spacing w:after="120"/>
              <w:jc w:val="center"/>
              <w:rPr>
                <w:rFonts w:eastAsia="Times New Roman"/>
                <w:sz w:val="18"/>
                <w:szCs w:val="24"/>
                <w:lang w:val="es-ES"/>
              </w:rPr>
            </w:pPr>
          </w:p>
        </w:tc>
        <w:tc>
          <w:tcPr>
            <w:tcW w:w="932" w:type="dxa"/>
            <w:tcBorders>
              <w:top w:val="single" w:sz="4" w:space="0" w:color="auto"/>
              <w:left w:val="single" w:sz="4" w:space="0" w:color="auto"/>
              <w:bottom w:val="single" w:sz="4" w:space="0" w:color="auto"/>
              <w:right w:val="single" w:sz="4" w:space="0" w:color="auto"/>
            </w:tcBorders>
          </w:tcPr>
          <w:p w:rsidR="00140653" w:rsidRPr="004238D0" w:rsidRDefault="00E5426C" w:rsidP="001F0A02">
            <w:pPr>
              <w:keepLines/>
              <w:tabs>
                <w:tab w:val="left" w:pos="426"/>
                <w:tab w:val="num" w:pos="1353"/>
              </w:tabs>
              <w:autoSpaceDE w:val="0"/>
              <w:autoSpaceDN w:val="0"/>
              <w:adjustRightInd w:val="0"/>
              <w:spacing w:after="120"/>
              <w:rPr>
                <w:rFonts w:eastAsia="Times New Roman"/>
                <w:szCs w:val="24"/>
                <w:lang w:val="es-ES"/>
              </w:rPr>
            </w:pPr>
            <w:r w:rsidRPr="004238D0">
              <w:rPr>
                <w:rFonts w:eastAsia="Times New Roman"/>
                <w:noProof/>
                <w:sz w:val="18"/>
                <w:szCs w:val="24"/>
                <w:lang w:val="es-ES"/>
              </w:rPr>
              <w:t>Tercer</w:t>
            </w:r>
            <w:r w:rsidR="00A858F7" w:rsidRPr="004238D0">
              <w:rPr>
                <w:rFonts w:eastAsia="Times New Roman"/>
                <w:noProof/>
                <w:sz w:val="18"/>
                <w:szCs w:val="24"/>
                <w:lang w:val="es-ES"/>
              </w:rPr>
              <w:t>,</w:t>
            </w:r>
            <w:r w:rsidRPr="004238D0">
              <w:rPr>
                <w:rFonts w:eastAsia="Times New Roman"/>
                <w:noProof/>
                <w:sz w:val="18"/>
                <w:szCs w:val="24"/>
                <w:lang w:val="es-ES"/>
              </w:rPr>
              <w:t xml:space="preserve"> cuarto trimestres</w:t>
            </w:r>
          </w:p>
        </w:tc>
        <w:tc>
          <w:tcPr>
            <w:tcW w:w="7371" w:type="dxa"/>
            <w:tcBorders>
              <w:top w:val="single" w:sz="4" w:space="0" w:color="auto"/>
              <w:left w:val="single" w:sz="4" w:space="0" w:color="auto"/>
              <w:bottom w:val="single" w:sz="4" w:space="0" w:color="auto"/>
              <w:right w:val="single" w:sz="4" w:space="0" w:color="auto"/>
            </w:tcBorders>
          </w:tcPr>
          <w:p w:rsidR="00140653" w:rsidRPr="004238D0" w:rsidRDefault="00CC73B3" w:rsidP="000275D5">
            <w:pPr>
              <w:pStyle w:val="Normal-pool"/>
              <w:spacing w:after="240"/>
              <w:rPr>
                <w:szCs w:val="24"/>
                <w:lang w:val="es-ES"/>
              </w:rPr>
            </w:pPr>
            <w:r w:rsidRPr="004238D0">
              <w:rPr>
                <w:sz w:val="18"/>
                <w:szCs w:val="24"/>
                <w:lang w:val="es-ES"/>
              </w:rPr>
              <w:t xml:space="preserve">Antes de mediados de febrero de 2015, los copresidentes del informe, los autores principales encargados de la coordinación y los autores principales preparan el primer proyecto de informe (6 meses). En septiembre de 2014 se celebra una primera reunión de autores. Se llevan a cabo talleres de diálogos y </w:t>
            </w:r>
            <w:r w:rsidR="00E0776A" w:rsidRPr="004238D0">
              <w:rPr>
                <w:sz w:val="18"/>
                <w:szCs w:val="24"/>
                <w:lang w:val="es-ES"/>
              </w:rPr>
              <w:t>reuniones de trabajo comunitarias con los poseedores de conocimientos locales y autóctonos</w:t>
            </w:r>
          </w:p>
        </w:tc>
      </w:tr>
      <w:tr w:rsidR="00140653" w:rsidRPr="004238D0" w:rsidTr="004238D0">
        <w:trPr>
          <w:trHeight w:val="301"/>
        </w:trPr>
        <w:tc>
          <w:tcPr>
            <w:tcW w:w="622" w:type="dxa"/>
            <w:vMerge w:val="restart"/>
            <w:vAlign w:val="center"/>
          </w:tcPr>
          <w:p w:rsidR="00140653" w:rsidRPr="004238D0" w:rsidRDefault="00140653" w:rsidP="001F0A02">
            <w:pPr>
              <w:keepLines/>
              <w:tabs>
                <w:tab w:val="left" w:pos="426"/>
                <w:tab w:val="num" w:pos="1353"/>
              </w:tabs>
              <w:autoSpaceDE w:val="0"/>
              <w:autoSpaceDN w:val="0"/>
              <w:adjustRightInd w:val="0"/>
              <w:spacing w:after="120"/>
              <w:jc w:val="center"/>
              <w:rPr>
                <w:rFonts w:eastAsia="Times New Roman"/>
                <w:sz w:val="18"/>
                <w:szCs w:val="24"/>
                <w:lang w:val="es-ES"/>
              </w:rPr>
            </w:pPr>
            <w:r w:rsidRPr="004238D0">
              <w:rPr>
                <w:rFonts w:eastAsia="Times New Roman"/>
                <w:sz w:val="18"/>
                <w:szCs w:val="24"/>
                <w:lang w:val="es-ES"/>
              </w:rPr>
              <w:lastRenderedPageBreak/>
              <w:t>2015</w:t>
            </w:r>
          </w:p>
        </w:tc>
        <w:tc>
          <w:tcPr>
            <w:tcW w:w="932" w:type="dxa"/>
          </w:tcPr>
          <w:p w:rsidR="00140653" w:rsidRPr="004238D0" w:rsidRDefault="00E5426C" w:rsidP="001F0A02">
            <w:pPr>
              <w:keepLines/>
              <w:tabs>
                <w:tab w:val="left" w:pos="426"/>
                <w:tab w:val="num" w:pos="1353"/>
              </w:tabs>
              <w:autoSpaceDE w:val="0"/>
              <w:autoSpaceDN w:val="0"/>
              <w:adjustRightInd w:val="0"/>
              <w:spacing w:after="120"/>
              <w:rPr>
                <w:rFonts w:eastAsia="Times New Roman"/>
                <w:szCs w:val="24"/>
                <w:lang w:val="es-ES"/>
              </w:rPr>
            </w:pPr>
            <w:r w:rsidRPr="004238D0">
              <w:rPr>
                <w:rFonts w:eastAsia="Times New Roman"/>
                <w:noProof/>
                <w:sz w:val="18"/>
                <w:szCs w:val="24"/>
                <w:lang w:val="es-ES"/>
              </w:rPr>
              <w:t>Primer trimestre</w:t>
            </w:r>
          </w:p>
        </w:tc>
        <w:tc>
          <w:tcPr>
            <w:tcW w:w="7371" w:type="dxa"/>
          </w:tcPr>
          <w:p w:rsidR="00140653" w:rsidRPr="004238D0" w:rsidRDefault="00E0776A" w:rsidP="00E0776A">
            <w:pPr>
              <w:pStyle w:val="Normal-pool"/>
              <w:spacing w:before="20" w:after="20"/>
              <w:rPr>
                <w:szCs w:val="24"/>
                <w:lang w:val="es-ES"/>
              </w:rPr>
            </w:pPr>
            <w:r w:rsidRPr="004238D0">
              <w:rPr>
                <w:sz w:val="18"/>
                <w:szCs w:val="24"/>
                <w:lang w:val="es-ES"/>
              </w:rPr>
              <w:t>Hasta fines de marzo de 2015, los expertos examinan el proyecto de informe (1 mes y medio, 2 meses)</w:t>
            </w:r>
          </w:p>
        </w:tc>
      </w:tr>
      <w:tr w:rsidR="00140653" w:rsidRPr="004238D0" w:rsidTr="00423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22" w:type="dxa"/>
            <w:vMerge/>
            <w:tcBorders>
              <w:top w:val="single" w:sz="4" w:space="0" w:color="auto"/>
              <w:left w:val="single" w:sz="4" w:space="0" w:color="auto"/>
              <w:bottom w:val="single" w:sz="4" w:space="0" w:color="auto"/>
              <w:right w:val="single" w:sz="4" w:space="0" w:color="auto"/>
            </w:tcBorders>
            <w:vAlign w:val="center"/>
          </w:tcPr>
          <w:p w:rsidR="00140653" w:rsidRPr="004238D0" w:rsidRDefault="00140653" w:rsidP="004238D0">
            <w:pPr>
              <w:keepLines/>
              <w:tabs>
                <w:tab w:val="left" w:pos="426"/>
                <w:tab w:val="num" w:pos="1353"/>
              </w:tabs>
              <w:autoSpaceDE w:val="0"/>
              <w:autoSpaceDN w:val="0"/>
              <w:adjustRightInd w:val="0"/>
              <w:spacing w:after="120"/>
              <w:jc w:val="center"/>
              <w:rPr>
                <w:rFonts w:eastAsia="Times New Roman"/>
                <w:sz w:val="18"/>
                <w:szCs w:val="24"/>
                <w:lang w:val="es-ES"/>
              </w:rPr>
            </w:pPr>
          </w:p>
        </w:tc>
        <w:tc>
          <w:tcPr>
            <w:tcW w:w="932" w:type="dxa"/>
            <w:tcBorders>
              <w:top w:val="single" w:sz="4" w:space="0" w:color="auto"/>
              <w:left w:val="single" w:sz="4" w:space="0" w:color="auto"/>
              <w:bottom w:val="single" w:sz="4" w:space="0" w:color="auto"/>
              <w:right w:val="single" w:sz="4" w:space="0" w:color="auto"/>
            </w:tcBorders>
          </w:tcPr>
          <w:p w:rsidR="00140653" w:rsidRPr="004238D0" w:rsidRDefault="00E5426C" w:rsidP="004238D0">
            <w:pPr>
              <w:keepLines/>
              <w:tabs>
                <w:tab w:val="left" w:pos="426"/>
                <w:tab w:val="num" w:pos="1353"/>
              </w:tabs>
              <w:autoSpaceDE w:val="0"/>
              <w:autoSpaceDN w:val="0"/>
              <w:adjustRightInd w:val="0"/>
              <w:spacing w:after="120"/>
              <w:rPr>
                <w:rFonts w:eastAsia="Times New Roman"/>
                <w:sz w:val="18"/>
                <w:szCs w:val="24"/>
                <w:lang w:val="es-ES"/>
              </w:rPr>
            </w:pPr>
            <w:r w:rsidRPr="004238D0">
              <w:rPr>
                <w:rFonts w:eastAsia="Times New Roman"/>
                <w:noProof/>
                <w:sz w:val="18"/>
                <w:szCs w:val="24"/>
                <w:lang w:val="es-ES"/>
              </w:rPr>
              <w:t xml:space="preserve">Segundo </w:t>
            </w:r>
            <w:r w:rsidR="0057009C" w:rsidRPr="004238D0">
              <w:rPr>
                <w:rFonts w:eastAsia="Times New Roman"/>
                <w:noProof/>
                <w:sz w:val="18"/>
                <w:szCs w:val="24"/>
                <w:lang w:val="es-ES"/>
              </w:rPr>
              <w:t>trimestre</w:t>
            </w:r>
          </w:p>
        </w:tc>
        <w:tc>
          <w:tcPr>
            <w:tcW w:w="7371" w:type="dxa"/>
            <w:tcBorders>
              <w:top w:val="single" w:sz="4" w:space="0" w:color="auto"/>
              <w:left w:val="single" w:sz="4" w:space="0" w:color="auto"/>
              <w:bottom w:val="single" w:sz="4" w:space="0" w:color="auto"/>
              <w:right w:val="single" w:sz="4" w:space="0" w:color="auto"/>
            </w:tcBorders>
          </w:tcPr>
          <w:p w:rsidR="00140653" w:rsidRPr="004238D0" w:rsidRDefault="00E0776A" w:rsidP="00E0776A">
            <w:pPr>
              <w:pStyle w:val="Normal-pool"/>
              <w:spacing w:before="20" w:after="20"/>
              <w:rPr>
                <w:szCs w:val="24"/>
                <w:lang w:val="es-ES"/>
              </w:rPr>
            </w:pPr>
            <w:r w:rsidRPr="004238D0">
              <w:rPr>
                <w:sz w:val="18"/>
                <w:szCs w:val="24"/>
                <w:lang w:val="es-ES"/>
              </w:rPr>
              <w:t>Los copresidentes del informe, los autores principales encargados de la coordinación y los revisores preparan el segundo proyecto de informe y un primer proyecto de resumen para los responsables de formular políticas bajo la orientación de los revisores y del Grupo (abril a junio) (3 meses). En junio de 2015 se celebra una segunda reunión de autores</w:t>
            </w:r>
          </w:p>
        </w:tc>
      </w:tr>
      <w:tr w:rsidR="00140653" w:rsidRPr="004238D0" w:rsidTr="00423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622" w:type="dxa"/>
            <w:vMerge/>
            <w:tcBorders>
              <w:top w:val="single" w:sz="4" w:space="0" w:color="auto"/>
              <w:left w:val="single" w:sz="4" w:space="0" w:color="auto"/>
              <w:bottom w:val="single" w:sz="4" w:space="0" w:color="auto"/>
              <w:right w:val="single" w:sz="4" w:space="0" w:color="auto"/>
            </w:tcBorders>
            <w:vAlign w:val="center"/>
          </w:tcPr>
          <w:p w:rsidR="00140653" w:rsidRPr="004238D0" w:rsidRDefault="00140653" w:rsidP="004238D0">
            <w:pPr>
              <w:keepLines/>
              <w:tabs>
                <w:tab w:val="left" w:pos="426"/>
                <w:tab w:val="num" w:pos="1353"/>
              </w:tabs>
              <w:autoSpaceDE w:val="0"/>
              <w:autoSpaceDN w:val="0"/>
              <w:adjustRightInd w:val="0"/>
              <w:spacing w:after="120"/>
              <w:jc w:val="center"/>
              <w:rPr>
                <w:rFonts w:eastAsia="Times New Roman"/>
                <w:sz w:val="18"/>
                <w:szCs w:val="24"/>
                <w:lang w:val="es-ES"/>
              </w:rPr>
            </w:pPr>
          </w:p>
        </w:tc>
        <w:tc>
          <w:tcPr>
            <w:tcW w:w="932" w:type="dxa"/>
            <w:tcBorders>
              <w:top w:val="single" w:sz="4" w:space="0" w:color="auto"/>
              <w:left w:val="single" w:sz="4" w:space="0" w:color="auto"/>
              <w:bottom w:val="single" w:sz="4" w:space="0" w:color="auto"/>
              <w:right w:val="single" w:sz="4" w:space="0" w:color="auto"/>
            </w:tcBorders>
          </w:tcPr>
          <w:p w:rsidR="00140653" w:rsidRPr="004238D0" w:rsidRDefault="00E5426C" w:rsidP="004238D0">
            <w:pPr>
              <w:keepLines/>
              <w:tabs>
                <w:tab w:val="left" w:pos="426"/>
                <w:tab w:val="num" w:pos="1353"/>
              </w:tabs>
              <w:autoSpaceDE w:val="0"/>
              <w:autoSpaceDN w:val="0"/>
              <w:adjustRightInd w:val="0"/>
              <w:spacing w:after="120"/>
              <w:rPr>
                <w:rFonts w:eastAsia="Times New Roman"/>
                <w:sz w:val="18"/>
                <w:szCs w:val="24"/>
                <w:lang w:val="es-ES"/>
              </w:rPr>
            </w:pPr>
            <w:r w:rsidRPr="004238D0">
              <w:rPr>
                <w:rFonts w:eastAsia="Times New Roman"/>
                <w:noProof/>
                <w:sz w:val="18"/>
                <w:szCs w:val="24"/>
                <w:lang w:val="es-ES"/>
              </w:rPr>
              <w:t>Tercer trimestre</w:t>
            </w:r>
          </w:p>
        </w:tc>
        <w:tc>
          <w:tcPr>
            <w:tcW w:w="7371" w:type="dxa"/>
            <w:tcBorders>
              <w:top w:val="single" w:sz="4" w:space="0" w:color="auto"/>
              <w:left w:val="single" w:sz="4" w:space="0" w:color="auto"/>
              <w:bottom w:val="single" w:sz="4" w:space="0" w:color="auto"/>
              <w:right w:val="single" w:sz="4" w:space="0" w:color="auto"/>
            </w:tcBorders>
          </w:tcPr>
          <w:p w:rsidR="00140653" w:rsidRPr="004238D0" w:rsidRDefault="00E0776A" w:rsidP="00E0776A">
            <w:pPr>
              <w:pStyle w:val="Normal-pool"/>
              <w:spacing w:before="20" w:after="20"/>
              <w:rPr>
                <w:szCs w:val="24"/>
                <w:lang w:val="es-ES"/>
              </w:rPr>
            </w:pPr>
            <w:r w:rsidRPr="004238D0">
              <w:rPr>
                <w:sz w:val="18"/>
                <w:szCs w:val="24"/>
                <w:lang w:val="es-ES"/>
              </w:rPr>
              <w:t>Durante julio y agosto de 2015, los expertos y los gobiernos y otros interesados examinan el segundo proyecto de informe y el primer borrador del resumen para los responsables de formular políticas (2 meses)</w:t>
            </w:r>
          </w:p>
        </w:tc>
      </w:tr>
      <w:tr w:rsidR="00140653" w:rsidRPr="004238D0" w:rsidTr="004238D0">
        <w:trPr>
          <w:trHeight w:val="215"/>
        </w:trPr>
        <w:tc>
          <w:tcPr>
            <w:tcW w:w="622" w:type="dxa"/>
            <w:vMerge/>
            <w:vAlign w:val="center"/>
          </w:tcPr>
          <w:p w:rsidR="00140653" w:rsidRPr="004238D0" w:rsidRDefault="00140653" w:rsidP="004238D0">
            <w:pPr>
              <w:keepLines/>
              <w:tabs>
                <w:tab w:val="left" w:pos="426"/>
                <w:tab w:val="num" w:pos="1353"/>
              </w:tabs>
              <w:autoSpaceDE w:val="0"/>
              <w:autoSpaceDN w:val="0"/>
              <w:adjustRightInd w:val="0"/>
              <w:spacing w:after="120"/>
              <w:jc w:val="center"/>
              <w:rPr>
                <w:rFonts w:eastAsia="Times New Roman"/>
                <w:sz w:val="18"/>
                <w:szCs w:val="24"/>
                <w:lang w:val="es-ES"/>
              </w:rPr>
            </w:pPr>
          </w:p>
        </w:tc>
        <w:tc>
          <w:tcPr>
            <w:tcW w:w="932" w:type="dxa"/>
          </w:tcPr>
          <w:p w:rsidR="00140653" w:rsidRPr="004238D0" w:rsidRDefault="00E5426C" w:rsidP="004238D0">
            <w:pPr>
              <w:keepLines/>
              <w:tabs>
                <w:tab w:val="left" w:pos="426"/>
                <w:tab w:val="num" w:pos="1353"/>
              </w:tabs>
              <w:autoSpaceDE w:val="0"/>
              <w:autoSpaceDN w:val="0"/>
              <w:adjustRightInd w:val="0"/>
              <w:spacing w:after="120"/>
              <w:rPr>
                <w:rFonts w:eastAsia="Times New Roman"/>
                <w:sz w:val="18"/>
                <w:szCs w:val="24"/>
                <w:lang w:val="es-ES"/>
              </w:rPr>
            </w:pPr>
            <w:r w:rsidRPr="004238D0">
              <w:rPr>
                <w:rFonts w:eastAsia="Times New Roman"/>
                <w:noProof/>
                <w:sz w:val="18"/>
                <w:szCs w:val="24"/>
                <w:lang w:val="es-ES"/>
              </w:rPr>
              <w:t>Tercer</w:t>
            </w:r>
            <w:r w:rsidR="00A858F7" w:rsidRPr="004238D0">
              <w:rPr>
                <w:rFonts w:eastAsia="Times New Roman"/>
                <w:noProof/>
                <w:sz w:val="18"/>
                <w:szCs w:val="24"/>
                <w:lang w:val="es-ES"/>
              </w:rPr>
              <w:t>,</w:t>
            </w:r>
            <w:r w:rsidRPr="004238D0">
              <w:rPr>
                <w:rFonts w:eastAsia="Times New Roman"/>
                <w:noProof/>
                <w:sz w:val="18"/>
                <w:szCs w:val="24"/>
                <w:lang w:val="es-ES"/>
              </w:rPr>
              <w:t xml:space="preserve"> cuarto trimestres</w:t>
            </w:r>
          </w:p>
        </w:tc>
        <w:tc>
          <w:tcPr>
            <w:tcW w:w="7371" w:type="dxa"/>
          </w:tcPr>
          <w:p w:rsidR="00140653" w:rsidRPr="004238D0" w:rsidRDefault="00E0776A" w:rsidP="00E0776A">
            <w:pPr>
              <w:pStyle w:val="Normal-pool"/>
              <w:spacing w:before="20" w:after="20"/>
              <w:rPr>
                <w:szCs w:val="24"/>
                <w:lang w:val="es-ES"/>
              </w:rPr>
            </w:pPr>
            <w:r w:rsidRPr="004238D0">
              <w:rPr>
                <w:sz w:val="18"/>
                <w:szCs w:val="24"/>
                <w:lang w:val="es-ES"/>
              </w:rPr>
              <w:t>Durante septiembre y octubre de 2015, bajo la orientación de los revisores y el Grupo, los copresidentes del informe, los autores principales encargados de la coordinación y los revisores preparan la versión final del proyecto de informe y el resumen para los responsables de formular políticas (2 meses). En octubre de 2015 se celebra una tercera reunión de autores</w:t>
            </w:r>
          </w:p>
        </w:tc>
      </w:tr>
      <w:tr w:rsidR="00140653" w:rsidRPr="004238D0" w:rsidTr="004238D0">
        <w:trPr>
          <w:trHeight w:val="479"/>
        </w:trPr>
        <w:tc>
          <w:tcPr>
            <w:tcW w:w="622" w:type="dxa"/>
            <w:vMerge/>
            <w:vAlign w:val="center"/>
          </w:tcPr>
          <w:p w:rsidR="00140653" w:rsidRPr="004238D0" w:rsidRDefault="00140653" w:rsidP="004238D0">
            <w:pPr>
              <w:keepLines/>
              <w:tabs>
                <w:tab w:val="left" w:pos="426"/>
                <w:tab w:val="num" w:pos="1353"/>
              </w:tabs>
              <w:autoSpaceDE w:val="0"/>
              <w:autoSpaceDN w:val="0"/>
              <w:adjustRightInd w:val="0"/>
              <w:spacing w:after="120"/>
              <w:jc w:val="center"/>
              <w:rPr>
                <w:rFonts w:eastAsia="Times New Roman"/>
                <w:sz w:val="18"/>
                <w:szCs w:val="24"/>
                <w:lang w:val="es-ES"/>
              </w:rPr>
            </w:pPr>
          </w:p>
        </w:tc>
        <w:tc>
          <w:tcPr>
            <w:tcW w:w="932" w:type="dxa"/>
          </w:tcPr>
          <w:p w:rsidR="00140653" w:rsidRPr="004238D0" w:rsidRDefault="00E5426C" w:rsidP="004238D0">
            <w:pPr>
              <w:keepLines/>
              <w:tabs>
                <w:tab w:val="left" w:pos="426"/>
                <w:tab w:val="num" w:pos="1353"/>
              </w:tabs>
              <w:autoSpaceDE w:val="0"/>
              <w:autoSpaceDN w:val="0"/>
              <w:adjustRightInd w:val="0"/>
              <w:spacing w:after="120"/>
              <w:rPr>
                <w:rFonts w:eastAsia="Times New Roman"/>
                <w:sz w:val="18"/>
                <w:szCs w:val="24"/>
                <w:lang w:val="es-ES"/>
              </w:rPr>
            </w:pPr>
            <w:r w:rsidRPr="004238D0">
              <w:rPr>
                <w:rFonts w:eastAsia="Times New Roman"/>
                <w:noProof/>
                <w:sz w:val="18"/>
                <w:szCs w:val="24"/>
                <w:lang w:val="es-ES"/>
              </w:rPr>
              <w:t>Cuarto trimestre</w:t>
            </w:r>
          </w:p>
        </w:tc>
        <w:tc>
          <w:tcPr>
            <w:tcW w:w="7371" w:type="dxa"/>
          </w:tcPr>
          <w:p w:rsidR="00140653" w:rsidRPr="004238D0" w:rsidRDefault="00025F3C">
            <w:pPr>
              <w:pStyle w:val="Normal-pool"/>
              <w:spacing w:before="20" w:after="20"/>
              <w:rPr>
                <w:szCs w:val="24"/>
                <w:lang w:val="es-ES"/>
              </w:rPr>
            </w:pPr>
            <w:r w:rsidRPr="004238D0">
              <w:rPr>
                <w:sz w:val="18"/>
                <w:szCs w:val="24"/>
                <w:lang w:val="es-ES"/>
              </w:rPr>
              <w:t>A más tardar antes de mediados de diciembre de 2015, el resumen para los responsables de formular políticas se traduce a todos los idiomas oficiales de las Naciones Unidas (1 mes y medio)</w:t>
            </w:r>
          </w:p>
        </w:tc>
      </w:tr>
      <w:tr w:rsidR="00140653" w:rsidRPr="004238D0" w:rsidTr="004238D0">
        <w:trPr>
          <w:trHeight w:val="242"/>
        </w:trPr>
        <w:tc>
          <w:tcPr>
            <w:tcW w:w="622" w:type="dxa"/>
            <w:vMerge w:val="restart"/>
            <w:vAlign w:val="center"/>
          </w:tcPr>
          <w:p w:rsidR="00140653" w:rsidRPr="004238D0" w:rsidRDefault="00140653" w:rsidP="001F0A02">
            <w:pPr>
              <w:keepLines/>
              <w:tabs>
                <w:tab w:val="left" w:pos="426"/>
                <w:tab w:val="num" w:pos="1353"/>
              </w:tabs>
              <w:autoSpaceDE w:val="0"/>
              <w:autoSpaceDN w:val="0"/>
              <w:adjustRightInd w:val="0"/>
              <w:spacing w:after="120"/>
              <w:jc w:val="center"/>
              <w:rPr>
                <w:rFonts w:eastAsia="Times New Roman"/>
                <w:sz w:val="18"/>
                <w:szCs w:val="24"/>
                <w:lang w:val="es-ES"/>
              </w:rPr>
            </w:pPr>
            <w:r w:rsidRPr="004238D0">
              <w:rPr>
                <w:rFonts w:eastAsia="Times New Roman"/>
                <w:sz w:val="18"/>
                <w:szCs w:val="24"/>
                <w:lang w:val="es-ES"/>
              </w:rPr>
              <w:t>2016</w:t>
            </w:r>
          </w:p>
        </w:tc>
        <w:tc>
          <w:tcPr>
            <w:tcW w:w="932" w:type="dxa"/>
          </w:tcPr>
          <w:p w:rsidR="00140653" w:rsidRPr="004238D0" w:rsidRDefault="00E5426C" w:rsidP="001F0A02">
            <w:pPr>
              <w:keepLines/>
              <w:tabs>
                <w:tab w:val="left" w:pos="426"/>
                <w:tab w:val="num" w:pos="1353"/>
              </w:tabs>
              <w:autoSpaceDE w:val="0"/>
              <w:autoSpaceDN w:val="0"/>
              <w:adjustRightInd w:val="0"/>
              <w:spacing w:after="120"/>
              <w:rPr>
                <w:rFonts w:eastAsia="Times New Roman"/>
                <w:sz w:val="18"/>
                <w:szCs w:val="24"/>
                <w:lang w:val="es-ES"/>
              </w:rPr>
            </w:pPr>
            <w:r w:rsidRPr="004238D0">
              <w:rPr>
                <w:rFonts w:eastAsia="Times New Roman"/>
                <w:noProof/>
                <w:sz w:val="18"/>
                <w:szCs w:val="24"/>
                <w:lang w:val="es-ES"/>
              </w:rPr>
              <w:t>Primer trimestre</w:t>
            </w:r>
          </w:p>
        </w:tc>
        <w:tc>
          <w:tcPr>
            <w:tcW w:w="7371" w:type="dxa"/>
          </w:tcPr>
          <w:p w:rsidR="00140653" w:rsidRPr="004238D0" w:rsidRDefault="00025F3C">
            <w:pPr>
              <w:pStyle w:val="Normal-pool"/>
              <w:spacing w:before="20" w:after="20"/>
              <w:rPr>
                <w:szCs w:val="24"/>
                <w:lang w:val="es-ES"/>
              </w:rPr>
            </w:pPr>
            <w:r w:rsidRPr="004238D0">
              <w:rPr>
                <w:sz w:val="18"/>
                <w:szCs w:val="24"/>
                <w:lang w:val="es-ES"/>
              </w:rPr>
              <w:t>Durante enero y febrero de 2016, la versión final del proyecto de informe y el resumen para los responsables de formular políticas se remiten a los gobiernos y otros interesados para su examen final. Se insta encarecidamente a los gobiernos a que formulen por escrito observaciones sobre el proyecto de resumen para los responsables de formular políticas (1 mes y medio, 2 meses). Esas observaciones deberán presentarse a la secretaría con una semana de antelación al cuarto período de sesiones del Plenario</w:t>
            </w:r>
          </w:p>
        </w:tc>
      </w:tr>
      <w:tr w:rsidR="00140653" w:rsidRPr="004238D0" w:rsidTr="004238D0">
        <w:trPr>
          <w:trHeight w:val="242"/>
        </w:trPr>
        <w:tc>
          <w:tcPr>
            <w:tcW w:w="622" w:type="dxa"/>
            <w:vMerge/>
          </w:tcPr>
          <w:p w:rsidR="00140653" w:rsidRPr="004238D0" w:rsidRDefault="00140653">
            <w:pPr>
              <w:keepLines/>
              <w:tabs>
                <w:tab w:val="left" w:pos="426"/>
                <w:tab w:val="num" w:pos="1353"/>
              </w:tabs>
              <w:autoSpaceDE w:val="0"/>
              <w:autoSpaceDN w:val="0"/>
              <w:adjustRightInd w:val="0"/>
              <w:spacing w:after="120"/>
              <w:jc w:val="center"/>
              <w:rPr>
                <w:rFonts w:eastAsia="Times New Roman"/>
                <w:sz w:val="18"/>
                <w:szCs w:val="24"/>
                <w:lang w:val="es-ES"/>
              </w:rPr>
            </w:pPr>
          </w:p>
        </w:tc>
        <w:tc>
          <w:tcPr>
            <w:tcW w:w="932" w:type="dxa"/>
          </w:tcPr>
          <w:p w:rsidR="00140653" w:rsidRPr="004238D0" w:rsidRDefault="00E5426C" w:rsidP="001F0A02">
            <w:pPr>
              <w:keepLines/>
              <w:tabs>
                <w:tab w:val="left" w:pos="426"/>
                <w:tab w:val="num" w:pos="1353"/>
              </w:tabs>
              <w:autoSpaceDE w:val="0"/>
              <w:autoSpaceDN w:val="0"/>
              <w:adjustRightInd w:val="0"/>
              <w:spacing w:after="120"/>
              <w:rPr>
                <w:rFonts w:eastAsia="Times New Roman"/>
                <w:sz w:val="18"/>
                <w:szCs w:val="24"/>
                <w:lang w:val="es-ES"/>
              </w:rPr>
            </w:pPr>
            <w:r w:rsidRPr="004238D0">
              <w:rPr>
                <w:rFonts w:eastAsia="Times New Roman"/>
                <w:noProof/>
                <w:sz w:val="18"/>
                <w:szCs w:val="24"/>
                <w:lang w:val="es-ES"/>
              </w:rPr>
              <w:t>Primer trimestre</w:t>
            </w:r>
          </w:p>
        </w:tc>
        <w:tc>
          <w:tcPr>
            <w:tcW w:w="7371" w:type="dxa"/>
          </w:tcPr>
          <w:p w:rsidR="00140653" w:rsidRPr="004238D0" w:rsidRDefault="00025F3C" w:rsidP="00025F3C">
            <w:pPr>
              <w:pStyle w:val="Normal-pool"/>
              <w:spacing w:before="20" w:after="20"/>
              <w:rPr>
                <w:szCs w:val="24"/>
                <w:lang w:val="es-ES"/>
              </w:rPr>
            </w:pPr>
            <w:r w:rsidRPr="004238D0">
              <w:rPr>
                <w:sz w:val="18"/>
                <w:szCs w:val="24"/>
                <w:lang w:val="es-ES"/>
              </w:rPr>
              <w:t>En su cuarto período de sesiones el Plenario examina y acepta el informe y las revisiones y aprueba el resumen para los responsables de formular políticas</w:t>
            </w:r>
          </w:p>
        </w:tc>
      </w:tr>
    </w:tbl>
    <w:p w:rsidR="00140653" w:rsidRPr="004238D0" w:rsidRDefault="00140653" w:rsidP="000275D5">
      <w:pPr>
        <w:pStyle w:val="CH1"/>
        <w:spacing w:before="120"/>
        <w:rPr>
          <w:szCs w:val="24"/>
          <w:lang w:val="es-ES"/>
        </w:rPr>
      </w:pPr>
      <w:r w:rsidRPr="004238D0">
        <w:rPr>
          <w:szCs w:val="24"/>
          <w:lang w:val="es-ES"/>
        </w:rPr>
        <w:tab/>
        <w:t>V.</w:t>
      </w:r>
      <w:r w:rsidRPr="004238D0">
        <w:rPr>
          <w:szCs w:val="24"/>
          <w:lang w:val="es-ES"/>
        </w:rPr>
        <w:tab/>
        <w:t xml:space="preserve">Estimación de los </w:t>
      </w:r>
      <w:r w:rsidR="00127A76" w:rsidRPr="004238D0">
        <w:rPr>
          <w:szCs w:val="24"/>
          <w:lang w:val="es-ES"/>
        </w:rPr>
        <w:t>costos</w:t>
      </w:r>
    </w:p>
    <w:p w:rsidR="00FF3183" w:rsidRPr="004238D0" w:rsidRDefault="00FF3183" w:rsidP="00FF3183">
      <w:pPr>
        <w:keepNext/>
        <w:keepLines/>
        <w:numPr>
          <w:ilvl w:val="0"/>
          <w:numId w:val="6"/>
        </w:numPr>
        <w:spacing w:after="120"/>
        <w:ind w:left="1247" w:firstLine="0"/>
        <w:rPr>
          <w:rFonts w:eastAsia="Times New Roman"/>
          <w:lang w:val="es-AR"/>
        </w:rPr>
      </w:pPr>
      <w:r w:rsidRPr="004238D0">
        <w:rPr>
          <w:rFonts w:eastAsia="Times New Roman"/>
          <w:lang w:val="es-AR"/>
        </w:rPr>
        <w:t xml:space="preserve">En el </w:t>
      </w:r>
      <w:r w:rsidRPr="004238D0">
        <w:rPr>
          <w:lang w:val="es-AR"/>
        </w:rPr>
        <w:t>cuadro</w:t>
      </w:r>
      <w:r w:rsidRPr="004238D0">
        <w:rPr>
          <w:rFonts w:eastAsia="Times New Roman"/>
          <w:lang w:val="es-AR"/>
        </w:rPr>
        <w:t xml:space="preserve"> que figura a continuación se muestra una estimación del costo de la realización de la evaluación y la preparación del informe de evaluación.</w:t>
      </w:r>
    </w:p>
    <w:p w:rsidR="00FF3183" w:rsidRPr="004238D0" w:rsidRDefault="00FF3183" w:rsidP="000275D5">
      <w:pPr>
        <w:keepNext/>
        <w:keepLines/>
        <w:tabs>
          <w:tab w:val="right" w:pos="851"/>
          <w:tab w:val="left" w:pos="1247"/>
          <w:tab w:val="left" w:pos="1814"/>
          <w:tab w:val="left" w:pos="2381"/>
          <w:tab w:val="left" w:pos="2948"/>
          <w:tab w:val="left" w:pos="3515"/>
        </w:tabs>
        <w:suppressAutoHyphens/>
        <w:spacing w:before="120" w:after="120"/>
        <w:ind w:left="1247" w:right="284"/>
        <w:rPr>
          <w:rFonts w:eastAsia="Times New Roman"/>
          <w:lang w:val="es-AR"/>
        </w:rPr>
      </w:pPr>
      <w:r w:rsidRPr="004238D0">
        <w:rPr>
          <w:rFonts w:eastAsia="Times New Roman"/>
          <w:lang w:val="es-AR"/>
        </w:rPr>
        <w:t>(</w:t>
      </w:r>
      <w:r w:rsidR="004238D0">
        <w:rPr>
          <w:rFonts w:eastAsia="Times New Roman"/>
          <w:lang w:val="es-AR"/>
        </w:rPr>
        <w:t>d</w:t>
      </w:r>
      <w:r w:rsidRPr="004238D0">
        <w:rPr>
          <w:rFonts w:eastAsia="Times New Roman"/>
          <w:lang w:val="es-AR"/>
        </w:rPr>
        <w:t>ólares de los Estados Unidos)</w:t>
      </w:r>
    </w:p>
    <w:tbl>
      <w:tblPr>
        <w:tblW w:w="9213"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4253"/>
        <w:gridCol w:w="3118"/>
        <w:gridCol w:w="1134"/>
      </w:tblGrid>
      <w:tr w:rsidR="00FF3183" w:rsidRPr="004238D0" w:rsidTr="000275D5">
        <w:trPr>
          <w:tblHeader/>
        </w:trPr>
        <w:tc>
          <w:tcPr>
            <w:tcW w:w="708" w:type="dxa"/>
          </w:tcPr>
          <w:p w:rsidR="00FF3183" w:rsidRPr="004238D0" w:rsidRDefault="00FF3183" w:rsidP="000275D5">
            <w:pPr>
              <w:keepNext/>
              <w:keepLines/>
              <w:tabs>
                <w:tab w:val="left" w:pos="426"/>
              </w:tabs>
              <w:autoSpaceDE w:val="0"/>
              <w:autoSpaceDN w:val="0"/>
              <w:adjustRightInd w:val="0"/>
              <w:spacing w:before="40" w:after="40"/>
              <w:jc w:val="center"/>
              <w:rPr>
                <w:rFonts w:eastAsia="SimSun"/>
                <w:i/>
                <w:sz w:val="18"/>
                <w:szCs w:val="18"/>
              </w:rPr>
            </w:pPr>
            <w:r w:rsidRPr="004238D0">
              <w:rPr>
                <w:i/>
                <w:sz w:val="18"/>
                <w:szCs w:val="18"/>
              </w:rPr>
              <w:t>Año</w:t>
            </w:r>
          </w:p>
        </w:tc>
        <w:tc>
          <w:tcPr>
            <w:tcW w:w="4253" w:type="dxa"/>
          </w:tcPr>
          <w:p w:rsidR="00FF3183" w:rsidRPr="004238D0" w:rsidRDefault="00FF3183" w:rsidP="000275D5">
            <w:pPr>
              <w:keepNext/>
              <w:keepLines/>
              <w:tabs>
                <w:tab w:val="left" w:pos="426"/>
              </w:tabs>
              <w:autoSpaceDE w:val="0"/>
              <w:autoSpaceDN w:val="0"/>
              <w:adjustRightInd w:val="0"/>
              <w:spacing w:before="40" w:after="40"/>
              <w:jc w:val="center"/>
              <w:rPr>
                <w:rFonts w:eastAsia="SimSun"/>
                <w:i/>
                <w:sz w:val="18"/>
                <w:szCs w:val="18"/>
              </w:rPr>
            </w:pPr>
            <w:r w:rsidRPr="004238D0">
              <w:rPr>
                <w:i/>
                <w:sz w:val="18"/>
                <w:szCs w:val="18"/>
              </w:rPr>
              <w:t>Partida de gastos</w:t>
            </w:r>
          </w:p>
        </w:tc>
        <w:tc>
          <w:tcPr>
            <w:tcW w:w="3118" w:type="dxa"/>
          </w:tcPr>
          <w:p w:rsidR="00FF3183" w:rsidRPr="004238D0" w:rsidRDefault="00FF3183" w:rsidP="000275D5">
            <w:pPr>
              <w:keepNext/>
              <w:keepLines/>
              <w:tabs>
                <w:tab w:val="left" w:pos="426"/>
              </w:tabs>
              <w:autoSpaceDE w:val="0"/>
              <w:autoSpaceDN w:val="0"/>
              <w:adjustRightInd w:val="0"/>
              <w:spacing w:before="40" w:after="40"/>
              <w:jc w:val="center"/>
              <w:rPr>
                <w:rFonts w:eastAsia="SimSun"/>
                <w:i/>
                <w:sz w:val="18"/>
                <w:szCs w:val="18"/>
              </w:rPr>
            </w:pPr>
            <w:r w:rsidRPr="004238D0">
              <w:rPr>
                <w:i/>
                <w:sz w:val="18"/>
                <w:szCs w:val="18"/>
              </w:rPr>
              <w:t>Supuestos</w:t>
            </w:r>
          </w:p>
        </w:tc>
        <w:tc>
          <w:tcPr>
            <w:tcW w:w="1134" w:type="dxa"/>
          </w:tcPr>
          <w:p w:rsidR="00FF3183" w:rsidRPr="004238D0" w:rsidRDefault="00FF3183" w:rsidP="000275D5">
            <w:pPr>
              <w:keepNext/>
              <w:keepLines/>
              <w:tabs>
                <w:tab w:val="left" w:pos="426"/>
              </w:tabs>
              <w:autoSpaceDE w:val="0"/>
              <w:autoSpaceDN w:val="0"/>
              <w:adjustRightInd w:val="0"/>
              <w:spacing w:before="40" w:after="40"/>
              <w:jc w:val="center"/>
              <w:rPr>
                <w:rFonts w:eastAsia="SimSun"/>
                <w:i/>
                <w:sz w:val="18"/>
                <w:szCs w:val="18"/>
              </w:rPr>
            </w:pPr>
            <w:r w:rsidRPr="004238D0">
              <w:rPr>
                <w:i/>
                <w:sz w:val="18"/>
                <w:szCs w:val="18"/>
              </w:rPr>
              <w:t>Costo</w:t>
            </w:r>
          </w:p>
        </w:tc>
      </w:tr>
      <w:tr w:rsidR="00FF3183" w:rsidRPr="004238D0" w:rsidTr="000275D5">
        <w:tc>
          <w:tcPr>
            <w:tcW w:w="708" w:type="dxa"/>
            <w:vMerge w:val="restart"/>
            <w:vAlign w:val="center"/>
          </w:tcPr>
          <w:p w:rsidR="00FF3183" w:rsidRPr="004238D0" w:rsidRDefault="00FF3183" w:rsidP="000275D5">
            <w:pPr>
              <w:pStyle w:val="ListParagraph"/>
              <w:keepNext/>
              <w:keepLines/>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lang w:val="es-ES"/>
              </w:rPr>
              <w:t>2014</w:t>
            </w:r>
          </w:p>
        </w:tc>
        <w:tc>
          <w:tcPr>
            <w:tcW w:w="4253" w:type="dxa"/>
            <w:vMerge w:val="restart"/>
            <w:vAlign w:val="center"/>
          </w:tcPr>
          <w:p w:rsidR="00FF3183" w:rsidRPr="004238D0" w:rsidRDefault="00FF3183" w:rsidP="000275D5">
            <w:pPr>
              <w:pStyle w:val="ListParagraph"/>
              <w:keepNext/>
              <w:keepLines/>
              <w:tabs>
                <w:tab w:val="left" w:pos="426"/>
              </w:tabs>
              <w:autoSpaceDE w:val="0"/>
              <w:autoSpaceDN w:val="0"/>
              <w:adjustRightInd w:val="0"/>
              <w:spacing w:before="40" w:after="40" w:line="240" w:lineRule="auto"/>
              <w:ind w:left="0"/>
              <w:contextualSpacing w:val="0"/>
              <w:rPr>
                <w:sz w:val="18"/>
                <w:szCs w:val="18"/>
                <w:lang w:val="en-US"/>
              </w:rPr>
            </w:pPr>
            <w:r w:rsidRPr="004238D0">
              <w:rPr>
                <w:sz w:val="18"/>
                <w:szCs w:val="18"/>
                <w:lang w:val="es-ES"/>
              </w:rPr>
              <w:t>Reunión sobre el estudio preliminar (40 participantes: Grupo multidisciplinario de expertos/Mesa</w:t>
            </w:r>
            <w:r w:rsidR="00025F3C" w:rsidRPr="004238D0">
              <w:rPr>
                <w:sz w:val="18"/>
                <w:szCs w:val="18"/>
                <w:lang w:val="es-ES"/>
              </w:rPr>
              <w:t xml:space="preserve">, más </w:t>
            </w:r>
            <w:r w:rsidRPr="004238D0">
              <w:rPr>
                <w:sz w:val="18"/>
                <w:szCs w:val="18"/>
                <w:lang w:val="es-ES"/>
              </w:rPr>
              <w:t>expertos)</w:t>
            </w:r>
          </w:p>
        </w:tc>
        <w:tc>
          <w:tcPr>
            <w:tcW w:w="3118" w:type="dxa"/>
          </w:tcPr>
          <w:p w:rsidR="00FF3183" w:rsidRPr="004238D0" w:rsidRDefault="00FF3183" w:rsidP="000275D5">
            <w:pPr>
              <w:pStyle w:val="ListParagraph"/>
              <w:keepNext/>
              <w:keepLines/>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lang w:val="es-AR"/>
              </w:rPr>
              <w:t>Costos de la reunión (1 semana, 40 participantes) (25% en especie)</w:t>
            </w:r>
          </w:p>
        </w:tc>
        <w:tc>
          <w:tcPr>
            <w:tcW w:w="1134" w:type="dxa"/>
          </w:tcPr>
          <w:p w:rsidR="00FF3183" w:rsidRPr="004238D0" w:rsidRDefault="00FF3183" w:rsidP="000275D5">
            <w:pPr>
              <w:pStyle w:val="ListParagraph"/>
              <w:keepNext/>
              <w:keepLines/>
              <w:tabs>
                <w:tab w:val="left" w:pos="426"/>
              </w:tabs>
              <w:autoSpaceDE w:val="0"/>
              <w:autoSpaceDN w:val="0"/>
              <w:adjustRightInd w:val="0"/>
              <w:spacing w:before="40" w:after="40" w:line="240" w:lineRule="auto"/>
              <w:ind w:left="0"/>
              <w:contextualSpacing w:val="0"/>
              <w:jc w:val="right"/>
              <w:rPr>
                <w:sz w:val="18"/>
                <w:szCs w:val="18"/>
                <w:lang w:val="es-ES"/>
              </w:rPr>
            </w:pPr>
            <w:r w:rsidRPr="004238D0">
              <w:rPr>
                <w:sz w:val="18"/>
                <w:szCs w:val="18"/>
                <w:lang w:val="es-ES"/>
              </w:rPr>
              <w:t>11</w:t>
            </w:r>
            <w:r w:rsidR="0057009C">
              <w:rPr>
                <w:sz w:val="18"/>
                <w:szCs w:val="18"/>
                <w:lang w:val="es-ES"/>
              </w:rPr>
              <w:t xml:space="preserve"> </w:t>
            </w:r>
            <w:r w:rsidRPr="004238D0">
              <w:rPr>
                <w:sz w:val="18"/>
                <w:szCs w:val="18"/>
                <w:lang w:val="es-ES"/>
              </w:rPr>
              <w:t>250</w:t>
            </w:r>
          </w:p>
        </w:tc>
      </w:tr>
      <w:tr w:rsidR="00FF3183" w:rsidRPr="004238D0" w:rsidTr="000275D5">
        <w:trPr>
          <w:trHeight w:val="187"/>
        </w:trPr>
        <w:tc>
          <w:tcPr>
            <w:tcW w:w="708" w:type="dxa"/>
            <w:vMerge/>
            <w:vAlign w:val="center"/>
          </w:tcPr>
          <w:p w:rsidR="00FF3183" w:rsidRPr="004238D0" w:rsidRDefault="00FF3183" w:rsidP="000275D5">
            <w:pPr>
              <w:pStyle w:val="ListParagraph"/>
              <w:keepNext/>
              <w:keepLines/>
              <w:tabs>
                <w:tab w:val="left" w:pos="426"/>
              </w:tabs>
              <w:autoSpaceDE w:val="0"/>
              <w:autoSpaceDN w:val="0"/>
              <w:adjustRightInd w:val="0"/>
              <w:spacing w:before="40" w:after="40" w:line="240" w:lineRule="auto"/>
              <w:ind w:left="0"/>
              <w:contextualSpacing w:val="0"/>
              <w:rPr>
                <w:rFonts w:eastAsia="SimSun"/>
                <w:sz w:val="18"/>
                <w:szCs w:val="18"/>
                <w:lang w:val="es-ES"/>
              </w:rPr>
            </w:pPr>
          </w:p>
        </w:tc>
        <w:tc>
          <w:tcPr>
            <w:tcW w:w="4253" w:type="dxa"/>
            <w:vMerge/>
            <w:vAlign w:val="center"/>
          </w:tcPr>
          <w:p w:rsidR="00FF3183" w:rsidRPr="004238D0" w:rsidRDefault="00FF3183" w:rsidP="000275D5">
            <w:pPr>
              <w:pStyle w:val="ListParagraph"/>
              <w:keepNext/>
              <w:keepLines/>
              <w:tabs>
                <w:tab w:val="left" w:pos="426"/>
              </w:tabs>
              <w:autoSpaceDE w:val="0"/>
              <w:autoSpaceDN w:val="0"/>
              <w:adjustRightInd w:val="0"/>
              <w:spacing w:before="40" w:after="40" w:line="240" w:lineRule="auto"/>
              <w:ind w:left="0"/>
              <w:contextualSpacing w:val="0"/>
              <w:rPr>
                <w:rFonts w:eastAsia="SimSun"/>
                <w:sz w:val="18"/>
                <w:szCs w:val="18"/>
                <w:lang w:val="es-ES"/>
              </w:rPr>
            </w:pPr>
          </w:p>
        </w:tc>
        <w:tc>
          <w:tcPr>
            <w:tcW w:w="3118" w:type="dxa"/>
          </w:tcPr>
          <w:p w:rsidR="00FF3183" w:rsidRPr="004238D0" w:rsidRDefault="00FF3183" w:rsidP="000275D5">
            <w:pPr>
              <w:pStyle w:val="ListParagraph"/>
              <w:keepNext/>
              <w:keepLines/>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rPr>
              <w:t>Viajes y dietas (30</w:t>
            </w:r>
            <w:r w:rsidR="00352F22" w:rsidRPr="004238D0">
              <w:rPr>
                <w:sz w:val="18"/>
                <w:szCs w:val="18"/>
              </w:rPr>
              <w:t xml:space="preserve"> x</w:t>
            </w:r>
            <w:r w:rsidRPr="004238D0">
              <w:rPr>
                <w:sz w:val="18"/>
                <w:szCs w:val="18"/>
              </w:rPr>
              <w:t xml:space="preserve"> 3</w:t>
            </w:r>
            <w:r w:rsidR="0057009C">
              <w:rPr>
                <w:sz w:val="18"/>
                <w:szCs w:val="18"/>
              </w:rPr>
              <w:t xml:space="preserve"> </w:t>
            </w:r>
            <w:r w:rsidRPr="004238D0">
              <w:rPr>
                <w:sz w:val="18"/>
                <w:szCs w:val="18"/>
              </w:rPr>
              <w:t>000)</w:t>
            </w:r>
          </w:p>
        </w:tc>
        <w:tc>
          <w:tcPr>
            <w:tcW w:w="1134" w:type="dxa"/>
          </w:tcPr>
          <w:p w:rsidR="00FF3183" w:rsidRPr="004238D0" w:rsidRDefault="00FF3183" w:rsidP="000275D5">
            <w:pPr>
              <w:pStyle w:val="ListParagraph"/>
              <w:keepNext/>
              <w:keepLines/>
              <w:tabs>
                <w:tab w:val="left" w:pos="426"/>
              </w:tabs>
              <w:autoSpaceDE w:val="0"/>
              <w:autoSpaceDN w:val="0"/>
              <w:adjustRightInd w:val="0"/>
              <w:spacing w:before="40" w:after="40" w:line="240" w:lineRule="auto"/>
              <w:ind w:left="0"/>
              <w:contextualSpacing w:val="0"/>
              <w:jc w:val="right"/>
              <w:rPr>
                <w:sz w:val="18"/>
                <w:szCs w:val="18"/>
                <w:lang w:val="es-ES"/>
              </w:rPr>
            </w:pPr>
            <w:r w:rsidRPr="004238D0">
              <w:rPr>
                <w:sz w:val="18"/>
                <w:szCs w:val="18"/>
                <w:lang w:val="es-ES"/>
              </w:rPr>
              <w:t>90</w:t>
            </w:r>
            <w:r w:rsidR="0057009C">
              <w:rPr>
                <w:sz w:val="18"/>
                <w:szCs w:val="18"/>
                <w:lang w:val="es-ES"/>
              </w:rPr>
              <w:t xml:space="preserve"> </w:t>
            </w:r>
            <w:r w:rsidRPr="004238D0">
              <w:rPr>
                <w:sz w:val="18"/>
                <w:szCs w:val="18"/>
                <w:lang w:val="es-ES"/>
              </w:rPr>
              <w:t>000</w:t>
            </w:r>
          </w:p>
        </w:tc>
      </w:tr>
      <w:tr w:rsidR="00FF3183" w:rsidRPr="004238D0" w:rsidTr="000275D5">
        <w:tc>
          <w:tcPr>
            <w:tcW w:w="708" w:type="dxa"/>
            <w:vMerge/>
            <w:vAlign w:val="center"/>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rPr>
                <w:rFonts w:eastAsia="SimSun"/>
                <w:sz w:val="18"/>
                <w:szCs w:val="18"/>
                <w:lang w:val="es-ES"/>
              </w:rPr>
            </w:pPr>
          </w:p>
        </w:tc>
        <w:tc>
          <w:tcPr>
            <w:tcW w:w="4253" w:type="dxa"/>
            <w:vMerge w:val="restart"/>
            <w:vAlign w:val="center"/>
          </w:tcPr>
          <w:p w:rsidR="00FF3183" w:rsidRPr="004238D0" w:rsidRDefault="00927296" w:rsidP="000275D5">
            <w:pPr>
              <w:pStyle w:val="ListParagraph"/>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lang w:val="es-ES"/>
              </w:rPr>
              <w:t>Primera reunión</w:t>
            </w:r>
            <w:r w:rsidR="00FF3183" w:rsidRPr="004238D0">
              <w:rPr>
                <w:sz w:val="18"/>
                <w:szCs w:val="18"/>
                <w:lang w:val="es-ES"/>
              </w:rPr>
              <w:t xml:space="preserve"> de </w:t>
            </w:r>
            <w:r w:rsidRPr="004238D0">
              <w:rPr>
                <w:sz w:val="18"/>
                <w:szCs w:val="18"/>
                <w:lang w:val="es-ES"/>
              </w:rPr>
              <w:t xml:space="preserve">los </w:t>
            </w:r>
            <w:r w:rsidR="00FF3183" w:rsidRPr="004238D0">
              <w:rPr>
                <w:sz w:val="18"/>
                <w:szCs w:val="18"/>
                <w:lang w:val="es-ES"/>
              </w:rPr>
              <w:t xml:space="preserve">autores (80 copresidentes, autores coordinadores principales, autores principales + 4 miembros del Grupo/Mesa </w:t>
            </w:r>
            <w:r w:rsidR="00025F3C" w:rsidRPr="004238D0">
              <w:rPr>
                <w:sz w:val="18"/>
                <w:szCs w:val="18"/>
                <w:lang w:val="es-ES"/>
              </w:rPr>
              <w:t>más</w:t>
            </w:r>
            <w:r w:rsidR="00FF3183" w:rsidRPr="004238D0">
              <w:rPr>
                <w:sz w:val="18"/>
                <w:szCs w:val="18"/>
                <w:lang w:val="es-ES"/>
              </w:rPr>
              <w:t xml:space="preserve"> 1 funcionario de apoyo técnico)</w:t>
            </w:r>
          </w:p>
        </w:tc>
        <w:tc>
          <w:tcPr>
            <w:tcW w:w="3118" w:type="dxa"/>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lang w:val="es-ES"/>
              </w:rPr>
              <w:t>Costos de la reunión (1 semana, 85 participantes) (25% en especie)</w:t>
            </w:r>
          </w:p>
        </w:tc>
        <w:tc>
          <w:tcPr>
            <w:tcW w:w="1134" w:type="dxa"/>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jc w:val="right"/>
              <w:rPr>
                <w:sz w:val="18"/>
                <w:szCs w:val="18"/>
                <w:lang w:val="es-ES"/>
              </w:rPr>
            </w:pPr>
            <w:r w:rsidRPr="004238D0">
              <w:rPr>
                <w:sz w:val="18"/>
                <w:szCs w:val="18"/>
                <w:lang w:val="es-ES"/>
              </w:rPr>
              <w:t>15</w:t>
            </w:r>
            <w:r w:rsidR="0057009C">
              <w:rPr>
                <w:sz w:val="18"/>
                <w:szCs w:val="18"/>
                <w:lang w:val="es-ES"/>
              </w:rPr>
              <w:t xml:space="preserve"> </w:t>
            </w:r>
            <w:r w:rsidRPr="004238D0">
              <w:rPr>
                <w:sz w:val="18"/>
                <w:szCs w:val="18"/>
                <w:lang w:val="es-ES"/>
              </w:rPr>
              <w:t>000</w:t>
            </w:r>
          </w:p>
        </w:tc>
      </w:tr>
      <w:tr w:rsidR="00FF3183" w:rsidRPr="004238D0" w:rsidTr="000275D5">
        <w:trPr>
          <w:trHeight w:val="339"/>
        </w:trPr>
        <w:tc>
          <w:tcPr>
            <w:tcW w:w="708" w:type="dxa"/>
            <w:vMerge/>
            <w:vAlign w:val="center"/>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rPr>
                <w:rFonts w:eastAsia="SimSun"/>
                <w:sz w:val="18"/>
                <w:szCs w:val="18"/>
                <w:lang w:val="es-ES"/>
              </w:rPr>
            </w:pPr>
          </w:p>
        </w:tc>
        <w:tc>
          <w:tcPr>
            <w:tcW w:w="4253" w:type="dxa"/>
            <w:vMerge/>
            <w:vAlign w:val="center"/>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rPr>
                <w:rFonts w:eastAsia="SimSun"/>
                <w:sz w:val="18"/>
                <w:szCs w:val="18"/>
                <w:lang w:val="es-ES"/>
              </w:rPr>
            </w:pPr>
          </w:p>
        </w:tc>
        <w:tc>
          <w:tcPr>
            <w:tcW w:w="3118" w:type="dxa"/>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lang w:val="es-ES"/>
              </w:rPr>
              <w:t>Viaje y dietas (64 x 3</w:t>
            </w:r>
            <w:r w:rsidR="0057009C">
              <w:rPr>
                <w:sz w:val="18"/>
                <w:szCs w:val="18"/>
                <w:lang w:val="es-ES"/>
              </w:rPr>
              <w:t xml:space="preserve"> </w:t>
            </w:r>
            <w:r w:rsidRPr="004238D0">
              <w:rPr>
                <w:sz w:val="18"/>
                <w:szCs w:val="18"/>
                <w:lang w:val="es-ES"/>
              </w:rPr>
              <w:t>000)</w:t>
            </w:r>
          </w:p>
        </w:tc>
        <w:tc>
          <w:tcPr>
            <w:tcW w:w="1134" w:type="dxa"/>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jc w:val="right"/>
              <w:rPr>
                <w:sz w:val="18"/>
                <w:szCs w:val="18"/>
                <w:lang w:val="es-ES"/>
              </w:rPr>
            </w:pPr>
            <w:r w:rsidRPr="004238D0">
              <w:rPr>
                <w:sz w:val="18"/>
                <w:szCs w:val="18"/>
                <w:lang w:val="es-ES"/>
              </w:rPr>
              <w:t>192</w:t>
            </w:r>
            <w:r w:rsidR="0057009C">
              <w:rPr>
                <w:sz w:val="18"/>
                <w:szCs w:val="18"/>
                <w:lang w:val="es-ES"/>
              </w:rPr>
              <w:t xml:space="preserve"> </w:t>
            </w:r>
            <w:r w:rsidRPr="004238D0">
              <w:rPr>
                <w:sz w:val="18"/>
                <w:szCs w:val="18"/>
                <w:lang w:val="es-ES"/>
              </w:rPr>
              <w:t>000</w:t>
            </w:r>
          </w:p>
        </w:tc>
      </w:tr>
      <w:tr w:rsidR="00FF3183" w:rsidRPr="004238D0" w:rsidTr="000275D5">
        <w:trPr>
          <w:trHeight w:val="361"/>
        </w:trPr>
        <w:tc>
          <w:tcPr>
            <w:tcW w:w="708" w:type="dxa"/>
            <w:vMerge/>
            <w:vAlign w:val="center"/>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rPr>
                <w:rFonts w:eastAsia="SimSun"/>
                <w:sz w:val="18"/>
                <w:szCs w:val="18"/>
                <w:lang w:val="es-ES"/>
              </w:rPr>
            </w:pPr>
          </w:p>
        </w:tc>
        <w:tc>
          <w:tcPr>
            <w:tcW w:w="4253" w:type="dxa"/>
            <w:vAlign w:val="center"/>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lang w:val="es-ES"/>
              </w:rPr>
              <w:t>Apoyo técnico</w:t>
            </w:r>
          </w:p>
        </w:tc>
        <w:tc>
          <w:tcPr>
            <w:tcW w:w="3118" w:type="dxa"/>
          </w:tcPr>
          <w:p w:rsidR="00FF3183" w:rsidRPr="004238D0" w:rsidRDefault="00FF3183" w:rsidP="000275D5">
            <w:pPr>
              <w:pStyle w:val="ListParagraph"/>
              <w:tabs>
                <w:tab w:val="left" w:pos="426"/>
              </w:tabs>
              <w:autoSpaceDE w:val="0"/>
              <w:autoSpaceDN w:val="0"/>
              <w:adjustRightInd w:val="0"/>
              <w:spacing w:before="40" w:after="40" w:line="240" w:lineRule="auto"/>
              <w:ind w:left="0"/>
              <w:rPr>
                <w:sz w:val="18"/>
                <w:szCs w:val="18"/>
                <w:lang w:val="es-ES"/>
              </w:rPr>
            </w:pPr>
            <w:r w:rsidRPr="004238D0">
              <w:rPr>
                <w:sz w:val="18"/>
                <w:szCs w:val="18"/>
                <w:lang w:val="es-ES"/>
              </w:rPr>
              <w:t>1 puesto equivalente a funcionario del cuadro orgánico a tiempo completo (50% en especie)</w:t>
            </w:r>
          </w:p>
        </w:tc>
        <w:tc>
          <w:tcPr>
            <w:tcW w:w="1134" w:type="dxa"/>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jc w:val="right"/>
              <w:rPr>
                <w:sz w:val="18"/>
                <w:szCs w:val="18"/>
                <w:lang w:val="es-ES"/>
              </w:rPr>
            </w:pPr>
            <w:r w:rsidRPr="004238D0">
              <w:rPr>
                <w:sz w:val="18"/>
                <w:szCs w:val="18"/>
                <w:lang w:val="es-ES"/>
              </w:rPr>
              <w:t>75</w:t>
            </w:r>
            <w:r w:rsidR="0057009C">
              <w:rPr>
                <w:sz w:val="18"/>
                <w:szCs w:val="18"/>
                <w:lang w:val="es-ES"/>
              </w:rPr>
              <w:t xml:space="preserve"> </w:t>
            </w:r>
            <w:r w:rsidRPr="004238D0">
              <w:rPr>
                <w:sz w:val="18"/>
                <w:szCs w:val="18"/>
                <w:lang w:val="es-ES"/>
              </w:rPr>
              <w:t>000</w:t>
            </w:r>
          </w:p>
        </w:tc>
      </w:tr>
      <w:tr w:rsidR="00927296" w:rsidRPr="004238D0" w:rsidTr="000275D5">
        <w:tc>
          <w:tcPr>
            <w:tcW w:w="708" w:type="dxa"/>
            <w:vMerge w:val="restart"/>
            <w:vAlign w:val="center"/>
          </w:tcPr>
          <w:p w:rsidR="00927296" w:rsidRPr="004238D0" w:rsidRDefault="00927296" w:rsidP="000275D5">
            <w:pPr>
              <w:pStyle w:val="ListParagraph"/>
              <w:tabs>
                <w:tab w:val="left" w:pos="426"/>
              </w:tabs>
              <w:autoSpaceDE w:val="0"/>
              <w:autoSpaceDN w:val="0"/>
              <w:adjustRightInd w:val="0"/>
              <w:spacing w:before="40" w:after="40" w:line="240" w:lineRule="auto"/>
              <w:ind w:left="0"/>
              <w:rPr>
                <w:sz w:val="18"/>
                <w:szCs w:val="18"/>
                <w:lang w:val="es-ES"/>
              </w:rPr>
            </w:pPr>
            <w:r w:rsidRPr="004238D0">
              <w:rPr>
                <w:sz w:val="18"/>
                <w:szCs w:val="18"/>
                <w:lang w:val="es-ES"/>
              </w:rPr>
              <w:t>2015</w:t>
            </w:r>
          </w:p>
        </w:tc>
        <w:tc>
          <w:tcPr>
            <w:tcW w:w="4253" w:type="dxa"/>
            <w:vMerge w:val="restart"/>
            <w:vAlign w:val="center"/>
          </w:tcPr>
          <w:p w:rsidR="00927296" w:rsidRPr="004238D0" w:rsidRDefault="00927296" w:rsidP="000275D5">
            <w:pPr>
              <w:pStyle w:val="ListParagraph"/>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lang w:val="es-AR"/>
              </w:rPr>
              <w:t>Segunda reunión de autores (80 copresidentes, autores principales encargados de la coordinación y autores principales más 16 revisores más 4 miembros del Grupo multidisciplinario de expertos/Mesa más 1 funcionario de apoyo técnico)</w:t>
            </w:r>
          </w:p>
        </w:tc>
        <w:tc>
          <w:tcPr>
            <w:tcW w:w="3118" w:type="dxa"/>
          </w:tcPr>
          <w:p w:rsidR="00927296" w:rsidRPr="004238D0" w:rsidRDefault="00927296" w:rsidP="000275D5">
            <w:pPr>
              <w:keepNext/>
              <w:keepLines/>
              <w:tabs>
                <w:tab w:val="left" w:pos="426"/>
              </w:tabs>
              <w:autoSpaceDE w:val="0"/>
              <w:autoSpaceDN w:val="0"/>
              <w:adjustRightInd w:val="0"/>
              <w:spacing w:before="40" w:after="40"/>
              <w:rPr>
                <w:rFonts w:eastAsia="SimSun"/>
                <w:sz w:val="18"/>
                <w:szCs w:val="18"/>
                <w:lang w:val="es-AR"/>
              </w:rPr>
            </w:pPr>
            <w:r w:rsidRPr="004238D0">
              <w:rPr>
                <w:sz w:val="18"/>
                <w:szCs w:val="18"/>
                <w:lang w:val="es-AR"/>
              </w:rPr>
              <w:t>Costos de la reunión (1 semana, 101 participantes) (25% en especie)</w:t>
            </w:r>
          </w:p>
        </w:tc>
        <w:tc>
          <w:tcPr>
            <w:tcW w:w="1134" w:type="dxa"/>
          </w:tcPr>
          <w:p w:rsidR="00927296" w:rsidRPr="004238D0" w:rsidRDefault="00927296" w:rsidP="000275D5">
            <w:pPr>
              <w:pStyle w:val="ListParagraph"/>
              <w:tabs>
                <w:tab w:val="left" w:pos="426"/>
              </w:tabs>
              <w:autoSpaceDE w:val="0"/>
              <w:autoSpaceDN w:val="0"/>
              <w:adjustRightInd w:val="0"/>
              <w:spacing w:before="40" w:after="40" w:line="240" w:lineRule="auto"/>
              <w:ind w:left="0"/>
              <w:contextualSpacing w:val="0"/>
              <w:jc w:val="right"/>
              <w:rPr>
                <w:sz w:val="18"/>
                <w:szCs w:val="18"/>
                <w:lang w:val="es-ES"/>
              </w:rPr>
            </w:pPr>
            <w:r w:rsidRPr="004238D0">
              <w:rPr>
                <w:sz w:val="18"/>
                <w:szCs w:val="18"/>
                <w:lang w:val="es-ES"/>
              </w:rPr>
              <w:t>18</w:t>
            </w:r>
            <w:r w:rsidR="0057009C">
              <w:rPr>
                <w:sz w:val="18"/>
                <w:szCs w:val="18"/>
                <w:lang w:val="es-ES"/>
              </w:rPr>
              <w:t xml:space="preserve"> </w:t>
            </w:r>
            <w:r w:rsidRPr="004238D0">
              <w:rPr>
                <w:sz w:val="18"/>
                <w:szCs w:val="18"/>
                <w:lang w:val="es-ES"/>
              </w:rPr>
              <w:t>750</w:t>
            </w:r>
          </w:p>
        </w:tc>
      </w:tr>
      <w:tr w:rsidR="00927296" w:rsidRPr="004238D0" w:rsidTr="000275D5">
        <w:trPr>
          <w:trHeight w:val="361"/>
        </w:trPr>
        <w:tc>
          <w:tcPr>
            <w:tcW w:w="708" w:type="dxa"/>
            <w:vMerge/>
            <w:vAlign w:val="center"/>
          </w:tcPr>
          <w:p w:rsidR="00927296" w:rsidRPr="004238D0" w:rsidRDefault="00927296" w:rsidP="000275D5">
            <w:pPr>
              <w:pStyle w:val="ListParagraph"/>
              <w:tabs>
                <w:tab w:val="left" w:pos="426"/>
              </w:tabs>
              <w:autoSpaceDE w:val="0"/>
              <w:autoSpaceDN w:val="0"/>
              <w:adjustRightInd w:val="0"/>
              <w:spacing w:before="40" w:after="40" w:line="240" w:lineRule="auto"/>
              <w:ind w:left="0"/>
              <w:rPr>
                <w:rFonts w:eastAsia="SimSun"/>
                <w:sz w:val="18"/>
                <w:szCs w:val="18"/>
                <w:lang w:val="es-ES"/>
              </w:rPr>
            </w:pPr>
          </w:p>
        </w:tc>
        <w:tc>
          <w:tcPr>
            <w:tcW w:w="4253" w:type="dxa"/>
            <w:vMerge/>
            <w:vAlign w:val="center"/>
          </w:tcPr>
          <w:p w:rsidR="00927296" w:rsidRPr="004238D0" w:rsidRDefault="00927296" w:rsidP="000275D5">
            <w:pPr>
              <w:pStyle w:val="ListParagraph"/>
              <w:tabs>
                <w:tab w:val="left" w:pos="426"/>
              </w:tabs>
              <w:autoSpaceDE w:val="0"/>
              <w:autoSpaceDN w:val="0"/>
              <w:adjustRightInd w:val="0"/>
              <w:spacing w:before="40" w:after="40" w:line="240" w:lineRule="auto"/>
              <w:ind w:left="0"/>
              <w:contextualSpacing w:val="0"/>
              <w:rPr>
                <w:rFonts w:eastAsia="SimSun"/>
                <w:sz w:val="18"/>
                <w:szCs w:val="18"/>
                <w:lang w:val="es-ES"/>
              </w:rPr>
            </w:pPr>
          </w:p>
        </w:tc>
        <w:tc>
          <w:tcPr>
            <w:tcW w:w="3118" w:type="dxa"/>
          </w:tcPr>
          <w:p w:rsidR="00927296" w:rsidRPr="004238D0" w:rsidRDefault="00927296" w:rsidP="000275D5">
            <w:pPr>
              <w:keepNext/>
              <w:keepLines/>
              <w:tabs>
                <w:tab w:val="left" w:pos="426"/>
              </w:tabs>
              <w:autoSpaceDE w:val="0"/>
              <w:autoSpaceDN w:val="0"/>
              <w:adjustRightInd w:val="0"/>
              <w:spacing w:before="40" w:after="40"/>
              <w:rPr>
                <w:rFonts w:eastAsia="SimSun"/>
                <w:sz w:val="18"/>
                <w:szCs w:val="18"/>
              </w:rPr>
            </w:pPr>
            <w:r w:rsidRPr="004238D0">
              <w:rPr>
                <w:sz w:val="18"/>
                <w:szCs w:val="18"/>
              </w:rPr>
              <w:t>Viajes y dietas (75 x</w:t>
            </w:r>
            <w:r w:rsidR="00352F22" w:rsidRPr="004238D0">
              <w:rPr>
                <w:sz w:val="18"/>
                <w:szCs w:val="18"/>
              </w:rPr>
              <w:t xml:space="preserve"> </w:t>
            </w:r>
            <w:r w:rsidRPr="004238D0">
              <w:rPr>
                <w:sz w:val="18"/>
                <w:szCs w:val="18"/>
              </w:rPr>
              <w:t>3</w:t>
            </w:r>
            <w:r w:rsidR="0057009C">
              <w:rPr>
                <w:sz w:val="18"/>
                <w:szCs w:val="18"/>
              </w:rPr>
              <w:t xml:space="preserve"> </w:t>
            </w:r>
            <w:r w:rsidRPr="004238D0">
              <w:rPr>
                <w:sz w:val="18"/>
                <w:szCs w:val="18"/>
              </w:rPr>
              <w:t>000)</w:t>
            </w:r>
          </w:p>
        </w:tc>
        <w:tc>
          <w:tcPr>
            <w:tcW w:w="1134" w:type="dxa"/>
          </w:tcPr>
          <w:p w:rsidR="00927296" w:rsidRPr="004238D0" w:rsidRDefault="00927296" w:rsidP="000275D5">
            <w:pPr>
              <w:pStyle w:val="ListParagraph"/>
              <w:tabs>
                <w:tab w:val="left" w:pos="426"/>
              </w:tabs>
              <w:autoSpaceDE w:val="0"/>
              <w:autoSpaceDN w:val="0"/>
              <w:adjustRightInd w:val="0"/>
              <w:spacing w:before="40" w:after="40" w:line="240" w:lineRule="auto"/>
              <w:ind w:left="0"/>
              <w:contextualSpacing w:val="0"/>
              <w:jc w:val="right"/>
              <w:rPr>
                <w:sz w:val="18"/>
                <w:szCs w:val="18"/>
                <w:lang w:val="es-ES"/>
              </w:rPr>
            </w:pPr>
            <w:r w:rsidRPr="004238D0">
              <w:rPr>
                <w:sz w:val="18"/>
                <w:szCs w:val="18"/>
                <w:lang w:val="es-ES"/>
              </w:rPr>
              <w:t>225</w:t>
            </w:r>
            <w:r w:rsidR="0057009C">
              <w:rPr>
                <w:sz w:val="18"/>
                <w:szCs w:val="18"/>
                <w:lang w:val="es-ES"/>
              </w:rPr>
              <w:t xml:space="preserve"> </w:t>
            </w:r>
            <w:r w:rsidRPr="004238D0">
              <w:rPr>
                <w:sz w:val="18"/>
                <w:szCs w:val="18"/>
                <w:lang w:val="es-ES"/>
              </w:rPr>
              <w:t>000</w:t>
            </w:r>
          </w:p>
        </w:tc>
      </w:tr>
      <w:tr w:rsidR="00352F22" w:rsidRPr="004238D0" w:rsidTr="000275D5">
        <w:tc>
          <w:tcPr>
            <w:tcW w:w="708" w:type="dxa"/>
            <w:vMerge/>
            <w:vAlign w:val="center"/>
          </w:tcPr>
          <w:p w:rsidR="00352F22" w:rsidRPr="004238D0" w:rsidRDefault="00352F22" w:rsidP="000275D5">
            <w:pPr>
              <w:pStyle w:val="ListParagraph"/>
              <w:tabs>
                <w:tab w:val="left" w:pos="426"/>
              </w:tabs>
              <w:autoSpaceDE w:val="0"/>
              <w:autoSpaceDN w:val="0"/>
              <w:adjustRightInd w:val="0"/>
              <w:spacing w:before="40" w:after="40" w:line="240" w:lineRule="auto"/>
              <w:ind w:left="0"/>
              <w:contextualSpacing w:val="0"/>
              <w:rPr>
                <w:rFonts w:eastAsia="SimSun"/>
                <w:sz w:val="18"/>
                <w:szCs w:val="18"/>
                <w:lang w:val="es-ES"/>
              </w:rPr>
            </w:pPr>
          </w:p>
        </w:tc>
        <w:tc>
          <w:tcPr>
            <w:tcW w:w="4253" w:type="dxa"/>
            <w:vMerge w:val="restart"/>
            <w:vAlign w:val="center"/>
          </w:tcPr>
          <w:p w:rsidR="00352F22" w:rsidRPr="004238D0" w:rsidRDefault="00352F22" w:rsidP="000275D5">
            <w:pPr>
              <w:pStyle w:val="ListParagraph"/>
              <w:tabs>
                <w:tab w:val="left" w:pos="426"/>
              </w:tabs>
              <w:autoSpaceDE w:val="0"/>
              <w:autoSpaceDN w:val="0"/>
              <w:adjustRightInd w:val="0"/>
              <w:spacing w:before="40" w:after="40" w:line="240" w:lineRule="auto"/>
              <w:ind w:left="0"/>
              <w:contextualSpacing w:val="0"/>
              <w:rPr>
                <w:sz w:val="18"/>
                <w:szCs w:val="18"/>
                <w:lang w:val="es-AR"/>
              </w:rPr>
            </w:pPr>
            <w:r w:rsidRPr="004238D0">
              <w:rPr>
                <w:sz w:val="18"/>
                <w:szCs w:val="18"/>
                <w:lang w:val="es-AR"/>
              </w:rPr>
              <w:t>Tercera reunión de autores (80 copresidentes, autores principales encargados de la coordinación y autores principales más 16 revisores más 4 miembros del Grupo multidisciplinario de expertos/Mesa más 1 funcionario de apoyo técnico)</w:t>
            </w:r>
          </w:p>
        </w:tc>
        <w:tc>
          <w:tcPr>
            <w:tcW w:w="3118" w:type="dxa"/>
          </w:tcPr>
          <w:p w:rsidR="00352F22" w:rsidRPr="004238D0" w:rsidRDefault="00352F22" w:rsidP="000275D5">
            <w:pPr>
              <w:keepNext/>
              <w:keepLines/>
              <w:tabs>
                <w:tab w:val="left" w:pos="426"/>
              </w:tabs>
              <w:autoSpaceDE w:val="0"/>
              <w:autoSpaceDN w:val="0"/>
              <w:adjustRightInd w:val="0"/>
              <w:spacing w:before="40" w:after="40"/>
              <w:rPr>
                <w:rFonts w:eastAsia="SimSun"/>
                <w:sz w:val="18"/>
                <w:szCs w:val="18"/>
                <w:lang w:val="es-AR"/>
              </w:rPr>
            </w:pPr>
            <w:r w:rsidRPr="004238D0">
              <w:rPr>
                <w:sz w:val="18"/>
                <w:szCs w:val="18"/>
                <w:lang w:val="es-AR"/>
              </w:rPr>
              <w:t>Costos de la reunión (1 semana, 101 participantes) (25% en especie)</w:t>
            </w:r>
          </w:p>
        </w:tc>
        <w:tc>
          <w:tcPr>
            <w:tcW w:w="1134" w:type="dxa"/>
          </w:tcPr>
          <w:p w:rsidR="00352F22" w:rsidRPr="004238D0" w:rsidRDefault="00352F22" w:rsidP="000275D5">
            <w:pPr>
              <w:pStyle w:val="ListParagraph"/>
              <w:tabs>
                <w:tab w:val="left" w:pos="426"/>
              </w:tabs>
              <w:autoSpaceDE w:val="0"/>
              <w:autoSpaceDN w:val="0"/>
              <w:adjustRightInd w:val="0"/>
              <w:spacing w:before="40" w:after="40" w:line="240" w:lineRule="auto"/>
              <w:ind w:left="0"/>
              <w:contextualSpacing w:val="0"/>
              <w:jc w:val="right"/>
              <w:rPr>
                <w:sz w:val="18"/>
                <w:szCs w:val="18"/>
                <w:lang w:val="es-ES"/>
              </w:rPr>
            </w:pPr>
            <w:r w:rsidRPr="004238D0">
              <w:rPr>
                <w:sz w:val="18"/>
                <w:szCs w:val="18"/>
                <w:lang w:val="es-ES"/>
              </w:rPr>
              <w:t>18</w:t>
            </w:r>
            <w:r w:rsidR="0057009C">
              <w:rPr>
                <w:sz w:val="18"/>
                <w:szCs w:val="18"/>
                <w:lang w:val="es-ES"/>
              </w:rPr>
              <w:t xml:space="preserve"> </w:t>
            </w:r>
            <w:r w:rsidRPr="004238D0">
              <w:rPr>
                <w:sz w:val="18"/>
                <w:szCs w:val="18"/>
                <w:lang w:val="es-ES"/>
              </w:rPr>
              <w:t>750</w:t>
            </w:r>
          </w:p>
        </w:tc>
      </w:tr>
      <w:tr w:rsidR="00352F22" w:rsidRPr="004238D0" w:rsidTr="000275D5">
        <w:trPr>
          <w:trHeight w:val="339"/>
        </w:trPr>
        <w:tc>
          <w:tcPr>
            <w:tcW w:w="708" w:type="dxa"/>
            <w:vMerge/>
            <w:vAlign w:val="center"/>
          </w:tcPr>
          <w:p w:rsidR="00352F22" w:rsidRPr="004238D0" w:rsidRDefault="00352F22" w:rsidP="000275D5">
            <w:pPr>
              <w:pStyle w:val="ListParagraph"/>
              <w:tabs>
                <w:tab w:val="left" w:pos="426"/>
              </w:tabs>
              <w:autoSpaceDE w:val="0"/>
              <w:autoSpaceDN w:val="0"/>
              <w:adjustRightInd w:val="0"/>
              <w:spacing w:before="40" w:after="40" w:line="240" w:lineRule="auto"/>
              <w:ind w:left="0"/>
              <w:contextualSpacing w:val="0"/>
              <w:rPr>
                <w:rFonts w:eastAsia="SimSun"/>
                <w:sz w:val="18"/>
                <w:szCs w:val="18"/>
                <w:lang w:val="es-ES"/>
              </w:rPr>
            </w:pPr>
          </w:p>
        </w:tc>
        <w:tc>
          <w:tcPr>
            <w:tcW w:w="4253" w:type="dxa"/>
            <w:vMerge/>
            <w:vAlign w:val="center"/>
          </w:tcPr>
          <w:p w:rsidR="00352F22" w:rsidRPr="004238D0" w:rsidRDefault="00352F22" w:rsidP="000275D5">
            <w:pPr>
              <w:pStyle w:val="ListParagraph"/>
              <w:tabs>
                <w:tab w:val="left" w:pos="426"/>
              </w:tabs>
              <w:autoSpaceDE w:val="0"/>
              <w:autoSpaceDN w:val="0"/>
              <w:adjustRightInd w:val="0"/>
              <w:spacing w:before="40" w:after="40" w:line="240" w:lineRule="auto"/>
              <w:ind w:left="0"/>
              <w:contextualSpacing w:val="0"/>
              <w:rPr>
                <w:rFonts w:eastAsia="SimSun"/>
                <w:sz w:val="18"/>
                <w:szCs w:val="18"/>
                <w:lang w:val="es-ES"/>
              </w:rPr>
            </w:pPr>
          </w:p>
        </w:tc>
        <w:tc>
          <w:tcPr>
            <w:tcW w:w="3118" w:type="dxa"/>
          </w:tcPr>
          <w:p w:rsidR="00352F22" w:rsidRPr="004238D0" w:rsidRDefault="00352F22" w:rsidP="000275D5">
            <w:pPr>
              <w:keepNext/>
              <w:keepLines/>
              <w:tabs>
                <w:tab w:val="left" w:pos="426"/>
              </w:tabs>
              <w:autoSpaceDE w:val="0"/>
              <w:autoSpaceDN w:val="0"/>
              <w:adjustRightInd w:val="0"/>
              <w:spacing w:before="40" w:after="40"/>
              <w:rPr>
                <w:rFonts w:eastAsia="SimSun"/>
                <w:sz w:val="18"/>
                <w:szCs w:val="18"/>
              </w:rPr>
            </w:pPr>
            <w:r w:rsidRPr="004238D0">
              <w:rPr>
                <w:sz w:val="18"/>
                <w:szCs w:val="18"/>
              </w:rPr>
              <w:t>Viajes y dietas (75 x 3</w:t>
            </w:r>
            <w:r w:rsidR="0057009C">
              <w:rPr>
                <w:sz w:val="18"/>
                <w:szCs w:val="18"/>
              </w:rPr>
              <w:t xml:space="preserve"> </w:t>
            </w:r>
            <w:r w:rsidRPr="004238D0">
              <w:rPr>
                <w:sz w:val="18"/>
                <w:szCs w:val="18"/>
              </w:rPr>
              <w:t>000)</w:t>
            </w:r>
          </w:p>
        </w:tc>
        <w:tc>
          <w:tcPr>
            <w:tcW w:w="1134" w:type="dxa"/>
          </w:tcPr>
          <w:p w:rsidR="00352F22" w:rsidRPr="004238D0" w:rsidRDefault="00352F22" w:rsidP="000275D5">
            <w:pPr>
              <w:pStyle w:val="ListParagraph"/>
              <w:tabs>
                <w:tab w:val="left" w:pos="426"/>
              </w:tabs>
              <w:autoSpaceDE w:val="0"/>
              <w:autoSpaceDN w:val="0"/>
              <w:adjustRightInd w:val="0"/>
              <w:spacing w:before="40" w:after="40" w:line="240" w:lineRule="auto"/>
              <w:ind w:left="0"/>
              <w:contextualSpacing w:val="0"/>
              <w:jc w:val="right"/>
              <w:rPr>
                <w:sz w:val="18"/>
                <w:szCs w:val="18"/>
                <w:lang w:val="es-ES"/>
              </w:rPr>
            </w:pPr>
            <w:r w:rsidRPr="004238D0">
              <w:rPr>
                <w:sz w:val="18"/>
                <w:szCs w:val="18"/>
                <w:lang w:val="es-ES"/>
              </w:rPr>
              <w:t>225</w:t>
            </w:r>
            <w:r w:rsidR="0057009C">
              <w:rPr>
                <w:sz w:val="18"/>
                <w:szCs w:val="18"/>
                <w:lang w:val="es-ES"/>
              </w:rPr>
              <w:t xml:space="preserve"> </w:t>
            </w:r>
            <w:r w:rsidRPr="004238D0">
              <w:rPr>
                <w:sz w:val="18"/>
                <w:szCs w:val="18"/>
                <w:lang w:val="es-ES"/>
              </w:rPr>
              <w:t>000</w:t>
            </w:r>
          </w:p>
        </w:tc>
      </w:tr>
      <w:tr w:rsidR="00FF3183" w:rsidRPr="004238D0" w:rsidTr="000275D5">
        <w:trPr>
          <w:trHeight w:val="361"/>
        </w:trPr>
        <w:tc>
          <w:tcPr>
            <w:tcW w:w="708" w:type="dxa"/>
            <w:vMerge/>
            <w:vAlign w:val="center"/>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rPr>
                <w:rFonts w:eastAsia="SimSun"/>
                <w:sz w:val="18"/>
                <w:szCs w:val="18"/>
                <w:lang w:val="es-ES"/>
              </w:rPr>
            </w:pPr>
          </w:p>
        </w:tc>
        <w:tc>
          <w:tcPr>
            <w:tcW w:w="4253" w:type="dxa"/>
            <w:vAlign w:val="center"/>
          </w:tcPr>
          <w:p w:rsidR="00FF3183" w:rsidRPr="004238D0" w:rsidRDefault="00FF3183" w:rsidP="000275D5">
            <w:pPr>
              <w:pStyle w:val="ListParagraph"/>
              <w:keepNext/>
              <w:keepLines/>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lang w:val="es-ES"/>
              </w:rPr>
              <w:t>Apoyo técnico</w:t>
            </w:r>
          </w:p>
        </w:tc>
        <w:tc>
          <w:tcPr>
            <w:tcW w:w="3118" w:type="dxa"/>
          </w:tcPr>
          <w:p w:rsidR="00FF3183" w:rsidRPr="004238D0" w:rsidRDefault="00352F22" w:rsidP="000275D5">
            <w:pPr>
              <w:pStyle w:val="ListParagraph"/>
              <w:keepNext/>
              <w:keepLines/>
              <w:tabs>
                <w:tab w:val="left" w:pos="426"/>
              </w:tabs>
              <w:autoSpaceDE w:val="0"/>
              <w:autoSpaceDN w:val="0"/>
              <w:adjustRightInd w:val="0"/>
              <w:spacing w:before="40" w:after="40" w:line="240" w:lineRule="auto"/>
              <w:ind w:left="0"/>
              <w:rPr>
                <w:sz w:val="18"/>
                <w:szCs w:val="18"/>
                <w:lang w:val="es-ES"/>
              </w:rPr>
            </w:pPr>
            <w:r w:rsidRPr="004238D0">
              <w:rPr>
                <w:sz w:val="18"/>
                <w:szCs w:val="18"/>
                <w:lang w:val="es-AR"/>
              </w:rPr>
              <w:t>1 puesto equivalente a funcionario del cuadro orgánico a tiempo completo (50% en especie)</w:t>
            </w:r>
          </w:p>
        </w:tc>
        <w:tc>
          <w:tcPr>
            <w:tcW w:w="1134" w:type="dxa"/>
          </w:tcPr>
          <w:p w:rsidR="00FF3183" w:rsidRPr="004238D0" w:rsidRDefault="00FF3183" w:rsidP="000275D5">
            <w:pPr>
              <w:pStyle w:val="ListParagraph"/>
              <w:keepNext/>
              <w:keepLines/>
              <w:tabs>
                <w:tab w:val="left" w:pos="426"/>
              </w:tabs>
              <w:autoSpaceDE w:val="0"/>
              <w:autoSpaceDN w:val="0"/>
              <w:adjustRightInd w:val="0"/>
              <w:spacing w:before="40" w:after="40" w:line="240" w:lineRule="auto"/>
              <w:ind w:left="0"/>
              <w:contextualSpacing w:val="0"/>
              <w:jc w:val="right"/>
              <w:rPr>
                <w:sz w:val="18"/>
                <w:szCs w:val="18"/>
                <w:lang w:val="es-ES"/>
              </w:rPr>
            </w:pPr>
            <w:r w:rsidRPr="004238D0">
              <w:rPr>
                <w:sz w:val="18"/>
                <w:szCs w:val="18"/>
                <w:lang w:val="es-ES"/>
              </w:rPr>
              <w:t>75</w:t>
            </w:r>
            <w:r w:rsidR="0057009C">
              <w:rPr>
                <w:sz w:val="18"/>
                <w:szCs w:val="18"/>
                <w:lang w:val="es-ES"/>
              </w:rPr>
              <w:t xml:space="preserve"> </w:t>
            </w:r>
            <w:r w:rsidRPr="004238D0">
              <w:rPr>
                <w:sz w:val="18"/>
                <w:szCs w:val="18"/>
                <w:lang w:val="es-ES"/>
              </w:rPr>
              <w:t>000</w:t>
            </w:r>
          </w:p>
        </w:tc>
      </w:tr>
      <w:tr w:rsidR="00FF3183" w:rsidRPr="004238D0" w:rsidTr="000275D5">
        <w:trPr>
          <w:trHeight w:val="357"/>
        </w:trPr>
        <w:tc>
          <w:tcPr>
            <w:tcW w:w="708" w:type="dxa"/>
            <w:vMerge w:val="restart"/>
            <w:vAlign w:val="center"/>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lang w:val="es-ES"/>
              </w:rPr>
              <w:t>2016</w:t>
            </w:r>
          </w:p>
        </w:tc>
        <w:tc>
          <w:tcPr>
            <w:tcW w:w="4253" w:type="dxa"/>
            <w:vAlign w:val="center"/>
          </w:tcPr>
          <w:p w:rsidR="00FF3183" w:rsidRPr="004238D0" w:rsidRDefault="00352F22" w:rsidP="000275D5">
            <w:pPr>
              <w:pStyle w:val="ListParagraph"/>
              <w:keepNext/>
              <w:keepLines/>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lang w:val="es-AR"/>
              </w:rPr>
              <w:t xml:space="preserve">Participación de 2 copresidentes y 2 autores </w:t>
            </w:r>
            <w:r w:rsidRPr="004238D0">
              <w:rPr>
                <w:sz w:val="18"/>
                <w:szCs w:val="18"/>
                <w:lang w:val="es-AR"/>
              </w:rPr>
              <w:lastRenderedPageBreak/>
              <w:t>principales encargados de la coordinación en el cuarto período de sesiones del Plenario</w:t>
            </w:r>
          </w:p>
        </w:tc>
        <w:tc>
          <w:tcPr>
            <w:tcW w:w="3118" w:type="dxa"/>
          </w:tcPr>
          <w:p w:rsidR="00FF3183" w:rsidRPr="004238D0" w:rsidRDefault="00FF3183" w:rsidP="000275D5">
            <w:pPr>
              <w:pStyle w:val="ListParagraph"/>
              <w:keepNext/>
              <w:keepLines/>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lang w:val="es-ES"/>
              </w:rPr>
              <w:lastRenderedPageBreak/>
              <w:t>Viaje</w:t>
            </w:r>
            <w:r w:rsidR="00352F22" w:rsidRPr="004238D0">
              <w:rPr>
                <w:sz w:val="18"/>
                <w:szCs w:val="18"/>
                <w:lang w:val="es-ES"/>
              </w:rPr>
              <w:t>s y dietas (3 x 3</w:t>
            </w:r>
            <w:r w:rsidR="0057009C">
              <w:rPr>
                <w:sz w:val="18"/>
                <w:szCs w:val="18"/>
                <w:lang w:val="es-ES"/>
              </w:rPr>
              <w:t xml:space="preserve"> </w:t>
            </w:r>
            <w:r w:rsidR="00352F22" w:rsidRPr="004238D0">
              <w:rPr>
                <w:sz w:val="18"/>
                <w:szCs w:val="18"/>
                <w:lang w:val="es-ES"/>
              </w:rPr>
              <w:t>000</w:t>
            </w:r>
            <w:r w:rsidRPr="004238D0">
              <w:rPr>
                <w:sz w:val="18"/>
                <w:szCs w:val="18"/>
                <w:lang w:val="es-ES"/>
              </w:rPr>
              <w:t>)</w:t>
            </w:r>
          </w:p>
        </w:tc>
        <w:tc>
          <w:tcPr>
            <w:tcW w:w="1134" w:type="dxa"/>
          </w:tcPr>
          <w:p w:rsidR="00FF3183" w:rsidRPr="004238D0" w:rsidRDefault="00FF3183" w:rsidP="000275D5">
            <w:pPr>
              <w:pStyle w:val="ListParagraph"/>
              <w:keepNext/>
              <w:keepLines/>
              <w:tabs>
                <w:tab w:val="left" w:pos="426"/>
              </w:tabs>
              <w:autoSpaceDE w:val="0"/>
              <w:autoSpaceDN w:val="0"/>
              <w:adjustRightInd w:val="0"/>
              <w:spacing w:before="40" w:after="40" w:line="240" w:lineRule="auto"/>
              <w:ind w:left="0"/>
              <w:contextualSpacing w:val="0"/>
              <w:jc w:val="right"/>
              <w:rPr>
                <w:sz w:val="18"/>
                <w:szCs w:val="18"/>
                <w:lang w:val="es-ES"/>
              </w:rPr>
            </w:pPr>
            <w:r w:rsidRPr="004238D0">
              <w:rPr>
                <w:sz w:val="18"/>
                <w:szCs w:val="18"/>
                <w:lang w:val="es-ES"/>
              </w:rPr>
              <w:t>9</w:t>
            </w:r>
            <w:r w:rsidR="0057009C">
              <w:rPr>
                <w:sz w:val="18"/>
                <w:szCs w:val="18"/>
                <w:lang w:val="es-ES"/>
              </w:rPr>
              <w:t xml:space="preserve"> </w:t>
            </w:r>
            <w:r w:rsidRPr="004238D0">
              <w:rPr>
                <w:sz w:val="18"/>
                <w:szCs w:val="18"/>
                <w:lang w:val="es-ES"/>
              </w:rPr>
              <w:t>000</w:t>
            </w:r>
          </w:p>
        </w:tc>
      </w:tr>
      <w:tr w:rsidR="00FF3183" w:rsidRPr="004238D0" w:rsidTr="000275D5">
        <w:trPr>
          <w:trHeight w:val="560"/>
        </w:trPr>
        <w:tc>
          <w:tcPr>
            <w:tcW w:w="708" w:type="dxa"/>
            <w:vMerge/>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rPr>
                <w:rFonts w:eastAsia="SimSun"/>
                <w:sz w:val="18"/>
                <w:szCs w:val="18"/>
                <w:lang w:val="es-ES"/>
              </w:rPr>
            </w:pPr>
          </w:p>
        </w:tc>
        <w:tc>
          <w:tcPr>
            <w:tcW w:w="4253" w:type="dxa"/>
          </w:tcPr>
          <w:p w:rsidR="00FF3183" w:rsidRPr="004238D0" w:rsidRDefault="00352F22" w:rsidP="000275D5">
            <w:pPr>
              <w:pStyle w:val="ListParagraph"/>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lang w:val="es-AR"/>
              </w:rPr>
              <w:t>Difusión y divulgación (resumen para los responsables de formular políticas (10 páginas) e informe (200 páginas))</w:t>
            </w:r>
          </w:p>
        </w:tc>
        <w:tc>
          <w:tcPr>
            <w:tcW w:w="3118" w:type="dxa"/>
          </w:tcPr>
          <w:p w:rsidR="00FF3183" w:rsidRPr="004238D0" w:rsidRDefault="00352F22" w:rsidP="000275D5">
            <w:pPr>
              <w:pStyle w:val="ListParagraph"/>
              <w:tabs>
                <w:tab w:val="left" w:pos="426"/>
              </w:tabs>
              <w:autoSpaceDE w:val="0"/>
              <w:autoSpaceDN w:val="0"/>
              <w:adjustRightInd w:val="0"/>
              <w:spacing w:before="40" w:after="40" w:line="240" w:lineRule="auto"/>
              <w:ind w:left="0"/>
              <w:contextualSpacing w:val="0"/>
              <w:rPr>
                <w:sz w:val="18"/>
                <w:szCs w:val="18"/>
                <w:lang w:val="es-ES"/>
              </w:rPr>
            </w:pPr>
            <w:r w:rsidRPr="004238D0">
              <w:rPr>
                <w:sz w:val="18"/>
                <w:szCs w:val="18"/>
                <w:lang w:val="es-AR"/>
              </w:rPr>
              <w:t>Traducción del resumen para los responsables de formular políticas en los seis idiomas oficiales de las Naciones Unidas, publicación y divulgación</w:t>
            </w:r>
          </w:p>
        </w:tc>
        <w:tc>
          <w:tcPr>
            <w:tcW w:w="1134" w:type="dxa"/>
          </w:tcPr>
          <w:p w:rsidR="00FF3183" w:rsidRPr="004238D0" w:rsidRDefault="00FF3183" w:rsidP="000275D5">
            <w:pPr>
              <w:pStyle w:val="ListParagraph"/>
              <w:tabs>
                <w:tab w:val="left" w:pos="426"/>
              </w:tabs>
              <w:autoSpaceDE w:val="0"/>
              <w:autoSpaceDN w:val="0"/>
              <w:adjustRightInd w:val="0"/>
              <w:spacing w:before="40" w:after="40" w:line="240" w:lineRule="auto"/>
              <w:ind w:left="0"/>
              <w:contextualSpacing w:val="0"/>
              <w:jc w:val="right"/>
              <w:rPr>
                <w:rFonts w:eastAsia="SimSun"/>
                <w:sz w:val="18"/>
                <w:szCs w:val="18"/>
                <w:lang w:val="es-ES"/>
              </w:rPr>
            </w:pPr>
            <w:r w:rsidRPr="004238D0">
              <w:rPr>
                <w:sz w:val="18"/>
                <w:szCs w:val="18"/>
                <w:lang w:val="es-ES"/>
              </w:rPr>
              <w:t>117</w:t>
            </w:r>
            <w:r w:rsidR="0057009C">
              <w:rPr>
                <w:sz w:val="18"/>
                <w:szCs w:val="18"/>
                <w:lang w:val="es-ES"/>
              </w:rPr>
              <w:t xml:space="preserve"> </w:t>
            </w:r>
            <w:r w:rsidRPr="004238D0">
              <w:rPr>
                <w:sz w:val="18"/>
                <w:szCs w:val="18"/>
                <w:lang w:val="es-ES"/>
              </w:rPr>
              <w:t>000</w:t>
            </w:r>
          </w:p>
        </w:tc>
      </w:tr>
      <w:tr w:rsidR="00FF3183" w:rsidRPr="0057009C" w:rsidTr="000275D5">
        <w:tc>
          <w:tcPr>
            <w:tcW w:w="708" w:type="dxa"/>
          </w:tcPr>
          <w:p w:rsidR="00FF3183" w:rsidRPr="0057009C" w:rsidRDefault="00FF3183" w:rsidP="000275D5">
            <w:pPr>
              <w:pStyle w:val="ListParagraph"/>
              <w:tabs>
                <w:tab w:val="left" w:pos="426"/>
              </w:tabs>
              <w:autoSpaceDE w:val="0"/>
              <w:autoSpaceDN w:val="0"/>
              <w:adjustRightInd w:val="0"/>
              <w:spacing w:before="40" w:after="40" w:line="240" w:lineRule="auto"/>
              <w:ind w:left="0"/>
              <w:contextualSpacing w:val="0"/>
              <w:rPr>
                <w:rFonts w:eastAsia="SimSun"/>
                <w:b/>
                <w:sz w:val="18"/>
                <w:szCs w:val="18"/>
                <w:lang w:val="es-ES"/>
              </w:rPr>
            </w:pPr>
            <w:r w:rsidRPr="0057009C">
              <w:rPr>
                <w:b/>
                <w:sz w:val="18"/>
                <w:szCs w:val="18"/>
                <w:lang w:val="es-ES"/>
              </w:rPr>
              <w:t>Total</w:t>
            </w:r>
          </w:p>
        </w:tc>
        <w:tc>
          <w:tcPr>
            <w:tcW w:w="4253" w:type="dxa"/>
          </w:tcPr>
          <w:p w:rsidR="00FF3183" w:rsidRPr="0057009C" w:rsidRDefault="00FF3183" w:rsidP="000275D5">
            <w:pPr>
              <w:pStyle w:val="ListParagraph"/>
              <w:tabs>
                <w:tab w:val="left" w:pos="426"/>
              </w:tabs>
              <w:autoSpaceDE w:val="0"/>
              <w:autoSpaceDN w:val="0"/>
              <w:adjustRightInd w:val="0"/>
              <w:spacing w:before="40" w:after="40" w:line="240" w:lineRule="auto"/>
              <w:ind w:left="0"/>
              <w:contextualSpacing w:val="0"/>
              <w:rPr>
                <w:rFonts w:eastAsia="SimSun"/>
                <w:b/>
                <w:sz w:val="18"/>
                <w:szCs w:val="18"/>
                <w:lang w:val="es-ES"/>
              </w:rPr>
            </w:pPr>
          </w:p>
        </w:tc>
        <w:tc>
          <w:tcPr>
            <w:tcW w:w="3118" w:type="dxa"/>
          </w:tcPr>
          <w:p w:rsidR="00FF3183" w:rsidRPr="0057009C" w:rsidRDefault="00FF3183" w:rsidP="000275D5">
            <w:pPr>
              <w:pStyle w:val="ListParagraph"/>
              <w:tabs>
                <w:tab w:val="left" w:pos="426"/>
              </w:tabs>
              <w:autoSpaceDE w:val="0"/>
              <w:autoSpaceDN w:val="0"/>
              <w:adjustRightInd w:val="0"/>
              <w:spacing w:before="40" w:after="40" w:line="240" w:lineRule="auto"/>
              <w:ind w:left="0"/>
              <w:contextualSpacing w:val="0"/>
              <w:rPr>
                <w:rFonts w:eastAsia="SimSun"/>
                <w:b/>
                <w:sz w:val="18"/>
                <w:szCs w:val="18"/>
                <w:lang w:val="es-ES"/>
              </w:rPr>
            </w:pPr>
          </w:p>
        </w:tc>
        <w:tc>
          <w:tcPr>
            <w:tcW w:w="1134" w:type="dxa"/>
          </w:tcPr>
          <w:p w:rsidR="00FF3183" w:rsidRPr="0057009C" w:rsidRDefault="00FF3183" w:rsidP="000275D5">
            <w:pPr>
              <w:pStyle w:val="ListParagraph"/>
              <w:tabs>
                <w:tab w:val="left" w:pos="426"/>
              </w:tabs>
              <w:autoSpaceDE w:val="0"/>
              <w:autoSpaceDN w:val="0"/>
              <w:adjustRightInd w:val="0"/>
              <w:spacing w:before="40" w:after="40" w:line="240" w:lineRule="auto"/>
              <w:ind w:left="0"/>
              <w:contextualSpacing w:val="0"/>
              <w:jc w:val="right"/>
              <w:rPr>
                <w:rFonts w:eastAsia="SimSun"/>
                <w:b/>
                <w:sz w:val="18"/>
                <w:szCs w:val="18"/>
                <w:lang w:val="es-ES"/>
              </w:rPr>
            </w:pPr>
            <w:r w:rsidRPr="0057009C">
              <w:rPr>
                <w:b/>
                <w:sz w:val="18"/>
                <w:szCs w:val="18"/>
                <w:lang w:val="es-ES"/>
              </w:rPr>
              <w:t>1</w:t>
            </w:r>
            <w:r w:rsidR="0057009C" w:rsidRPr="0057009C">
              <w:rPr>
                <w:b/>
                <w:sz w:val="18"/>
                <w:szCs w:val="18"/>
                <w:lang w:val="es-ES"/>
              </w:rPr>
              <w:t xml:space="preserve"> </w:t>
            </w:r>
            <w:r w:rsidRPr="0057009C">
              <w:rPr>
                <w:b/>
                <w:sz w:val="18"/>
                <w:szCs w:val="18"/>
                <w:lang w:val="es-ES"/>
              </w:rPr>
              <w:t>071</w:t>
            </w:r>
            <w:r w:rsidR="0057009C" w:rsidRPr="0057009C">
              <w:rPr>
                <w:b/>
                <w:sz w:val="18"/>
                <w:szCs w:val="18"/>
                <w:lang w:val="es-ES"/>
              </w:rPr>
              <w:t xml:space="preserve"> </w:t>
            </w:r>
            <w:r w:rsidRPr="0057009C">
              <w:rPr>
                <w:b/>
                <w:sz w:val="18"/>
                <w:szCs w:val="18"/>
                <w:lang w:val="es-ES"/>
              </w:rPr>
              <w:t>750</w:t>
            </w:r>
          </w:p>
        </w:tc>
      </w:tr>
    </w:tbl>
    <w:p w:rsidR="00140653" w:rsidRPr="0057009C" w:rsidRDefault="00140653">
      <w:pPr>
        <w:pStyle w:val="Normal-pool"/>
        <w:rPr>
          <w:b/>
          <w:szCs w:val="24"/>
          <w:lang w:val="es-ES"/>
        </w:rPr>
      </w:pPr>
    </w:p>
    <w:tbl>
      <w:tblPr>
        <w:tblW w:w="0" w:type="auto"/>
        <w:tblLayout w:type="fixed"/>
        <w:tblLook w:val="01E0"/>
      </w:tblPr>
      <w:tblGrid>
        <w:gridCol w:w="3237"/>
        <w:gridCol w:w="3237"/>
        <w:gridCol w:w="3238"/>
      </w:tblGrid>
      <w:tr w:rsidR="00140653" w:rsidRPr="004A43F6">
        <w:tc>
          <w:tcPr>
            <w:tcW w:w="3237" w:type="dxa"/>
          </w:tcPr>
          <w:p w:rsidR="00140653" w:rsidRPr="004A43F6" w:rsidRDefault="00140653">
            <w:pPr>
              <w:pStyle w:val="Normal-pool"/>
              <w:rPr>
                <w:sz w:val="18"/>
                <w:szCs w:val="24"/>
                <w:lang w:val="es-ES"/>
              </w:rPr>
            </w:pPr>
          </w:p>
        </w:tc>
        <w:tc>
          <w:tcPr>
            <w:tcW w:w="3237" w:type="dxa"/>
            <w:tcBorders>
              <w:bottom w:val="single" w:sz="4" w:space="0" w:color="auto"/>
            </w:tcBorders>
          </w:tcPr>
          <w:p w:rsidR="00140653" w:rsidRPr="004A43F6" w:rsidRDefault="00140653">
            <w:pPr>
              <w:pStyle w:val="Normal-pool"/>
              <w:rPr>
                <w:sz w:val="18"/>
                <w:szCs w:val="24"/>
                <w:lang w:val="es-ES"/>
              </w:rPr>
            </w:pPr>
          </w:p>
        </w:tc>
        <w:tc>
          <w:tcPr>
            <w:tcW w:w="3238" w:type="dxa"/>
          </w:tcPr>
          <w:p w:rsidR="00140653" w:rsidRPr="004A43F6" w:rsidRDefault="00140653">
            <w:pPr>
              <w:pStyle w:val="Normal-pool"/>
              <w:rPr>
                <w:sz w:val="18"/>
                <w:szCs w:val="24"/>
                <w:lang w:val="es-ES"/>
              </w:rPr>
            </w:pPr>
          </w:p>
        </w:tc>
      </w:tr>
    </w:tbl>
    <w:p w:rsidR="00140653" w:rsidRPr="004A43F6" w:rsidRDefault="00140653">
      <w:pPr>
        <w:pStyle w:val="Normal-pool"/>
        <w:rPr>
          <w:sz w:val="18"/>
          <w:szCs w:val="24"/>
          <w:lang w:val="es-ES"/>
        </w:rPr>
      </w:pPr>
    </w:p>
    <w:sectPr w:rsidR="00140653" w:rsidRPr="004A43F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5A" w:rsidRDefault="00892B5A">
      <w:pPr>
        <w:rPr>
          <w:rFonts w:eastAsia="Times New Roman"/>
          <w:szCs w:val="24"/>
        </w:rPr>
      </w:pPr>
      <w:r>
        <w:rPr>
          <w:rFonts w:eastAsia="Times New Roman"/>
          <w:szCs w:val="24"/>
        </w:rPr>
        <w:separator/>
      </w:r>
    </w:p>
  </w:endnote>
  <w:endnote w:type="continuationSeparator" w:id="0">
    <w:p w:rsidR="00892B5A" w:rsidRDefault="00892B5A">
      <w:pPr>
        <w:rPr>
          <w:rFonts w:eastAsia="Times New Roman"/>
          <w:szCs w:val="24"/>
        </w:rPr>
      </w:pPr>
      <w:r>
        <w:rPr>
          <w:rFonts w:eastAsia="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9C" w:rsidRDefault="0057009C">
    <w:pPr>
      <w:pStyle w:val="Footer"/>
      <w:rPr>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sidR="003B25C3">
      <w:rPr>
        <w:rStyle w:val="PageNumber"/>
        <w:noProof/>
        <w:szCs w:val="24"/>
      </w:rPr>
      <w:t>6</w:t>
    </w:r>
    <w:r>
      <w:rPr>
        <w:rStyle w:val="PageNumbe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9C" w:rsidRDefault="0057009C">
    <w:pPr>
      <w:pStyle w:val="Footer"/>
      <w:jc w:val="right"/>
      <w:rPr>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sidR="003B25C3">
      <w:rPr>
        <w:rStyle w:val="PageNumber"/>
        <w:noProof/>
        <w:szCs w:val="24"/>
      </w:rPr>
      <w:t>7</w:t>
    </w:r>
    <w:r>
      <w:rPr>
        <w:rStyle w:val="PageNumber"/>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9C" w:rsidRDefault="0057009C">
    <w:pPr>
      <w:pStyle w:val="Footer"/>
      <w:rPr>
        <w:szCs w:val="24"/>
      </w:rPr>
    </w:pPr>
    <w:r>
      <w:rPr>
        <w:szCs w:val="24"/>
      </w:rPr>
      <w:t>K1353295</w:t>
    </w:r>
    <w:r>
      <w:rPr>
        <w:szCs w:val="24"/>
      </w:rPr>
      <w:tab/>
      <w:t>011113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5A" w:rsidRDefault="00892B5A">
      <w:pPr>
        <w:ind w:left="624"/>
        <w:rPr>
          <w:rFonts w:eastAsia="Times New Roman"/>
          <w:szCs w:val="24"/>
        </w:rPr>
      </w:pPr>
      <w:r>
        <w:rPr>
          <w:rFonts w:eastAsia="Times New Roman"/>
          <w:szCs w:val="24"/>
        </w:rPr>
        <w:separator/>
      </w:r>
    </w:p>
  </w:footnote>
  <w:footnote w:type="continuationSeparator" w:id="0">
    <w:p w:rsidR="00892B5A" w:rsidRDefault="00892B5A">
      <w:pPr>
        <w:rPr>
          <w:rFonts w:eastAsia="Times New Roman"/>
          <w:szCs w:val="24"/>
        </w:rPr>
      </w:pPr>
      <w:r>
        <w:rPr>
          <w:rFonts w:eastAsia="Times New Roman"/>
          <w:szCs w:val="24"/>
        </w:rPr>
        <w:continuationSeparator/>
      </w:r>
    </w:p>
  </w:footnote>
  <w:footnote w:id="1">
    <w:p w:rsidR="0057009C" w:rsidRPr="006052A9" w:rsidRDefault="0057009C">
      <w:pPr>
        <w:pStyle w:val="FootnoteText"/>
        <w:tabs>
          <w:tab w:val="clear" w:pos="1247"/>
          <w:tab w:val="clear" w:pos="1814"/>
          <w:tab w:val="clear" w:pos="2381"/>
          <w:tab w:val="clear" w:pos="2948"/>
          <w:tab w:val="clear" w:pos="3515"/>
          <w:tab w:val="left" w:pos="624"/>
        </w:tabs>
        <w:rPr>
          <w:szCs w:val="24"/>
          <w:lang w:val="es-ES"/>
        </w:rPr>
      </w:pPr>
      <w:r>
        <w:rPr>
          <w:rStyle w:val="FootnoteReference"/>
          <w:szCs w:val="18"/>
        </w:rPr>
        <w:sym w:font="Symbol" w:char="F02A"/>
      </w:r>
      <w:r w:rsidRPr="006052A9">
        <w:rPr>
          <w:szCs w:val="24"/>
          <w:lang w:val="es-ES"/>
        </w:rPr>
        <w:t xml:space="preserve"> </w:t>
      </w:r>
      <w:r>
        <w:rPr>
          <w:szCs w:val="24"/>
          <w:lang w:val="fr-CA"/>
        </w:rPr>
        <w:t>IPBES/2/1</w:t>
      </w:r>
      <w:r w:rsidRPr="006052A9">
        <w:rPr>
          <w:noProof/>
          <w:szCs w:val="24"/>
          <w:lang w:val="es-ES"/>
        </w:rPr>
        <w:t>.</w:t>
      </w:r>
    </w:p>
  </w:footnote>
  <w:footnote w:id="2">
    <w:p w:rsidR="0057009C" w:rsidRPr="006052A9" w:rsidRDefault="0057009C">
      <w:pPr>
        <w:pStyle w:val="FootnoteText"/>
        <w:rPr>
          <w:szCs w:val="24"/>
          <w:lang w:val="es-ES"/>
        </w:rPr>
      </w:pPr>
      <w:r>
        <w:rPr>
          <w:rStyle w:val="FootnoteReference"/>
          <w:sz w:val="20"/>
          <w:szCs w:val="24"/>
        </w:rPr>
        <w:footnoteRef/>
      </w:r>
      <w:r w:rsidRPr="006052A9">
        <w:rPr>
          <w:szCs w:val="24"/>
          <w:lang w:val="es-ES"/>
        </w:rPr>
        <w:t xml:space="preserve"> </w:t>
      </w:r>
      <w:r>
        <w:rPr>
          <w:szCs w:val="24"/>
          <w:lang w:val="es-ES"/>
        </w:rPr>
        <w:t>Documento final de la Conferencia de las Naciones Unidas sobre el Desarrollo Sostenible, celebrada en Río de Janeiro (Brasil), del 20 al 22 de junio de 2012, titulado “El futuro que queremos”, anexo de la resolución 66/288 de la Asamblea General, párr.</w:t>
      </w:r>
      <w:r w:rsidRPr="006052A9">
        <w:rPr>
          <w:szCs w:val="24"/>
          <w:lang w:val="es-ES"/>
        </w:rPr>
        <w:t xml:space="preserve"> 206.</w:t>
      </w:r>
    </w:p>
  </w:footnote>
  <w:footnote w:id="3">
    <w:p w:rsidR="0057009C" w:rsidRPr="006052A9" w:rsidRDefault="0057009C" w:rsidP="00584A79">
      <w:pPr>
        <w:pStyle w:val="FootnoteText"/>
        <w:rPr>
          <w:szCs w:val="24"/>
          <w:lang w:val="es-ES"/>
        </w:rPr>
      </w:pPr>
      <w:r>
        <w:rPr>
          <w:rStyle w:val="FootnoteReference"/>
          <w:sz w:val="20"/>
          <w:szCs w:val="24"/>
        </w:rPr>
        <w:footnoteRef/>
      </w:r>
      <w:r w:rsidRPr="006052A9">
        <w:rPr>
          <w:szCs w:val="24"/>
          <w:lang w:val="es-ES"/>
        </w:rPr>
        <w:t xml:space="preserve"> </w:t>
      </w:r>
      <w:r>
        <w:rPr>
          <w:szCs w:val="24"/>
          <w:lang w:val="es-ES"/>
        </w:rPr>
        <w:t>H. Eswaran, R. Lal, y P. F. Reich, “Land degradation:</w:t>
      </w:r>
      <w:r w:rsidRPr="006052A9">
        <w:rPr>
          <w:szCs w:val="24"/>
          <w:lang w:val="es-ES"/>
        </w:rPr>
        <w:t xml:space="preserve"> </w:t>
      </w:r>
      <w:r>
        <w:rPr>
          <w:szCs w:val="24"/>
          <w:lang w:val="es-ES"/>
        </w:rPr>
        <w:t xml:space="preserve">an overview”, en </w:t>
      </w:r>
      <w:r>
        <w:rPr>
          <w:i/>
          <w:szCs w:val="24"/>
          <w:lang w:val="es-ES"/>
        </w:rPr>
        <w:t>Responses to Land Degradation, Proceedings, Second International Conference on Land Degradation and Desertification</w:t>
      </w:r>
      <w:r>
        <w:rPr>
          <w:szCs w:val="24"/>
          <w:lang w:val="es-ES"/>
        </w:rPr>
        <w:t xml:space="preserve"> (2005), disponible en el sitio Web del Ministerio de Agricultura de los Estados Unidos de América, </w:t>
      </w:r>
      <w:hyperlink r:id="rId1" w:history="1">
        <w:r>
          <w:rPr>
            <w:szCs w:val="24"/>
            <w:lang w:val="es-ES"/>
          </w:rPr>
          <w:t>http://soils.usda.gov/use/worldsoils/papers/land</w:t>
        </w:r>
        <w:r>
          <w:rPr>
            <w:szCs w:val="24"/>
            <w:lang w:val="es-ES"/>
          </w:rPr>
          <w:noBreakHyphen/>
          <w:t>degradation</w:t>
        </w:r>
        <w:r>
          <w:rPr>
            <w:szCs w:val="24"/>
            <w:lang w:val="es-ES"/>
          </w:rPr>
          <w:noBreakHyphen/>
          <w:t>overview.html</w:t>
        </w:r>
      </w:hyperlink>
      <w:r>
        <w:rPr>
          <w:szCs w:val="24"/>
          <w:lang w:val="es-ES"/>
        </w:rPr>
        <w:t xml:space="preserve"> (consultado el 4 de octubre de 2013).</w:t>
      </w:r>
    </w:p>
  </w:footnote>
  <w:footnote w:id="4">
    <w:p w:rsidR="0057009C" w:rsidRDefault="0057009C">
      <w:pPr>
        <w:pStyle w:val="FootnoteText"/>
        <w:rPr>
          <w:szCs w:val="24"/>
        </w:rPr>
      </w:pPr>
      <w:r>
        <w:rPr>
          <w:rStyle w:val="FootnoteReference"/>
          <w:sz w:val="20"/>
          <w:szCs w:val="24"/>
        </w:rPr>
        <w:footnoteRef/>
      </w:r>
      <w:r>
        <w:rPr>
          <w:szCs w:val="24"/>
        </w:rPr>
        <w:t xml:space="preserve"> </w:t>
      </w:r>
      <w:r w:rsidRPr="006052A9">
        <w:rPr>
          <w:szCs w:val="24"/>
          <w:lang w:val="en-US"/>
        </w:rPr>
        <w:t xml:space="preserve">H. J. Geist. y E. F. Lambin, </w:t>
      </w:r>
      <w:r>
        <w:rPr>
          <w:szCs w:val="24"/>
          <w:lang w:val="en-US"/>
        </w:rPr>
        <w:t>“</w:t>
      </w:r>
      <w:r w:rsidRPr="006052A9">
        <w:rPr>
          <w:szCs w:val="24"/>
          <w:lang w:val="en-US"/>
        </w:rPr>
        <w:t>Proximate causes and underlying driving forces of tropical deforestation</w:t>
      </w:r>
      <w:r>
        <w:rPr>
          <w:szCs w:val="24"/>
          <w:lang w:val="en-US"/>
        </w:rPr>
        <w:t>”</w:t>
      </w:r>
      <w:r w:rsidRPr="006052A9">
        <w:rPr>
          <w:szCs w:val="24"/>
          <w:lang w:val="en-US"/>
        </w:rPr>
        <w:t xml:space="preserve">, </w:t>
      </w:r>
      <w:r w:rsidRPr="006052A9">
        <w:rPr>
          <w:i/>
          <w:szCs w:val="24"/>
          <w:lang w:val="en-US"/>
        </w:rPr>
        <w:t>BioScience</w:t>
      </w:r>
      <w:r w:rsidRPr="006052A9">
        <w:rPr>
          <w:szCs w:val="24"/>
          <w:lang w:val="en-US"/>
        </w:rPr>
        <w:t>, vol. 52, núm. 2, págs.:</w:t>
      </w:r>
      <w:r>
        <w:rPr>
          <w:szCs w:val="24"/>
        </w:rPr>
        <w:t xml:space="preserve"> </w:t>
      </w:r>
      <w:r w:rsidRPr="006052A9">
        <w:rPr>
          <w:szCs w:val="24"/>
          <w:lang w:val="en-US"/>
        </w:rPr>
        <w:t xml:space="preserve">143 a 150; J. F. Reynolds y D. M. Stafford Smith, </w:t>
      </w:r>
      <w:r>
        <w:rPr>
          <w:szCs w:val="24"/>
          <w:lang w:val="en-US"/>
        </w:rPr>
        <w:t>“</w:t>
      </w:r>
      <w:r w:rsidRPr="006052A9">
        <w:rPr>
          <w:szCs w:val="24"/>
          <w:lang w:val="en-US"/>
        </w:rPr>
        <w:t>Do humans cause deserts?</w:t>
      </w:r>
      <w:r>
        <w:rPr>
          <w:szCs w:val="24"/>
          <w:lang w:val="en-US"/>
        </w:rPr>
        <w:t>”</w:t>
      </w:r>
      <w:r w:rsidRPr="006052A9">
        <w:rPr>
          <w:szCs w:val="24"/>
          <w:lang w:val="en-US"/>
        </w:rPr>
        <w:t xml:space="preserve">, en J. F. Reynolds y D. M. Stafford Smith, eds., </w:t>
      </w:r>
      <w:r w:rsidRPr="006052A9">
        <w:rPr>
          <w:i/>
          <w:szCs w:val="24"/>
          <w:lang w:val="en-US"/>
        </w:rPr>
        <w:t>Global Desertification:</w:t>
      </w:r>
      <w:r>
        <w:rPr>
          <w:i/>
          <w:szCs w:val="24"/>
        </w:rPr>
        <w:t xml:space="preserve"> </w:t>
      </w:r>
      <w:r w:rsidRPr="006052A9">
        <w:rPr>
          <w:i/>
          <w:szCs w:val="24"/>
          <w:lang w:val="en-US"/>
        </w:rPr>
        <w:t>Do Humans Cause Deserts?</w:t>
      </w:r>
      <w:r>
        <w:rPr>
          <w:i/>
          <w:szCs w:val="24"/>
        </w:rPr>
        <w:t xml:space="preserve"> </w:t>
      </w:r>
      <w:r w:rsidRPr="006052A9">
        <w:rPr>
          <w:szCs w:val="24"/>
          <w:lang w:val="en-US"/>
        </w:rPr>
        <w:t>(Dahlem University Press</w:t>
      </w:r>
      <w:r>
        <w:rPr>
          <w:szCs w:val="24"/>
          <w:lang w:val="en-US"/>
        </w:rPr>
        <w:t> </w:t>
      </w:r>
      <w:r w:rsidRPr="006052A9">
        <w:rPr>
          <w:szCs w:val="24"/>
          <w:lang w:val="en-US"/>
        </w:rPr>
        <w:t xml:space="preserve">2002); D. Sietz, M. K. B Lüdeke y C. Walther, </w:t>
      </w:r>
      <w:r>
        <w:rPr>
          <w:szCs w:val="24"/>
          <w:lang w:val="en-US"/>
        </w:rPr>
        <w:t>“</w:t>
      </w:r>
      <w:r w:rsidRPr="006052A9">
        <w:rPr>
          <w:szCs w:val="24"/>
          <w:lang w:val="en-US"/>
        </w:rPr>
        <w:t>Categorization of typical vulnerability patterns in global drylands</w:t>
      </w:r>
      <w:r>
        <w:rPr>
          <w:szCs w:val="24"/>
          <w:lang w:val="en-US"/>
        </w:rPr>
        <w:t>”</w:t>
      </w:r>
      <w:r w:rsidRPr="006052A9">
        <w:rPr>
          <w:szCs w:val="24"/>
          <w:lang w:val="en-US"/>
        </w:rPr>
        <w:t xml:space="preserve">, </w:t>
      </w:r>
      <w:r w:rsidRPr="006052A9">
        <w:rPr>
          <w:i/>
          <w:szCs w:val="24"/>
          <w:lang w:val="en-US"/>
        </w:rPr>
        <w:t>Global Environmental Change</w:t>
      </w:r>
      <w:r w:rsidRPr="006052A9">
        <w:rPr>
          <w:szCs w:val="24"/>
          <w:lang w:val="en-US"/>
        </w:rPr>
        <w:t>, vol. 21, núm. 2, págs.</w:t>
      </w:r>
      <w:r>
        <w:rPr>
          <w:szCs w:val="24"/>
        </w:rPr>
        <w:t xml:space="preserve"> </w:t>
      </w:r>
      <w:r w:rsidRPr="006052A9">
        <w:rPr>
          <w:szCs w:val="24"/>
          <w:lang w:val="en-US"/>
        </w:rPr>
        <w:t>431 a 440.</w:t>
      </w:r>
    </w:p>
  </w:footnote>
  <w:footnote w:id="5">
    <w:p w:rsidR="0057009C" w:rsidRDefault="0057009C">
      <w:pPr>
        <w:pStyle w:val="FootnoteText"/>
        <w:rPr>
          <w:szCs w:val="24"/>
        </w:rPr>
      </w:pPr>
      <w:r>
        <w:rPr>
          <w:rStyle w:val="FootnoteReference"/>
          <w:sz w:val="20"/>
          <w:szCs w:val="24"/>
        </w:rPr>
        <w:footnoteRef/>
      </w:r>
      <w:r>
        <w:rPr>
          <w:szCs w:val="24"/>
        </w:rPr>
        <w:t xml:space="preserve"> </w:t>
      </w:r>
      <w:r w:rsidRPr="006052A9">
        <w:rPr>
          <w:szCs w:val="24"/>
          <w:lang w:val="en-US"/>
        </w:rPr>
        <w:t xml:space="preserve">M. S. Reed y otros, </w:t>
      </w:r>
      <w:r>
        <w:rPr>
          <w:szCs w:val="24"/>
          <w:lang w:val="en-US"/>
        </w:rPr>
        <w:t>“</w:t>
      </w:r>
      <w:r w:rsidRPr="006052A9">
        <w:rPr>
          <w:szCs w:val="24"/>
          <w:lang w:val="en-US"/>
        </w:rPr>
        <w:t>Knowledge management for land degradation monitoring and assessment:</w:t>
      </w:r>
      <w:r>
        <w:rPr>
          <w:szCs w:val="24"/>
        </w:rPr>
        <w:t xml:space="preserve"> </w:t>
      </w:r>
      <w:r w:rsidRPr="006052A9">
        <w:rPr>
          <w:szCs w:val="24"/>
          <w:lang w:val="en-US"/>
        </w:rPr>
        <w:t>an analysis of contemporary thinking</w:t>
      </w:r>
      <w:r>
        <w:rPr>
          <w:szCs w:val="24"/>
          <w:lang w:val="en-US"/>
        </w:rPr>
        <w:t>”</w:t>
      </w:r>
      <w:r w:rsidRPr="006052A9">
        <w:rPr>
          <w:szCs w:val="24"/>
          <w:lang w:val="en-US"/>
        </w:rPr>
        <w:t xml:space="preserve">, </w:t>
      </w:r>
      <w:r w:rsidRPr="006052A9">
        <w:rPr>
          <w:i/>
          <w:szCs w:val="24"/>
          <w:lang w:val="en-US"/>
        </w:rPr>
        <w:t>Land Degradation and Development</w:t>
      </w:r>
      <w:r w:rsidRPr="006052A9">
        <w:rPr>
          <w:szCs w:val="24"/>
          <w:lang w:val="en-US"/>
        </w:rPr>
        <w:t>, vol. 24, págs.</w:t>
      </w:r>
      <w:r>
        <w:rPr>
          <w:szCs w:val="24"/>
        </w:rPr>
        <w:t xml:space="preserve"> </w:t>
      </w:r>
      <w:r w:rsidRPr="006B7539">
        <w:rPr>
          <w:szCs w:val="24"/>
          <w:lang w:val="en-US"/>
        </w:rPr>
        <w:t>307 a 322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9C" w:rsidRDefault="0057009C">
    <w:pPr>
      <w:pStyle w:val="Header"/>
      <w:rPr>
        <w:szCs w:val="24"/>
      </w:rPr>
    </w:pPr>
    <w:r>
      <w:rPr>
        <w:szCs w:val="24"/>
      </w:rPr>
      <w:t>IPBES/2/16/Add.2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9C" w:rsidRDefault="0057009C">
    <w:pPr>
      <w:pStyle w:val="Header"/>
      <w:jc w:val="right"/>
      <w:rPr>
        <w:szCs w:val="24"/>
      </w:rPr>
    </w:pPr>
    <w:r>
      <w:rPr>
        <w:szCs w:val="24"/>
      </w:rPr>
      <w:t>IPBES/2/16/Add.2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9C" w:rsidRDefault="0057009C">
    <w:pPr>
      <w:pStyle w:val="Header"/>
      <w:pBdr>
        <w:bottom w:val="none" w:sz="0" w:space="0" w:color="auto"/>
      </w:pBd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ACE"/>
    <w:multiLevelType w:val="hybridMultilevel"/>
    <w:tmpl w:val="48A0A0C8"/>
    <w:lvl w:ilvl="0" w:tplc="04090017">
      <w:start w:val="1"/>
      <w:numFmt w:val="lowerLetter"/>
      <w:lvlText w:val="%1)"/>
      <w:lvlJc w:val="left"/>
      <w:pPr>
        <w:ind w:left="3215" w:hanging="360"/>
      </w:pPr>
    </w:lvl>
    <w:lvl w:ilvl="1" w:tplc="0C0A0019" w:tentative="1">
      <w:start w:val="1"/>
      <w:numFmt w:val="lowerLetter"/>
      <w:lvlText w:val="%2."/>
      <w:lvlJc w:val="left"/>
      <w:pPr>
        <w:ind w:left="3935" w:hanging="360"/>
      </w:pPr>
    </w:lvl>
    <w:lvl w:ilvl="2" w:tplc="0C0A001B" w:tentative="1">
      <w:start w:val="1"/>
      <w:numFmt w:val="lowerRoman"/>
      <w:lvlText w:val="%3."/>
      <w:lvlJc w:val="right"/>
      <w:pPr>
        <w:ind w:left="4655" w:hanging="180"/>
      </w:pPr>
    </w:lvl>
    <w:lvl w:ilvl="3" w:tplc="0C0A000F" w:tentative="1">
      <w:start w:val="1"/>
      <w:numFmt w:val="decimal"/>
      <w:lvlText w:val="%4."/>
      <w:lvlJc w:val="left"/>
      <w:pPr>
        <w:ind w:left="5375" w:hanging="360"/>
      </w:pPr>
    </w:lvl>
    <w:lvl w:ilvl="4" w:tplc="0C0A0019" w:tentative="1">
      <w:start w:val="1"/>
      <w:numFmt w:val="lowerLetter"/>
      <w:lvlText w:val="%5."/>
      <w:lvlJc w:val="left"/>
      <w:pPr>
        <w:ind w:left="6095" w:hanging="360"/>
      </w:pPr>
    </w:lvl>
    <w:lvl w:ilvl="5" w:tplc="0C0A001B" w:tentative="1">
      <w:start w:val="1"/>
      <w:numFmt w:val="lowerRoman"/>
      <w:lvlText w:val="%6."/>
      <w:lvlJc w:val="right"/>
      <w:pPr>
        <w:ind w:left="6815" w:hanging="180"/>
      </w:pPr>
    </w:lvl>
    <w:lvl w:ilvl="6" w:tplc="0C0A000F" w:tentative="1">
      <w:start w:val="1"/>
      <w:numFmt w:val="decimal"/>
      <w:lvlText w:val="%7."/>
      <w:lvlJc w:val="left"/>
      <w:pPr>
        <w:ind w:left="7535" w:hanging="360"/>
      </w:pPr>
    </w:lvl>
    <w:lvl w:ilvl="7" w:tplc="0C0A0019" w:tentative="1">
      <w:start w:val="1"/>
      <w:numFmt w:val="lowerLetter"/>
      <w:lvlText w:val="%8."/>
      <w:lvlJc w:val="left"/>
      <w:pPr>
        <w:ind w:left="8255" w:hanging="360"/>
      </w:pPr>
    </w:lvl>
    <w:lvl w:ilvl="8" w:tplc="0C0A001B" w:tentative="1">
      <w:start w:val="1"/>
      <w:numFmt w:val="lowerRoman"/>
      <w:lvlText w:val="%9."/>
      <w:lvlJc w:val="right"/>
      <w:pPr>
        <w:ind w:left="8975" w:hanging="180"/>
      </w:pPr>
    </w:lvl>
  </w:abstractNum>
  <w:abstractNum w:abstractNumId="1">
    <w:nsid w:val="171113A7"/>
    <w:multiLevelType w:val="multilevel"/>
    <w:tmpl w:val="48241D10"/>
    <w:numStyleLink w:val="Normallist"/>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3">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hint="default"/>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5">
    <w:nsid w:val="44D5657A"/>
    <w:multiLevelType w:val="hybridMultilevel"/>
    <w:tmpl w:val="C9007ADA"/>
    <w:lvl w:ilvl="0" w:tplc="0409000F">
      <w:start w:val="1"/>
      <w:numFmt w:val="decimal"/>
      <w:lvlText w:val="%1."/>
      <w:lvlJc w:val="left"/>
      <w:pPr>
        <w:ind w:left="1967" w:hanging="360"/>
      </w:pPr>
    </w:lvl>
    <w:lvl w:ilvl="1" w:tplc="2C0A0017">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
    <w:nsid w:val="49C24FCF"/>
    <w:multiLevelType w:val="hybridMultilevel"/>
    <w:tmpl w:val="01020768"/>
    <w:lvl w:ilvl="0" w:tplc="04090017">
      <w:start w:val="1"/>
      <w:numFmt w:val="lowerLetter"/>
      <w:lvlText w:val="%1)"/>
      <w:lvlJc w:val="left"/>
      <w:pPr>
        <w:ind w:left="3215" w:hanging="360"/>
      </w:pPr>
    </w:lvl>
    <w:lvl w:ilvl="1" w:tplc="0C0A0019" w:tentative="1">
      <w:start w:val="1"/>
      <w:numFmt w:val="lowerLetter"/>
      <w:lvlText w:val="%2."/>
      <w:lvlJc w:val="left"/>
      <w:pPr>
        <w:ind w:left="3935" w:hanging="360"/>
      </w:pPr>
    </w:lvl>
    <w:lvl w:ilvl="2" w:tplc="0C0A001B" w:tentative="1">
      <w:start w:val="1"/>
      <w:numFmt w:val="lowerRoman"/>
      <w:lvlText w:val="%3."/>
      <w:lvlJc w:val="right"/>
      <w:pPr>
        <w:ind w:left="4655" w:hanging="180"/>
      </w:pPr>
    </w:lvl>
    <w:lvl w:ilvl="3" w:tplc="0C0A000F" w:tentative="1">
      <w:start w:val="1"/>
      <w:numFmt w:val="decimal"/>
      <w:lvlText w:val="%4."/>
      <w:lvlJc w:val="left"/>
      <w:pPr>
        <w:ind w:left="5375" w:hanging="360"/>
      </w:pPr>
    </w:lvl>
    <w:lvl w:ilvl="4" w:tplc="0C0A0019" w:tentative="1">
      <w:start w:val="1"/>
      <w:numFmt w:val="lowerLetter"/>
      <w:lvlText w:val="%5."/>
      <w:lvlJc w:val="left"/>
      <w:pPr>
        <w:ind w:left="6095" w:hanging="360"/>
      </w:pPr>
    </w:lvl>
    <w:lvl w:ilvl="5" w:tplc="0C0A001B" w:tentative="1">
      <w:start w:val="1"/>
      <w:numFmt w:val="lowerRoman"/>
      <w:lvlText w:val="%6."/>
      <w:lvlJc w:val="right"/>
      <w:pPr>
        <w:ind w:left="6815" w:hanging="180"/>
      </w:pPr>
    </w:lvl>
    <w:lvl w:ilvl="6" w:tplc="0C0A000F" w:tentative="1">
      <w:start w:val="1"/>
      <w:numFmt w:val="decimal"/>
      <w:lvlText w:val="%7."/>
      <w:lvlJc w:val="left"/>
      <w:pPr>
        <w:ind w:left="7535" w:hanging="360"/>
      </w:pPr>
    </w:lvl>
    <w:lvl w:ilvl="7" w:tplc="0C0A0019" w:tentative="1">
      <w:start w:val="1"/>
      <w:numFmt w:val="lowerLetter"/>
      <w:lvlText w:val="%8."/>
      <w:lvlJc w:val="left"/>
      <w:pPr>
        <w:ind w:left="8255" w:hanging="360"/>
      </w:pPr>
    </w:lvl>
    <w:lvl w:ilvl="8" w:tplc="0C0A001B" w:tentative="1">
      <w:start w:val="1"/>
      <w:numFmt w:val="lowerRoman"/>
      <w:lvlText w:val="%9."/>
      <w:lvlJc w:val="right"/>
      <w:pPr>
        <w:ind w:left="8975" w:hanging="180"/>
      </w:pPr>
    </w:lvl>
  </w:abstractNum>
  <w:abstractNum w:abstractNumId="7">
    <w:nsid w:val="4A525E7C"/>
    <w:multiLevelType w:val="hybridMultilevel"/>
    <w:tmpl w:val="EAC40E3E"/>
    <w:lvl w:ilvl="0" w:tplc="04090017">
      <w:start w:val="1"/>
      <w:numFmt w:val="lowerLetter"/>
      <w:lvlText w:val="%1)"/>
      <w:lvlJc w:val="left"/>
      <w:pPr>
        <w:ind w:left="3215" w:hanging="360"/>
      </w:pPr>
    </w:lvl>
    <w:lvl w:ilvl="1" w:tplc="0C0A0019" w:tentative="1">
      <w:start w:val="1"/>
      <w:numFmt w:val="lowerLetter"/>
      <w:lvlText w:val="%2."/>
      <w:lvlJc w:val="left"/>
      <w:pPr>
        <w:ind w:left="3935" w:hanging="360"/>
      </w:pPr>
    </w:lvl>
    <w:lvl w:ilvl="2" w:tplc="0C0A001B" w:tentative="1">
      <w:start w:val="1"/>
      <w:numFmt w:val="lowerRoman"/>
      <w:lvlText w:val="%3."/>
      <w:lvlJc w:val="right"/>
      <w:pPr>
        <w:ind w:left="4655" w:hanging="180"/>
      </w:pPr>
    </w:lvl>
    <w:lvl w:ilvl="3" w:tplc="0C0A000F" w:tentative="1">
      <w:start w:val="1"/>
      <w:numFmt w:val="decimal"/>
      <w:lvlText w:val="%4."/>
      <w:lvlJc w:val="left"/>
      <w:pPr>
        <w:ind w:left="5375" w:hanging="360"/>
      </w:pPr>
    </w:lvl>
    <w:lvl w:ilvl="4" w:tplc="0C0A0019" w:tentative="1">
      <w:start w:val="1"/>
      <w:numFmt w:val="lowerLetter"/>
      <w:lvlText w:val="%5."/>
      <w:lvlJc w:val="left"/>
      <w:pPr>
        <w:ind w:left="6095" w:hanging="360"/>
      </w:pPr>
    </w:lvl>
    <w:lvl w:ilvl="5" w:tplc="0C0A001B" w:tentative="1">
      <w:start w:val="1"/>
      <w:numFmt w:val="lowerRoman"/>
      <w:lvlText w:val="%6."/>
      <w:lvlJc w:val="right"/>
      <w:pPr>
        <w:ind w:left="6815" w:hanging="180"/>
      </w:pPr>
    </w:lvl>
    <w:lvl w:ilvl="6" w:tplc="0C0A000F" w:tentative="1">
      <w:start w:val="1"/>
      <w:numFmt w:val="decimal"/>
      <w:lvlText w:val="%7."/>
      <w:lvlJc w:val="left"/>
      <w:pPr>
        <w:ind w:left="7535" w:hanging="360"/>
      </w:pPr>
    </w:lvl>
    <w:lvl w:ilvl="7" w:tplc="0C0A0019" w:tentative="1">
      <w:start w:val="1"/>
      <w:numFmt w:val="lowerLetter"/>
      <w:lvlText w:val="%8."/>
      <w:lvlJc w:val="left"/>
      <w:pPr>
        <w:ind w:left="8255" w:hanging="360"/>
      </w:pPr>
    </w:lvl>
    <w:lvl w:ilvl="8" w:tplc="0C0A001B" w:tentative="1">
      <w:start w:val="1"/>
      <w:numFmt w:val="lowerRoman"/>
      <w:lvlText w:val="%9."/>
      <w:lvlJc w:val="right"/>
      <w:pPr>
        <w:ind w:left="8975" w:hanging="180"/>
      </w:pPr>
    </w:lvl>
  </w:abstractNum>
  <w:abstractNum w:abstractNumId="8">
    <w:nsid w:val="52A66A9D"/>
    <w:multiLevelType w:val="multilevel"/>
    <w:tmpl w:val="48241D10"/>
    <w:styleLink w:val="Normallist"/>
    <w:lvl w:ilvl="0">
      <w:start w:val="1"/>
      <w:numFmt w:val="decimal"/>
      <w:pStyle w:val="Normalnumber"/>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9">
    <w:nsid w:val="6015417E"/>
    <w:multiLevelType w:val="hybridMultilevel"/>
    <w:tmpl w:val="8FDEAB52"/>
    <w:lvl w:ilvl="0" w:tplc="04090017">
      <w:start w:val="1"/>
      <w:numFmt w:val="lowerLetter"/>
      <w:lvlText w:val="%1)"/>
      <w:lvlJc w:val="left"/>
      <w:pPr>
        <w:ind w:left="3215" w:hanging="360"/>
      </w:pPr>
    </w:lvl>
    <w:lvl w:ilvl="1" w:tplc="0C0A0019" w:tentative="1">
      <w:start w:val="1"/>
      <w:numFmt w:val="lowerLetter"/>
      <w:lvlText w:val="%2."/>
      <w:lvlJc w:val="left"/>
      <w:pPr>
        <w:ind w:left="3935" w:hanging="360"/>
      </w:pPr>
    </w:lvl>
    <w:lvl w:ilvl="2" w:tplc="0C0A001B" w:tentative="1">
      <w:start w:val="1"/>
      <w:numFmt w:val="lowerRoman"/>
      <w:lvlText w:val="%3."/>
      <w:lvlJc w:val="right"/>
      <w:pPr>
        <w:ind w:left="4655" w:hanging="180"/>
      </w:pPr>
    </w:lvl>
    <w:lvl w:ilvl="3" w:tplc="0C0A000F" w:tentative="1">
      <w:start w:val="1"/>
      <w:numFmt w:val="decimal"/>
      <w:lvlText w:val="%4."/>
      <w:lvlJc w:val="left"/>
      <w:pPr>
        <w:ind w:left="5375" w:hanging="360"/>
      </w:pPr>
    </w:lvl>
    <w:lvl w:ilvl="4" w:tplc="0C0A0019" w:tentative="1">
      <w:start w:val="1"/>
      <w:numFmt w:val="lowerLetter"/>
      <w:lvlText w:val="%5."/>
      <w:lvlJc w:val="left"/>
      <w:pPr>
        <w:ind w:left="6095" w:hanging="360"/>
      </w:pPr>
    </w:lvl>
    <w:lvl w:ilvl="5" w:tplc="0C0A001B" w:tentative="1">
      <w:start w:val="1"/>
      <w:numFmt w:val="lowerRoman"/>
      <w:lvlText w:val="%6."/>
      <w:lvlJc w:val="right"/>
      <w:pPr>
        <w:ind w:left="6815" w:hanging="180"/>
      </w:pPr>
    </w:lvl>
    <w:lvl w:ilvl="6" w:tplc="0C0A000F" w:tentative="1">
      <w:start w:val="1"/>
      <w:numFmt w:val="decimal"/>
      <w:lvlText w:val="%7."/>
      <w:lvlJc w:val="left"/>
      <w:pPr>
        <w:ind w:left="7535" w:hanging="360"/>
      </w:pPr>
    </w:lvl>
    <w:lvl w:ilvl="7" w:tplc="0C0A0019" w:tentative="1">
      <w:start w:val="1"/>
      <w:numFmt w:val="lowerLetter"/>
      <w:lvlText w:val="%8."/>
      <w:lvlJc w:val="left"/>
      <w:pPr>
        <w:ind w:left="8255" w:hanging="360"/>
      </w:pPr>
    </w:lvl>
    <w:lvl w:ilvl="8" w:tplc="0C0A001B" w:tentative="1">
      <w:start w:val="1"/>
      <w:numFmt w:val="lowerRoman"/>
      <w:lvlText w:val="%9."/>
      <w:lvlJc w:val="right"/>
      <w:pPr>
        <w:ind w:left="8975" w:hanging="180"/>
      </w:pPr>
    </w:lvl>
  </w:abstractNum>
  <w:abstractNum w:abstractNumId="10">
    <w:nsid w:val="60CA0230"/>
    <w:multiLevelType w:val="hybridMultilevel"/>
    <w:tmpl w:val="4F7CDB46"/>
    <w:lvl w:ilvl="0" w:tplc="04090017">
      <w:start w:val="1"/>
      <w:numFmt w:val="lowerLetter"/>
      <w:lvlText w:val="%1)"/>
      <w:lvlJc w:val="left"/>
      <w:pPr>
        <w:ind w:left="3215" w:hanging="360"/>
      </w:pPr>
    </w:lvl>
    <w:lvl w:ilvl="1" w:tplc="0C0A0019" w:tentative="1">
      <w:start w:val="1"/>
      <w:numFmt w:val="lowerLetter"/>
      <w:lvlText w:val="%2."/>
      <w:lvlJc w:val="left"/>
      <w:pPr>
        <w:ind w:left="3935" w:hanging="360"/>
      </w:pPr>
    </w:lvl>
    <w:lvl w:ilvl="2" w:tplc="0C0A001B" w:tentative="1">
      <w:start w:val="1"/>
      <w:numFmt w:val="lowerRoman"/>
      <w:lvlText w:val="%3."/>
      <w:lvlJc w:val="right"/>
      <w:pPr>
        <w:ind w:left="4655" w:hanging="180"/>
      </w:pPr>
    </w:lvl>
    <w:lvl w:ilvl="3" w:tplc="0C0A000F" w:tentative="1">
      <w:start w:val="1"/>
      <w:numFmt w:val="decimal"/>
      <w:lvlText w:val="%4."/>
      <w:lvlJc w:val="left"/>
      <w:pPr>
        <w:ind w:left="5375" w:hanging="360"/>
      </w:pPr>
    </w:lvl>
    <w:lvl w:ilvl="4" w:tplc="0C0A0019" w:tentative="1">
      <w:start w:val="1"/>
      <w:numFmt w:val="lowerLetter"/>
      <w:lvlText w:val="%5."/>
      <w:lvlJc w:val="left"/>
      <w:pPr>
        <w:ind w:left="6095" w:hanging="360"/>
      </w:pPr>
    </w:lvl>
    <w:lvl w:ilvl="5" w:tplc="0C0A001B" w:tentative="1">
      <w:start w:val="1"/>
      <w:numFmt w:val="lowerRoman"/>
      <w:lvlText w:val="%6."/>
      <w:lvlJc w:val="right"/>
      <w:pPr>
        <w:ind w:left="6815" w:hanging="180"/>
      </w:pPr>
    </w:lvl>
    <w:lvl w:ilvl="6" w:tplc="0C0A000F" w:tentative="1">
      <w:start w:val="1"/>
      <w:numFmt w:val="decimal"/>
      <w:lvlText w:val="%7."/>
      <w:lvlJc w:val="left"/>
      <w:pPr>
        <w:ind w:left="7535" w:hanging="360"/>
      </w:pPr>
    </w:lvl>
    <w:lvl w:ilvl="7" w:tplc="0C0A0019" w:tentative="1">
      <w:start w:val="1"/>
      <w:numFmt w:val="lowerLetter"/>
      <w:lvlText w:val="%8."/>
      <w:lvlJc w:val="left"/>
      <w:pPr>
        <w:ind w:left="8255" w:hanging="360"/>
      </w:pPr>
    </w:lvl>
    <w:lvl w:ilvl="8" w:tplc="0C0A001B" w:tentative="1">
      <w:start w:val="1"/>
      <w:numFmt w:val="lowerRoman"/>
      <w:lvlText w:val="%9."/>
      <w:lvlJc w:val="right"/>
      <w:pPr>
        <w:ind w:left="8975" w:hanging="180"/>
      </w:pPr>
    </w:lvl>
  </w:abstractNum>
  <w:abstractNum w:abstractNumId="11">
    <w:nsid w:val="69DF5A04"/>
    <w:multiLevelType w:val="hybridMultilevel"/>
    <w:tmpl w:val="4F7CDB46"/>
    <w:lvl w:ilvl="0" w:tplc="04090017">
      <w:start w:val="1"/>
      <w:numFmt w:val="lowerLetter"/>
      <w:lvlText w:val="%1)"/>
      <w:lvlJc w:val="left"/>
      <w:pPr>
        <w:ind w:left="3215" w:hanging="360"/>
      </w:pPr>
    </w:lvl>
    <w:lvl w:ilvl="1" w:tplc="0C0A0019" w:tentative="1">
      <w:start w:val="1"/>
      <w:numFmt w:val="lowerLetter"/>
      <w:lvlText w:val="%2."/>
      <w:lvlJc w:val="left"/>
      <w:pPr>
        <w:ind w:left="3935" w:hanging="360"/>
      </w:pPr>
    </w:lvl>
    <w:lvl w:ilvl="2" w:tplc="0C0A001B" w:tentative="1">
      <w:start w:val="1"/>
      <w:numFmt w:val="lowerRoman"/>
      <w:lvlText w:val="%3."/>
      <w:lvlJc w:val="right"/>
      <w:pPr>
        <w:ind w:left="4655" w:hanging="180"/>
      </w:pPr>
    </w:lvl>
    <w:lvl w:ilvl="3" w:tplc="0C0A000F" w:tentative="1">
      <w:start w:val="1"/>
      <w:numFmt w:val="decimal"/>
      <w:lvlText w:val="%4."/>
      <w:lvlJc w:val="left"/>
      <w:pPr>
        <w:ind w:left="5375" w:hanging="360"/>
      </w:pPr>
    </w:lvl>
    <w:lvl w:ilvl="4" w:tplc="0C0A0019" w:tentative="1">
      <w:start w:val="1"/>
      <w:numFmt w:val="lowerLetter"/>
      <w:lvlText w:val="%5."/>
      <w:lvlJc w:val="left"/>
      <w:pPr>
        <w:ind w:left="6095" w:hanging="360"/>
      </w:pPr>
    </w:lvl>
    <w:lvl w:ilvl="5" w:tplc="0C0A001B" w:tentative="1">
      <w:start w:val="1"/>
      <w:numFmt w:val="lowerRoman"/>
      <w:lvlText w:val="%6."/>
      <w:lvlJc w:val="right"/>
      <w:pPr>
        <w:ind w:left="6815" w:hanging="180"/>
      </w:pPr>
    </w:lvl>
    <w:lvl w:ilvl="6" w:tplc="0C0A000F" w:tentative="1">
      <w:start w:val="1"/>
      <w:numFmt w:val="decimal"/>
      <w:lvlText w:val="%7."/>
      <w:lvlJc w:val="left"/>
      <w:pPr>
        <w:ind w:left="7535" w:hanging="360"/>
      </w:pPr>
    </w:lvl>
    <w:lvl w:ilvl="7" w:tplc="0C0A0019" w:tentative="1">
      <w:start w:val="1"/>
      <w:numFmt w:val="lowerLetter"/>
      <w:lvlText w:val="%8."/>
      <w:lvlJc w:val="left"/>
      <w:pPr>
        <w:ind w:left="8255" w:hanging="360"/>
      </w:pPr>
    </w:lvl>
    <w:lvl w:ilvl="8" w:tplc="0C0A001B" w:tentative="1">
      <w:start w:val="1"/>
      <w:numFmt w:val="lowerRoman"/>
      <w:lvlText w:val="%9."/>
      <w:lvlJc w:val="right"/>
      <w:pPr>
        <w:ind w:left="8975" w:hanging="180"/>
      </w:pPr>
    </w:lvl>
  </w:abstractNum>
  <w:abstractNum w:abstractNumId="12">
    <w:nsid w:val="77764BBC"/>
    <w:multiLevelType w:val="hybridMultilevel"/>
    <w:tmpl w:val="48A0A0C8"/>
    <w:lvl w:ilvl="0" w:tplc="04090017">
      <w:start w:val="1"/>
      <w:numFmt w:val="lowerLetter"/>
      <w:lvlText w:val="%1)"/>
      <w:lvlJc w:val="left"/>
      <w:pPr>
        <w:ind w:left="3215" w:hanging="360"/>
      </w:pPr>
    </w:lvl>
    <w:lvl w:ilvl="1" w:tplc="0C0A0019" w:tentative="1">
      <w:start w:val="1"/>
      <w:numFmt w:val="lowerLetter"/>
      <w:lvlText w:val="%2."/>
      <w:lvlJc w:val="left"/>
      <w:pPr>
        <w:ind w:left="3935" w:hanging="360"/>
      </w:pPr>
    </w:lvl>
    <w:lvl w:ilvl="2" w:tplc="0C0A001B" w:tentative="1">
      <w:start w:val="1"/>
      <w:numFmt w:val="lowerRoman"/>
      <w:lvlText w:val="%3."/>
      <w:lvlJc w:val="right"/>
      <w:pPr>
        <w:ind w:left="4655" w:hanging="180"/>
      </w:pPr>
    </w:lvl>
    <w:lvl w:ilvl="3" w:tplc="0C0A000F" w:tentative="1">
      <w:start w:val="1"/>
      <w:numFmt w:val="decimal"/>
      <w:lvlText w:val="%4."/>
      <w:lvlJc w:val="left"/>
      <w:pPr>
        <w:ind w:left="5375" w:hanging="360"/>
      </w:pPr>
    </w:lvl>
    <w:lvl w:ilvl="4" w:tplc="0C0A0019" w:tentative="1">
      <w:start w:val="1"/>
      <w:numFmt w:val="lowerLetter"/>
      <w:lvlText w:val="%5."/>
      <w:lvlJc w:val="left"/>
      <w:pPr>
        <w:ind w:left="6095" w:hanging="360"/>
      </w:pPr>
    </w:lvl>
    <w:lvl w:ilvl="5" w:tplc="0C0A001B" w:tentative="1">
      <w:start w:val="1"/>
      <w:numFmt w:val="lowerRoman"/>
      <w:lvlText w:val="%6."/>
      <w:lvlJc w:val="right"/>
      <w:pPr>
        <w:ind w:left="6815" w:hanging="180"/>
      </w:pPr>
    </w:lvl>
    <w:lvl w:ilvl="6" w:tplc="0C0A000F" w:tentative="1">
      <w:start w:val="1"/>
      <w:numFmt w:val="decimal"/>
      <w:lvlText w:val="%7."/>
      <w:lvlJc w:val="left"/>
      <w:pPr>
        <w:ind w:left="7535" w:hanging="360"/>
      </w:pPr>
    </w:lvl>
    <w:lvl w:ilvl="7" w:tplc="0C0A0019" w:tentative="1">
      <w:start w:val="1"/>
      <w:numFmt w:val="lowerLetter"/>
      <w:lvlText w:val="%8."/>
      <w:lvlJc w:val="left"/>
      <w:pPr>
        <w:ind w:left="8255" w:hanging="360"/>
      </w:pPr>
    </w:lvl>
    <w:lvl w:ilvl="8" w:tplc="0C0A001B" w:tentative="1">
      <w:start w:val="1"/>
      <w:numFmt w:val="lowerRoman"/>
      <w:lvlText w:val="%9."/>
      <w:lvlJc w:val="right"/>
      <w:pPr>
        <w:ind w:left="8975" w:hanging="180"/>
      </w:pPr>
    </w:lvl>
  </w:abstractNum>
  <w:num w:numId="1">
    <w:abstractNumId w:val="2"/>
  </w:num>
  <w:num w:numId="2">
    <w:abstractNumId w:val="4"/>
  </w:num>
  <w:num w:numId="3">
    <w:abstractNumId w:val="8"/>
  </w:num>
  <w:num w:numId="4">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5">
    <w:abstractNumId w:val="3"/>
  </w:num>
  <w:num w:numId="6">
    <w:abstractNumId w:val="5"/>
  </w:num>
  <w:num w:numId="7">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8">
    <w:abstractNumId w:val="11"/>
  </w:num>
  <w:num w:numId="9">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0">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1">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2">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3">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4">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5">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6">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7">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8">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9">
    <w:abstractNumId w:val="10"/>
  </w:num>
  <w:num w:numId="20">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1">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2">
    <w:abstractNumId w:val="7"/>
  </w:num>
  <w:num w:numId="23">
    <w:abstractNumId w:val="9"/>
  </w:num>
  <w:num w:numId="24">
    <w:abstractNumId w:val="6"/>
  </w:num>
  <w:num w:numId="25">
    <w:abstractNumId w:val="12"/>
  </w:num>
  <w:num w:numId="26">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7">
    <w:abstractNumId w:val="0"/>
  </w:num>
  <w:num w:numId="28">
    <w:abstractNumId w:val="1"/>
    <w:lvlOverride w:ilvl="0">
      <w:lvl w:ilvl="0">
        <w:start w:val="1"/>
        <w:numFmt w:val="decimal"/>
        <w:pStyle w:val="Normalnumber"/>
        <w:lvlText w:val="%1."/>
        <w:lvlJc w:val="left"/>
        <w:pPr>
          <w:ind w:left="1080" w:hanging="360"/>
        </w:pPr>
      </w:lvl>
    </w:lvlOverride>
    <w:lvlOverride w:ilvl="1">
      <w:lvl w:ilvl="1">
        <w:start w:val="1"/>
        <w:numFmt w:val="lowerLetter"/>
        <w:lvlText w:val="%2)"/>
        <w:lvlJc w:val="left"/>
        <w:pPr>
          <w:ind w:left="1800" w:hanging="360"/>
        </w:pPr>
        <w:rPr>
          <w:rFonts w:ascii="Times New Roman" w:eastAsia="Times New Roman"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001"/>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621F9B"/>
    <w:rsid w:val="00003059"/>
    <w:rsid w:val="00004628"/>
    <w:rsid w:val="000103D3"/>
    <w:rsid w:val="0001354D"/>
    <w:rsid w:val="000149E6"/>
    <w:rsid w:val="000155C7"/>
    <w:rsid w:val="00022086"/>
    <w:rsid w:val="00022A2B"/>
    <w:rsid w:val="00023E32"/>
    <w:rsid w:val="000247B0"/>
    <w:rsid w:val="00025F3C"/>
    <w:rsid w:val="00026997"/>
    <w:rsid w:val="000275D5"/>
    <w:rsid w:val="00031D22"/>
    <w:rsid w:val="00032DB5"/>
    <w:rsid w:val="00033E0B"/>
    <w:rsid w:val="00035EDE"/>
    <w:rsid w:val="000440BA"/>
    <w:rsid w:val="000458EE"/>
    <w:rsid w:val="0004779A"/>
    <w:rsid w:val="000509B4"/>
    <w:rsid w:val="00055BA7"/>
    <w:rsid w:val="00071886"/>
    <w:rsid w:val="00072509"/>
    <w:rsid w:val="000742BC"/>
    <w:rsid w:val="00081E43"/>
    <w:rsid w:val="00082A0C"/>
    <w:rsid w:val="00086F5B"/>
    <w:rsid w:val="000917E8"/>
    <w:rsid w:val="00094221"/>
    <w:rsid w:val="0009640C"/>
    <w:rsid w:val="000B59B2"/>
    <w:rsid w:val="000B5E13"/>
    <w:rsid w:val="000C0B07"/>
    <w:rsid w:val="000C3687"/>
    <w:rsid w:val="000C665C"/>
    <w:rsid w:val="000D33C0"/>
    <w:rsid w:val="000D523B"/>
    <w:rsid w:val="000E13EF"/>
    <w:rsid w:val="000E5F2E"/>
    <w:rsid w:val="000F3B6C"/>
    <w:rsid w:val="00100853"/>
    <w:rsid w:val="00102111"/>
    <w:rsid w:val="0010766C"/>
    <w:rsid w:val="001077B0"/>
    <w:rsid w:val="0011791B"/>
    <w:rsid w:val="001202E3"/>
    <w:rsid w:val="00121A8F"/>
    <w:rsid w:val="00125400"/>
    <w:rsid w:val="00127A76"/>
    <w:rsid w:val="0013059D"/>
    <w:rsid w:val="00140653"/>
    <w:rsid w:val="00141A55"/>
    <w:rsid w:val="00154C3D"/>
    <w:rsid w:val="001554A3"/>
    <w:rsid w:val="00156281"/>
    <w:rsid w:val="00156B8E"/>
    <w:rsid w:val="001603B7"/>
    <w:rsid w:val="00164CAC"/>
    <w:rsid w:val="001673CF"/>
    <w:rsid w:val="00181BC9"/>
    <w:rsid w:val="00181EC8"/>
    <w:rsid w:val="00184349"/>
    <w:rsid w:val="00187A5D"/>
    <w:rsid w:val="0019268D"/>
    <w:rsid w:val="001962C1"/>
    <w:rsid w:val="001B0555"/>
    <w:rsid w:val="001B08F0"/>
    <w:rsid w:val="001B1617"/>
    <w:rsid w:val="001C1BC4"/>
    <w:rsid w:val="001C3A3A"/>
    <w:rsid w:val="001D3874"/>
    <w:rsid w:val="001D4810"/>
    <w:rsid w:val="001D7E75"/>
    <w:rsid w:val="001E0F0C"/>
    <w:rsid w:val="001E3147"/>
    <w:rsid w:val="001E56D2"/>
    <w:rsid w:val="001E7D56"/>
    <w:rsid w:val="001F034F"/>
    <w:rsid w:val="001F0A02"/>
    <w:rsid w:val="001F65A5"/>
    <w:rsid w:val="001F6E9A"/>
    <w:rsid w:val="001F75DE"/>
    <w:rsid w:val="00200D58"/>
    <w:rsid w:val="002013BE"/>
    <w:rsid w:val="002063A4"/>
    <w:rsid w:val="0021145B"/>
    <w:rsid w:val="00214E25"/>
    <w:rsid w:val="0021528D"/>
    <w:rsid w:val="00217010"/>
    <w:rsid w:val="002179B9"/>
    <w:rsid w:val="00221239"/>
    <w:rsid w:val="00221AE7"/>
    <w:rsid w:val="00234B58"/>
    <w:rsid w:val="002463AF"/>
    <w:rsid w:val="002464B8"/>
    <w:rsid w:val="00247707"/>
    <w:rsid w:val="00252DCF"/>
    <w:rsid w:val="00257D81"/>
    <w:rsid w:val="002607A0"/>
    <w:rsid w:val="002632F3"/>
    <w:rsid w:val="00265795"/>
    <w:rsid w:val="00271A4F"/>
    <w:rsid w:val="002726CF"/>
    <w:rsid w:val="002773E9"/>
    <w:rsid w:val="002775ED"/>
    <w:rsid w:val="00286740"/>
    <w:rsid w:val="00286F23"/>
    <w:rsid w:val="00287CDB"/>
    <w:rsid w:val="00287E60"/>
    <w:rsid w:val="00291EAD"/>
    <w:rsid w:val="002929D8"/>
    <w:rsid w:val="002A237D"/>
    <w:rsid w:val="002A4BC8"/>
    <w:rsid w:val="002A4C53"/>
    <w:rsid w:val="002A564F"/>
    <w:rsid w:val="002A6A11"/>
    <w:rsid w:val="002B035E"/>
    <w:rsid w:val="002B3330"/>
    <w:rsid w:val="002C145D"/>
    <w:rsid w:val="002C2C3E"/>
    <w:rsid w:val="002C533E"/>
    <w:rsid w:val="002C7132"/>
    <w:rsid w:val="002C7DC0"/>
    <w:rsid w:val="002D027F"/>
    <w:rsid w:val="002D23A7"/>
    <w:rsid w:val="002D7B60"/>
    <w:rsid w:val="002E32EA"/>
    <w:rsid w:val="002F4761"/>
    <w:rsid w:val="003056C1"/>
    <w:rsid w:val="00310FD1"/>
    <w:rsid w:val="0031413F"/>
    <w:rsid w:val="00315840"/>
    <w:rsid w:val="00322558"/>
    <w:rsid w:val="0032779E"/>
    <w:rsid w:val="00335A87"/>
    <w:rsid w:val="00336901"/>
    <w:rsid w:val="0034374D"/>
    <w:rsid w:val="003446B5"/>
    <w:rsid w:val="0034548C"/>
    <w:rsid w:val="003503B6"/>
    <w:rsid w:val="00352F22"/>
    <w:rsid w:val="00355EA9"/>
    <w:rsid w:val="00372565"/>
    <w:rsid w:val="003742B3"/>
    <w:rsid w:val="00385963"/>
    <w:rsid w:val="00385B83"/>
    <w:rsid w:val="00396257"/>
    <w:rsid w:val="00397909"/>
    <w:rsid w:val="00397EB8"/>
    <w:rsid w:val="003A4B07"/>
    <w:rsid w:val="003A4C16"/>
    <w:rsid w:val="003A4FD0"/>
    <w:rsid w:val="003A69D1"/>
    <w:rsid w:val="003B0C0D"/>
    <w:rsid w:val="003B1545"/>
    <w:rsid w:val="003B25C3"/>
    <w:rsid w:val="003C2EE9"/>
    <w:rsid w:val="003C409D"/>
    <w:rsid w:val="003C4EFB"/>
    <w:rsid w:val="003C5875"/>
    <w:rsid w:val="003C64CE"/>
    <w:rsid w:val="003D2A96"/>
    <w:rsid w:val="003D5626"/>
    <w:rsid w:val="003D663F"/>
    <w:rsid w:val="003E09A0"/>
    <w:rsid w:val="003E395B"/>
    <w:rsid w:val="003E6679"/>
    <w:rsid w:val="003E7728"/>
    <w:rsid w:val="003F0E85"/>
    <w:rsid w:val="00400A93"/>
    <w:rsid w:val="00400EFD"/>
    <w:rsid w:val="00406E7E"/>
    <w:rsid w:val="00410C55"/>
    <w:rsid w:val="004121C4"/>
    <w:rsid w:val="00413942"/>
    <w:rsid w:val="00413F17"/>
    <w:rsid w:val="0041604C"/>
    <w:rsid w:val="00417725"/>
    <w:rsid w:val="004238D0"/>
    <w:rsid w:val="00425C06"/>
    <w:rsid w:val="00431EC7"/>
    <w:rsid w:val="0043472D"/>
    <w:rsid w:val="00437F26"/>
    <w:rsid w:val="00446EF6"/>
    <w:rsid w:val="00447EF3"/>
    <w:rsid w:val="00454769"/>
    <w:rsid w:val="00461D0A"/>
    <w:rsid w:val="004620B1"/>
    <w:rsid w:val="00462C3C"/>
    <w:rsid w:val="0046429E"/>
    <w:rsid w:val="004647DC"/>
    <w:rsid w:val="00466991"/>
    <w:rsid w:val="0047064C"/>
    <w:rsid w:val="00471DFA"/>
    <w:rsid w:val="004737AF"/>
    <w:rsid w:val="004827F3"/>
    <w:rsid w:val="00493E19"/>
    <w:rsid w:val="00494455"/>
    <w:rsid w:val="00495289"/>
    <w:rsid w:val="00496EFB"/>
    <w:rsid w:val="004A43C2"/>
    <w:rsid w:val="004A43F6"/>
    <w:rsid w:val="004B5666"/>
    <w:rsid w:val="004B79D5"/>
    <w:rsid w:val="004C5C96"/>
    <w:rsid w:val="004D06A4"/>
    <w:rsid w:val="004D213C"/>
    <w:rsid w:val="004F1A81"/>
    <w:rsid w:val="004F2D0E"/>
    <w:rsid w:val="004F6395"/>
    <w:rsid w:val="00502723"/>
    <w:rsid w:val="0050619E"/>
    <w:rsid w:val="0051335F"/>
    <w:rsid w:val="005160EC"/>
    <w:rsid w:val="005218D9"/>
    <w:rsid w:val="005269C4"/>
    <w:rsid w:val="00535BDA"/>
    <w:rsid w:val="00536186"/>
    <w:rsid w:val="005408F2"/>
    <w:rsid w:val="0054124B"/>
    <w:rsid w:val="00543454"/>
    <w:rsid w:val="005453ED"/>
    <w:rsid w:val="00550273"/>
    <w:rsid w:val="00550DF7"/>
    <w:rsid w:val="00563241"/>
    <w:rsid w:val="0057009C"/>
    <w:rsid w:val="0057315F"/>
    <w:rsid w:val="00573200"/>
    <w:rsid w:val="005732F4"/>
    <w:rsid w:val="00574792"/>
    <w:rsid w:val="00576B92"/>
    <w:rsid w:val="00580152"/>
    <w:rsid w:val="00584A79"/>
    <w:rsid w:val="00584B14"/>
    <w:rsid w:val="00585855"/>
    <w:rsid w:val="0058715D"/>
    <w:rsid w:val="00593734"/>
    <w:rsid w:val="005A59FE"/>
    <w:rsid w:val="005A7DCF"/>
    <w:rsid w:val="005B584B"/>
    <w:rsid w:val="005B7D60"/>
    <w:rsid w:val="005C00D1"/>
    <w:rsid w:val="005C67C8"/>
    <w:rsid w:val="005C7DB6"/>
    <w:rsid w:val="005D0249"/>
    <w:rsid w:val="005D034F"/>
    <w:rsid w:val="005D0872"/>
    <w:rsid w:val="005D4E57"/>
    <w:rsid w:val="005D53E7"/>
    <w:rsid w:val="005D745E"/>
    <w:rsid w:val="005E161D"/>
    <w:rsid w:val="005E1FD7"/>
    <w:rsid w:val="005F100C"/>
    <w:rsid w:val="005F1648"/>
    <w:rsid w:val="005F506D"/>
    <w:rsid w:val="005F7986"/>
    <w:rsid w:val="006052A9"/>
    <w:rsid w:val="0061071C"/>
    <w:rsid w:val="00620F1E"/>
    <w:rsid w:val="00621F9B"/>
    <w:rsid w:val="00623998"/>
    <w:rsid w:val="006252F5"/>
    <w:rsid w:val="00625577"/>
    <w:rsid w:val="006303B4"/>
    <w:rsid w:val="006370DB"/>
    <w:rsid w:val="00637CE4"/>
    <w:rsid w:val="00641703"/>
    <w:rsid w:val="006431A6"/>
    <w:rsid w:val="006459F6"/>
    <w:rsid w:val="006474E9"/>
    <w:rsid w:val="0064783A"/>
    <w:rsid w:val="006501AD"/>
    <w:rsid w:val="00651BFA"/>
    <w:rsid w:val="00651E50"/>
    <w:rsid w:val="00656C8E"/>
    <w:rsid w:val="006578DD"/>
    <w:rsid w:val="006620F4"/>
    <w:rsid w:val="0067492E"/>
    <w:rsid w:val="00677290"/>
    <w:rsid w:val="00682641"/>
    <w:rsid w:val="006863AD"/>
    <w:rsid w:val="00686FD9"/>
    <w:rsid w:val="00690F95"/>
    <w:rsid w:val="00692E2A"/>
    <w:rsid w:val="00696FF8"/>
    <w:rsid w:val="006A59DE"/>
    <w:rsid w:val="006A76F2"/>
    <w:rsid w:val="006B5D55"/>
    <w:rsid w:val="006B7539"/>
    <w:rsid w:val="006C3C12"/>
    <w:rsid w:val="006C740F"/>
    <w:rsid w:val="006D7EFB"/>
    <w:rsid w:val="006E3441"/>
    <w:rsid w:val="006E5E31"/>
    <w:rsid w:val="006E6722"/>
    <w:rsid w:val="006F2821"/>
    <w:rsid w:val="00701129"/>
    <w:rsid w:val="007027B9"/>
    <w:rsid w:val="007050BC"/>
    <w:rsid w:val="00705F05"/>
    <w:rsid w:val="0071088A"/>
    <w:rsid w:val="007144C2"/>
    <w:rsid w:val="00715E88"/>
    <w:rsid w:val="00721E28"/>
    <w:rsid w:val="0072504C"/>
    <w:rsid w:val="00726CC0"/>
    <w:rsid w:val="007312FC"/>
    <w:rsid w:val="00734CAA"/>
    <w:rsid w:val="00745F24"/>
    <w:rsid w:val="00756DB7"/>
    <w:rsid w:val="00757581"/>
    <w:rsid w:val="00757CA2"/>
    <w:rsid w:val="0076107C"/>
    <w:rsid w:val="007737A8"/>
    <w:rsid w:val="007964D9"/>
    <w:rsid w:val="007A5746"/>
    <w:rsid w:val="007A5C12"/>
    <w:rsid w:val="007B2E50"/>
    <w:rsid w:val="007B5622"/>
    <w:rsid w:val="007C2541"/>
    <w:rsid w:val="007D5D6C"/>
    <w:rsid w:val="007D7245"/>
    <w:rsid w:val="007E003F"/>
    <w:rsid w:val="007F154E"/>
    <w:rsid w:val="007F72D1"/>
    <w:rsid w:val="008019EB"/>
    <w:rsid w:val="00801F25"/>
    <w:rsid w:val="00804B9B"/>
    <w:rsid w:val="00805E39"/>
    <w:rsid w:val="0080755F"/>
    <w:rsid w:val="00823C00"/>
    <w:rsid w:val="00830E26"/>
    <w:rsid w:val="00843576"/>
    <w:rsid w:val="00843B64"/>
    <w:rsid w:val="00845096"/>
    <w:rsid w:val="00853B8B"/>
    <w:rsid w:val="00854EB8"/>
    <w:rsid w:val="0086157B"/>
    <w:rsid w:val="00867BFF"/>
    <w:rsid w:val="008739BA"/>
    <w:rsid w:val="00880504"/>
    <w:rsid w:val="0088480A"/>
    <w:rsid w:val="00891B46"/>
    <w:rsid w:val="008926EC"/>
    <w:rsid w:val="00892B5A"/>
    <w:rsid w:val="008957DD"/>
    <w:rsid w:val="00897D98"/>
    <w:rsid w:val="008A6DF2"/>
    <w:rsid w:val="008B79B4"/>
    <w:rsid w:val="008C005A"/>
    <w:rsid w:val="008C76A4"/>
    <w:rsid w:val="008C7C17"/>
    <w:rsid w:val="008D0E23"/>
    <w:rsid w:val="008D37C3"/>
    <w:rsid w:val="008D6BA0"/>
    <w:rsid w:val="008D7C99"/>
    <w:rsid w:val="008E0FCB"/>
    <w:rsid w:val="008F0386"/>
    <w:rsid w:val="008F0D53"/>
    <w:rsid w:val="008F3E62"/>
    <w:rsid w:val="008F52D0"/>
    <w:rsid w:val="008F5894"/>
    <w:rsid w:val="00900BB6"/>
    <w:rsid w:val="00911AB0"/>
    <w:rsid w:val="00913975"/>
    <w:rsid w:val="00914084"/>
    <w:rsid w:val="00916D6B"/>
    <w:rsid w:val="009203C3"/>
    <w:rsid w:val="0092178C"/>
    <w:rsid w:val="009271DE"/>
    <w:rsid w:val="00927296"/>
    <w:rsid w:val="009332C9"/>
    <w:rsid w:val="00937AA0"/>
    <w:rsid w:val="00940DCC"/>
    <w:rsid w:val="0094179A"/>
    <w:rsid w:val="00943BDB"/>
    <w:rsid w:val="00944448"/>
    <w:rsid w:val="0094459E"/>
    <w:rsid w:val="00944DBC"/>
    <w:rsid w:val="00950977"/>
    <w:rsid w:val="00951A7B"/>
    <w:rsid w:val="0095574F"/>
    <w:rsid w:val="009564A6"/>
    <w:rsid w:val="00962B5E"/>
    <w:rsid w:val="00963208"/>
    <w:rsid w:val="00963258"/>
    <w:rsid w:val="00982011"/>
    <w:rsid w:val="00983EE2"/>
    <w:rsid w:val="009856FF"/>
    <w:rsid w:val="00986AC7"/>
    <w:rsid w:val="00986F26"/>
    <w:rsid w:val="00987898"/>
    <w:rsid w:val="0098795B"/>
    <w:rsid w:val="009A4ACC"/>
    <w:rsid w:val="009A6528"/>
    <w:rsid w:val="009B0859"/>
    <w:rsid w:val="009B463C"/>
    <w:rsid w:val="009B4A0F"/>
    <w:rsid w:val="009C1324"/>
    <w:rsid w:val="009C2890"/>
    <w:rsid w:val="009C6D94"/>
    <w:rsid w:val="009D0B63"/>
    <w:rsid w:val="009D3F3B"/>
    <w:rsid w:val="009D4D53"/>
    <w:rsid w:val="009D585B"/>
    <w:rsid w:val="009D59AB"/>
    <w:rsid w:val="009D6450"/>
    <w:rsid w:val="009E6626"/>
    <w:rsid w:val="009E6DF7"/>
    <w:rsid w:val="00A05277"/>
    <w:rsid w:val="00A1348D"/>
    <w:rsid w:val="00A13943"/>
    <w:rsid w:val="00A17BA5"/>
    <w:rsid w:val="00A232EE"/>
    <w:rsid w:val="00A349B7"/>
    <w:rsid w:val="00A4025A"/>
    <w:rsid w:val="00A41032"/>
    <w:rsid w:val="00A41B84"/>
    <w:rsid w:val="00A44411"/>
    <w:rsid w:val="00A469FA"/>
    <w:rsid w:val="00A55B01"/>
    <w:rsid w:val="00A56883"/>
    <w:rsid w:val="00A56B5B"/>
    <w:rsid w:val="00A60F26"/>
    <w:rsid w:val="00A64EE6"/>
    <w:rsid w:val="00A657DD"/>
    <w:rsid w:val="00A666A6"/>
    <w:rsid w:val="00A80611"/>
    <w:rsid w:val="00A81CD8"/>
    <w:rsid w:val="00A858F7"/>
    <w:rsid w:val="00A91D89"/>
    <w:rsid w:val="00AA31A3"/>
    <w:rsid w:val="00AA3A0E"/>
    <w:rsid w:val="00AA4E66"/>
    <w:rsid w:val="00AB2918"/>
    <w:rsid w:val="00AB5340"/>
    <w:rsid w:val="00AB7C0A"/>
    <w:rsid w:val="00AC06DF"/>
    <w:rsid w:val="00AC4A9A"/>
    <w:rsid w:val="00AC52A8"/>
    <w:rsid w:val="00AC67AE"/>
    <w:rsid w:val="00AC7C96"/>
    <w:rsid w:val="00AD21E3"/>
    <w:rsid w:val="00AD5255"/>
    <w:rsid w:val="00AD7C9B"/>
    <w:rsid w:val="00AE237D"/>
    <w:rsid w:val="00AE5B98"/>
    <w:rsid w:val="00AE7DFE"/>
    <w:rsid w:val="00AF2C85"/>
    <w:rsid w:val="00AF7249"/>
    <w:rsid w:val="00AF7C07"/>
    <w:rsid w:val="00B13586"/>
    <w:rsid w:val="00B21B99"/>
    <w:rsid w:val="00B275BB"/>
    <w:rsid w:val="00B35D0C"/>
    <w:rsid w:val="00B405B7"/>
    <w:rsid w:val="00B4262C"/>
    <w:rsid w:val="00B46490"/>
    <w:rsid w:val="00B66901"/>
    <w:rsid w:val="00B71E6D"/>
    <w:rsid w:val="00B72070"/>
    <w:rsid w:val="00B73A54"/>
    <w:rsid w:val="00B757FD"/>
    <w:rsid w:val="00B7750A"/>
    <w:rsid w:val="00B779E1"/>
    <w:rsid w:val="00B84371"/>
    <w:rsid w:val="00B84CF4"/>
    <w:rsid w:val="00B85A41"/>
    <w:rsid w:val="00B93E9C"/>
    <w:rsid w:val="00B96BF7"/>
    <w:rsid w:val="00BA1A67"/>
    <w:rsid w:val="00BB15DE"/>
    <w:rsid w:val="00BB7F71"/>
    <w:rsid w:val="00BC093D"/>
    <w:rsid w:val="00BD1B4E"/>
    <w:rsid w:val="00BD51B6"/>
    <w:rsid w:val="00BE2356"/>
    <w:rsid w:val="00BE4A96"/>
    <w:rsid w:val="00BF0F0A"/>
    <w:rsid w:val="00BF2DD2"/>
    <w:rsid w:val="00BF3703"/>
    <w:rsid w:val="00BF3DE7"/>
    <w:rsid w:val="00BF48B1"/>
    <w:rsid w:val="00BF7A7C"/>
    <w:rsid w:val="00C11156"/>
    <w:rsid w:val="00C15FB3"/>
    <w:rsid w:val="00C30C63"/>
    <w:rsid w:val="00C41236"/>
    <w:rsid w:val="00C4774A"/>
    <w:rsid w:val="00C519FC"/>
    <w:rsid w:val="00C51C3D"/>
    <w:rsid w:val="00C51F45"/>
    <w:rsid w:val="00C527F3"/>
    <w:rsid w:val="00C558DA"/>
    <w:rsid w:val="00C57664"/>
    <w:rsid w:val="00C62344"/>
    <w:rsid w:val="00C669AD"/>
    <w:rsid w:val="00C725DC"/>
    <w:rsid w:val="00C84759"/>
    <w:rsid w:val="00C93203"/>
    <w:rsid w:val="00C93A3A"/>
    <w:rsid w:val="00C95831"/>
    <w:rsid w:val="00C961BB"/>
    <w:rsid w:val="00CA2CB5"/>
    <w:rsid w:val="00CA5F73"/>
    <w:rsid w:val="00CA6C7F"/>
    <w:rsid w:val="00CB1404"/>
    <w:rsid w:val="00CB6781"/>
    <w:rsid w:val="00CC10A6"/>
    <w:rsid w:val="00CC2354"/>
    <w:rsid w:val="00CC73B3"/>
    <w:rsid w:val="00CD2A97"/>
    <w:rsid w:val="00CD3D68"/>
    <w:rsid w:val="00CD4421"/>
    <w:rsid w:val="00CD7044"/>
    <w:rsid w:val="00CD75B6"/>
    <w:rsid w:val="00CE2264"/>
    <w:rsid w:val="00CE2A2D"/>
    <w:rsid w:val="00CE435F"/>
    <w:rsid w:val="00CE48D6"/>
    <w:rsid w:val="00CE524C"/>
    <w:rsid w:val="00CE5FCF"/>
    <w:rsid w:val="00CF141F"/>
    <w:rsid w:val="00CF4777"/>
    <w:rsid w:val="00D02075"/>
    <w:rsid w:val="00D12B2C"/>
    <w:rsid w:val="00D15118"/>
    <w:rsid w:val="00D169AF"/>
    <w:rsid w:val="00D17800"/>
    <w:rsid w:val="00D20295"/>
    <w:rsid w:val="00D22513"/>
    <w:rsid w:val="00D25249"/>
    <w:rsid w:val="00D3318B"/>
    <w:rsid w:val="00D34B0D"/>
    <w:rsid w:val="00D3536A"/>
    <w:rsid w:val="00D3622B"/>
    <w:rsid w:val="00D43E8C"/>
    <w:rsid w:val="00D44172"/>
    <w:rsid w:val="00D46C05"/>
    <w:rsid w:val="00D5504A"/>
    <w:rsid w:val="00D6361C"/>
    <w:rsid w:val="00D63B8C"/>
    <w:rsid w:val="00D71D25"/>
    <w:rsid w:val="00D739CC"/>
    <w:rsid w:val="00D8093D"/>
    <w:rsid w:val="00D8108C"/>
    <w:rsid w:val="00D82D20"/>
    <w:rsid w:val="00D842AE"/>
    <w:rsid w:val="00D85FCD"/>
    <w:rsid w:val="00D87971"/>
    <w:rsid w:val="00D916ED"/>
    <w:rsid w:val="00D9211C"/>
    <w:rsid w:val="00D92DE0"/>
    <w:rsid w:val="00D93A0F"/>
    <w:rsid w:val="00D96369"/>
    <w:rsid w:val="00DA1BCA"/>
    <w:rsid w:val="00DB0967"/>
    <w:rsid w:val="00DB1194"/>
    <w:rsid w:val="00DB5B67"/>
    <w:rsid w:val="00DC438B"/>
    <w:rsid w:val="00DC46FF"/>
    <w:rsid w:val="00DD1A4F"/>
    <w:rsid w:val="00DD246E"/>
    <w:rsid w:val="00DD7C2C"/>
    <w:rsid w:val="00DE7A06"/>
    <w:rsid w:val="00DF33F6"/>
    <w:rsid w:val="00DF4796"/>
    <w:rsid w:val="00DF59F6"/>
    <w:rsid w:val="00E04301"/>
    <w:rsid w:val="00E048F4"/>
    <w:rsid w:val="00E06389"/>
    <w:rsid w:val="00E06797"/>
    <w:rsid w:val="00E0776A"/>
    <w:rsid w:val="00E10FB7"/>
    <w:rsid w:val="00E110C8"/>
    <w:rsid w:val="00E12A4E"/>
    <w:rsid w:val="00E14955"/>
    <w:rsid w:val="00E215B0"/>
    <w:rsid w:val="00E21C83"/>
    <w:rsid w:val="00E24D1D"/>
    <w:rsid w:val="00E302D9"/>
    <w:rsid w:val="00E306F1"/>
    <w:rsid w:val="00E41FB3"/>
    <w:rsid w:val="00E44F27"/>
    <w:rsid w:val="00E4612E"/>
    <w:rsid w:val="00E46D9A"/>
    <w:rsid w:val="00E46E5E"/>
    <w:rsid w:val="00E5426C"/>
    <w:rsid w:val="00E55859"/>
    <w:rsid w:val="00E565FF"/>
    <w:rsid w:val="00E579BD"/>
    <w:rsid w:val="00E65388"/>
    <w:rsid w:val="00E7494D"/>
    <w:rsid w:val="00E74B3A"/>
    <w:rsid w:val="00E76253"/>
    <w:rsid w:val="00E85B7D"/>
    <w:rsid w:val="00E9121B"/>
    <w:rsid w:val="00E91F36"/>
    <w:rsid w:val="00E95E22"/>
    <w:rsid w:val="00EA0290"/>
    <w:rsid w:val="00EA0B53"/>
    <w:rsid w:val="00EA39E5"/>
    <w:rsid w:val="00EA560C"/>
    <w:rsid w:val="00EB1B8B"/>
    <w:rsid w:val="00EC2AB0"/>
    <w:rsid w:val="00EC3219"/>
    <w:rsid w:val="00EC5A46"/>
    <w:rsid w:val="00EC63E2"/>
    <w:rsid w:val="00ED2EAD"/>
    <w:rsid w:val="00EF21F3"/>
    <w:rsid w:val="00EF22B3"/>
    <w:rsid w:val="00EF2844"/>
    <w:rsid w:val="00F01192"/>
    <w:rsid w:val="00F044F7"/>
    <w:rsid w:val="00F064C1"/>
    <w:rsid w:val="00F113DA"/>
    <w:rsid w:val="00F116F2"/>
    <w:rsid w:val="00F17D16"/>
    <w:rsid w:val="00F21894"/>
    <w:rsid w:val="00F22D44"/>
    <w:rsid w:val="00F23246"/>
    <w:rsid w:val="00F24CC5"/>
    <w:rsid w:val="00F32F67"/>
    <w:rsid w:val="00F37110"/>
    <w:rsid w:val="00F37DC8"/>
    <w:rsid w:val="00F41127"/>
    <w:rsid w:val="00F47CD5"/>
    <w:rsid w:val="00F5341A"/>
    <w:rsid w:val="00F650C3"/>
    <w:rsid w:val="00F67A48"/>
    <w:rsid w:val="00F67B29"/>
    <w:rsid w:val="00F71885"/>
    <w:rsid w:val="00F75E63"/>
    <w:rsid w:val="00F76875"/>
    <w:rsid w:val="00F8091E"/>
    <w:rsid w:val="00F8577F"/>
    <w:rsid w:val="00F8615C"/>
    <w:rsid w:val="00F9516F"/>
    <w:rsid w:val="00FB254A"/>
    <w:rsid w:val="00FB6C90"/>
    <w:rsid w:val="00FC3A18"/>
    <w:rsid w:val="00FD1519"/>
    <w:rsid w:val="00FD3954"/>
    <w:rsid w:val="00FD3EE8"/>
    <w:rsid w:val="00FD534F"/>
    <w:rsid w:val="00FD5860"/>
    <w:rsid w:val="00FE352D"/>
    <w:rsid w:val="00FE46B3"/>
    <w:rsid w:val="00FE7D62"/>
    <w:rsid w:val="00FF3183"/>
    <w:rsid w:val="00FF5590"/>
    <w:rsid w:val="00FF6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MS Mincho"/>
      <w:snapToGrid w:val="0"/>
      <w:lang w:val="en-GB" w:eastAsia="es-ES"/>
    </w:rPr>
  </w:style>
  <w:style w:type="paragraph" w:styleId="Heading1">
    <w:name w:val="heading 1"/>
    <w:basedOn w:val="Normal"/>
    <w:next w:val="Normalnumber"/>
    <w:qFormat/>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pPr>
      <w:keepNext/>
      <w:spacing w:before="240" w:after="120"/>
      <w:ind w:left="1247" w:hanging="680"/>
      <w:outlineLvl w:val="1"/>
    </w:pPr>
    <w:rPr>
      <w:b/>
      <w:sz w:val="24"/>
      <w:szCs w:val="24"/>
    </w:rPr>
  </w:style>
  <w:style w:type="paragraph" w:styleId="Heading3">
    <w:name w:val="heading 3"/>
    <w:basedOn w:val="Normal"/>
    <w:next w:val="Normalnumber"/>
    <w:autoRedefine/>
    <w:qFormat/>
    <w:pPr>
      <w:spacing w:after="120"/>
      <w:ind w:left="1304" w:hanging="680"/>
      <w:outlineLvl w:val="2"/>
    </w:pPr>
    <w:rPr>
      <w:b/>
    </w:rPr>
  </w:style>
  <w:style w:type="paragraph" w:styleId="Heading4">
    <w:name w:val="heading 4"/>
    <w:basedOn w:val="Heading3"/>
    <w:next w:val="Normalnumber"/>
    <w:qFormat/>
    <w:pPr>
      <w:keepNext/>
      <w:outlineLvl w:val="3"/>
    </w:pPr>
  </w:style>
  <w:style w:type="paragraph" w:styleId="Heading5">
    <w:name w:val="heading 5"/>
    <w:basedOn w:val="Normal"/>
    <w:next w:val="Normal"/>
    <w:qFormat/>
    <w:pPr>
      <w:keepNext/>
      <w:outlineLvl w:val="4"/>
    </w:pPr>
    <w:rPr>
      <w:rFonts w:ascii="Univers" w:hAnsi="Univers"/>
      <w:b/>
      <w:sz w:val="24"/>
    </w:rPr>
  </w:style>
  <w:style w:type="paragraph" w:styleId="Heading6">
    <w:name w:val="heading 6"/>
    <w:basedOn w:val="Normal"/>
    <w:next w:val="Normal"/>
    <w:qFormat/>
    <w:pPr>
      <w:keepNext/>
      <w:ind w:left="578"/>
      <w:outlineLvl w:val="5"/>
    </w:pPr>
    <w:rPr>
      <w:b/>
      <w:bCs/>
      <w:sz w:val="24"/>
    </w:rPr>
  </w:style>
  <w:style w:type="paragraph" w:styleId="Heading7">
    <w:name w:val="heading 7"/>
    <w:basedOn w:val="Normal"/>
    <w:next w:val="Normal"/>
    <w:qFormat/>
    <w:pPr>
      <w:keepNext/>
      <w:widowControl w:val="0"/>
      <w:jc w:val="center"/>
      <w:outlineLvl w:val="6"/>
    </w:pPr>
    <w:rPr>
      <w:snapToGrid/>
      <w:u w:val="single"/>
      <w:lang w:val="en-US"/>
    </w:rPr>
  </w:style>
  <w:style w:type="paragraph" w:styleId="Heading8">
    <w:name w:val="heading 8"/>
    <w:basedOn w:val="Normal"/>
    <w:next w:val="Normal"/>
    <w:qFormat/>
    <w:pPr>
      <w:keepNext/>
      <w:widowControl w:val="0"/>
      <w:numPr>
        <w:numId w:val="1"/>
      </w:numPr>
      <w:tabs>
        <w:tab w:val="left" w:pos="-1440"/>
        <w:tab w:val="left" w:pos="-720"/>
      </w:tabs>
      <w:suppressAutoHyphens/>
      <w:jc w:val="center"/>
      <w:outlineLvl w:val="7"/>
    </w:pPr>
    <w:rPr>
      <w:snapToGrid/>
      <w:u w:val="single"/>
      <w:lang w:val="en-US"/>
    </w:rPr>
  </w:style>
  <w:style w:type="paragraph" w:styleId="Heading9">
    <w:name w:val="heading 9"/>
    <w:basedOn w:val="Normal"/>
    <w:next w:val="Normal"/>
    <w:qFormat/>
    <w:pPr>
      <w:keepNext/>
      <w:widowControl w:val="0"/>
      <w:numPr>
        <w:numId w:val="2"/>
      </w:numPr>
      <w:suppressAutoHyphens/>
      <w:jc w:val="center"/>
      <w:outlineLvl w:val="8"/>
    </w:pPr>
    <w:rPr>
      <w:snapToGrid/>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Times New Roman" w:hAnsi="Times New Roman"/>
      <w:b/>
      <w:sz w:val="18"/>
    </w:rPr>
  </w:style>
  <w:style w:type="table" w:customStyle="1" w:styleId="Tabledocright">
    <w:name w:val="Table_doc_right"/>
    <w:pPr>
      <w:spacing w:before="40" w:after="40"/>
    </w:pPr>
    <w:rPr>
      <w:snapToGrid w:val="0"/>
      <w:sz w:val="18"/>
      <w:szCs w:val="18"/>
      <w:lang w:val="es-ES" w:eastAsia="es-E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Titlefigure">
    <w:name w:val="Title_figure"/>
    <w:basedOn w:val="Titletable"/>
    <w:next w:val="NormalNonumber"/>
    <w:rPr>
      <w:bCs w:val="0"/>
    </w:rPr>
  </w:style>
  <w:style w:type="paragraph" w:styleId="TableofFigures">
    <w:name w:val="table of figures"/>
    <w:basedOn w:val="Normal"/>
    <w:next w:val="Normal"/>
    <w:autoRedefine/>
    <w:semiHidden/>
    <w:pPr>
      <w:ind w:left="1814" w:hanging="567"/>
    </w:pPr>
  </w:style>
  <w:style w:type="paragraph" w:customStyle="1" w:styleId="CH1">
    <w:name w:val="CH1"/>
    <w:basedOn w:val="Normal-pool"/>
    <w:next w:val="CH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pPr>
      <w:keepNext/>
      <w:keepLines/>
      <w:tabs>
        <w:tab w:val="right" w:pos="851"/>
      </w:tabs>
      <w:suppressAutoHyphens/>
      <w:spacing w:after="120"/>
      <w:ind w:left="1247" w:right="284" w:hanging="1247"/>
    </w:pPr>
    <w:rPr>
      <w:b/>
    </w:rPr>
  </w:style>
  <w:style w:type="paragraph" w:customStyle="1" w:styleId="CH4">
    <w:name w:val="CH4"/>
    <w:basedOn w:val="Normal-pool"/>
    <w:next w:val="Normalnumber"/>
    <w:pPr>
      <w:keepNext/>
      <w:keepLines/>
      <w:tabs>
        <w:tab w:val="right" w:pos="851"/>
      </w:tabs>
      <w:suppressAutoHyphens/>
      <w:spacing w:after="120"/>
      <w:ind w:left="1247" w:right="284" w:hanging="1247"/>
    </w:pPr>
    <w:rPr>
      <w:b/>
    </w:rPr>
  </w:style>
  <w:style w:type="table" w:customStyle="1" w:styleId="Footertable">
    <w:name w:val="Footer_table"/>
    <w:semiHidden/>
    <w:rPr>
      <w:rFonts w:ascii="Arial" w:hAnsi="Arial"/>
      <w:snapToGrid w:val="0"/>
      <w:sz w:val="16"/>
      <w:lang w:val="es-ES" w:eastAsia="es-E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
    <w:next w:val="Normalnumber"/>
    <w:semiHidden/>
    <w:pPr>
      <w:keepNext/>
      <w:keepLines/>
      <w:tabs>
        <w:tab w:val="right" w:pos="851"/>
      </w:tabs>
      <w:suppressAutoHyphens/>
      <w:spacing w:after="120"/>
      <w:ind w:left="1247" w:right="284" w:hanging="1247"/>
    </w:pPr>
    <w:rPr>
      <w:b/>
    </w:rPr>
  </w:style>
  <w:style w:type="paragraph" w:styleId="NormalIndent">
    <w:name w:val="Normal Indent"/>
    <w:basedOn w:val="Normal"/>
    <w:semiHidden/>
    <w:pPr>
      <w:ind w:left="1247"/>
    </w:pPr>
  </w:style>
  <w:style w:type="paragraph" w:customStyle="1" w:styleId="Normal-pool">
    <w:name w:val="Normal-pool"/>
    <w:pPr>
      <w:tabs>
        <w:tab w:val="left" w:pos="1247"/>
        <w:tab w:val="left" w:pos="1814"/>
        <w:tab w:val="left" w:pos="2381"/>
        <w:tab w:val="left" w:pos="2948"/>
        <w:tab w:val="left" w:pos="3515"/>
      </w:tabs>
    </w:pPr>
    <w:rPr>
      <w:snapToGrid w:val="0"/>
      <w:lang w:val="en-GB" w:eastAsia="es-ES"/>
    </w:rPr>
  </w:style>
  <w:style w:type="character" w:customStyle="1" w:styleId="NormalnumberChar">
    <w:name w:val="Normal_number Char"/>
    <w:locked/>
    <w:rPr>
      <w:lang w:val="en-GB"/>
    </w:rPr>
  </w:style>
  <w:style w:type="paragraph" w:customStyle="1" w:styleId="a">
    <w:name w:val="???"/>
    <w:basedOn w:val="Normal"/>
    <w:pPr>
      <w:snapToGrid w:val="0"/>
      <w:spacing w:line="384" w:lineRule="auto"/>
      <w:jc w:val="both"/>
    </w:pPr>
    <w:rPr>
      <w:rFonts w:eastAsia="Times New Roman"/>
      <w:color w:val="000000"/>
      <w:lang w:val="en-US"/>
    </w:rPr>
  </w:style>
  <w:style w:type="table" w:styleId="TableGrid">
    <w:name w:val="Table Grid"/>
    <w:basedOn w:val="TableNormal"/>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semiHidden/>
    <w:locked/>
    <w:rPr>
      <w:rFonts w:eastAsia="MS Mincho"/>
      <w:b/>
      <w:sz w:val="24"/>
      <w:lang w:val="en-GB"/>
    </w:rPr>
  </w:style>
  <w:style w:type="character" w:styleId="FootnoteReference">
    <w:name w:val="footnote reference"/>
    <w:semiHidden/>
    <w:rPr>
      <w:rFonts w:ascii="Times New Roman" w:hAnsi="Times New Roman"/>
      <w:color w:val="auto"/>
      <w:sz w:val="18"/>
      <w:vertAlign w:val="superscript"/>
    </w:rPr>
  </w:style>
  <w:style w:type="paragraph" w:styleId="FootnoteText">
    <w:name w:val="footnote text"/>
    <w:basedOn w:val="Normal-pool"/>
    <w:link w:val="FootnoteTextChar"/>
    <w:semiHidden/>
    <w:pPr>
      <w:spacing w:before="20" w:after="40"/>
      <w:ind w:left="1247"/>
    </w:pPr>
    <w:rPr>
      <w:sz w:val="18"/>
    </w:rPr>
  </w:style>
  <w:style w:type="paragraph" w:customStyle="1" w:styleId="ColorfulList-Accent11">
    <w:name w:val="Colorful List - Accent 11"/>
    <w:basedOn w:val="Normal"/>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semiHidden/>
    <w:pPr>
      <w:tabs>
        <w:tab w:val="left" w:pos="1247"/>
        <w:tab w:val="left" w:pos="1814"/>
        <w:tab w:val="left" w:pos="2381"/>
        <w:tab w:val="left" w:pos="2948"/>
        <w:tab w:val="left" w:pos="3515"/>
      </w:tabs>
    </w:pPr>
    <w:rPr>
      <w:rFonts w:eastAsia="Times New Roman"/>
    </w:rPr>
  </w:style>
  <w:style w:type="character" w:customStyle="1" w:styleId="HeaderChar">
    <w:name w:val="Header Char"/>
    <w:link w:val="Header"/>
    <w:locked/>
    <w:rPr>
      <w:lang w:val="en-GB"/>
    </w:rPr>
  </w:style>
  <w:style w:type="character" w:customStyle="1" w:styleId="docs-bold">
    <w:name w:val="docs-bold"/>
  </w:style>
  <w:style w:type="character" w:customStyle="1" w:styleId="Normal-poolChar">
    <w:name w:val="Normal-pool Char"/>
    <w:locked/>
    <w:rPr>
      <w:lang w:val="en-GB"/>
    </w:rPr>
  </w:style>
  <w:style w:type="character" w:customStyle="1" w:styleId="CH2Char">
    <w:name w:val="CH2 Char"/>
    <w:locked/>
    <w:rPr>
      <w:b/>
      <w:sz w:val="24"/>
    </w:rPr>
  </w:style>
  <w:style w:type="character" w:styleId="FollowedHyperlink">
    <w:name w:val="FollowedHyperlink"/>
    <w:rPr>
      <w:color w:val="800080"/>
      <w:u w:val="single"/>
    </w:rPr>
  </w:style>
  <w:style w:type="paragraph" w:styleId="BalloonText">
    <w:name w:val="Balloon Text"/>
    <w:basedOn w:val="Normal"/>
    <w:rPr>
      <w:sz w:val="16"/>
      <w:szCs w:val="16"/>
    </w:rPr>
  </w:style>
  <w:style w:type="character" w:customStyle="1" w:styleId="CharChar6">
    <w:name w:val="Char Char6"/>
    <w:locked/>
    <w:rPr>
      <w:rFonts w:ascii="Times New Roman" w:eastAsia="MS Mincho" w:hAnsi="Times New Roman"/>
      <w:sz w:val="16"/>
      <w:lang w:val="en-GB"/>
    </w:rPr>
  </w:style>
  <w:style w:type="character" w:styleId="CommentReference">
    <w:name w:val="annotation reference"/>
    <w:rPr>
      <w:sz w:val="16"/>
    </w:rPr>
  </w:style>
  <w:style w:type="paragraph" w:styleId="CommentText">
    <w:name w:val="annotation text"/>
    <w:basedOn w:val="Normal"/>
  </w:style>
  <w:style w:type="character" w:customStyle="1" w:styleId="CharChar5">
    <w:name w:val="Char Char5"/>
    <w:locked/>
    <w:rPr>
      <w:rFonts w:eastAsia="MS Mincho"/>
      <w:lang w:val="en-GB"/>
    </w:rPr>
  </w:style>
  <w:style w:type="paragraph" w:styleId="CommentSubject">
    <w:name w:val="annotation subject"/>
    <w:basedOn w:val="CommentText"/>
    <w:next w:val="CommentText"/>
    <w:rPr>
      <w:b/>
      <w:bCs/>
    </w:rPr>
  </w:style>
  <w:style w:type="character" w:customStyle="1" w:styleId="HTMLPreformattedChar">
    <w:name w:val="HTML Preformatted Char"/>
    <w:link w:val="HTMLPreformatted"/>
    <w:locked/>
    <w:rPr>
      <w:rFonts w:eastAsia="MS Mincho"/>
      <w:b/>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EndnoteReference">
    <w:name w:val="endnote reference"/>
    <w:rPr>
      <w:spacing w:val="-5"/>
      <w:w w:val="130"/>
      <w:position w:val="-4"/>
      <w:vertAlign w:val="superscript"/>
    </w:rPr>
  </w:style>
  <w:style w:type="character" w:styleId="LineNumber">
    <w:name w:val="line number"/>
    <w:rPr>
      <w:sz w:val="14"/>
    </w:rPr>
  </w:style>
  <w:style w:type="paragraph" w:customStyle="1" w:styleId="Small">
    <w:name w:val="Small"/>
    <w:basedOn w:val="Normal"/>
    <w:next w:val="Normal"/>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character" w:customStyle="1" w:styleId="CharChar">
    <w:name w:val="Char Char"/>
    <w:locked/>
    <w:rPr>
      <w:b/>
      <w:sz w:val="18"/>
      <w:lang/>
    </w:rPr>
  </w:style>
  <w:style w:type="paragraph" w:customStyle="1" w:styleId="ColorfulShading-Accent11">
    <w:name w:val="Colorful Shading - Accent 11"/>
    <w:hidden/>
    <w:rPr>
      <w:snapToGrid w:val="0"/>
      <w:sz w:val="24"/>
      <w:szCs w:val="24"/>
      <w:lang w:eastAsia="es-ES"/>
    </w:rPr>
  </w:style>
  <w:style w:type="paragraph" w:customStyle="1" w:styleId="Default">
    <w:name w:val="Default"/>
    <w:pPr>
      <w:autoSpaceDE w:val="0"/>
      <w:autoSpaceDN w:val="0"/>
      <w:adjustRightInd w:val="0"/>
    </w:pPr>
    <w:rPr>
      <w:rFonts w:ascii="Calibri" w:hAnsi="Calibri" w:cs="Calibri"/>
      <w:snapToGrid w:val="0"/>
      <w:color w:val="000000"/>
      <w:sz w:val="24"/>
      <w:szCs w:val="24"/>
      <w:lang w:eastAsia="es-ES"/>
    </w:rPr>
  </w:style>
  <w:style w:type="paragraph" w:styleId="ListParagraph">
    <w:name w:val="List Paragraph"/>
    <w:basedOn w:val="Normal"/>
    <w:qFormat/>
    <w:pPr>
      <w:suppressAutoHyphens/>
      <w:spacing w:line="240" w:lineRule="exact"/>
      <w:ind w:left="720"/>
      <w:contextualSpacing/>
    </w:pPr>
    <w:rPr>
      <w:rFonts w:eastAsia="Times New Roman"/>
      <w:spacing w:val="4"/>
      <w:w w:val="103"/>
      <w:kern w:val="14"/>
    </w:rPr>
  </w:style>
  <w:style w:type="paragraph" w:styleId="Revision">
    <w:name w:val="Revision"/>
    <w:hidden/>
    <w:semiHidden/>
    <w:rPr>
      <w:snapToGrid w:val="0"/>
      <w:spacing w:val="4"/>
      <w:w w:val="103"/>
      <w:kern w:val="14"/>
      <w:lang w:val="en-GB" w:eastAsia="es-ES"/>
    </w:rPr>
  </w:style>
  <w:style w:type="character" w:customStyle="1" w:styleId="CharChar9">
    <w:name w:val="Char Char9"/>
    <w:locked/>
    <w:rPr>
      <w:rFonts w:eastAsia="MS Mincho"/>
      <w:b/>
      <w:lang/>
    </w:rPr>
  </w:style>
  <w:style w:type="character" w:customStyle="1" w:styleId="PlainTextChar">
    <w:name w:val="Plain Text Char"/>
    <w:link w:val="PlainText"/>
    <w:locked/>
    <w:rPr>
      <w:sz w:val="18"/>
      <w:lang/>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PA"/>
    </w:rPr>
  </w:style>
  <w:style w:type="character" w:customStyle="1" w:styleId="FootnoteTextChar">
    <w:name w:val="Footnote Text Char"/>
    <w:link w:val="FootnoteText"/>
    <w:locked/>
    <w:rPr>
      <w:rFonts w:ascii="Courier New" w:hAnsi="Courier New"/>
      <w:lang w:val="es-PA"/>
    </w:rPr>
  </w:style>
  <w:style w:type="paragraph" w:styleId="NormalWeb">
    <w:name w:val="Normal (Web)"/>
    <w:basedOn w:val="Normal"/>
    <w:pPr>
      <w:spacing w:before="100" w:beforeAutospacing="1" w:after="100" w:afterAutospacing="1"/>
    </w:pPr>
    <w:rPr>
      <w:rFonts w:eastAsia="Times New Roman"/>
      <w:sz w:val="24"/>
      <w:szCs w:val="24"/>
      <w:lang w:val="es-PA"/>
    </w:rPr>
  </w:style>
  <w:style w:type="character" w:customStyle="1" w:styleId="CharChar8">
    <w:name w:val="Char Char8"/>
    <w:semiHidden/>
    <w:locked/>
    <w:rPr>
      <w:sz w:val="18"/>
      <w:lang/>
    </w:rPr>
  </w:style>
  <w:style w:type="paragraph" w:styleId="PlainText">
    <w:name w:val="Plain Text"/>
    <w:basedOn w:val="Normal"/>
    <w:link w:val="PlainTextChar"/>
    <w:rPr>
      <w:rFonts w:eastAsia="Times New Roman"/>
      <w:sz w:val="21"/>
      <w:szCs w:val="21"/>
      <w:lang w:val="es-PA"/>
    </w:rPr>
  </w:style>
  <w:style w:type="character" w:customStyle="1" w:styleId="CharChar2">
    <w:name w:val="Char Char2"/>
    <w:locked/>
    <w:rPr>
      <w:rFonts w:ascii="Times New Roman" w:eastAsia="Times New Roman" w:hAnsi="Times New Roman"/>
      <w:sz w:val="21"/>
      <w:lang w:val="es-PA"/>
    </w:rPr>
  </w:style>
  <w:style w:type="paragraph" w:customStyle="1" w:styleId="estilo5">
    <w:name w:val="estilo5"/>
    <w:basedOn w:val="Normal"/>
    <w:semiHidden/>
    <w:pPr>
      <w:spacing w:before="100" w:beforeAutospacing="1" w:after="100" w:afterAutospacing="1"/>
    </w:pPr>
    <w:rPr>
      <w:rFonts w:eastAsia="Times New Roman"/>
      <w:sz w:val="24"/>
      <w:szCs w:val="24"/>
      <w:lang w:val="es-PA"/>
    </w:rPr>
  </w:style>
  <w:style w:type="paragraph" w:customStyle="1" w:styleId="bullet1">
    <w:name w:val="bullet1"/>
    <w:basedOn w:val="Normal"/>
    <w:semiHidden/>
    <w:pPr>
      <w:numPr>
        <w:numId w:val="5"/>
      </w:numPr>
      <w:jc w:val="both"/>
    </w:pPr>
    <w:rPr>
      <w:rFonts w:eastAsia="Times New Roman"/>
      <w:b/>
      <w:i/>
      <w:noProof/>
      <w:sz w:val="24"/>
      <w:lang w:val="es-ES"/>
    </w:rPr>
  </w:style>
  <w:style w:type="character" w:customStyle="1" w:styleId="apple-style-span">
    <w:name w:val="apple-style-span"/>
  </w:style>
  <w:style w:type="character" w:customStyle="1" w:styleId="hps">
    <w:name w:val="hps"/>
  </w:style>
  <w:style w:type="character" w:customStyle="1" w:styleId="apple-converted-space">
    <w:name w:val="apple-converted-space"/>
  </w:style>
  <w:style w:type="character" w:customStyle="1" w:styleId="HeaderChar1">
    <w:name w:val="Header Char1"/>
    <w:semiHidden/>
    <w:locked/>
    <w:rPr>
      <w:rFonts w:ascii="Arial" w:eastAsia="Times New Roman" w:hAnsi="Arial"/>
      <w:sz w:val="22"/>
      <w:lang w:val="es-MX"/>
    </w:rPr>
  </w:style>
  <w:style w:type="character" w:customStyle="1" w:styleId="mceitemhidden">
    <w:name w:val="mceitemhidden"/>
  </w:style>
  <w:style w:type="character" w:customStyle="1" w:styleId="estilo51">
    <w:name w:val="estilo51"/>
  </w:style>
  <w:style w:type="table" w:customStyle="1" w:styleId="TableGrid1">
    <w:name w:val="Table Grid1"/>
    <w:rPr>
      <w:rFonts w:ascii="Calibri" w:hAnsi="Calibri"/>
      <w:snapToGrid w:val="0"/>
      <w:sz w:val="22"/>
      <w:szCs w:val="22"/>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rPr>
  </w:style>
  <w:style w:type="character" w:styleId="Emphasis">
    <w:name w:val="Emphasis"/>
    <w:qFormat/>
    <w:rPr>
      <w:i/>
    </w:rPr>
  </w:style>
  <w:style w:type="paragraph" w:customStyle="1" w:styleId="MediumList2-Accent41">
    <w:name w:val="Medium List 2 - Accent 41"/>
    <w:basedOn w:val="Normal"/>
    <w:pPr>
      <w:spacing w:after="200" w:line="276" w:lineRule="auto"/>
      <w:ind w:left="720"/>
      <w:contextualSpacing/>
    </w:pPr>
    <w:rPr>
      <w:rFonts w:eastAsia="Times New Roman"/>
      <w:sz w:val="22"/>
      <w:szCs w:val="22"/>
    </w:rPr>
  </w:style>
  <w:style w:type="paragraph" w:customStyle="1" w:styleId="ColorfulShading-Accent31">
    <w:name w:val="Colorful Shading - Accent 31"/>
    <w:basedOn w:val="Normal"/>
    <w:pPr>
      <w:ind w:left="720"/>
      <w:contextualSpacing/>
    </w:pPr>
    <w:rPr>
      <w:sz w:val="24"/>
      <w:szCs w:val="24"/>
      <w:lang w:val="en-US"/>
    </w:rPr>
  </w:style>
  <w:style w:type="paragraph" w:customStyle="1" w:styleId="ListParagraph2">
    <w:name w:val="List Paragraph2"/>
    <w:basedOn w:val="Normal"/>
    <w:pPr>
      <w:spacing w:after="200" w:line="276" w:lineRule="auto"/>
      <w:ind w:left="720"/>
      <w:contextualSpacing/>
    </w:pPr>
    <w:rPr>
      <w:rFonts w:ascii="Calibri" w:eastAsia="Times New Roman" w:hAnsi="Calibri"/>
      <w:sz w:val="22"/>
      <w:szCs w:val="22"/>
    </w:rPr>
  </w:style>
  <w:style w:type="paragraph" w:customStyle="1" w:styleId="ListParagraph1">
    <w:name w:val="List Paragraph1"/>
    <w:basedOn w:val="Normal"/>
    <w:pPr>
      <w:spacing w:after="200" w:line="276" w:lineRule="auto"/>
      <w:ind w:left="720"/>
      <w:contextualSpacing/>
    </w:pPr>
    <w:rPr>
      <w:rFonts w:ascii="Calibri" w:eastAsia="Times New Roman" w:hAnsi="Calibri"/>
      <w:sz w:val="22"/>
      <w:szCs w:val="22"/>
    </w:rPr>
  </w:style>
  <w:style w:type="character" w:customStyle="1" w:styleId="tw4winMark">
    <w:name w:val="tw4winMark"/>
    <w:rPr>
      <w:rFonts w:ascii="Courier New" w:hAnsi="Courier New"/>
      <w:vanish/>
      <w:color w:val="800080"/>
      <w:sz w:val="24"/>
      <w:vertAlign w:val="subscript"/>
    </w:rPr>
  </w:style>
  <w:style w:type="table" w:customStyle="1" w:styleId="AATable">
    <w:name w:val="AA_Table"/>
    <w:rPr>
      <w:snapToGrid w:val="0"/>
      <w:lang w:val="es-ES" w:eastAsia="es-ES"/>
    </w:rPr>
    <w:tblPr>
      <w:jc w:val="right"/>
      <w:tblInd w:w="0" w:type="dxa"/>
      <w:tblCellMar>
        <w:top w:w="0" w:type="dxa"/>
        <w:left w:w="108" w:type="dxa"/>
        <w:bottom w:w="0" w:type="dxa"/>
        <w:right w:w="108" w:type="dxa"/>
      </w:tblCellMar>
    </w:tblPr>
    <w:trPr>
      <w:jc w:val="right"/>
    </w:trPr>
  </w:style>
  <w:style w:type="paragraph" w:customStyle="1" w:styleId="AATitle">
    <w:name w:val="AA_Title"/>
    <w:basedOn w:val="Normal-pool"/>
    <w:pPr>
      <w:keepNext/>
      <w:keepLines/>
      <w:suppressAutoHyphens/>
      <w:ind w:right="3402"/>
    </w:pPr>
    <w:rPr>
      <w:b/>
    </w:rPr>
  </w:style>
  <w:style w:type="paragraph" w:customStyle="1" w:styleId="AATitle2">
    <w:name w:val="AA_Title2"/>
    <w:basedOn w:val="AATitle"/>
    <w:pPr>
      <w:spacing w:before="120" w:after="120"/>
      <w:ind w:right="1701"/>
    </w:pPr>
  </w:style>
  <w:style w:type="paragraph" w:customStyle="1" w:styleId="BBTitle">
    <w:name w:val="BB_Title"/>
    <w:basedOn w:val="Normal-pool"/>
    <w:pPr>
      <w:keepNext/>
      <w:keepLines/>
      <w:suppressAutoHyphens/>
      <w:spacing w:before="320" w:after="240"/>
      <w:ind w:left="1247" w:right="567"/>
    </w:pPr>
    <w:rPr>
      <w:b/>
      <w:sz w:val="28"/>
      <w:szCs w:val="28"/>
    </w:rPr>
  </w:style>
  <w:style w:type="paragraph" w:styleId="Footer">
    <w:name w:val="footer"/>
    <w:basedOn w:val="Normal-pool"/>
    <w:pPr>
      <w:tabs>
        <w:tab w:val="center" w:pos="4320"/>
        <w:tab w:val="right" w:pos="8640"/>
      </w:tabs>
      <w:spacing w:before="60" w:after="120"/>
    </w:pPr>
    <w:rPr>
      <w:sz w:val="18"/>
    </w:rPr>
  </w:style>
  <w:style w:type="paragraph" w:styleId="Header">
    <w:name w:val="header"/>
    <w:basedOn w:val="Normal-pool"/>
    <w:link w:val="HeaderChar"/>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Pr>
      <w:rFonts w:ascii="Times New Roman" w:hAnsi="Times New Roman"/>
      <w:color w:val="auto"/>
      <w:sz w:val="20"/>
      <w:u w:val="none"/>
      <w:lang w:val="fr-FR"/>
    </w:rPr>
  </w:style>
  <w:style w:type="paragraph" w:customStyle="1" w:styleId="NormalNonumber">
    <w:name w:val="Normal_No_number"/>
    <w:basedOn w:val="Normal-pool"/>
    <w:pPr>
      <w:spacing w:after="120"/>
      <w:ind w:left="1247"/>
    </w:pPr>
  </w:style>
  <w:style w:type="paragraph" w:customStyle="1" w:styleId="Normalnumber">
    <w:name w:val="Normal_number"/>
    <w:basedOn w:val="Normal-pool"/>
    <w:pPr>
      <w:numPr>
        <w:numId w:val="4"/>
      </w:numPr>
      <w:spacing w:after="120"/>
    </w:pPr>
  </w:style>
  <w:style w:type="paragraph" w:customStyle="1" w:styleId="Titletable">
    <w:name w:val="Title_table"/>
    <w:basedOn w:val="Normal-pool"/>
    <w:next w:val="NormalNonumber"/>
    <w:pPr>
      <w:keepNext/>
      <w:keepLines/>
      <w:suppressAutoHyphens/>
      <w:spacing w:after="60"/>
      <w:ind w:left="1247"/>
    </w:pPr>
    <w:rPr>
      <w:b/>
      <w:bCs/>
    </w:rPr>
  </w:style>
  <w:style w:type="paragraph" w:styleId="TOC1">
    <w:name w:val="toc 1"/>
    <w:basedOn w:val="Normal-pool"/>
    <w:next w:val="Normal-pool"/>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pPr>
      <w:tabs>
        <w:tab w:val="clear" w:pos="1814"/>
        <w:tab w:val="clear" w:pos="2948"/>
        <w:tab w:val="clear" w:pos="3515"/>
        <w:tab w:val="right" w:leader="dot" w:pos="9486"/>
      </w:tabs>
      <w:ind w:left="2381" w:hanging="567"/>
    </w:pPr>
  </w:style>
  <w:style w:type="paragraph" w:styleId="TOC3">
    <w:name w:val="toc 3"/>
    <w:basedOn w:val="Normal-pool"/>
    <w:next w:val="Normal-pool"/>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pPr>
      <w:ind w:left="800"/>
    </w:pPr>
    <w:rPr>
      <w:sz w:val="18"/>
      <w:szCs w:val="18"/>
    </w:rPr>
  </w:style>
  <w:style w:type="paragraph" w:customStyle="1" w:styleId="ZZAnxheader">
    <w:name w:val="ZZ_Anx_header"/>
    <w:basedOn w:val="Normal-pool"/>
    <w:rPr>
      <w:b/>
      <w:bCs/>
      <w:sz w:val="28"/>
      <w:szCs w:val="22"/>
    </w:rPr>
  </w:style>
  <w:style w:type="paragraph" w:customStyle="1" w:styleId="ZZAnxtitle">
    <w:name w:val="ZZ_Anx_title"/>
    <w:basedOn w:val="Normal-pool"/>
    <w:pPr>
      <w:spacing w:before="360" w:after="120"/>
      <w:ind w:left="1247"/>
    </w:pPr>
    <w:rPr>
      <w:b/>
      <w:bCs/>
      <w:sz w:val="28"/>
      <w:szCs w:val="26"/>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Normallist">
    <w:name w:val="Normal_list"/>
    <w:pPr>
      <w:numPr>
        <w:numId w:val="3"/>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ils.usda.gov/use/worldsoils/papers/land-degradation-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34B4-02A3-4973-872E-A36E4D26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21808</CharactersWithSpaces>
  <SharedDoc>false</SharedDoc>
  <HLinks>
    <vt:vector size="6" baseType="variant">
      <vt:variant>
        <vt:i4>7864440</vt:i4>
      </vt:variant>
      <vt:variant>
        <vt:i4>0</vt:i4>
      </vt:variant>
      <vt:variant>
        <vt:i4>0</vt:i4>
      </vt:variant>
      <vt:variant>
        <vt:i4>5</vt:i4>
      </vt:variant>
      <vt:variant>
        <vt:lpwstr>http://soils.usda.gov/use/worldsoils/papers/land-degradation-overview.html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2013-10-02T13:26:00Z</cp:lastPrinted>
  <dcterms:created xsi:type="dcterms:W3CDTF">2013-11-15T15:44:00Z</dcterms:created>
  <dcterms:modified xsi:type="dcterms:W3CDTF">2013-11-15T15:44:00Z</dcterms:modified>
</cp:coreProperties>
</file>