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68"/>
        <w:gridCol w:w="5387"/>
        <w:gridCol w:w="2833"/>
      </w:tblGrid>
      <w:tr w:rsidR="002B0AAB" w:rsidRPr="000E5263" w14:paraId="3E1DFD89" w14:textId="77777777" w:rsidTr="002B0AAB">
        <w:trPr>
          <w:cantSplit/>
          <w:trHeight w:val="850"/>
        </w:trPr>
        <w:tc>
          <w:tcPr>
            <w:tcW w:w="1668" w:type="dxa"/>
          </w:tcPr>
          <w:p w14:paraId="4F5D2D47" w14:textId="77777777" w:rsidR="002B0AAB" w:rsidRPr="000E5263" w:rsidRDefault="002B0AAB" w:rsidP="000E5263">
            <w:pPr>
              <w:rPr>
                <w:rFonts w:ascii="Univers" w:hAnsi="Univers"/>
                <w:b/>
                <w:noProof/>
                <w:sz w:val="27"/>
                <w:szCs w:val="27"/>
                <w:lang w:val="es-ES_tradnl"/>
              </w:rPr>
            </w:pPr>
            <w:bookmarkStart w:id="0" w:name="_GoBack"/>
            <w:bookmarkEnd w:id="0"/>
            <w:r w:rsidRPr="000E5263">
              <w:rPr>
                <w:rFonts w:ascii="Univers" w:hAnsi="Univers"/>
                <w:b/>
                <w:noProof/>
                <w:sz w:val="27"/>
                <w:szCs w:val="27"/>
                <w:lang w:val="es-ES_tradnl"/>
              </w:rPr>
              <w:t>NACIONESUNIDAS</w:t>
            </w:r>
          </w:p>
        </w:tc>
        <w:tc>
          <w:tcPr>
            <w:tcW w:w="5387" w:type="dxa"/>
          </w:tcPr>
          <w:p w14:paraId="449ED2E3" w14:textId="77777777" w:rsidR="002B0AAB" w:rsidRPr="000E5263" w:rsidRDefault="002B0AAB" w:rsidP="000E5263">
            <w:pPr>
              <w:rPr>
                <w:rFonts w:ascii="Univers" w:hAnsi="Univers"/>
                <w:b/>
                <w:sz w:val="27"/>
                <w:szCs w:val="27"/>
                <w:lang w:val="es-ES_tradnl"/>
              </w:rPr>
            </w:pPr>
          </w:p>
        </w:tc>
        <w:tc>
          <w:tcPr>
            <w:tcW w:w="2833" w:type="dxa"/>
            <w:tcBorders>
              <w:left w:val="nil"/>
            </w:tcBorders>
          </w:tcPr>
          <w:p w14:paraId="1C0D1CFE" w14:textId="77777777" w:rsidR="002B0AAB" w:rsidRPr="000E5263" w:rsidRDefault="002B0AAB" w:rsidP="000E5263">
            <w:pPr>
              <w:jc w:val="right"/>
              <w:rPr>
                <w:rFonts w:ascii="Univers" w:hAnsi="Univers"/>
                <w:b/>
                <w:sz w:val="72"/>
                <w:szCs w:val="72"/>
                <w:lang w:val="es-ES_tradnl"/>
              </w:rPr>
            </w:pPr>
            <w:r w:rsidRPr="000E5263">
              <w:rPr>
                <w:rFonts w:ascii="Univers" w:hAnsi="Univers"/>
                <w:b/>
                <w:sz w:val="72"/>
                <w:szCs w:val="72"/>
                <w:lang w:val="es-ES_tradnl"/>
              </w:rPr>
              <w:t>EP</w:t>
            </w:r>
          </w:p>
        </w:tc>
      </w:tr>
      <w:tr w:rsidR="002B0AAB" w:rsidRPr="000E5263" w14:paraId="7DD61657" w14:textId="77777777" w:rsidTr="002B0AAB">
        <w:trPr>
          <w:cantSplit/>
          <w:trHeight w:val="281"/>
        </w:trPr>
        <w:tc>
          <w:tcPr>
            <w:tcW w:w="1668" w:type="dxa"/>
            <w:tcBorders>
              <w:bottom w:val="single" w:sz="4" w:space="0" w:color="auto"/>
            </w:tcBorders>
          </w:tcPr>
          <w:p w14:paraId="1F9452A1" w14:textId="77777777" w:rsidR="002B0AAB" w:rsidRPr="000E5263" w:rsidRDefault="002B0AAB" w:rsidP="000E5263">
            <w:pPr>
              <w:rPr>
                <w:noProof/>
                <w:sz w:val="18"/>
                <w:szCs w:val="18"/>
                <w:lang w:val="es-ES_tradnl"/>
              </w:rPr>
            </w:pPr>
          </w:p>
        </w:tc>
        <w:tc>
          <w:tcPr>
            <w:tcW w:w="5387" w:type="dxa"/>
            <w:tcBorders>
              <w:bottom w:val="single" w:sz="4" w:space="0" w:color="auto"/>
            </w:tcBorders>
          </w:tcPr>
          <w:p w14:paraId="1832A682" w14:textId="77777777" w:rsidR="002B0AAB" w:rsidRPr="000E5263" w:rsidRDefault="002B0AAB" w:rsidP="000E5263">
            <w:pPr>
              <w:rPr>
                <w:rFonts w:ascii="Univers" w:hAnsi="Univers"/>
                <w:b/>
                <w:sz w:val="18"/>
                <w:szCs w:val="18"/>
                <w:lang w:val="es-ES_tradnl"/>
              </w:rPr>
            </w:pPr>
          </w:p>
        </w:tc>
        <w:tc>
          <w:tcPr>
            <w:tcW w:w="2833" w:type="dxa"/>
            <w:tcBorders>
              <w:bottom w:val="single" w:sz="4" w:space="0" w:color="auto"/>
            </w:tcBorders>
          </w:tcPr>
          <w:p w14:paraId="6A2A8FA8" w14:textId="77777777" w:rsidR="002B0AAB" w:rsidRPr="000E5263" w:rsidRDefault="002B0AAB" w:rsidP="000E5263">
            <w:pPr>
              <w:rPr>
                <w:noProof/>
                <w:sz w:val="18"/>
                <w:szCs w:val="18"/>
                <w:lang w:val="es-ES_tradnl" w:eastAsia="ja-JP"/>
              </w:rPr>
            </w:pPr>
            <w:r w:rsidRPr="000E5263">
              <w:rPr>
                <w:b/>
                <w:sz w:val="28"/>
                <w:szCs w:val="28"/>
                <w:lang w:val="es-ES_tradnl"/>
              </w:rPr>
              <w:t>IPBES</w:t>
            </w:r>
            <w:r w:rsidR="00D14E11" w:rsidRPr="000E5263">
              <w:rPr>
                <w:lang w:val="es-ES_tradnl" w:eastAsia="ja-JP"/>
              </w:rPr>
              <w:t>/2/7</w:t>
            </w:r>
          </w:p>
        </w:tc>
      </w:tr>
      <w:tr w:rsidR="002B0AAB" w:rsidRPr="000E5263" w14:paraId="0865D9B8" w14:textId="77777777" w:rsidTr="002B0AAB">
        <w:trPr>
          <w:cantSplit/>
          <w:trHeight w:val="2549"/>
        </w:trPr>
        <w:tc>
          <w:tcPr>
            <w:tcW w:w="1668" w:type="dxa"/>
            <w:tcBorders>
              <w:top w:val="single" w:sz="4" w:space="0" w:color="auto"/>
              <w:bottom w:val="single" w:sz="24" w:space="0" w:color="auto"/>
            </w:tcBorders>
          </w:tcPr>
          <w:p w14:paraId="1924008B" w14:textId="77777777" w:rsidR="002B0AAB" w:rsidRPr="000E5263" w:rsidRDefault="002B0AAB" w:rsidP="000E5263">
            <w:pPr>
              <w:rPr>
                <w:noProof/>
                <w:lang w:val="es-ES_tradnl"/>
              </w:rPr>
            </w:pPr>
            <w:r w:rsidRPr="000E5263">
              <w:rPr>
                <w:noProof/>
                <w:lang w:val="es-ES_tradnl"/>
              </w:rPr>
              <w:object w:dxaOrig="1831" w:dyaOrig="1726" w14:anchorId="46D7B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5pt;height:61.7pt" o:ole="" fillcolor="window">
                  <v:imagedata r:id="rId10" o:title=""/>
                </v:shape>
                <o:OLEObject Type="Embed" ProgID="Word.Picture.8" ShapeID="_x0000_i1025" DrawAspect="Content" ObjectID="_1444570253" r:id="rId11"/>
              </w:object>
            </w:r>
            <w:r w:rsidR="007A4F1A">
              <w:rPr>
                <w:noProof/>
                <w:lang w:val="es-ES_tradnl"/>
              </w:rPr>
              <w:pict w14:anchorId="50B425C3">
                <v:shape id="_x0000_i1026" type="#_x0000_t75" style="width:57.45pt;height:60.85pt" fillcolor="window">
                  <v:imagedata r:id="rId12" o:title="EP"/>
                </v:shape>
              </w:pict>
            </w:r>
          </w:p>
        </w:tc>
        <w:tc>
          <w:tcPr>
            <w:tcW w:w="5387" w:type="dxa"/>
            <w:tcBorders>
              <w:top w:val="single" w:sz="4" w:space="0" w:color="auto"/>
              <w:bottom w:val="single" w:sz="24" w:space="0" w:color="auto"/>
            </w:tcBorders>
          </w:tcPr>
          <w:p w14:paraId="15358E6B" w14:textId="77777777" w:rsidR="002B0AAB" w:rsidRPr="000E5263" w:rsidRDefault="002B0AAB" w:rsidP="000E5263">
            <w:pPr>
              <w:spacing w:before="1200"/>
              <w:rPr>
                <w:rFonts w:ascii="Univers" w:hAnsi="Univers"/>
                <w:b/>
                <w:sz w:val="28"/>
                <w:lang w:val="es-ES_tradnl"/>
              </w:rPr>
            </w:pPr>
            <w:r w:rsidRPr="000E5263">
              <w:rPr>
                <w:rFonts w:ascii="Univers" w:hAnsi="Univers"/>
                <w:b/>
                <w:sz w:val="32"/>
                <w:szCs w:val="32"/>
                <w:lang w:val="es-ES_tradnl"/>
              </w:rPr>
              <w:t xml:space="preserve">Programa de las </w:t>
            </w:r>
            <w:r w:rsidRPr="000E5263">
              <w:rPr>
                <w:rFonts w:ascii="Univers" w:hAnsi="Univers"/>
                <w:b/>
                <w:sz w:val="32"/>
                <w:szCs w:val="32"/>
                <w:lang w:val="es-ES_tradnl"/>
              </w:rPr>
              <w:br/>
            </w:r>
            <w:r w:rsidR="00421A64" w:rsidRPr="000E5263">
              <w:rPr>
                <w:rFonts w:ascii="Univers" w:hAnsi="Univers"/>
                <w:b/>
                <w:sz w:val="32"/>
                <w:szCs w:val="32"/>
                <w:lang w:val="es-ES_tradnl"/>
              </w:rPr>
              <w:t>Naciones Unidas</w:t>
            </w:r>
            <w:r w:rsidRPr="000E5263">
              <w:rPr>
                <w:rFonts w:ascii="Univers" w:hAnsi="Univers"/>
                <w:b/>
                <w:sz w:val="32"/>
                <w:szCs w:val="32"/>
                <w:lang w:val="es-ES_tradnl"/>
              </w:rPr>
              <w:br/>
              <w:t>para el Medio Ambiente</w:t>
            </w:r>
          </w:p>
        </w:tc>
        <w:tc>
          <w:tcPr>
            <w:tcW w:w="2833" w:type="dxa"/>
            <w:tcBorders>
              <w:top w:val="single" w:sz="4" w:space="0" w:color="auto"/>
              <w:bottom w:val="single" w:sz="24" w:space="0" w:color="auto"/>
            </w:tcBorders>
          </w:tcPr>
          <w:p w14:paraId="42A56202" w14:textId="77777777" w:rsidR="002B0AAB" w:rsidRPr="000E5263" w:rsidRDefault="002B0AAB" w:rsidP="000E5263">
            <w:pPr>
              <w:spacing w:before="120"/>
              <w:rPr>
                <w:lang w:val="es-ES_tradnl"/>
              </w:rPr>
            </w:pPr>
            <w:r w:rsidRPr="000E5263">
              <w:rPr>
                <w:lang w:val="es-ES_tradnl"/>
              </w:rPr>
              <w:t>Distr. general</w:t>
            </w:r>
          </w:p>
          <w:p w14:paraId="5DADB6F9" w14:textId="77777777" w:rsidR="002B0AAB" w:rsidRPr="000E5263" w:rsidRDefault="00D14E11" w:rsidP="000E5263">
            <w:pPr>
              <w:rPr>
                <w:lang w:val="es-ES_tradnl"/>
              </w:rPr>
            </w:pPr>
            <w:r w:rsidRPr="000E5263">
              <w:rPr>
                <w:lang w:val="es-ES_tradnl"/>
              </w:rPr>
              <w:t>19</w:t>
            </w:r>
            <w:r w:rsidR="002B0AAB" w:rsidRPr="000E5263">
              <w:rPr>
                <w:lang w:val="es-ES_tradnl"/>
              </w:rPr>
              <w:t xml:space="preserve"> de septiembre de 2013</w:t>
            </w:r>
          </w:p>
          <w:p w14:paraId="6C515CE6" w14:textId="77777777" w:rsidR="002B0AAB" w:rsidRPr="000E5263" w:rsidRDefault="002B0AAB" w:rsidP="000E5263">
            <w:pPr>
              <w:spacing w:before="120"/>
              <w:rPr>
                <w:lang w:val="es-ES_tradnl"/>
              </w:rPr>
            </w:pPr>
            <w:r w:rsidRPr="000E5263">
              <w:rPr>
                <w:lang w:val="es-ES_tradnl"/>
              </w:rPr>
              <w:t>Español</w:t>
            </w:r>
            <w:r w:rsidRPr="000E5263">
              <w:rPr>
                <w:lang w:val="es-ES_tradnl"/>
              </w:rPr>
              <w:br/>
              <w:t xml:space="preserve">Original: inglés </w:t>
            </w:r>
          </w:p>
        </w:tc>
      </w:tr>
    </w:tbl>
    <w:p w14:paraId="465E2C8E" w14:textId="77777777" w:rsidR="00CD10A8" w:rsidRPr="000E5263" w:rsidRDefault="00CD10A8" w:rsidP="000E5263">
      <w:pPr>
        <w:pStyle w:val="AATitle"/>
        <w:ind w:right="3686"/>
        <w:rPr>
          <w:lang w:val="es-ES"/>
        </w:rPr>
      </w:pPr>
      <w:r w:rsidRPr="000E5263">
        <w:rPr>
          <w:lang w:val="es-ES"/>
        </w:rPr>
        <w:t>Plenario de la Plataforma Intergubernamental Científico</w:t>
      </w:r>
      <w:r w:rsidR="00421A64" w:rsidRPr="000E5263">
        <w:rPr>
          <w:lang w:val="es-ES"/>
        </w:rPr>
        <w:noBreakHyphen/>
      </w:r>
      <w:r w:rsidRPr="000E5263">
        <w:rPr>
          <w:lang w:val="es-ES"/>
        </w:rPr>
        <w:t>normativa sobre Diversidad Biológica y Servicios de los Ecosistemas</w:t>
      </w:r>
    </w:p>
    <w:p w14:paraId="25E00CB8" w14:textId="77777777" w:rsidR="00CD10A8" w:rsidRPr="000E5263" w:rsidRDefault="00CD10A8" w:rsidP="000E5263">
      <w:pPr>
        <w:pStyle w:val="AATitle"/>
        <w:rPr>
          <w:lang w:val="es-ES"/>
        </w:rPr>
      </w:pPr>
      <w:r w:rsidRPr="000E5263">
        <w:rPr>
          <w:lang w:val="es-ES"/>
        </w:rPr>
        <w:t>Segundo per</w:t>
      </w:r>
      <w:r w:rsidR="00C35E7E">
        <w:rPr>
          <w:lang w:val="es-ES"/>
        </w:rPr>
        <w:t>i</w:t>
      </w:r>
      <w:r w:rsidRPr="000E5263">
        <w:rPr>
          <w:lang w:val="es-ES"/>
        </w:rPr>
        <w:t>odo de sesiones</w:t>
      </w:r>
    </w:p>
    <w:p w14:paraId="1F54AD1D" w14:textId="77777777" w:rsidR="00CD10A8" w:rsidRPr="000E5263" w:rsidRDefault="00CD10A8" w:rsidP="000E5263">
      <w:pPr>
        <w:pStyle w:val="AATitle"/>
        <w:rPr>
          <w:b w:val="0"/>
          <w:lang w:val="es-ES"/>
        </w:rPr>
      </w:pPr>
      <w:r w:rsidRPr="000E5263">
        <w:rPr>
          <w:b w:val="0"/>
          <w:lang w:val="es-ES"/>
        </w:rPr>
        <w:t>Antalya (Turquía), 9 a 14 de diciembre de 2013</w:t>
      </w:r>
    </w:p>
    <w:p w14:paraId="0E81E2D7" w14:textId="77777777" w:rsidR="00DE52CB" w:rsidRPr="000E5263" w:rsidRDefault="0084306E" w:rsidP="000E5263">
      <w:pPr>
        <w:pStyle w:val="AATitle"/>
        <w:keepNext w:val="0"/>
        <w:keepLines w:val="0"/>
        <w:rPr>
          <w:b w:val="0"/>
          <w:lang w:val="es-ES" w:eastAsia="ja-JP"/>
        </w:rPr>
      </w:pPr>
      <w:r w:rsidRPr="000E5263">
        <w:rPr>
          <w:b w:val="0"/>
          <w:lang w:val="es-ES" w:eastAsia="ja-JP"/>
        </w:rPr>
        <w:t>Tema</w:t>
      </w:r>
      <w:r w:rsidR="00DE52CB" w:rsidRPr="000E5263">
        <w:rPr>
          <w:b w:val="0"/>
          <w:lang w:val="es-ES" w:eastAsia="ja-JP"/>
        </w:rPr>
        <w:t xml:space="preserve"> </w:t>
      </w:r>
      <w:r w:rsidR="00F33B29" w:rsidRPr="000E5263">
        <w:rPr>
          <w:b w:val="0"/>
          <w:lang w:val="es-ES" w:eastAsia="ja-JP"/>
        </w:rPr>
        <w:t>5</w:t>
      </w:r>
      <w:r w:rsidR="00DE52CB" w:rsidRPr="000E5263">
        <w:rPr>
          <w:b w:val="0"/>
          <w:lang w:val="es-ES" w:eastAsia="ja-JP"/>
        </w:rPr>
        <w:t xml:space="preserve"> </w:t>
      </w:r>
      <w:r w:rsidR="00F33B29" w:rsidRPr="000E5263">
        <w:rPr>
          <w:b w:val="0"/>
          <w:lang w:val="es-ES" w:eastAsia="ja-JP"/>
        </w:rPr>
        <w:t>c</w:t>
      </w:r>
      <w:r w:rsidR="00DE52CB" w:rsidRPr="000E5263">
        <w:rPr>
          <w:b w:val="0"/>
          <w:lang w:val="es-ES" w:eastAsia="ja-JP"/>
        </w:rPr>
        <w:t xml:space="preserve">) </w:t>
      </w:r>
      <w:r w:rsidRPr="000E5263">
        <w:rPr>
          <w:b w:val="0"/>
          <w:lang w:val="es-ES" w:eastAsia="ja-JP"/>
        </w:rPr>
        <w:t xml:space="preserve">del programa </w:t>
      </w:r>
      <w:r w:rsidR="00DE52CB" w:rsidRPr="000E5263">
        <w:rPr>
          <w:b w:val="0"/>
          <w:lang w:val="es-ES" w:eastAsia="ja-JP"/>
        </w:rPr>
        <w:t>provisional</w:t>
      </w:r>
      <w:r w:rsidR="00DE52CB" w:rsidRPr="000E5263">
        <w:rPr>
          <w:rStyle w:val="FootnoteReference"/>
          <w:b w:val="0"/>
          <w:lang w:val="es-ES" w:eastAsia="ja-JP"/>
        </w:rPr>
        <w:footnoteReference w:customMarkFollows="1" w:id="2"/>
        <w:sym w:font="Symbol" w:char="F02A"/>
      </w:r>
    </w:p>
    <w:p w14:paraId="27E81984" w14:textId="77777777" w:rsidR="0084306E" w:rsidRPr="000E5263" w:rsidRDefault="00F33B29" w:rsidP="000E5263">
      <w:pPr>
        <w:pStyle w:val="AATitle"/>
        <w:spacing w:before="60"/>
        <w:rPr>
          <w:lang w:val="es-ES"/>
        </w:rPr>
      </w:pPr>
      <w:r w:rsidRPr="000E5263">
        <w:rPr>
          <w:lang w:val="es-ES" w:eastAsia="ja-JP"/>
        </w:rPr>
        <w:t>Disposiciones financieras y presupuestarias para la Plataforma: procedimientos financieros</w:t>
      </w:r>
    </w:p>
    <w:p w14:paraId="0E279467" w14:textId="77777777" w:rsidR="00F33B29" w:rsidRPr="000E5263" w:rsidRDefault="000E5263" w:rsidP="000E5263">
      <w:pPr>
        <w:pStyle w:val="BBTitle"/>
        <w:rPr>
          <w:lang w:val="es-ES"/>
        </w:rPr>
      </w:pPr>
      <w:r w:rsidRPr="000E5263">
        <w:rPr>
          <w:lang w:val="es-ES"/>
        </w:rPr>
        <w:t>Proyecto de p</w:t>
      </w:r>
      <w:r w:rsidR="00F33B29" w:rsidRPr="000E5263">
        <w:rPr>
          <w:lang w:val="es-ES"/>
        </w:rPr>
        <w:t>rocedimientos financieros de la Plataforma Intergubernamental Científico-normativa sobre Diversid</w:t>
      </w:r>
      <w:r w:rsidRPr="000E5263">
        <w:rPr>
          <w:lang w:val="es-ES"/>
        </w:rPr>
        <w:t>ad Biológica y Servicios de los </w:t>
      </w:r>
      <w:r w:rsidR="00F33B29" w:rsidRPr="000E5263">
        <w:rPr>
          <w:lang w:val="es-ES"/>
        </w:rPr>
        <w:t xml:space="preserve">Ecosistemas </w:t>
      </w:r>
    </w:p>
    <w:p w14:paraId="1F74F6C8" w14:textId="77777777" w:rsidR="00F33B29" w:rsidRPr="000E5263" w:rsidRDefault="00F33B29" w:rsidP="000E5263">
      <w:pPr>
        <w:pStyle w:val="CH2"/>
        <w:outlineLvl w:val="0"/>
        <w:rPr>
          <w:rFonts w:eastAsia="Batang"/>
          <w:lang w:val="es-ES" w:eastAsia="ko-KR"/>
        </w:rPr>
      </w:pPr>
      <w:r w:rsidRPr="000E5263">
        <w:rPr>
          <w:rFonts w:eastAsia="Batang"/>
          <w:lang w:val="es-ES" w:eastAsia="ko-KR"/>
        </w:rPr>
        <w:tab/>
      </w:r>
      <w:r w:rsidRPr="000E5263">
        <w:rPr>
          <w:rFonts w:eastAsia="Batang"/>
          <w:lang w:val="es-ES" w:eastAsia="ko-KR"/>
        </w:rPr>
        <w:tab/>
        <w:t xml:space="preserve">Nota de la secretaría </w:t>
      </w:r>
    </w:p>
    <w:p w14:paraId="652C1572" w14:textId="66EC6AFE" w:rsidR="00F33B29" w:rsidRPr="000E5263" w:rsidRDefault="00F33B29" w:rsidP="000E5263">
      <w:pPr>
        <w:pStyle w:val="CH2"/>
        <w:spacing w:before="0"/>
        <w:ind w:left="1247" w:firstLine="0"/>
        <w:rPr>
          <w:b w:val="0"/>
          <w:sz w:val="20"/>
          <w:szCs w:val="20"/>
          <w:lang w:val="es-ES"/>
        </w:rPr>
      </w:pPr>
      <w:r w:rsidRPr="000E5263">
        <w:rPr>
          <w:b w:val="0"/>
          <w:sz w:val="20"/>
          <w:szCs w:val="20"/>
          <w:lang w:val="es-ES" w:eastAsia="ko-KR"/>
        </w:rPr>
        <w:t>El proyecto de reglamento que rige los procedimientos financieros de la Plataforma Intergubernamental Científico</w:t>
      </w:r>
      <w:r w:rsidRPr="000E5263">
        <w:rPr>
          <w:b w:val="0"/>
          <w:sz w:val="20"/>
          <w:szCs w:val="20"/>
          <w:lang w:val="es-ES" w:eastAsia="ko-KR"/>
        </w:rPr>
        <w:noBreakHyphen/>
        <w:t>normativa sobre Diversidad Biológica y Servicios de los Ecosistemas</w:t>
      </w:r>
      <w:r w:rsidRPr="000E5263">
        <w:rPr>
          <w:sz w:val="20"/>
          <w:szCs w:val="20"/>
          <w:lang w:val="es-ES" w:eastAsia="ko-KR"/>
        </w:rPr>
        <w:t xml:space="preserve"> </w:t>
      </w:r>
      <w:r w:rsidRPr="000E5263">
        <w:rPr>
          <w:b w:val="0"/>
          <w:sz w:val="20"/>
          <w:szCs w:val="20"/>
          <w:lang w:val="es-ES" w:eastAsia="ko-KR"/>
        </w:rPr>
        <w:t>figura en el anexo de la presente nota.</w:t>
      </w:r>
    </w:p>
    <w:p w14:paraId="673F987E" w14:textId="77777777" w:rsidR="00F33B29" w:rsidRPr="000E5263" w:rsidRDefault="00F33B29" w:rsidP="000E5263">
      <w:pPr>
        <w:spacing w:after="120"/>
        <w:rPr>
          <w:b/>
          <w:lang w:val="es-ES"/>
        </w:rPr>
      </w:pPr>
      <w:r w:rsidRPr="000E5263">
        <w:rPr>
          <w:lang w:val="es-ES"/>
        </w:rPr>
        <w:br w:type="page"/>
      </w:r>
      <w:r w:rsidRPr="000E5263">
        <w:rPr>
          <w:b/>
          <w:sz w:val="28"/>
          <w:szCs w:val="28"/>
          <w:lang w:val="es-ES"/>
        </w:rPr>
        <w:lastRenderedPageBreak/>
        <w:t>Anexo</w:t>
      </w:r>
    </w:p>
    <w:p w14:paraId="0DCA1110" w14:textId="77777777" w:rsidR="00F33B29" w:rsidRPr="000E5263" w:rsidRDefault="00F33B29" w:rsidP="000E5263">
      <w:pPr>
        <w:pStyle w:val="CH2"/>
        <w:ind w:left="1247" w:firstLine="0"/>
        <w:rPr>
          <w:lang w:val="es-ES"/>
        </w:rPr>
      </w:pPr>
      <w:r w:rsidRPr="000E5263">
        <w:rPr>
          <w:lang w:val="es-ES"/>
        </w:rPr>
        <w:t>Proyecto de procedimientos financieros de la Plataforma Intergubernamental Científico-normativa sobre Diversidad Biológica y Servicios de los Ecosistemas</w:t>
      </w:r>
    </w:p>
    <w:p w14:paraId="1BFD4CE2" w14:textId="77777777" w:rsidR="00F33B29" w:rsidRPr="000E5263" w:rsidRDefault="00F33B29" w:rsidP="000E5263">
      <w:pPr>
        <w:pStyle w:val="CH2"/>
        <w:rPr>
          <w:lang w:val="es-ES"/>
        </w:rPr>
      </w:pPr>
      <w:r w:rsidRPr="000E5263">
        <w:rPr>
          <w:lang w:val="es-ES"/>
        </w:rPr>
        <w:tab/>
      </w:r>
      <w:r w:rsidRPr="000E5263">
        <w:rPr>
          <w:lang w:val="es-ES"/>
        </w:rPr>
        <w:tab/>
        <w:t xml:space="preserve">Ámbito de aplicación </w:t>
      </w:r>
    </w:p>
    <w:p w14:paraId="5F7B4B2C" w14:textId="77777777" w:rsidR="00F33B29" w:rsidRPr="000E5263" w:rsidRDefault="00F33B29" w:rsidP="000E5263">
      <w:pPr>
        <w:pStyle w:val="CH2"/>
        <w:rPr>
          <w:lang w:val="es-ES"/>
        </w:rPr>
      </w:pPr>
      <w:r w:rsidRPr="000E5263">
        <w:rPr>
          <w:lang w:val="es-ES"/>
        </w:rPr>
        <w:tab/>
      </w:r>
      <w:r w:rsidRPr="000E5263">
        <w:rPr>
          <w:lang w:val="es-ES"/>
        </w:rPr>
        <w:tab/>
        <w:t xml:space="preserve">Artículo 1 </w:t>
      </w:r>
    </w:p>
    <w:p w14:paraId="17FFC55B" w14:textId="5AE41B61" w:rsidR="00F33B29" w:rsidRPr="000E5263" w:rsidRDefault="00F33B29" w:rsidP="000E5263">
      <w:pPr>
        <w:pStyle w:val="CH2"/>
        <w:spacing w:before="0"/>
        <w:ind w:left="1247" w:firstLine="624"/>
        <w:rPr>
          <w:b w:val="0"/>
          <w:sz w:val="20"/>
          <w:szCs w:val="20"/>
          <w:lang w:val="es-ES" w:eastAsia="ko-KR"/>
        </w:rPr>
      </w:pPr>
      <w:r w:rsidRPr="000E5263">
        <w:rPr>
          <w:b w:val="0"/>
          <w:sz w:val="20"/>
          <w:szCs w:val="20"/>
          <w:lang w:val="es-ES" w:eastAsia="ko-KR"/>
        </w:rPr>
        <w:t>La gestión financiera de la Plataforma Intergubernamental Científico-normativa sobre Diversidad Biológica y Servicios de los Ecosistemas se regirá por los presentes procedimientos. Aunque no se prevé específicamente en los presente</w:t>
      </w:r>
      <w:r w:rsidR="00CF6DD5">
        <w:rPr>
          <w:b w:val="0"/>
          <w:sz w:val="20"/>
          <w:szCs w:val="20"/>
          <w:lang w:val="es-ES" w:eastAsia="ko-KR"/>
        </w:rPr>
        <w:t>s procedimientos se aplicará el </w:t>
      </w:r>
      <w:r w:rsidRPr="000E5263">
        <w:rPr>
          <w:b w:val="0"/>
          <w:sz w:val="20"/>
          <w:szCs w:val="20"/>
          <w:lang w:val="es-ES" w:eastAsia="ko-KR"/>
        </w:rPr>
        <w:t xml:space="preserve">Reglamento Financiero </w:t>
      </w:r>
      <w:r w:rsidR="009E38F1">
        <w:rPr>
          <w:b w:val="0"/>
          <w:sz w:val="20"/>
          <w:szCs w:val="20"/>
          <w:lang w:val="es-ES" w:eastAsia="ko-KR"/>
        </w:rPr>
        <w:t>y la Reglamentación Financiera Detallad</w:t>
      </w:r>
      <w:r w:rsidR="009D5139">
        <w:rPr>
          <w:b w:val="0"/>
          <w:sz w:val="20"/>
          <w:szCs w:val="20"/>
          <w:lang w:val="es-ES" w:eastAsia="ko-KR"/>
        </w:rPr>
        <w:t>a</w:t>
      </w:r>
      <w:r w:rsidR="009E38F1">
        <w:rPr>
          <w:b w:val="0"/>
          <w:sz w:val="20"/>
          <w:szCs w:val="20"/>
          <w:lang w:val="es-ES" w:eastAsia="ko-KR"/>
        </w:rPr>
        <w:t xml:space="preserve"> </w:t>
      </w:r>
      <w:r w:rsidR="00C35E7E">
        <w:rPr>
          <w:b w:val="0"/>
          <w:sz w:val="20"/>
          <w:szCs w:val="20"/>
          <w:lang w:val="es-ES" w:eastAsia="ko-KR"/>
        </w:rPr>
        <w:t>de [</w:t>
      </w:r>
      <w:r w:rsidR="003E58A8">
        <w:rPr>
          <w:b w:val="0"/>
          <w:sz w:val="20"/>
          <w:szCs w:val="20"/>
          <w:lang w:val="es-ES" w:eastAsia="ko-KR"/>
        </w:rPr>
        <w:t xml:space="preserve">el </w:t>
      </w:r>
      <w:r w:rsidR="00C35E7E">
        <w:rPr>
          <w:b w:val="0"/>
          <w:sz w:val="20"/>
          <w:szCs w:val="20"/>
          <w:lang w:val="es-ES" w:eastAsia="ko-KR"/>
        </w:rPr>
        <w:t>Programa de las Naciones </w:t>
      </w:r>
      <w:r w:rsidRPr="000E5263">
        <w:rPr>
          <w:b w:val="0"/>
          <w:sz w:val="20"/>
          <w:szCs w:val="20"/>
          <w:lang w:val="es-ES" w:eastAsia="ko-KR"/>
        </w:rPr>
        <w:t>Unidas para el Medio Ambiente (PNUMA)</w:t>
      </w:r>
      <w:r w:rsidR="00C35E7E" w:rsidRPr="000E5263">
        <w:rPr>
          <w:b w:val="0"/>
          <w:sz w:val="20"/>
          <w:szCs w:val="20"/>
          <w:lang w:val="es-ES" w:eastAsia="ko-KR"/>
        </w:rPr>
        <w:t>]</w:t>
      </w:r>
      <w:r w:rsidRPr="000E5263">
        <w:rPr>
          <w:b w:val="0"/>
          <w:sz w:val="20"/>
          <w:szCs w:val="20"/>
          <w:lang w:val="es-ES" w:eastAsia="ko-KR"/>
        </w:rPr>
        <w:t xml:space="preserve"> [</w:t>
      </w:r>
      <w:r w:rsidR="003E58A8">
        <w:rPr>
          <w:b w:val="0"/>
          <w:sz w:val="20"/>
          <w:szCs w:val="20"/>
          <w:lang w:val="es-ES" w:eastAsia="ko-KR"/>
        </w:rPr>
        <w:t xml:space="preserve">la </w:t>
      </w:r>
      <w:r w:rsidRPr="000E5263">
        <w:rPr>
          <w:b w:val="0"/>
          <w:sz w:val="20"/>
          <w:szCs w:val="20"/>
          <w:lang w:val="es-ES" w:eastAsia="ko-KR"/>
        </w:rPr>
        <w:t>Oficina del Fondo Fiduciario de Múltiples Asociados del Programa de las Naciones Unidas para el Desarrollo (PNUD)]</w:t>
      </w:r>
    </w:p>
    <w:p w14:paraId="4A42FCE3" w14:textId="77777777" w:rsidR="00F33B29" w:rsidRPr="000E5263" w:rsidRDefault="009D5139" w:rsidP="000E5263">
      <w:pPr>
        <w:pStyle w:val="CH2"/>
        <w:rPr>
          <w:lang w:val="es-ES"/>
        </w:rPr>
      </w:pPr>
      <w:r>
        <w:rPr>
          <w:lang w:val="es-ES"/>
        </w:rPr>
        <w:tab/>
      </w:r>
      <w:r>
        <w:rPr>
          <w:lang w:val="es-ES"/>
        </w:rPr>
        <w:tab/>
        <w:t>Ejercicio financiero y peri</w:t>
      </w:r>
      <w:r w:rsidR="00F33B29" w:rsidRPr="000E5263">
        <w:rPr>
          <w:lang w:val="es-ES"/>
        </w:rPr>
        <w:t>odo presupuestario</w:t>
      </w:r>
    </w:p>
    <w:p w14:paraId="06EC7F96" w14:textId="77777777" w:rsidR="00F33B29" w:rsidRPr="000E5263" w:rsidRDefault="00F33B29" w:rsidP="000E5263">
      <w:pPr>
        <w:pStyle w:val="CH2"/>
        <w:rPr>
          <w:lang w:val="es-ES"/>
        </w:rPr>
      </w:pPr>
      <w:r w:rsidRPr="000E5263">
        <w:rPr>
          <w:lang w:val="es-ES"/>
        </w:rPr>
        <w:tab/>
      </w:r>
      <w:r w:rsidRPr="000E5263">
        <w:rPr>
          <w:lang w:val="es-ES"/>
        </w:rPr>
        <w:tab/>
        <w:t xml:space="preserve">Artículo 2 </w:t>
      </w:r>
    </w:p>
    <w:p w14:paraId="39E75F48" w14:textId="77777777" w:rsidR="00F33B29" w:rsidRPr="000E5263" w:rsidRDefault="00F33B29" w:rsidP="000E5263">
      <w:pPr>
        <w:pStyle w:val="CH2"/>
        <w:spacing w:before="0"/>
        <w:ind w:left="1247" w:firstLine="624"/>
        <w:rPr>
          <w:b w:val="0"/>
          <w:sz w:val="20"/>
          <w:szCs w:val="20"/>
          <w:lang w:val="es-ES" w:eastAsia="ko-KR"/>
        </w:rPr>
      </w:pPr>
      <w:r w:rsidRPr="000E5263">
        <w:rPr>
          <w:b w:val="0"/>
          <w:sz w:val="20"/>
          <w:szCs w:val="20"/>
          <w:lang w:val="es-ES" w:eastAsia="ko-KR"/>
        </w:rPr>
        <w:t>El ejercicio financiero será el año civil, del 1 de enero al 31 de diciembre. El periodo presupuestario que examinará el Plenario será el bienio de dos años civiles consecutivos.</w:t>
      </w:r>
    </w:p>
    <w:p w14:paraId="7C3F1310" w14:textId="77777777" w:rsidR="00F33B29" w:rsidRPr="000E5263" w:rsidRDefault="00F33B29" w:rsidP="000E5263">
      <w:pPr>
        <w:pStyle w:val="CH2"/>
        <w:ind w:left="1248" w:right="0" w:hanging="624"/>
        <w:rPr>
          <w:lang w:val="es-ES"/>
        </w:rPr>
      </w:pPr>
      <w:r w:rsidRPr="000E5263">
        <w:rPr>
          <w:lang w:val="es-ES"/>
        </w:rPr>
        <w:tab/>
      </w:r>
      <w:r w:rsidRPr="000E5263">
        <w:rPr>
          <w:lang w:val="es-ES"/>
        </w:rPr>
        <w:tab/>
        <w:t xml:space="preserve">Fondo Fiduciario de la Plataforma Intergubernamental Científico-normativa sobre Diversidad Biológica y Servicios de los Ecosistemas </w:t>
      </w:r>
    </w:p>
    <w:p w14:paraId="1ACB38B6" w14:textId="77777777" w:rsidR="00F33B29" w:rsidRPr="000E5263" w:rsidRDefault="00F33B29" w:rsidP="000E5263">
      <w:pPr>
        <w:pStyle w:val="CH2"/>
        <w:rPr>
          <w:lang w:val="es-ES"/>
        </w:rPr>
      </w:pPr>
      <w:r w:rsidRPr="000E5263">
        <w:rPr>
          <w:lang w:val="es-ES"/>
        </w:rPr>
        <w:tab/>
      </w:r>
      <w:r w:rsidRPr="000E5263">
        <w:rPr>
          <w:lang w:val="es-ES"/>
        </w:rPr>
        <w:tab/>
        <w:t xml:space="preserve">Artículo 3 </w:t>
      </w:r>
    </w:p>
    <w:p w14:paraId="014B672D" w14:textId="0299314F" w:rsidR="00F33B29" w:rsidRPr="000E5263" w:rsidRDefault="00F33B29" w:rsidP="000E5263">
      <w:pPr>
        <w:pStyle w:val="CH2"/>
        <w:spacing w:before="0"/>
        <w:ind w:left="1247" w:firstLine="624"/>
        <w:rPr>
          <w:b w:val="0"/>
          <w:sz w:val="20"/>
          <w:szCs w:val="20"/>
          <w:lang w:val="es-ES" w:eastAsia="ko-KR"/>
        </w:rPr>
      </w:pPr>
      <w:r w:rsidRPr="000E5263">
        <w:rPr>
          <w:b w:val="0"/>
          <w:sz w:val="20"/>
          <w:szCs w:val="20"/>
          <w:lang w:val="es-ES" w:eastAsia="ko-KR"/>
        </w:rPr>
        <w:t xml:space="preserve">La Plataforma y sus actividades se financiarán con cargo al Fondo Fiduciario de la </w:t>
      </w:r>
      <w:r w:rsidR="00846A7B" w:rsidRPr="00846A7B">
        <w:rPr>
          <w:b w:val="0"/>
          <w:sz w:val="20"/>
          <w:szCs w:val="20"/>
          <w:lang w:val="es-ES" w:eastAsia="ko-KR"/>
        </w:rPr>
        <w:t>Plataforma Intergubernamental Científico-normativa sobre Diversidad Biológica y Servicios de los Ecosistemas</w:t>
      </w:r>
      <w:r w:rsidR="00846A7B">
        <w:rPr>
          <w:b w:val="0"/>
          <w:sz w:val="20"/>
          <w:szCs w:val="20"/>
          <w:lang w:val="es-ES" w:eastAsia="ko-KR"/>
        </w:rPr>
        <w:t>.</w:t>
      </w:r>
      <w:r w:rsidR="00846A7B" w:rsidRPr="00846A7B">
        <w:rPr>
          <w:sz w:val="20"/>
          <w:szCs w:val="20"/>
          <w:lang w:val="es-ES" w:eastAsia="ko-KR"/>
        </w:rPr>
        <w:t xml:space="preserve"> </w:t>
      </w:r>
      <w:r w:rsidRPr="000E5263">
        <w:rPr>
          <w:b w:val="0"/>
          <w:sz w:val="20"/>
          <w:szCs w:val="20"/>
          <w:lang w:val="es-ES" w:eastAsia="ko-KR"/>
        </w:rPr>
        <w:t xml:space="preserve"> El Plenario será responsable de la aprobación del presupuesto de</w:t>
      </w:r>
      <w:r w:rsidR="00846A7B">
        <w:rPr>
          <w:b w:val="0"/>
          <w:sz w:val="20"/>
          <w:szCs w:val="20"/>
          <w:lang w:val="es-ES" w:eastAsia="ko-KR"/>
        </w:rPr>
        <w:t xml:space="preserve"> </w:t>
      </w:r>
      <w:r w:rsidRPr="000E5263">
        <w:rPr>
          <w:b w:val="0"/>
          <w:sz w:val="20"/>
          <w:szCs w:val="20"/>
          <w:lang w:val="es-ES" w:eastAsia="ko-KR"/>
        </w:rPr>
        <w:t>l</w:t>
      </w:r>
      <w:r w:rsidR="00846A7B">
        <w:rPr>
          <w:b w:val="0"/>
          <w:sz w:val="20"/>
          <w:szCs w:val="20"/>
          <w:lang w:val="es-ES" w:eastAsia="ko-KR"/>
        </w:rPr>
        <w:t>a Plataforma</w:t>
      </w:r>
      <w:r w:rsidRPr="000E5263">
        <w:rPr>
          <w:b w:val="0"/>
          <w:sz w:val="20"/>
          <w:szCs w:val="20"/>
          <w:lang w:val="es-ES" w:eastAsia="ko-KR"/>
        </w:rPr>
        <w:t xml:space="preserve">. </w:t>
      </w:r>
    </w:p>
    <w:p w14:paraId="44C1E0A5" w14:textId="77777777" w:rsidR="00F33B29" w:rsidRPr="000E5263" w:rsidRDefault="00F33B29" w:rsidP="000E5263">
      <w:pPr>
        <w:pStyle w:val="CH2"/>
        <w:rPr>
          <w:lang w:val="es-ES"/>
        </w:rPr>
      </w:pPr>
      <w:r w:rsidRPr="000E5263">
        <w:rPr>
          <w:lang w:val="es-ES"/>
        </w:rPr>
        <w:tab/>
      </w:r>
      <w:r w:rsidRPr="000E5263">
        <w:rPr>
          <w:lang w:val="es-ES"/>
        </w:rPr>
        <w:tab/>
        <w:t xml:space="preserve">Artículo 4 </w:t>
      </w:r>
    </w:p>
    <w:p w14:paraId="5CD3F5BA" w14:textId="4A0548F0" w:rsidR="00F33B29" w:rsidRPr="000E5263" w:rsidRDefault="00F33B29" w:rsidP="000E5263">
      <w:pPr>
        <w:pStyle w:val="CH2"/>
        <w:spacing w:before="0"/>
        <w:ind w:left="1247" w:firstLine="624"/>
        <w:rPr>
          <w:b w:val="0"/>
          <w:sz w:val="20"/>
          <w:szCs w:val="20"/>
          <w:lang w:val="es-ES" w:eastAsia="ko-KR"/>
        </w:rPr>
      </w:pPr>
      <w:r w:rsidRPr="000E5263">
        <w:rPr>
          <w:b w:val="0"/>
          <w:sz w:val="20"/>
          <w:szCs w:val="20"/>
          <w:lang w:val="es-ES" w:eastAsia="ko-KR"/>
        </w:rPr>
        <w:t>El Fondo Fiduciario estará abierto a las contribuciones voluntarias procedentes de todo tipo de fuentes, incluidos los gobiernos, los órganos de las Naciones Unidas, el Fondo para el Medio Ambiente Mundial, otras organizaciones intergubernamentales y otros interesados, como el sector privado</w:t>
      </w:r>
      <w:r w:rsidR="00997DBB">
        <w:rPr>
          <w:rStyle w:val="FootnoteReference"/>
          <w:b w:val="0"/>
          <w:lang w:val="es-ES" w:eastAsia="ko-KR"/>
        </w:rPr>
        <w:footnoteReference w:id="3"/>
      </w:r>
      <w:r w:rsidRPr="000E5263">
        <w:rPr>
          <w:b w:val="0"/>
          <w:sz w:val="20"/>
          <w:szCs w:val="20"/>
          <w:lang w:val="es-ES" w:eastAsia="ko-KR"/>
        </w:rPr>
        <w:t xml:space="preserve"> y las fundaciones. </w:t>
      </w:r>
    </w:p>
    <w:p w14:paraId="4A86D96E" w14:textId="77777777" w:rsidR="00F33B29" w:rsidRPr="000E5263" w:rsidRDefault="00F33B29" w:rsidP="000E5263">
      <w:pPr>
        <w:pStyle w:val="CH2"/>
        <w:rPr>
          <w:lang w:val="es-ES"/>
        </w:rPr>
      </w:pPr>
      <w:r w:rsidRPr="000E5263">
        <w:rPr>
          <w:lang w:val="es-ES"/>
        </w:rPr>
        <w:tab/>
      </w:r>
      <w:r w:rsidRPr="000E5263">
        <w:rPr>
          <w:lang w:val="es-ES"/>
        </w:rPr>
        <w:tab/>
        <w:t xml:space="preserve">Artículo 5 </w:t>
      </w:r>
    </w:p>
    <w:p w14:paraId="32502A47" w14:textId="77777777"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Las contribuciones deberán enviarse al Fondo Fiduciario y se in</w:t>
      </w:r>
      <w:r w:rsidR="000E5263" w:rsidRPr="000E5263">
        <w:rPr>
          <w:spacing w:val="0"/>
          <w:w w:val="100"/>
          <w:lang w:val="es-ES"/>
        </w:rPr>
        <w:t>formará a la secretaría de cada </w:t>
      </w:r>
      <w:r w:rsidRPr="000E5263">
        <w:rPr>
          <w:spacing w:val="0"/>
          <w:w w:val="100"/>
          <w:lang w:val="es-ES"/>
        </w:rPr>
        <w:t>contribución que se envíe. Las contribuciones no orientarán la labor de la Plataforma y no podrán concederse con objeto de que se destinen a actividades específicas ni ser anónimas. Las contribuciones no podrán estar supeditadas a condiciones. Las contribuciones en especie no podrán estar sujetas a condiciones impuestas por los gobiernos, la comunidad c</w:t>
      </w:r>
      <w:r w:rsidR="000E5263" w:rsidRPr="000E5263">
        <w:rPr>
          <w:spacing w:val="0"/>
          <w:w w:val="100"/>
          <w:lang w:val="es-ES"/>
        </w:rPr>
        <w:t>ientífica y otros poseedores de </w:t>
      </w:r>
      <w:r w:rsidRPr="000E5263">
        <w:rPr>
          <w:spacing w:val="0"/>
          <w:w w:val="100"/>
          <w:lang w:val="es-ES"/>
        </w:rPr>
        <w:t>conocimientos o i</w:t>
      </w:r>
      <w:r w:rsidR="000E5263" w:rsidRPr="000E5263">
        <w:rPr>
          <w:spacing w:val="0"/>
          <w:w w:val="100"/>
          <w:lang w:val="es-ES"/>
        </w:rPr>
        <w:t>nteresado</w:t>
      </w:r>
      <w:r w:rsidRPr="000E5263">
        <w:rPr>
          <w:spacing w:val="0"/>
          <w:w w:val="100"/>
          <w:lang w:val="es-ES"/>
        </w:rPr>
        <w:t>s, y serán esenciales para aplicar con éxi</w:t>
      </w:r>
      <w:r w:rsidR="000E5263" w:rsidRPr="000E5263">
        <w:rPr>
          <w:spacing w:val="0"/>
          <w:w w:val="100"/>
          <w:lang w:val="es-ES"/>
        </w:rPr>
        <w:t>to el programa de </w:t>
      </w:r>
      <w:r w:rsidRPr="000E5263">
        <w:rPr>
          <w:spacing w:val="0"/>
          <w:w w:val="100"/>
          <w:lang w:val="es-ES"/>
        </w:rPr>
        <w:t xml:space="preserve">trabajo. </w:t>
      </w:r>
    </w:p>
    <w:p w14:paraId="4872AD0D" w14:textId="77777777" w:rsidR="00F33B29" w:rsidRPr="000E5263" w:rsidRDefault="00F33B29" w:rsidP="000E5263">
      <w:pPr>
        <w:pStyle w:val="CH2"/>
        <w:rPr>
          <w:sz w:val="20"/>
          <w:szCs w:val="20"/>
          <w:lang w:val="es-ES"/>
        </w:rPr>
      </w:pPr>
      <w:r w:rsidRPr="000E5263">
        <w:rPr>
          <w:lang w:val="es-ES"/>
        </w:rPr>
        <w:tab/>
      </w:r>
      <w:r w:rsidRPr="000E5263">
        <w:rPr>
          <w:sz w:val="32"/>
          <w:lang w:val="es-ES"/>
        </w:rPr>
        <w:tab/>
      </w:r>
      <w:r w:rsidRPr="000E5263">
        <w:rPr>
          <w:szCs w:val="20"/>
          <w:lang w:val="es-ES"/>
        </w:rPr>
        <w:t xml:space="preserve">Artículo 6 </w:t>
      </w:r>
    </w:p>
    <w:p w14:paraId="72659B98" w14:textId="77777777"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En circunstancias excepcionales, y previa aprobación del Plenario, se podrán aceptar contribuciones voluntarias adicionales al margen del Fondo Fiduciario, como apoyo directo a actividades específicas del programa de trabajo de la plataforma. </w:t>
      </w:r>
    </w:p>
    <w:p w14:paraId="3F0F082F" w14:textId="77777777" w:rsidR="00F33B29" w:rsidRPr="000E5263" w:rsidRDefault="00F33B29" w:rsidP="000E5263">
      <w:pPr>
        <w:pStyle w:val="CH2"/>
        <w:rPr>
          <w:lang w:val="es-ES"/>
        </w:rPr>
      </w:pPr>
      <w:r w:rsidRPr="000E5263">
        <w:rPr>
          <w:lang w:val="es-ES"/>
        </w:rPr>
        <w:lastRenderedPageBreak/>
        <w:tab/>
      </w:r>
      <w:r w:rsidRPr="000E5263">
        <w:rPr>
          <w:lang w:val="es-ES"/>
        </w:rPr>
        <w:tab/>
        <w:t xml:space="preserve">Moneda </w:t>
      </w:r>
    </w:p>
    <w:p w14:paraId="3EB9D78E" w14:textId="77777777" w:rsidR="00F33B29" w:rsidRPr="000E5263" w:rsidRDefault="00F33B29" w:rsidP="000E5263">
      <w:pPr>
        <w:pStyle w:val="CH2"/>
        <w:rPr>
          <w:lang w:val="es-ES"/>
        </w:rPr>
      </w:pPr>
      <w:r w:rsidRPr="000E5263">
        <w:rPr>
          <w:lang w:val="es-ES"/>
        </w:rPr>
        <w:tab/>
      </w:r>
      <w:r w:rsidRPr="000E5263">
        <w:rPr>
          <w:lang w:val="es-ES"/>
        </w:rPr>
        <w:tab/>
        <w:t xml:space="preserve">Artículo 7 </w:t>
      </w:r>
    </w:p>
    <w:p w14:paraId="7A8F2C50" w14:textId="77777777"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La moneda utilizada para elaborar el presupuesto y contabilizar las sumas percibidas y los gastos será el dólar de los Estados Unidos. </w:t>
      </w:r>
    </w:p>
    <w:p w14:paraId="61A3EF13" w14:textId="77777777" w:rsidR="00F33B29" w:rsidRPr="000E5263" w:rsidRDefault="00F33B29" w:rsidP="000E5263">
      <w:pPr>
        <w:pStyle w:val="CH2"/>
        <w:rPr>
          <w:lang w:val="es-ES"/>
        </w:rPr>
      </w:pPr>
      <w:r w:rsidRPr="000E5263">
        <w:rPr>
          <w:lang w:val="es-ES"/>
        </w:rPr>
        <w:tab/>
      </w:r>
      <w:r w:rsidRPr="000E5263">
        <w:rPr>
          <w:lang w:val="es-ES"/>
        </w:rPr>
        <w:tab/>
        <w:t xml:space="preserve">Presupuesto </w:t>
      </w:r>
    </w:p>
    <w:p w14:paraId="69178909" w14:textId="77777777" w:rsidR="00F33B29" w:rsidRPr="000E5263" w:rsidRDefault="00F33B29" w:rsidP="000E5263">
      <w:pPr>
        <w:pStyle w:val="CH2"/>
        <w:rPr>
          <w:lang w:val="es-ES"/>
        </w:rPr>
      </w:pPr>
      <w:r w:rsidRPr="000E5263">
        <w:rPr>
          <w:lang w:val="es-ES"/>
        </w:rPr>
        <w:tab/>
      </w:r>
      <w:r w:rsidRPr="000E5263">
        <w:rPr>
          <w:lang w:val="es-ES"/>
        </w:rPr>
        <w:tab/>
        <w:t xml:space="preserve">Artículo 8 </w:t>
      </w:r>
    </w:p>
    <w:p w14:paraId="46F11601" w14:textId="344473B1"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En consulta con la Mesa, la </w:t>
      </w:r>
      <w:r w:rsidR="009D5139">
        <w:rPr>
          <w:spacing w:val="0"/>
          <w:w w:val="100"/>
          <w:lang w:val="es-ES"/>
        </w:rPr>
        <w:t>s</w:t>
      </w:r>
      <w:r w:rsidRPr="000E5263">
        <w:rPr>
          <w:spacing w:val="0"/>
          <w:w w:val="100"/>
          <w:lang w:val="es-ES"/>
        </w:rPr>
        <w:t xml:space="preserve">ecretaría de la </w:t>
      </w:r>
      <w:r w:rsidR="00734F09">
        <w:rPr>
          <w:spacing w:val="0"/>
          <w:w w:val="100"/>
          <w:lang w:val="es-ES"/>
        </w:rPr>
        <w:t>Plataforma</w:t>
      </w:r>
      <w:r w:rsidRPr="000E5263">
        <w:rPr>
          <w:spacing w:val="0"/>
          <w:w w:val="100"/>
          <w:lang w:val="es-ES"/>
        </w:rPr>
        <w:t xml:space="preserve"> elaborará una propuesta de presupuesto y la remitirá a los miembros de la </w:t>
      </w:r>
      <w:r w:rsidR="00734F09">
        <w:rPr>
          <w:spacing w:val="0"/>
          <w:w w:val="100"/>
          <w:lang w:val="es-ES"/>
        </w:rPr>
        <w:t>Plataforma</w:t>
      </w:r>
      <w:r w:rsidRPr="000E5263">
        <w:rPr>
          <w:spacing w:val="0"/>
          <w:w w:val="100"/>
          <w:lang w:val="es-ES"/>
        </w:rPr>
        <w:t xml:space="preserve"> al menos seis semanas</w:t>
      </w:r>
      <w:r w:rsidR="009D5139">
        <w:rPr>
          <w:spacing w:val="0"/>
          <w:w w:val="100"/>
          <w:lang w:val="es-ES"/>
        </w:rPr>
        <w:t xml:space="preserve"> antes de que se celebre el peri</w:t>
      </w:r>
      <w:r w:rsidRPr="000E5263">
        <w:rPr>
          <w:spacing w:val="0"/>
          <w:w w:val="100"/>
          <w:lang w:val="es-ES"/>
        </w:rPr>
        <w:t xml:space="preserve">odo de sesiones del Plenario en que deba aprobarse el presupuesto. </w:t>
      </w:r>
    </w:p>
    <w:p w14:paraId="29E6083F" w14:textId="77777777" w:rsidR="00F33B29" w:rsidRPr="000E5263" w:rsidRDefault="00F33B29" w:rsidP="000E5263">
      <w:pPr>
        <w:pStyle w:val="CH2"/>
        <w:rPr>
          <w:lang w:val="es-ES"/>
        </w:rPr>
      </w:pPr>
      <w:r w:rsidRPr="000E5263">
        <w:rPr>
          <w:lang w:val="es-ES"/>
        </w:rPr>
        <w:tab/>
      </w:r>
      <w:r w:rsidRPr="000E5263">
        <w:rPr>
          <w:lang w:val="es-ES"/>
        </w:rPr>
        <w:tab/>
        <w:t xml:space="preserve">Artículo 9 </w:t>
      </w:r>
    </w:p>
    <w:p w14:paraId="78D7113B" w14:textId="77777777"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El Plenario examinará la propuesta de presupuesto y aprobará un presupuesto por consenso antes del inicio del ejercicio financiero al que corresponda. </w:t>
      </w:r>
    </w:p>
    <w:p w14:paraId="6DBCF50C" w14:textId="77777777" w:rsidR="00F33B29" w:rsidRPr="000E5263" w:rsidRDefault="00F33B29" w:rsidP="000E5263">
      <w:pPr>
        <w:pStyle w:val="CH2"/>
        <w:rPr>
          <w:lang w:val="es-ES"/>
        </w:rPr>
      </w:pPr>
      <w:r w:rsidRPr="000E5263">
        <w:rPr>
          <w:lang w:val="es-ES"/>
        </w:rPr>
        <w:tab/>
      </w:r>
      <w:r w:rsidRPr="000E5263">
        <w:rPr>
          <w:lang w:val="es-ES"/>
        </w:rPr>
        <w:tab/>
        <w:t xml:space="preserve">Artículo 10 </w:t>
      </w:r>
    </w:p>
    <w:p w14:paraId="0511CDDE" w14:textId="7CDC75CD"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La aprobación del presupuesto por el Plenario constituirá una autorización al </w:t>
      </w:r>
      <w:r w:rsidR="00584D75">
        <w:rPr>
          <w:spacing w:val="0"/>
          <w:w w:val="100"/>
          <w:lang w:val="es-ES"/>
        </w:rPr>
        <w:t xml:space="preserve">jefe de la secretaría </w:t>
      </w:r>
      <w:r w:rsidRPr="000E5263">
        <w:rPr>
          <w:spacing w:val="0"/>
          <w:w w:val="100"/>
          <w:lang w:val="es-ES"/>
        </w:rPr>
        <w:t xml:space="preserve">para contraer obligaciones y efectuar pagos en relación con los fines para los cuales fueron aprobadas las consignaciones y sin exceder el importe de las sumas aprobadas, siempre que el saldo del Fondo Fiduciario cubra las consignaciones presupuestarias generales. </w:t>
      </w:r>
    </w:p>
    <w:p w14:paraId="17135E8B" w14:textId="77777777" w:rsidR="00F33B29" w:rsidRPr="000E5263" w:rsidRDefault="00F33B29" w:rsidP="000E5263">
      <w:pPr>
        <w:pStyle w:val="CH2"/>
        <w:rPr>
          <w:lang w:val="es-ES"/>
        </w:rPr>
      </w:pPr>
      <w:r w:rsidRPr="000E5263">
        <w:rPr>
          <w:lang w:val="es-ES"/>
        </w:rPr>
        <w:tab/>
      </w:r>
      <w:r w:rsidRPr="000E5263">
        <w:rPr>
          <w:lang w:val="es-ES"/>
        </w:rPr>
        <w:tab/>
        <w:t xml:space="preserve">Artículo 11 </w:t>
      </w:r>
    </w:p>
    <w:p w14:paraId="5D1ECA5E" w14:textId="71147157"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El</w:t>
      </w:r>
      <w:r w:rsidR="00584D75">
        <w:rPr>
          <w:spacing w:val="0"/>
          <w:w w:val="100"/>
          <w:lang w:val="es-ES"/>
        </w:rPr>
        <w:t xml:space="preserve"> jefe de la secretaría </w:t>
      </w:r>
      <w:r w:rsidRPr="000E5263">
        <w:rPr>
          <w:spacing w:val="0"/>
          <w:w w:val="100"/>
          <w:lang w:val="es-ES"/>
        </w:rPr>
        <w:t>estará autorizado a reasignar, en caso necesario, hasta un 20% de los fondos de una línea de consignaciones presupuestarias. El Plenario podrá modificar este límite por consenso cada cierto tiempo. Una línea de consignaciones presupuestarias es una categoría presupuestaria principal para actividades o productos.</w:t>
      </w:r>
    </w:p>
    <w:p w14:paraId="01466A1E" w14:textId="77777777" w:rsidR="00F33B29" w:rsidRPr="000E5263" w:rsidRDefault="00F33B29" w:rsidP="000E5263">
      <w:pPr>
        <w:pStyle w:val="CH2"/>
        <w:rPr>
          <w:lang w:val="es-ES"/>
        </w:rPr>
      </w:pPr>
      <w:r w:rsidRPr="000E5263">
        <w:rPr>
          <w:lang w:val="es-ES"/>
        </w:rPr>
        <w:tab/>
      </w:r>
      <w:r w:rsidRPr="000E5263">
        <w:rPr>
          <w:lang w:val="es-ES"/>
        </w:rPr>
        <w:tab/>
        <w:t xml:space="preserve">Artículo 12 </w:t>
      </w:r>
    </w:p>
    <w:p w14:paraId="0561BEF1" w14:textId="5136A4CA"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En caso de que el saldo disponible en el Fondo Fiduciario sea inferior al presupuesto aprobado, el </w:t>
      </w:r>
      <w:r w:rsidR="00584D75">
        <w:rPr>
          <w:spacing w:val="0"/>
          <w:w w:val="100"/>
          <w:lang w:val="es-ES"/>
        </w:rPr>
        <w:t>jefe de la secretaría</w:t>
      </w:r>
      <w:r w:rsidRPr="000E5263">
        <w:rPr>
          <w:spacing w:val="0"/>
          <w:w w:val="100"/>
          <w:lang w:val="es-ES"/>
        </w:rPr>
        <w:t>, previa aprobación por la Mesa, estará autorizado a ajustar las asignaciones a fin de adaptar el presupuesto a las fluctuaciones de los ingresos con respecto a las sumas aprobadas en las líneas presupuestarias. El</w:t>
      </w:r>
      <w:r w:rsidR="00584D75">
        <w:rPr>
          <w:spacing w:val="0"/>
          <w:w w:val="100"/>
          <w:lang w:val="es-ES"/>
        </w:rPr>
        <w:t xml:space="preserve"> jefe de la secretaría </w:t>
      </w:r>
      <w:r w:rsidRPr="000E5263">
        <w:rPr>
          <w:spacing w:val="0"/>
          <w:w w:val="100"/>
          <w:lang w:val="es-ES"/>
        </w:rPr>
        <w:t>informará sobre las medidas adoptad</w:t>
      </w:r>
      <w:r w:rsidR="009D5139">
        <w:rPr>
          <w:spacing w:val="0"/>
          <w:w w:val="100"/>
          <w:lang w:val="es-ES"/>
        </w:rPr>
        <w:t>as al Plenario en el primer peri</w:t>
      </w:r>
      <w:r w:rsidRPr="000E5263">
        <w:rPr>
          <w:spacing w:val="0"/>
          <w:w w:val="100"/>
          <w:lang w:val="es-ES"/>
        </w:rPr>
        <w:t xml:space="preserve">odo de sesiones subsiguiente que este celebre. </w:t>
      </w:r>
    </w:p>
    <w:p w14:paraId="11E6E651" w14:textId="77777777" w:rsidR="00F33B29" w:rsidRPr="000E5263" w:rsidRDefault="00F33B29" w:rsidP="000E5263">
      <w:pPr>
        <w:pStyle w:val="CH2"/>
        <w:rPr>
          <w:lang w:val="es-ES"/>
        </w:rPr>
      </w:pPr>
      <w:r w:rsidRPr="000E5263">
        <w:rPr>
          <w:lang w:val="es-ES"/>
        </w:rPr>
        <w:tab/>
      </w:r>
      <w:r w:rsidRPr="000E5263">
        <w:rPr>
          <w:lang w:val="es-ES"/>
        </w:rPr>
        <w:tab/>
        <w:t xml:space="preserve">Contribuciones </w:t>
      </w:r>
    </w:p>
    <w:p w14:paraId="621E6A55" w14:textId="77777777" w:rsidR="00F33B29" w:rsidRPr="000E5263" w:rsidRDefault="00F33B29" w:rsidP="000E5263">
      <w:pPr>
        <w:pStyle w:val="CH2"/>
        <w:rPr>
          <w:lang w:val="es-ES"/>
        </w:rPr>
      </w:pPr>
      <w:r w:rsidRPr="000E5263">
        <w:rPr>
          <w:lang w:val="es-ES"/>
        </w:rPr>
        <w:tab/>
      </w:r>
      <w:r w:rsidRPr="000E5263">
        <w:rPr>
          <w:lang w:val="es-ES"/>
        </w:rPr>
        <w:tab/>
        <w:t xml:space="preserve">Artículo 13 </w:t>
      </w:r>
    </w:p>
    <w:p w14:paraId="43E22A37" w14:textId="385CAF2D" w:rsidR="00F33B29" w:rsidRPr="000E5263" w:rsidRDefault="00F33B29" w:rsidP="000E5263">
      <w:pPr>
        <w:pStyle w:val="SingleTxt"/>
        <w:keepNext/>
        <w:keepLines/>
        <w:spacing w:line="240" w:lineRule="auto"/>
        <w:ind w:left="1247" w:right="0" w:firstLine="624"/>
        <w:jc w:val="left"/>
        <w:rPr>
          <w:spacing w:val="0"/>
          <w:w w:val="100"/>
          <w:lang w:val="es-ES"/>
        </w:rPr>
      </w:pPr>
      <w:r w:rsidRPr="000E5263">
        <w:rPr>
          <w:spacing w:val="0"/>
          <w:w w:val="100"/>
          <w:lang w:val="es-ES"/>
        </w:rPr>
        <w:t xml:space="preserve">Los recursos de la </w:t>
      </w:r>
      <w:r w:rsidR="00734F09">
        <w:rPr>
          <w:spacing w:val="0"/>
          <w:w w:val="100"/>
          <w:lang w:val="es-ES"/>
        </w:rPr>
        <w:t>Plataforma</w:t>
      </w:r>
      <w:r w:rsidRPr="000E5263">
        <w:rPr>
          <w:spacing w:val="0"/>
          <w:w w:val="100"/>
          <w:lang w:val="es-ES"/>
        </w:rPr>
        <w:t xml:space="preserve"> incluirán:</w:t>
      </w:r>
    </w:p>
    <w:p w14:paraId="567A4E5B" w14:textId="56B92A5D" w:rsidR="00F33B29" w:rsidRPr="000E5263" w:rsidRDefault="00F33B29" w:rsidP="000E52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s>
        <w:spacing w:line="240" w:lineRule="auto"/>
        <w:ind w:left="1247" w:right="0" w:firstLine="624"/>
        <w:jc w:val="left"/>
        <w:rPr>
          <w:spacing w:val="0"/>
          <w:w w:val="100"/>
          <w:lang w:val="es-ES"/>
        </w:rPr>
      </w:pPr>
      <w:r w:rsidRPr="000E5263">
        <w:rPr>
          <w:spacing w:val="0"/>
          <w:w w:val="100"/>
          <w:lang w:val="es-ES"/>
        </w:rPr>
        <w:t>a)</w:t>
      </w:r>
      <w:r w:rsidRPr="000E5263">
        <w:rPr>
          <w:spacing w:val="0"/>
          <w:w w:val="100"/>
          <w:lang w:val="es-ES"/>
        </w:rPr>
        <w:tab/>
        <w:t>Los costos año-persona del Oficial de Programa [y ]</w:t>
      </w:r>
      <w:r w:rsidRPr="000E5263">
        <w:rPr>
          <w:rStyle w:val="FootnoteReference"/>
          <w:spacing w:val="0"/>
          <w:w w:val="100"/>
        </w:rPr>
        <w:footnoteReference w:id="4"/>
      </w:r>
      <w:r w:rsidRPr="000E5263">
        <w:rPr>
          <w:spacing w:val="0"/>
          <w:w w:val="100"/>
          <w:lang w:val="es-ES"/>
        </w:rPr>
        <w:t xml:space="preserve"> a cargo del </w:t>
      </w:r>
      <w:r w:rsidR="0089759D" w:rsidRPr="00584D75">
        <w:rPr>
          <w:lang w:val="es-ES" w:eastAsia="ko-KR"/>
        </w:rPr>
        <w:t>Programa de las Naciones Unidas para el Medio Ambiente</w:t>
      </w:r>
      <w:r w:rsidRPr="000E5263">
        <w:rPr>
          <w:spacing w:val="0"/>
          <w:w w:val="100"/>
          <w:lang w:val="es-ES"/>
        </w:rPr>
        <w:t xml:space="preserve"> [y]</w:t>
      </w:r>
      <w:r w:rsidRPr="000E5263">
        <w:rPr>
          <w:rStyle w:val="FootnoteReference"/>
          <w:spacing w:val="0"/>
          <w:w w:val="100"/>
        </w:rPr>
        <w:footnoteReference w:id="5"/>
      </w:r>
      <w:r w:rsidRPr="000E5263">
        <w:rPr>
          <w:spacing w:val="0"/>
          <w:w w:val="100"/>
          <w:lang w:val="es-ES"/>
        </w:rPr>
        <w:t xml:space="preserve">; </w:t>
      </w:r>
    </w:p>
    <w:p w14:paraId="2D1CD2C0" w14:textId="0DE358C4" w:rsidR="00F33B29" w:rsidRPr="000E5263" w:rsidRDefault="00F33B29" w:rsidP="000E526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line="240" w:lineRule="auto"/>
        <w:ind w:left="1247" w:right="0" w:firstLine="624"/>
        <w:jc w:val="left"/>
        <w:rPr>
          <w:spacing w:val="0"/>
          <w:w w:val="100"/>
          <w:lang w:val="es-ES"/>
        </w:rPr>
      </w:pPr>
      <w:r w:rsidRPr="000E5263">
        <w:rPr>
          <w:spacing w:val="0"/>
          <w:w w:val="100"/>
          <w:lang w:val="es-ES"/>
        </w:rPr>
        <w:tab/>
        <w:t>b)</w:t>
      </w:r>
      <w:r w:rsidRPr="000E5263">
        <w:rPr>
          <w:spacing w:val="0"/>
          <w:w w:val="100"/>
          <w:lang w:val="es-ES"/>
        </w:rPr>
        <w:tab/>
        <w:t xml:space="preserve">Los gastos de instalación de la </w:t>
      </w:r>
      <w:r w:rsidR="000E5263" w:rsidRPr="000E5263">
        <w:rPr>
          <w:spacing w:val="0"/>
          <w:w w:val="100"/>
          <w:lang w:val="es-ES"/>
        </w:rPr>
        <w:t>s</w:t>
      </w:r>
      <w:r w:rsidRPr="000E5263">
        <w:rPr>
          <w:spacing w:val="0"/>
          <w:w w:val="100"/>
          <w:lang w:val="es-ES"/>
        </w:rPr>
        <w:t xml:space="preserve">ecretaría , a cargo del Gobierno de Alemania en virtud del Acuerdo con el País Anfitrión suscrito entre la </w:t>
      </w:r>
      <w:r w:rsidR="0089759D">
        <w:rPr>
          <w:spacing w:val="0"/>
          <w:w w:val="100"/>
          <w:lang w:val="es-ES"/>
        </w:rPr>
        <w:t>Plataforma</w:t>
      </w:r>
      <w:r w:rsidRPr="000E5263">
        <w:rPr>
          <w:spacing w:val="0"/>
          <w:w w:val="100"/>
          <w:lang w:val="es-ES"/>
        </w:rPr>
        <w:t xml:space="preserve"> y el Gobierno anfitrión; </w:t>
      </w:r>
    </w:p>
    <w:p w14:paraId="45CDD37C" w14:textId="10BB5079" w:rsidR="00F33B29" w:rsidRPr="000E5263" w:rsidRDefault="00F33B29" w:rsidP="000E526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line="240" w:lineRule="auto"/>
        <w:ind w:left="1247" w:right="0" w:firstLine="624"/>
        <w:jc w:val="left"/>
        <w:rPr>
          <w:spacing w:val="0"/>
          <w:w w:val="100"/>
          <w:lang w:val="es-ES"/>
        </w:rPr>
      </w:pPr>
      <w:r w:rsidRPr="000E5263">
        <w:rPr>
          <w:spacing w:val="0"/>
          <w:w w:val="100"/>
          <w:lang w:val="es-ES"/>
        </w:rPr>
        <w:tab/>
        <w:t>c)</w:t>
      </w:r>
      <w:r w:rsidRPr="000E5263">
        <w:rPr>
          <w:spacing w:val="0"/>
          <w:w w:val="100"/>
          <w:lang w:val="es-ES"/>
        </w:rPr>
        <w:tab/>
        <w:t xml:space="preserve">Las contribuciones voluntarias y otras contribuciones en efectivo realizadas anualmente por los miembros de la </w:t>
      </w:r>
      <w:r w:rsidR="00734F09">
        <w:rPr>
          <w:spacing w:val="0"/>
          <w:w w:val="100"/>
          <w:lang w:val="es-ES"/>
        </w:rPr>
        <w:t>Plataforma</w:t>
      </w:r>
      <w:r w:rsidRPr="000E5263">
        <w:rPr>
          <w:spacing w:val="0"/>
          <w:w w:val="100"/>
          <w:lang w:val="es-ES"/>
        </w:rPr>
        <w:t xml:space="preserve"> </w:t>
      </w:r>
      <w:r w:rsidR="00584D75">
        <w:rPr>
          <w:spacing w:val="0"/>
          <w:w w:val="100"/>
          <w:lang w:val="es-ES"/>
        </w:rPr>
        <w:t xml:space="preserve">y otros donantes </w:t>
      </w:r>
      <w:r w:rsidRPr="000E5263">
        <w:rPr>
          <w:spacing w:val="0"/>
          <w:w w:val="100"/>
          <w:lang w:val="es-ES"/>
        </w:rPr>
        <w:t xml:space="preserve">al Fondo Fiduciario; </w:t>
      </w:r>
    </w:p>
    <w:p w14:paraId="04371DAF" w14:textId="65BEF041" w:rsidR="00F33B29" w:rsidRPr="000E5263" w:rsidRDefault="00F33B29" w:rsidP="000E526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line="240" w:lineRule="auto"/>
        <w:ind w:left="1247" w:right="0" w:firstLine="624"/>
        <w:jc w:val="left"/>
        <w:rPr>
          <w:spacing w:val="0"/>
          <w:w w:val="100"/>
          <w:lang w:val="es-ES"/>
        </w:rPr>
      </w:pPr>
      <w:r w:rsidRPr="000E5263">
        <w:rPr>
          <w:spacing w:val="0"/>
          <w:w w:val="100"/>
          <w:lang w:val="es-ES"/>
        </w:rPr>
        <w:tab/>
      </w:r>
      <w:r w:rsidR="000E5263" w:rsidRPr="000E5263">
        <w:rPr>
          <w:spacing w:val="0"/>
          <w:w w:val="100"/>
          <w:lang w:val="es-ES"/>
        </w:rPr>
        <w:t>d)</w:t>
      </w:r>
      <w:r w:rsidR="000E5263" w:rsidRPr="000E5263">
        <w:rPr>
          <w:spacing w:val="0"/>
          <w:w w:val="100"/>
          <w:lang w:val="es-ES"/>
        </w:rPr>
        <w:tab/>
      </w:r>
      <w:r w:rsidRPr="000E5263">
        <w:rPr>
          <w:spacing w:val="0"/>
          <w:w w:val="100"/>
          <w:lang w:val="es-ES"/>
        </w:rPr>
        <w:t>Las contribuciones en especie realizadas por lo</w:t>
      </w:r>
      <w:r w:rsidR="000E5263" w:rsidRPr="000E5263">
        <w:rPr>
          <w:spacing w:val="0"/>
          <w:w w:val="100"/>
          <w:lang w:val="es-ES"/>
        </w:rPr>
        <w:t>s miembros y observadores</w:t>
      </w:r>
      <w:r w:rsidRPr="000E5263">
        <w:rPr>
          <w:spacing w:val="0"/>
          <w:w w:val="100"/>
          <w:lang w:val="es-ES"/>
        </w:rPr>
        <w:t>, por ejemplo para apoyar a los órganos subsidiarios</w:t>
      </w:r>
      <w:r w:rsidR="00A06BC3">
        <w:rPr>
          <w:spacing w:val="0"/>
          <w:w w:val="100"/>
          <w:lang w:val="es-ES"/>
        </w:rPr>
        <w:t xml:space="preserve"> </w:t>
      </w:r>
      <w:r w:rsidR="00734F09">
        <w:rPr>
          <w:spacing w:val="0"/>
          <w:w w:val="100"/>
          <w:lang w:val="es-ES"/>
        </w:rPr>
        <w:t>de</w:t>
      </w:r>
      <w:r w:rsidRPr="000E5263">
        <w:rPr>
          <w:spacing w:val="0"/>
          <w:w w:val="100"/>
          <w:lang w:val="es-ES"/>
        </w:rPr>
        <w:t xml:space="preserve"> la</w:t>
      </w:r>
      <w:r w:rsidR="000E5263" w:rsidRPr="000E5263">
        <w:rPr>
          <w:spacing w:val="0"/>
          <w:w w:val="100"/>
          <w:lang w:val="es-ES"/>
        </w:rPr>
        <w:t xml:space="preserve"> </w:t>
      </w:r>
      <w:r w:rsidR="00734F09">
        <w:rPr>
          <w:spacing w:val="0"/>
          <w:w w:val="100"/>
          <w:lang w:val="es-ES"/>
        </w:rPr>
        <w:t>Plataforma</w:t>
      </w:r>
      <w:r w:rsidR="000E5263" w:rsidRPr="000E5263">
        <w:rPr>
          <w:spacing w:val="0"/>
          <w:w w:val="100"/>
          <w:lang w:val="es-ES"/>
        </w:rPr>
        <w:t>, las publicaciones de la </w:t>
      </w:r>
      <w:r w:rsidR="0089759D">
        <w:rPr>
          <w:spacing w:val="0"/>
          <w:w w:val="100"/>
          <w:lang w:val="es-ES"/>
        </w:rPr>
        <w:t>Plataforma</w:t>
      </w:r>
      <w:r w:rsidRPr="000E5263">
        <w:rPr>
          <w:spacing w:val="0"/>
          <w:w w:val="100"/>
          <w:lang w:val="es-ES"/>
        </w:rPr>
        <w:t xml:space="preserve">, las traducciones, las reuniones, los talleres, etc.; </w:t>
      </w:r>
    </w:p>
    <w:p w14:paraId="517A69B0" w14:textId="77777777" w:rsidR="00F33B29" w:rsidRPr="000E5263" w:rsidRDefault="00F33B29" w:rsidP="000E526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line="240" w:lineRule="auto"/>
        <w:ind w:left="1247" w:right="0" w:firstLine="624"/>
        <w:jc w:val="left"/>
        <w:rPr>
          <w:spacing w:val="0"/>
          <w:w w:val="100"/>
          <w:lang w:val="es-ES"/>
        </w:rPr>
      </w:pPr>
      <w:r w:rsidRPr="000E5263">
        <w:rPr>
          <w:spacing w:val="0"/>
          <w:w w:val="100"/>
          <w:lang w:val="es-ES"/>
        </w:rPr>
        <w:tab/>
      </w:r>
      <w:r w:rsidR="000E5263" w:rsidRPr="000E5263">
        <w:rPr>
          <w:spacing w:val="0"/>
          <w:w w:val="100"/>
          <w:lang w:val="es-ES"/>
        </w:rPr>
        <w:t>e)</w:t>
      </w:r>
      <w:r w:rsidRPr="000E5263">
        <w:rPr>
          <w:spacing w:val="0"/>
          <w:w w:val="100"/>
          <w:lang w:val="es-ES"/>
        </w:rPr>
        <w:tab/>
        <w:t xml:space="preserve">El saldo no comprometido de las asignaciones de ejercicios financieros anteriores.  </w:t>
      </w:r>
    </w:p>
    <w:p w14:paraId="603557BB" w14:textId="77777777" w:rsidR="00F33B29" w:rsidRPr="000E5263" w:rsidRDefault="00F33B29" w:rsidP="000E5263">
      <w:pPr>
        <w:pStyle w:val="CH2"/>
        <w:rPr>
          <w:lang w:val="es-ES"/>
        </w:rPr>
      </w:pPr>
      <w:r w:rsidRPr="000E5263">
        <w:rPr>
          <w:lang w:val="es-ES"/>
        </w:rPr>
        <w:lastRenderedPageBreak/>
        <w:tab/>
      </w:r>
      <w:r w:rsidRPr="000E5263">
        <w:rPr>
          <w:lang w:val="es-ES"/>
        </w:rPr>
        <w:tab/>
        <w:t xml:space="preserve">Artículo 14 </w:t>
      </w:r>
    </w:p>
    <w:p w14:paraId="7973961E" w14:textId="02F0522A"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Todas las contribuciones en efectivo se abonarán en monedas convertibles en la cuenta bancaria designada por [el </w:t>
      </w:r>
      <w:r w:rsidR="0089759D" w:rsidRPr="00584D75">
        <w:rPr>
          <w:lang w:val="es-ES" w:eastAsia="ko-KR"/>
        </w:rPr>
        <w:t>Programa de las Naciones Unidas para el Medio Ambiente</w:t>
      </w:r>
      <w:r w:rsidRPr="00584D75">
        <w:rPr>
          <w:spacing w:val="0"/>
          <w:w w:val="100"/>
          <w:lang w:val="es-ES"/>
        </w:rPr>
        <w:t>] [la Oficina del Fondo Fiduciario</w:t>
      </w:r>
      <w:r w:rsidR="000E5263" w:rsidRPr="00584D75">
        <w:rPr>
          <w:spacing w:val="0"/>
          <w:w w:val="100"/>
          <w:lang w:val="es-ES"/>
        </w:rPr>
        <w:t xml:space="preserve"> de Múltiples Asociados del </w:t>
      </w:r>
      <w:r w:rsidR="0089759D" w:rsidRPr="00584D75">
        <w:rPr>
          <w:lang w:val="es-ES" w:eastAsia="ko-KR"/>
        </w:rPr>
        <w:t>Programa de las Naciones Unidas para el Desarrollo</w:t>
      </w:r>
      <w:r w:rsidRPr="00584D75">
        <w:rPr>
          <w:spacing w:val="0"/>
          <w:w w:val="100"/>
          <w:lang w:val="es-ES"/>
        </w:rPr>
        <w:t>].</w:t>
      </w:r>
      <w:r w:rsidRPr="000E5263">
        <w:rPr>
          <w:spacing w:val="0"/>
          <w:w w:val="100"/>
          <w:lang w:val="es-ES"/>
        </w:rPr>
        <w:t xml:space="preserve"> </w:t>
      </w:r>
    </w:p>
    <w:p w14:paraId="62530065" w14:textId="77777777" w:rsidR="00F33B29" w:rsidRPr="000E5263" w:rsidRDefault="00F33B29" w:rsidP="000E5263">
      <w:pPr>
        <w:pStyle w:val="CH2"/>
        <w:rPr>
          <w:lang w:val="es-ES"/>
        </w:rPr>
      </w:pPr>
      <w:r w:rsidRPr="000E5263">
        <w:rPr>
          <w:lang w:val="es-ES"/>
        </w:rPr>
        <w:tab/>
      </w:r>
      <w:r w:rsidRPr="000E5263">
        <w:rPr>
          <w:lang w:val="es-ES"/>
        </w:rPr>
        <w:tab/>
        <w:t>Artículo 15</w:t>
      </w:r>
    </w:p>
    <w:p w14:paraId="25431A81" w14:textId="2A42F9E4" w:rsidR="00F33B29" w:rsidRPr="000E5263" w:rsidRDefault="0089759D" w:rsidP="000E5263">
      <w:pPr>
        <w:pStyle w:val="SingleTxt"/>
        <w:spacing w:line="240" w:lineRule="auto"/>
        <w:ind w:left="1247" w:right="0" w:firstLine="624"/>
        <w:jc w:val="left"/>
        <w:rPr>
          <w:spacing w:val="0"/>
          <w:w w:val="100"/>
          <w:lang w:val="es-ES"/>
        </w:rPr>
      </w:pPr>
      <w:r>
        <w:rPr>
          <w:spacing w:val="0"/>
          <w:w w:val="100"/>
          <w:lang w:val="es-ES"/>
        </w:rPr>
        <w:t>La secretaría</w:t>
      </w:r>
      <w:r w:rsidR="00F33B29" w:rsidRPr="000E5263">
        <w:rPr>
          <w:spacing w:val="0"/>
          <w:w w:val="100"/>
          <w:lang w:val="es-ES"/>
        </w:rPr>
        <w:t xml:space="preserve"> acusará recibo sin demora de todas las promesas de contribución y todas las contribuciones y, en cada período de sesiones, informará al Plenario de la situación de las promesas de contribución, los pagos de las contribuciones y los gastos. En el informe </w:t>
      </w:r>
      <w:r>
        <w:rPr>
          <w:spacing w:val="0"/>
          <w:w w:val="100"/>
          <w:lang w:val="es-ES"/>
        </w:rPr>
        <w:t>de la secretaría</w:t>
      </w:r>
      <w:r w:rsidR="00F33B29" w:rsidRPr="000E5263">
        <w:rPr>
          <w:spacing w:val="0"/>
          <w:w w:val="100"/>
          <w:lang w:val="es-ES"/>
        </w:rPr>
        <w:t xml:space="preserve"> se mencionarán específicamente las contribuciones recibidas en especie y, en la medida en que pueda hacerse de manera fiable, se cuantificarán. </w:t>
      </w:r>
    </w:p>
    <w:p w14:paraId="1A5C8B5A" w14:textId="77777777" w:rsidR="00F33B29" w:rsidRPr="000E5263" w:rsidRDefault="00F33B29" w:rsidP="000E5263">
      <w:pPr>
        <w:pStyle w:val="CH2"/>
        <w:rPr>
          <w:lang w:val="es-ES"/>
        </w:rPr>
      </w:pPr>
      <w:r w:rsidRPr="000E5263">
        <w:rPr>
          <w:lang w:val="es-ES"/>
        </w:rPr>
        <w:tab/>
      </w:r>
      <w:r w:rsidRPr="000E5263">
        <w:rPr>
          <w:lang w:val="es-ES"/>
        </w:rPr>
        <w:tab/>
        <w:t>Reserva de capital de operaciones</w:t>
      </w:r>
    </w:p>
    <w:p w14:paraId="6B5AAFEB" w14:textId="77777777" w:rsidR="00F33B29" w:rsidRPr="000E5263" w:rsidRDefault="00F33B29" w:rsidP="000E5263">
      <w:pPr>
        <w:pStyle w:val="CH2"/>
        <w:rPr>
          <w:lang w:val="es-ES"/>
        </w:rPr>
      </w:pPr>
      <w:r w:rsidRPr="000E5263">
        <w:rPr>
          <w:lang w:val="es-ES"/>
        </w:rPr>
        <w:tab/>
      </w:r>
      <w:r w:rsidRPr="000E5263">
        <w:rPr>
          <w:lang w:val="es-ES"/>
        </w:rPr>
        <w:tab/>
        <w:t xml:space="preserve">Artículo 16 </w:t>
      </w:r>
    </w:p>
    <w:p w14:paraId="111BBB5E" w14:textId="4B847E6C"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En el Fondo Fiduciario se mantendrá una reserva de capital de operaciones [en una cuantía que el Plenario determinará por consenso cada cierto tiempo] [de </w:t>
      </w:r>
      <w:r w:rsidR="0089759D">
        <w:rPr>
          <w:spacing w:val="0"/>
          <w:w w:val="100"/>
          <w:lang w:val="es-ES"/>
        </w:rPr>
        <w:t>dos</w:t>
      </w:r>
      <w:r w:rsidR="0089759D" w:rsidRPr="000E5263">
        <w:rPr>
          <w:spacing w:val="0"/>
          <w:w w:val="100"/>
          <w:lang w:val="es-ES"/>
        </w:rPr>
        <w:t xml:space="preserve"> </w:t>
      </w:r>
      <w:r w:rsidRPr="000E5263">
        <w:rPr>
          <w:spacing w:val="0"/>
          <w:w w:val="100"/>
          <w:lang w:val="es-ES"/>
        </w:rPr>
        <w:t>mill</w:t>
      </w:r>
      <w:r w:rsidR="0089759D">
        <w:rPr>
          <w:spacing w:val="0"/>
          <w:w w:val="100"/>
          <w:lang w:val="es-ES"/>
        </w:rPr>
        <w:t>ones</w:t>
      </w:r>
      <w:r w:rsidRPr="000E5263">
        <w:rPr>
          <w:spacing w:val="0"/>
          <w:w w:val="100"/>
          <w:lang w:val="es-ES"/>
        </w:rPr>
        <w:t xml:space="preserve"> de d</w:t>
      </w:r>
      <w:r w:rsidR="000E5263" w:rsidRPr="000E5263">
        <w:rPr>
          <w:spacing w:val="0"/>
          <w:w w:val="100"/>
          <w:lang w:val="es-ES"/>
        </w:rPr>
        <w:t>ólares de los Estados Unidos</w:t>
      </w:r>
      <w:r w:rsidRPr="000E5263">
        <w:rPr>
          <w:spacing w:val="0"/>
          <w:w w:val="100"/>
          <w:lang w:val="es-ES"/>
        </w:rPr>
        <w:t>]. La finalidad de la reserva de capital de operaciones será garantizar la continuidad de las operaciones en caso de problemas de liquidez a corto plazo hasta que se reciban las contribuciones. L</w:t>
      </w:r>
      <w:r w:rsidR="00F97D86">
        <w:rPr>
          <w:spacing w:val="0"/>
          <w:w w:val="100"/>
          <w:lang w:val="es-ES"/>
        </w:rPr>
        <w:t xml:space="preserve">os retiros </w:t>
      </w:r>
      <w:r w:rsidRPr="000E5263">
        <w:rPr>
          <w:spacing w:val="0"/>
          <w:w w:val="100"/>
          <w:lang w:val="es-ES"/>
        </w:rPr>
        <w:t xml:space="preserve">de la reserva de capital de operaciones </w:t>
      </w:r>
      <w:r w:rsidR="00F97D86">
        <w:rPr>
          <w:spacing w:val="0"/>
          <w:w w:val="100"/>
          <w:lang w:val="es-ES"/>
        </w:rPr>
        <w:t xml:space="preserve">serán iniciados por el jefe de la secretaría, en consulta con la Mesa, y luego de haber informado a los miembros de la Plataforma. La reserva de capital de operaciones </w:t>
      </w:r>
      <w:r w:rsidRPr="000E5263">
        <w:rPr>
          <w:spacing w:val="0"/>
          <w:w w:val="100"/>
          <w:lang w:val="es-ES"/>
        </w:rPr>
        <w:t xml:space="preserve">se restituirá con contribuciones tan pronto como sea posible. </w:t>
      </w:r>
    </w:p>
    <w:p w14:paraId="6FEFB553" w14:textId="77777777" w:rsidR="00F33B29" w:rsidRPr="000E5263" w:rsidRDefault="00F33B29" w:rsidP="000E5263">
      <w:pPr>
        <w:pStyle w:val="CH2"/>
        <w:rPr>
          <w:lang w:val="es-ES"/>
        </w:rPr>
      </w:pPr>
      <w:r w:rsidRPr="000E5263">
        <w:rPr>
          <w:lang w:val="es-ES"/>
        </w:rPr>
        <w:tab/>
      </w:r>
      <w:r w:rsidRPr="000E5263">
        <w:rPr>
          <w:lang w:val="es-ES"/>
        </w:rPr>
        <w:tab/>
        <w:t xml:space="preserve">Contabilidad y auditoría </w:t>
      </w:r>
    </w:p>
    <w:p w14:paraId="5A0C297C" w14:textId="77777777" w:rsidR="00F33B29" w:rsidRPr="000E5263" w:rsidRDefault="00F33B29" w:rsidP="000E5263">
      <w:pPr>
        <w:pStyle w:val="CH2"/>
        <w:rPr>
          <w:lang w:val="es-ES"/>
        </w:rPr>
      </w:pPr>
      <w:r w:rsidRPr="000E5263">
        <w:rPr>
          <w:lang w:val="es-ES"/>
        </w:rPr>
        <w:tab/>
      </w:r>
      <w:r w:rsidRPr="000E5263">
        <w:rPr>
          <w:lang w:val="es-ES"/>
        </w:rPr>
        <w:tab/>
        <w:t xml:space="preserve">Artículo 17 </w:t>
      </w:r>
    </w:p>
    <w:p w14:paraId="1FA06F50" w14:textId="7FBF7149" w:rsidR="00F33B29" w:rsidRPr="00584D75" w:rsidRDefault="00F33B29" w:rsidP="000E5263">
      <w:pPr>
        <w:pStyle w:val="SingleTxt"/>
        <w:spacing w:line="240" w:lineRule="auto"/>
        <w:ind w:left="1247" w:right="0" w:firstLine="624"/>
        <w:jc w:val="left"/>
        <w:rPr>
          <w:spacing w:val="0"/>
          <w:w w:val="100"/>
          <w:lang w:val="es-ES"/>
        </w:rPr>
      </w:pPr>
      <w:r w:rsidRPr="00584D75">
        <w:rPr>
          <w:spacing w:val="0"/>
          <w:w w:val="100"/>
          <w:lang w:val="es-ES"/>
        </w:rPr>
        <w:t xml:space="preserve">Los estados financieros del Fondo Fiduciario se elaborarán de acuerdo con </w:t>
      </w:r>
      <w:r w:rsidR="000E5263" w:rsidRPr="00584D75">
        <w:rPr>
          <w:spacing w:val="0"/>
          <w:w w:val="100"/>
          <w:lang w:val="es-ES"/>
        </w:rPr>
        <w:t xml:space="preserve">las </w:t>
      </w:r>
      <w:r w:rsidRPr="00584D75">
        <w:rPr>
          <w:spacing w:val="0"/>
          <w:w w:val="100"/>
          <w:lang w:val="es-ES"/>
        </w:rPr>
        <w:t>Normas Internacionales de Contabilidad del Sector Público (IPSAS) y las normas pertinentes que aplique [</w:t>
      </w:r>
      <w:r w:rsidR="00457D23" w:rsidRPr="00457D23">
        <w:rPr>
          <w:spacing w:val="0"/>
          <w:w w:val="100"/>
          <w:lang w:val="es-ES"/>
        </w:rPr>
        <w:t xml:space="preserve">el </w:t>
      </w:r>
      <w:r w:rsidR="00734F09" w:rsidRPr="00584D75">
        <w:rPr>
          <w:lang w:val="es-ES" w:eastAsia="ko-KR"/>
        </w:rPr>
        <w:t>Programa de las Naciones Unidas para el Medio Ambiente</w:t>
      </w:r>
      <w:r w:rsidR="00457D23">
        <w:rPr>
          <w:lang w:val="es-ES" w:eastAsia="ko-KR"/>
        </w:rPr>
        <w:t>]</w:t>
      </w:r>
      <w:r w:rsidR="00734F09" w:rsidRPr="00584D75">
        <w:rPr>
          <w:spacing w:val="0"/>
          <w:w w:val="100"/>
          <w:lang w:val="es-ES"/>
        </w:rPr>
        <w:t xml:space="preserve"> </w:t>
      </w:r>
      <w:r w:rsidR="00457D23">
        <w:rPr>
          <w:spacing w:val="0"/>
          <w:w w:val="100"/>
          <w:lang w:val="es-ES"/>
        </w:rPr>
        <w:t>[</w:t>
      </w:r>
      <w:r w:rsidRPr="00584D75">
        <w:rPr>
          <w:spacing w:val="0"/>
          <w:w w:val="100"/>
          <w:lang w:val="es-ES"/>
        </w:rPr>
        <w:t xml:space="preserve">la Oficina del Fondo Fiduciario de Múltiples Asociados del </w:t>
      </w:r>
      <w:r w:rsidR="0089759D" w:rsidRPr="00584D75">
        <w:rPr>
          <w:lang w:val="es-ES" w:eastAsia="ko-KR"/>
        </w:rPr>
        <w:t>Programa de las Naciones Unidas para el Desarrollo</w:t>
      </w:r>
      <w:r w:rsidRPr="00584D75">
        <w:rPr>
          <w:spacing w:val="0"/>
          <w:w w:val="100"/>
          <w:lang w:val="es-ES"/>
        </w:rPr>
        <w:t>] y serán objeto de una auditoría interna y externa con arreglo a lo dispuesto en la reglamentación del [</w:t>
      </w:r>
      <w:r w:rsidR="0089759D" w:rsidRPr="00584D75">
        <w:rPr>
          <w:lang w:val="es-ES" w:eastAsia="ko-KR"/>
        </w:rPr>
        <w:t>Programa de las Naciones Unidas para el Medio Ambiente</w:t>
      </w:r>
      <w:r w:rsidR="00F97D86">
        <w:rPr>
          <w:lang w:val="es-ES" w:eastAsia="ko-KR"/>
        </w:rPr>
        <w:t>]</w:t>
      </w:r>
      <w:r w:rsidR="0089759D" w:rsidRPr="00584D75">
        <w:rPr>
          <w:spacing w:val="0"/>
          <w:w w:val="100"/>
          <w:lang w:val="es-ES"/>
        </w:rPr>
        <w:t xml:space="preserve"> </w:t>
      </w:r>
      <w:r w:rsidR="00F97D86">
        <w:rPr>
          <w:spacing w:val="0"/>
          <w:w w:val="100"/>
          <w:lang w:val="es-ES"/>
        </w:rPr>
        <w:t>[</w:t>
      </w:r>
      <w:r w:rsidRPr="00584D75">
        <w:rPr>
          <w:spacing w:val="0"/>
          <w:w w:val="100"/>
          <w:lang w:val="es-ES"/>
        </w:rPr>
        <w:t xml:space="preserve">la Oficina del Fondo Fiduciario de Múltiples Asociados del </w:t>
      </w:r>
      <w:r w:rsidR="00734F09" w:rsidRPr="00584D75">
        <w:rPr>
          <w:lang w:val="es-ES" w:eastAsia="ko-KR"/>
        </w:rPr>
        <w:t>Programa de las Naciones Unidas para el Desarrollo</w:t>
      </w:r>
      <w:r w:rsidRPr="00584D75">
        <w:rPr>
          <w:spacing w:val="0"/>
          <w:w w:val="100"/>
          <w:lang w:val="es-ES"/>
        </w:rPr>
        <w:t>]. La responsabilidad y la rendición de cuentas respecto de los informes financieros recaerán en [</w:t>
      </w:r>
      <w:r w:rsidR="00F97D86" w:rsidRPr="00F97D86">
        <w:rPr>
          <w:spacing w:val="0"/>
          <w:w w:val="100"/>
          <w:lang w:val="es-ES"/>
        </w:rPr>
        <w:t xml:space="preserve">el </w:t>
      </w:r>
      <w:r w:rsidR="00734F09" w:rsidRPr="00584D75">
        <w:rPr>
          <w:lang w:val="es-ES" w:eastAsia="ko-KR"/>
        </w:rPr>
        <w:t>Programa de las Naciones Unidas para el Medio Ambiente</w:t>
      </w:r>
      <w:r w:rsidR="00A06BC3">
        <w:rPr>
          <w:lang w:val="es-ES" w:eastAsia="ko-KR"/>
        </w:rPr>
        <w:t xml:space="preserve"> </w:t>
      </w:r>
      <w:r w:rsidRPr="00584D75">
        <w:rPr>
          <w:spacing w:val="0"/>
          <w:w w:val="100"/>
          <w:lang w:val="es-ES"/>
        </w:rPr>
        <w:t>la</w:t>
      </w:r>
      <w:r w:rsidR="00F97D86">
        <w:rPr>
          <w:spacing w:val="0"/>
          <w:w w:val="100"/>
          <w:lang w:val="es-ES"/>
        </w:rPr>
        <w:t>]</w:t>
      </w:r>
      <w:r w:rsidRPr="00584D75">
        <w:rPr>
          <w:spacing w:val="0"/>
          <w:w w:val="100"/>
          <w:lang w:val="es-ES"/>
        </w:rPr>
        <w:t xml:space="preserve"> </w:t>
      </w:r>
      <w:r w:rsidR="00F97D86">
        <w:rPr>
          <w:spacing w:val="0"/>
          <w:w w:val="100"/>
          <w:lang w:val="es-ES"/>
        </w:rPr>
        <w:t xml:space="preserve">[la </w:t>
      </w:r>
      <w:r w:rsidRPr="00584D75">
        <w:rPr>
          <w:spacing w:val="0"/>
          <w:w w:val="100"/>
          <w:lang w:val="es-ES"/>
        </w:rPr>
        <w:t xml:space="preserve">Oficina del Fondo Fiduciario de Múltiples Asociados del </w:t>
      </w:r>
      <w:r w:rsidR="00734F09" w:rsidRPr="00584D75">
        <w:rPr>
          <w:lang w:val="es-ES" w:eastAsia="ko-KR"/>
        </w:rPr>
        <w:t>Programa de las Naciones Unidas para el Desarrollo</w:t>
      </w:r>
      <w:r w:rsidRPr="00584D75">
        <w:rPr>
          <w:spacing w:val="0"/>
          <w:w w:val="100"/>
          <w:lang w:val="es-ES"/>
        </w:rPr>
        <w:t xml:space="preserve">]. </w:t>
      </w:r>
    </w:p>
    <w:p w14:paraId="68DB0DCD" w14:textId="77777777" w:rsidR="00F33B29" w:rsidRPr="000E5263" w:rsidRDefault="00F33B29" w:rsidP="000E5263">
      <w:pPr>
        <w:pStyle w:val="CH2"/>
        <w:rPr>
          <w:lang w:val="es-ES"/>
        </w:rPr>
      </w:pPr>
      <w:r w:rsidRPr="000E5263">
        <w:rPr>
          <w:lang w:val="es-ES"/>
        </w:rPr>
        <w:tab/>
      </w:r>
      <w:r w:rsidRPr="000E5263">
        <w:rPr>
          <w:lang w:val="es-ES"/>
        </w:rPr>
        <w:tab/>
        <w:t>Disposiciones generales</w:t>
      </w:r>
    </w:p>
    <w:p w14:paraId="36AD6517" w14:textId="77777777" w:rsidR="00F33B29" w:rsidRPr="000E5263" w:rsidRDefault="00F33B29" w:rsidP="000E5263">
      <w:pPr>
        <w:pStyle w:val="CH2"/>
        <w:rPr>
          <w:lang w:val="es-ES"/>
        </w:rPr>
      </w:pPr>
      <w:r w:rsidRPr="000E5263">
        <w:rPr>
          <w:lang w:val="es-ES"/>
        </w:rPr>
        <w:tab/>
      </w:r>
      <w:r w:rsidRPr="000E5263">
        <w:rPr>
          <w:lang w:val="es-ES"/>
        </w:rPr>
        <w:tab/>
        <w:t xml:space="preserve">Artículo 18 </w:t>
      </w:r>
    </w:p>
    <w:p w14:paraId="350BE13F" w14:textId="5A4A4AF4" w:rsidR="00F33B29" w:rsidRPr="00457D2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En caso de que se decida liquidar el Fondo Fiduciario, se informará a los miembros </w:t>
      </w:r>
      <w:r w:rsidR="00734F09">
        <w:rPr>
          <w:spacing w:val="0"/>
          <w:w w:val="100"/>
          <w:lang w:val="es-ES"/>
        </w:rPr>
        <w:t>de la Plataforma</w:t>
      </w:r>
      <w:r w:rsidRPr="000E5263">
        <w:rPr>
          <w:spacing w:val="0"/>
          <w:w w:val="100"/>
          <w:lang w:val="es-ES"/>
        </w:rPr>
        <w:t xml:space="preserve"> al menos seis meses antes de la fecha en que se producirá dicha liquidación. El Plenario decidirá, en consulta con </w:t>
      </w:r>
      <w:r w:rsidRPr="00457D23">
        <w:rPr>
          <w:spacing w:val="0"/>
          <w:w w:val="100"/>
          <w:lang w:val="es-ES"/>
        </w:rPr>
        <w:t>[</w:t>
      </w:r>
      <w:r w:rsidR="00457D23" w:rsidRPr="00457D23">
        <w:rPr>
          <w:spacing w:val="0"/>
          <w:w w:val="100"/>
          <w:lang w:val="es-ES"/>
        </w:rPr>
        <w:t xml:space="preserve">el </w:t>
      </w:r>
      <w:r w:rsidR="00734F09" w:rsidRPr="00457D23">
        <w:rPr>
          <w:lang w:val="es-ES" w:eastAsia="ko-KR"/>
        </w:rPr>
        <w:t>Programa de las Naciones Unidas para el Medio Ambiente</w:t>
      </w:r>
      <w:r w:rsidR="00457D23">
        <w:rPr>
          <w:lang w:val="es-ES" w:eastAsia="ko-KR"/>
        </w:rPr>
        <w:t>]</w:t>
      </w:r>
      <w:r w:rsidR="00734F09" w:rsidRPr="00457D23">
        <w:rPr>
          <w:spacing w:val="0"/>
          <w:w w:val="100"/>
          <w:lang w:val="es-ES"/>
        </w:rPr>
        <w:t xml:space="preserve"> </w:t>
      </w:r>
      <w:r w:rsidR="00457D23">
        <w:rPr>
          <w:spacing w:val="0"/>
          <w:w w:val="100"/>
          <w:lang w:val="es-ES"/>
        </w:rPr>
        <w:t>[</w:t>
      </w:r>
      <w:r w:rsidRPr="00457D23">
        <w:rPr>
          <w:spacing w:val="0"/>
          <w:w w:val="100"/>
          <w:lang w:val="es-ES"/>
        </w:rPr>
        <w:t xml:space="preserve">la Oficina del Fondo Fiduciario de Múltiples Asociados del </w:t>
      </w:r>
      <w:r w:rsidR="00734F09" w:rsidRPr="00457D23">
        <w:rPr>
          <w:lang w:val="es-ES" w:eastAsia="ko-KR"/>
        </w:rPr>
        <w:t>Programa de las Naciones Unidas para el Desarrollo</w:t>
      </w:r>
      <w:r w:rsidRPr="00457D23">
        <w:rPr>
          <w:spacing w:val="0"/>
          <w:w w:val="100"/>
          <w:lang w:val="es-ES"/>
        </w:rPr>
        <w:t xml:space="preserve">], sobre la distribución de los saldos no comprometidos una vez abonados todos los gastos de liquidación. </w:t>
      </w:r>
    </w:p>
    <w:p w14:paraId="23CD0914" w14:textId="77777777" w:rsidR="00F33B29" w:rsidRPr="000E5263" w:rsidRDefault="00F33B29" w:rsidP="000E5263">
      <w:pPr>
        <w:pStyle w:val="CH2"/>
        <w:rPr>
          <w:lang w:val="es-ES"/>
        </w:rPr>
      </w:pPr>
      <w:r w:rsidRPr="000E5263">
        <w:rPr>
          <w:lang w:val="es-ES"/>
        </w:rPr>
        <w:tab/>
      </w:r>
      <w:r w:rsidRPr="000E5263">
        <w:rPr>
          <w:lang w:val="es-ES"/>
        </w:rPr>
        <w:tab/>
        <w:t xml:space="preserve">Artículo 19 </w:t>
      </w:r>
    </w:p>
    <w:p w14:paraId="0BE1F9EB" w14:textId="16983E71"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En caso de que se decida disolver la secretaría de la </w:t>
      </w:r>
      <w:r w:rsidR="00734F09">
        <w:rPr>
          <w:spacing w:val="0"/>
          <w:w w:val="100"/>
          <w:lang w:val="es-ES"/>
        </w:rPr>
        <w:t>Plataforma</w:t>
      </w:r>
      <w:r w:rsidRPr="000E5263">
        <w:rPr>
          <w:spacing w:val="0"/>
          <w:w w:val="100"/>
          <w:lang w:val="es-ES"/>
        </w:rPr>
        <w:t>, la institución que administra la secretaría recibirá notificación al menos con un año de antelación a la fecha prevista de la disolución.</w:t>
      </w:r>
      <w:r w:rsidR="00457D23">
        <w:rPr>
          <w:spacing w:val="0"/>
          <w:w w:val="100"/>
          <w:lang w:val="es-ES"/>
        </w:rPr>
        <w:t xml:space="preserve"> Todas las responsabilidades y costos </w:t>
      </w:r>
      <w:r w:rsidR="00446E58">
        <w:rPr>
          <w:spacing w:val="0"/>
          <w:w w:val="100"/>
          <w:lang w:val="es-ES"/>
        </w:rPr>
        <w:t>asociados a esa disolución estarán a cargo del Fondo Fiduciario.</w:t>
      </w:r>
    </w:p>
    <w:p w14:paraId="773D61F1" w14:textId="77777777" w:rsidR="00F33B29" w:rsidRPr="000E5263" w:rsidRDefault="00F33B29" w:rsidP="000E5263">
      <w:pPr>
        <w:pStyle w:val="CH2"/>
        <w:rPr>
          <w:lang w:val="es-ES"/>
        </w:rPr>
      </w:pPr>
      <w:r w:rsidRPr="000E5263">
        <w:rPr>
          <w:lang w:val="es-ES"/>
        </w:rPr>
        <w:tab/>
      </w:r>
      <w:r w:rsidRPr="000E5263">
        <w:rPr>
          <w:lang w:val="es-ES"/>
        </w:rPr>
        <w:tab/>
        <w:t xml:space="preserve">Artículo 20 </w:t>
      </w:r>
    </w:p>
    <w:p w14:paraId="08E355E3" w14:textId="77777777" w:rsidR="00F33B29" w:rsidRPr="000E5263" w:rsidRDefault="00F33B29" w:rsidP="000E5263">
      <w:pPr>
        <w:pStyle w:val="SingleTxt"/>
        <w:spacing w:line="240" w:lineRule="auto"/>
        <w:ind w:left="1247" w:right="0" w:firstLine="624"/>
        <w:jc w:val="left"/>
        <w:rPr>
          <w:spacing w:val="0"/>
          <w:w w:val="100"/>
          <w:lang w:val="es-ES"/>
        </w:rPr>
      </w:pPr>
      <w:r w:rsidRPr="000E5263">
        <w:rPr>
          <w:spacing w:val="0"/>
          <w:w w:val="100"/>
          <w:lang w:val="es-ES"/>
        </w:rPr>
        <w:t xml:space="preserve">Toda enmienda de los presentes procedimientos deberá ser aprobada por el Plenario por consenso. </w:t>
      </w:r>
    </w:p>
    <w:p w14:paraId="14629832" w14:textId="77777777" w:rsidR="00F33B29" w:rsidRPr="000E5263" w:rsidRDefault="00F33B29" w:rsidP="000E5263">
      <w:pPr>
        <w:pStyle w:val="Normal-pool"/>
        <w:rPr>
          <w:lang w:val="es-ES"/>
        </w:rPr>
      </w:pPr>
    </w:p>
    <w:tbl>
      <w:tblPr>
        <w:tblW w:w="0" w:type="auto"/>
        <w:tblLook w:val="01E0" w:firstRow="1" w:lastRow="1" w:firstColumn="1" w:lastColumn="1" w:noHBand="0" w:noVBand="0"/>
      </w:tblPr>
      <w:tblGrid>
        <w:gridCol w:w="3237"/>
        <w:gridCol w:w="3237"/>
        <w:gridCol w:w="3238"/>
      </w:tblGrid>
      <w:tr w:rsidR="00F33B29" w:rsidRPr="003E58A8" w14:paraId="5CB3B8C3" w14:textId="77777777" w:rsidTr="00F33B29">
        <w:tc>
          <w:tcPr>
            <w:tcW w:w="3237" w:type="dxa"/>
          </w:tcPr>
          <w:p w14:paraId="25756885" w14:textId="77777777" w:rsidR="00F33B29" w:rsidRPr="000E5263" w:rsidRDefault="00F33B29" w:rsidP="000E5263">
            <w:pPr>
              <w:pStyle w:val="Normal-pool"/>
              <w:rPr>
                <w:lang w:val="es-ES"/>
              </w:rPr>
            </w:pPr>
          </w:p>
        </w:tc>
        <w:tc>
          <w:tcPr>
            <w:tcW w:w="3237" w:type="dxa"/>
            <w:tcBorders>
              <w:bottom w:val="single" w:sz="4" w:space="0" w:color="auto"/>
            </w:tcBorders>
          </w:tcPr>
          <w:p w14:paraId="24376C31" w14:textId="77777777" w:rsidR="00F33B29" w:rsidRPr="000E5263" w:rsidRDefault="00F33B29" w:rsidP="000E5263">
            <w:pPr>
              <w:pStyle w:val="Normal-pool"/>
              <w:rPr>
                <w:lang w:val="es-ES"/>
              </w:rPr>
            </w:pPr>
          </w:p>
        </w:tc>
        <w:tc>
          <w:tcPr>
            <w:tcW w:w="3238" w:type="dxa"/>
          </w:tcPr>
          <w:p w14:paraId="7D3E5E47" w14:textId="77777777" w:rsidR="00F33B29" w:rsidRPr="000E5263" w:rsidRDefault="00F33B29" w:rsidP="000E5263">
            <w:pPr>
              <w:pStyle w:val="Normal-pool"/>
              <w:rPr>
                <w:lang w:val="es-ES"/>
              </w:rPr>
            </w:pPr>
          </w:p>
        </w:tc>
      </w:tr>
    </w:tbl>
    <w:p w14:paraId="75C3EB20" w14:textId="77777777" w:rsidR="00F33B29" w:rsidRPr="000E5263" w:rsidRDefault="00F33B29" w:rsidP="000E5263">
      <w:pPr>
        <w:pStyle w:val="Normal-pool"/>
        <w:rPr>
          <w:lang w:val="es-ES"/>
        </w:rPr>
      </w:pPr>
    </w:p>
    <w:sectPr w:rsidR="00F33B29" w:rsidRPr="000E5263" w:rsidSect="00573A2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B786E" w14:textId="77777777" w:rsidR="007A4F1A" w:rsidRDefault="007A4F1A">
      <w:r>
        <w:separator/>
      </w:r>
    </w:p>
  </w:endnote>
  <w:endnote w:type="continuationSeparator" w:id="0">
    <w:p w14:paraId="6E26588A" w14:textId="77777777" w:rsidR="007A4F1A" w:rsidRDefault="007A4F1A">
      <w:r>
        <w:continuationSeparator/>
      </w:r>
    </w:p>
  </w:endnote>
  <w:endnote w:type="continuationNotice" w:id="1">
    <w:p w14:paraId="6485B94E" w14:textId="77777777" w:rsidR="007A4F1A" w:rsidRDefault="007A4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5D18C" w14:textId="77777777" w:rsidR="00584D75" w:rsidRDefault="00584D75">
    <w:pPr>
      <w:pStyle w:val="Footer"/>
    </w:pPr>
    <w:r>
      <w:rPr>
        <w:rStyle w:val="PageNumber"/>
      </w:rPr>
      <w:fldChar w:fldCharType="begin"/>
    </w:r>
    <w:r>
      <w:rPr>
        <w:rStyle w:val="PageNumber"/>
      </w:rPr>
      <w:instrText xml:space="preserve"> PAGE </w:instrText>
    </w:r>
    <w:r>
      <w:rPr>
        <w:rStyle w:val="PageNumber"/>
      </w:rPr>
      <w:fldChar w:fldCharType="separate"/>
    </w:r>
    <w:r w:rsidR="00583BE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792B" w14:textId="77777777" w:rsidR="00584D75" w:rsidRDefault="00584D7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83BE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FB8C" w14:textId="231BC0B1" w:rsidR="00584D75" w:rsidRPr="0050774D" w:rsidRDefault="00584D75" w:rsidP="0050774D">
    <w:pPr>
      <w:pStyle w:val="Footer"/>
      <w:rPr>
        <w:b/>
      </w:rPr>
    </w:pPr>
    <w:r>
      <w:t>K1353206</w:t>
    </w:r>
    <w:r>
      <w:tab/>
      <w:t>2</w:t>
    </w:r>
    <w:r w:rsidR="000F21DE">
      <w:t>5</w:t>
    </w:r>
    <w: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DA9F3" w14:textId="77777777" w:rsidR="007A4F1A" w:rsidRDefault="007A4F1A" w:rsidP="00D92DE0">
      <w:pPr>
        <w:ind w:left="624"/>
      </w:pPr>
      <w:r>
        <w:separator/>
      </w:r>
    </w:p>
  </w:footnote>
  <w:footnote w:type="continuationSeparator" w:id="0">
    <w:p w14:paraId="4D2B62A2" w14:textId="77777777" w:rsidR="007A4F1A" w:rsidRDefault="007A4F1A">
      <w:r>
        <w:continuationSeparator/>
      </w:r>
    </w:p>
  </w:footnote>
  <w:footnote w:type="continuationNotice" w:id="1">
    <w:p w14:paraId="35E23494" w14:textId="77777777" w:rsidR="007A4F1A" w:rsidRDefault="007A4F1A"/>
  </w:footnote>
  <w:footnote w:id="2">
    <w:p w14:paraId="7820261B" w14:textId="77777777" w:rsidR="00584D75" w:rsidRPr="003E58A8" w:rsidRDefault="00584D75" w:rsidP="00612382">
      <w:pPr>
        <w:pStyle w:val="FootnoteText"/>
        <w:rPr>
          <w:lang w:val="es-AR"/>
        </w:rPr>
      </w:pPr>
      <w:r w:rsidRPr="00612382">
        <w:rPr>
          <w:rStyle w:val="FootnoteReference"/>
          <w:sz w:val="18"/>
        </w:rPr>
        <w:sym w:font="Symbol" w:char="F02A"/>
      </w:r>
      <w:r w:rsidRPr="003E58A8">
        <w:rPr>
          <w:lang w:val="es-AR"/>
        </w:rPr>
        <w:t xml:space="preserve"> </w:t>
      </w:r>
      <w:r w:rsidRPr="00612382">
        <w:rPr>
          <w:szCs w:val="18"/>
          <w:lang w:val="fr-CA"/>
        </w:rPr>
        <w:t>IPBES/</w:t>
      </w:r>
      <w:r w:rsidRPr="00612382">
        <w:rPr>
          <w:szCs w:val="18"/>
          <w:lang w:val="fr-CA" w:eastAsia="ja-JP"/>
        </w:rPr>
        <w:t>2/1</w:t>
      </w:r>
      <w:r w:rsidRPr="003E58A8">
        <w:rPr>
          <w:lang w:val="es-AR" w:eastAsia="ja-JP"/>
        </w:rPr>
        <w:t>.</w:t>
      </w:r>
    </w:p>
  </w:footnote>
  <w:footnote w:id="3">
    <w:p w14:paraId="158761BA" w14:textId="77777777" w:rsidR="00584D75" w:rsidRPr="009536E3" w:rsidRDefault="00584D75">
      <w:pPr>
        <w:pStyle w:val="FootnoteText"/>
        <w:rPr>
          <w:szCs w:val="18"/>
          <w:lang w:val="es-ES"/>
        </w:rPr>
      </w:pPr>
      <w:r w:rsidRPr="00FD3739">
        <w:rPr>
          <w:rStyle w:val="FootnoteReference"/>
          <w:sz w:val="18"/>
        </w:rPr>
        <w:footnoteRef/>
      </w:r>
      <w:r w:rsidRPr="009536E3">
        <w:rPr>
          <w:szCs w:val="18"/>
          <w:lang w:val="es-ES"/>
        </w:rPr>
        <w:t xml:space="preserve"> </w:t>
      </w:r>
      <w:r w:rsidRPr="009536E3">
        <w:rPr>
          <w:color w:val="000000"/>
          <w:szCs w:val="18"/>
          <w:lang w:val="es-ES" w:eastAsia="es-ES"/>
        </w:rPr>
        <w:t>Es posible que la aceptación de contribuciones del sector privado quede sujeta a las condiciones impuestas por [el Plenario y] [el Programa de las Naciones Unidas para el Medio Ambiente] [la Oficina del Fondo Fiduciario de Socios Múltiples del Programa de las Naciones Unidas para el Desarrollo].</w:t>
      </w:r>
    </w:p>
  </w:footnote>
  <w:footnote w:id="4">
    <w:p w14:paraId="0462C0D7" w14:textId="0D6DEA95" w:rsidR="00584D75" w:rsidRPr="00612382" w:rsidRDefault="00584D75" w:rsidP="00612382">
      <w:pPr>
        <w:pStyle w:val="FootnoteText"/>
        <w:tabs>
          <w:tab w:val="clear" w:pos="1247"/>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rPr>
          <w:szCs w:val="18"/>
          <w:lang w:val="es-ES"/>
        </w:rPr>
      </w:pPr>
      <w:r w:rsidRPr="00612382">
        <w:rPr>
          <w:rStyle w:val="FootnoteReference"/>
          <w:sz w:val="18"/>
        </w:rPr>
        <w:footnoteRef/>
      </w:r>
      <w:r w:rsidRPr="00612382">
        <w:rPr>
          <w:szCs w:val="18"/>
          <w:lang w:val="es-ES"/>
        </w:rPr>
        <w:t xml:space="preserve"> Insértense otros puestos asignados a la secretaría, según proceda. </w:t>
      </w:r>
    </w:p>
  </w:footnote>
  <w:footnote w:id="5">
    <w:p w14:paraId="5B8CA24A" w14:textId="73B59E4D" w:rsidR="00584D75" w:rsidRPr="00612382" w:rsidRDefault="00584D75" w:rsidP="00612382">
      <w:pPr>
        <w:pStyle w:val="FootnoteText"/>
        <w:tabs>
          <w:tab w:val="clear" w:pos="1247"/>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rPr>
          <w:szCs w:val="18"/>
          <w:lang w:val="es-ES"/>
        </w:rPr>
      </w:pPr>
      <w:r w:rsidRPr="00612382">
        <w:rPr>
          <w:rStyle w:val="FootnoteReference"/>
          <w:sz w:val="18"/>
        </w:rPr>
        <w:footnoteRef/>
      </w:r>
      <w:r w:rsidRPr="00612382">
        <w:rPr>
          <w:szCs w:val="18"/>
          <w:lang w:val="es-ES"/>
        </w:rPr>
        <w:t xml:space="preserve"> Insértese el nombre de las instituciones/gobiernos que aportan los otros puestos asignados a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D4D6" w14:textId="77777777" w:rsidR="00584D75" w:rsidRPr="00986F26" w:rsidRDefault="00584D75">
    <w:pPr>
      <w:pStyle w:val="Header"/>
      <w:rPr>
        <w:szCs w:val="18"/>
      </w:rPr>
    </w:pPr>
    <w:r w:rsidRPr="005E5DDE">
      <w:rPr>
        <w:sz w:val="20"/>
      </w:rPr>
      <w:t>IPBES</w:t>
    </w:r>
    <w:r w:rsidRPr="005E5DDE">
      <w:rPr>
        <w:sz w:val="20"/>
        <w:lang w:eastAsia="ja-JP"/>
      </w:rPr>
      <w:t>/2/</w:t>
    </w:r>
    <w:r>
      <w:rPr>
        <w:sz w:val="20"/>
        <w:lang w:eastAsia="ja-JP"/>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1245E" w14:textId="77777777" w:rsidR="00584D75" w:rsidRPr="00494455" w:rsidRDefault="00584D75" w:rsidP="00035EDE">
    <w:pPr>
      <w:pStyle w:val="Header"/>
      <w:jc w:val="right"/>
      <w:rPr>
        <w:szCs w:val="18"/>
      </w:rPr>
    </w:pPr>
    <w:r w:rsidRPr="005E5DDE">
      <w:rPr>
        <w:sz w:val="20"/>
      </w:rPr>
      <w:t>IPBES</w:t>
    </w:r>
    <w:r w:rsidRPr="005E5DDE">
      <w:rPr>
        <w:sz w:val="20"/>
        <w:lang w:eastAsia="ja-JP"/>
      </w:rPr>
      <w:t>/2/</w:t>
    </w:r>
    <w:r>
      <w:rPr>
        <w:sz w:val="20"/>
        <w:lang w:eastAsia="ja-JP"/>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897B" w14:textId="77777777" w:rsidR="00584D75" w:rsidRPr="0050774D" w:rsidRDefault="00584D75" w:rsidP="00421A64">
    <w:pPr>
      <w:pStyle w:val="Header"/>
      <w:pBdr>
        <w:bottom w:val="none" w:sz="0" w:space="0" w:color="auto"/>
      </w:pBd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1FCB6EE7"/>
    <w:multiLevelType w:val="hybridMultilevel"/>
    <w:tmpl w:val="EF3EE6C6"/>
    <w:lvl w:ilvl="0" w:tplc="63AC22DE">
      <w:start w:val="1"/>
      <w:numFmt w:val="lowerRoman"/>
      <w:lvlText w:val="%1)"/>
      <w:lvlJc w:val="left"/>
      <w:pPr>
        <w:ind w:left="2591"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1F9B"/>
    <w:rsid w:val="00003059"/>
    <w:rsid w:val="000149E6"/>
    <w:rsid w:val="00023E32"/>
    <w:rsid w:val="000247B0"/>
    <w:rsid w:val="00026997"/>
    <w:rsid w:val="00033E0B"/>
    <w:rsid w:val="00035EDE"/>
    <w:rsid w:val="000440BA"/>
    <w:rsid w:val="000458EE"/>
    <w:rsid w:val="0004779A"/>
    <w:rsid w:val="000509B4"/>
    <w:rsid w:val="00053D9E"/>
    <w:rsid w:val="00055BA7"/>
    <w:rsid w:val="00055C77"/>
    <w:rsid w:val="00057F9D"/>
    <w:rsid w:val="00071886"/>
    <w:rsid w:val="00072509"/>
    <w:rsid w:val="000742BC"/>
    <w:rsid w:val="00075F8C"/>
    <w:rsid w:val="00081E43"/>
    <w:rsid w:val="00082A0C"/>
    <w:rsid w:val="00082E1C"/>
    <w:rsid w:val="000874D1"/>
    <w:rsid w:val="000917E8"/>
    <w:rsid w:val="00094221"/>
    <w:rsid w:val="00094328"/>
    <w:rsid w:val="0009640C"/>
    <w:rsid w:val="000A5843"/>
    <w:rsid w:val="000B59B2"/>
    <w:rsid w:val="000C1DE2"/>
    <w:rsid w:val="000D1C2D"/>
    <w:rsid w:val="000D33C0"/>
    <w:rsid w:val="000D523B"/>
    <w:rsid w:val="000E13EF"/>
    <w:rsid w:val="000E5263"/>
    <w:rsid w:val="000F21DE"/>
    <w:rsid w:val="000F3B6C"/>
    <w:rsid w:val="00102111"/>
    <w:rsid w:val="001202E3"/>
    <w:rsid w:val="0012178F"/>
    <w:rsid w:val="00126B78"/>
    <w:rsid w:val="0013059D"/>
    <w:rsid w:val="00134BF8"/>
    <w:rsid w:val="00141A55"/>
    <w:rsid w:val="00156281"/>
    <w:rsid w:val="001673CF"/>
    <w:rsid w:val="00181EC8"/>
    <w:rsid w:val="00184349"/>
    <w:rsid w:val="00185E54"/>
    <w:rsid w:val="00187A5D"/>
    <w:rsid w:val="0019268D"/>
    <w:rsid w:val="001A3554"/>
    <w:rsid w:val="001B08F0"/>
    <w:rsid w:val="001B1617"/>
    <w:rsid w:val="001B2B13"/>
    <w:rsid w:val="001D0547"/>
    <w:rsid w:val="001D1FFE"/>
    <w:rsid w:val="001D3874"/>
    <w:rsid w:val="001D4810"/>
    <w:rsid w:val="001D7E75"/>
    <w:rsid w:val="001E28FA"/>
    <w:rsid w:val="001E56D2"/>
    <w:rsid w:val="001E7D56"/>
    <w:rsid w:val="001F034F"/>
    <w:rsid w:val="001F3A34"/>
    <w:rsid w:val="001F75DE"/>
    <w:rsid w:val="001F76B9"/>
    <w:rsid w:val="00200D58"/>
    <w:rsid w:val="002013BE"/>
    <w:rsid w:val="002063A4"/>
    <w:rsid w:val="0021145B"/>
    <w:rsid w:val="00221AE7"/>
    <w:rsid w:val="00233F8C"/>
    <w:rsid w:val="00234B58"/>
    <w:rsid w:val="00235CDE"/>
    <w:rsid w:val="00240A5C"/>
    <w:rsid w:val="002469B4"/>
    <w:rsid w:val="00246E34"/>
    <w:rsid w:val="002475E0"/>
    <w:rsid w:val="00247707"/>
    <w:rsid w:val="002726CF"/>
    <w:rsid w:val="002773E9"/>
    <w:rsid w:val="002824C0"/>
    <w:rsid w:val="00286740"/>
    <w:rsid w:val="00287E60"/>
    <w:rsid w:val="002929D8"/>
    <w:rsid w:val="002A237D"/>
    <w:rsid w:val="002A4C53"/>
    <w:rsid w:val="002A564F"/>
    <w:rsid w:val="002A6A11"/>
    <w:rsid w:val="002B035E"/>
    <w:rsid w:val="002B0AAB"/>
    <w:rsid w:val="002C145D"/>
    <w:rsid w:val="002C2C3E"/>
    <w:rsid w:val="002C420E"/>
    <w:rsid w:val="002C533E"/>
    <w:rsid w:val="002C7132"/>
    <w:rsid w:val="002D027F"/>
    <w:rsid w:val="002D2481"/>
    <w:rsid w:val="002D7B60"/>
    <w:rsid w:val="002E552E"/>
    <w:rsid w:val="002F4761"/>
    <w:rsid w:val="003056C1"/>
    <w:rsid w:val="00311A7D"/>
    <w:rsid w:val="0031413F"/>
    <w:rsid w:val="00321364"/>
    <w:rsid w:val="00336901"/>
    <w:rsid w:val="0034288F"/>
    <w:rsid w:val="003446B5"/>
    <w:rsid w:val="0034548C"/>
    <w:rsid w:val="003503B6"/>
    <w:rsid w:val="00351C60"/>
    <w:rsid w:val="00355EA9"/>
    <w:rsid w:val="0036192A"/>
    <w:rsid w:val="00364E26"/>
    <w:rsid w:val="003735C7"/>
    <w:rsid w:val="00385963"/>
    <w:rsid w:val="00392833"/>
    <w:rsid w:val="00396257"/>
    <w:rsid w:val="00397909"/>
    <w:rsid w:val="00397EB8"/>
    <w:rsid w:val="003A4FD0"/>
    <w:rsid w:val="003A69D1"/>
    <w:rsid w:val="003B0C0D"/>
    <w:rsid w:val="003B1545"/>
    <w:rsid w:val="003C3809"/>
    <w:rsid w:val="003C409D"/>
    <w:rsid w:val="003C4EFB"/>
    <w:rsid w:val="003D6ACB"/>
    <w:rsid w:val="003E09A0"/>
    <w:rsid w:val="003E31A8"/>
    <w:rsid w:val="003E395B"/>
    <w:rsid w:val="003E58A8"/>
    <w:rsid w:val="003E7728"/>
    <w:rsid w:val="003F0E85"/>
    <w:rsid w:val="00400EFD"/>
    <w:rsid w:val="0040580F"/>
    <w:rsid w:val="00410C55"/>
    <w:rsid w:val="00417725"/>
    <w:rsid w:val="00421A64"/>
    <w:rsid w:val="00425C06"/>
    <w:rsid w:val="00437F26"/>
    <w:rsid w:val="00446E58"/>
    <w:rsid w:val="00446EF6"/>
    <w:rsid w:val="00447D01"/>
    <w:rsid w:val="00447EF3"/>
    <w:rsid w:val="00451691"/>
    <w:rsid w:val="00454769"/>
    <w:rsid w:val="004553EE"/>
    <w:rsid w:val="00457D23"/>
    <w:rsid w:val="00465710"/>
    <w:rsid w:val="00466991"/>
    <w:rsid w:val="0047064C"/>
    <w:rsid w:val="0047156B"/>
    <w:rsid w:val="00471DFA"/>
    <w:rsid w:val="00477BFD"/>
    <w:rsid w:val="004827F3"/>
    <w:rsid w:val="00483BF4"/>
    <w:rsid w:val="00493E19"/>
    <w:rsid w:val="00494455"/>
    <w:rsid w:val="00495289"/>
    <w:rsid w:val="00496EFB"/>
    <w:rsid w:val="004C5C96"/>
    <w:rsid w:val="004D06A4"/>
    <w:rsid w:val="004E5FC2"/>
    <w:rsid w:val="004E6648"/>
    <w:rsid w:val="004F1A81"/>
    <w:rsid w:val="004F2D0E"/>
    <w:rsid w:val="0050619E"/>
    <w:rsid w:val="0050774D"/>
    <w:rsid w:val="00511967"/>
    <w:rsid w:val="0051335F"/>
    <w:rsid w:val="0051430E"/>
    <w:rsid w:val="005160EC"/>
    <w:rsid w:val="005218D9"/>
    <w:rsid w:val="005269C4"/>
    <w:rsid w:val="00535BDA"/>
    <w:rsid w:val="00536186"/>
    <w:rsid w:val="005370D8"/>
    <w:rsid w:val="005453ED"/>
    <w:rsid w:val="00550273"/>
    <w:rsid w:val="00561031"/>
    <w:rsid w:val="0056609D"/>
    <w:rsid w:val="0057315F"/>
    <w:rsid w:val="00573200"/>
    <w:rsid w:val="00573A2C"/>
    <w:rsid w:val="00574792"/>
    <w:rsid w:val="005828F7"/>
    <w:rsid w:val="00583BED"/>
    <w:rsid w:val="00584B14"/>
    <w:rsid w:val="00584D75"/>
    <w:rsid w:val="005955A9"/>
    <w:rsid w:val="005A3EA6"/>
    <w:rsid w:val="005A59FE"/>
    <w:rsid w:val="005B584B"/>
    <w:rsid w:val="005C00D1"/>
    <w:rsid w:val="005C1366"/>
    <w:rsid w:val="005C67C8"/>
    <w:rsid w:val="005D0249"/>
    <w:rsid w:val="005D2C80"/>
    <w:rsid w:val="005D4E57"/>
    <w:rsid w:val="005E5DDE"/>
    <w:rsid w:val="005F100C"/>
    <w:rsid w:val="005F1648"/>
    <w:rsid w:val="005F7986"/>
    <w:rsid w:val="00612382"/>
    <w:rsid w:val="00621F9B"/>
    <w:rsid w:val="00623998"/>
    <w:rsid w:val="006252F5"/>
    <w:rsid w:val="006303B4"/>
    <w:rsid w:val="00633270"/>
    <w:rsid w:val="006370DB"/>
    <w:rsid w:val="00637CE4"/>
    <w:rsid w:val="00641703"/>
    <w:rsid w:val="006431A6"/>
    <w:rsid w:val="006459F6"/>
    <w:rsid w:val="006474E9"/>
    <w:rsid w:val="006501AD"/>
    <w:rsid w:val="00651BFA"/>
    <w:rsid w:val="00674AD9"/>
    <w:rsid w:val="00686555"/>
    <w:rsid w:val="00686FD9"/>
    <w:rsid w:val="0068720F"/>
    <w:rsid w:val="00692E2A"/>
    <w:rsid w:val="006A24D0"/>
    <w:rsid w:val="006A76F2"/>
    <w:rsid w:val="006C3C12"/>
    <w:rsid w:val="006C740F"/>
    <w:rsid w:val="006D10B6"/>
    <w:rsid w:val="006D1985"/>
    <w:rsid w:val="006D3319"/>
    <w:rsid w:val="006D35D1"/>
    <w:rsid w:val="006D7EFB"/>
    <w:rsid w:val="006E3441"/>
    <w:rsid w:val="006E6722"/>
    <w:rsid w:val="006F3281"/>
    <w:rsid w:val="007027B9"/>
    <w:rsid w:val="00705F05"/>
    <w:rsid w:val="00715E88"/>
    <w:rsid w:val="00716B50"/>
    <w:rsid w:val="0072504C"/>
    <w:rsid w:val="00734CAA"/>
    <w:rsid w:val="00734EF9"/>
    <w:rsid w:val="00734F09"/>
    <w:rsid w:val="00745F24"/>
    <w:rsid w:val="00757581"/>
    <w:rsid w:val="00757CA2"/>
    <w:rsid w:val="007737A8"/>
    <w:rsid w:val="007772C6"/>
    <w:rsid w:val="007805C3"/>
    <w:rsid w:val="00780726"/>
    <w:rsid w:val="00784D46"/>
    <w:rsid w:val="007964D9"/>
    <w:rsid w:val="007A45AC"/>
    <w:rsid w:val="007A4F1A"/>
    <w:rsid w:val="007A5C12"/>
    <w:rsid w:val="007B1733"/>
    <w:rsid w:val="007B2199"/>
    <w:rsid w:val="007B3AB2"/>
    <w:rsid w:val="007B7DEF"/>
    <w:rsid w:val="007C2541"/>
    <w:rsid w:val="007D3DCF"/>
    <w:rsid w:val="007D5D6C"/>
    <w:rsid w:val="007D7245"/>
    <w:rsid w:val="007E003F"/>
    <w:rsid w:val="007E4FD2"/>
    <w:rsid w:val="007F154E"/>
    <w:rsid w:val="007F55A4"/>
    <w:rsid w:val="007F72BA"/>
    <w:rsid w:val="008019EB"/>
    <w:rsid w:val="0080395E"/>
    <w:rsid w:val="00804B9B"/>
    <w:rsid w:val="00805E39"/>
    <w:rsid w:val="008113FD"/>
    <w:rsid w:val="008200B5"/>
    <w:rsid w:val="00820E01"/>
    <w:rsid w:val="00830E26"/>
    <w:rsid w:val="0084306E"/>
    <w:rsid w:val="00843576"/>
    <w:rsid w:val="00843B64"/>
    <w:rsid w:val="00846A7B"/>
    <w:rsid w:val="00854EB8"/>
    <w:rsid w:val="00867BFF"/>
    <w:rsid w:val="008739BA"/>
    <w:rsid w:val="00880504"/>
    <w:rsid w:val="0088480A"/>
    <w:rsid w:val="00891B46"/>
    <w:rsid w:val="008926EC"/>
    <w:rsid w:val="008957DD"/>
    <w:rsid w:val="0089759D"/>
    <w:rsid w:val="00897D98"/>
    <w:rsid w:val="008A615C"/>
    <w:rsid w:val="008A6DF2"/>
    <w:rsid w:val="008B79B4"/>
    <w:rsid w:val="008C005A"/>
    <w:rsid w:val="008C6FCE"/>
    <w:rsid w:val="008D0E23"/>
    <w:rsid w:val="008D37C3"/>
    <w:rsid w:val="008D6BA0"/>
    <w:rsid w:val="008D7C99"/>
    <w:rsid w:val="008E0FCB"/>
    <w:rsid w:val="008F5894"/>
    <w:rsid w:val="00914084"/>
    <w:rsid w:val="00915741"/>
    <w:rsid w:val="0092178C"/>
    <w:rsid w:val="009224AE"/>
    <w:rsid w:val="00922A58"/>
    <w:rsid w:val="009247AF"/>
    <w:rsid w:val="00924FF3"/>
    <w:rsid w:val="00935767"/>
    <w:rsid w:val="00940DCC"/>
    <w:rsid w:val="0094179A"/>
    <w:rsid w:val="00943BDB"/>
    <w:rsid w:val="0094459E"/>
    <w:rsid w:val="00944DBC"/>
    <w:rsid w:val="00944EA7"/>
    <w:rsid w:val="00950977"/>
    <w:rsid w:val="00951A7B"/>
    <w:rsid w:val="009536E3"/>
    <w:rsid w:val="009564A6"/>
    <w:rsid w:val="00962B5E"/>
    <w:rsid w:val="00963208"/>
    <w:rsid w:val="009770FB"/>
    <w:rsid w:val="00982792"/>
    <w:rsid w:val="00983EE2"/>
    <w:rsid w:val="00986F26"/>
    <w:rsid w:val="00997DBB"/>
    <w:rsid w:val="009A43C3"/>
    <w:rsid w:val="009A4ACC"/>
    <w:rsid w:val="009A4BDE"/>
    <w:rsid w:val="009A6528"/>
    <w:rsid w:val="009B4A0F"/>
    <w:rsid w:val="009C1324"/>
    <w:rsid w:val="009C2890"/>
    <w:rsid w:val="009C2D6C"/>
    <w:rsid w:val="009D0B63"/>
    <w:rsid w:val="009D3183"/>
    <w:rsid w:val="009D3F3B"/>
    <w:rsid w:val="009D457D"/>
    <w:rsid w:val="009D5139"/>
    <w:rsid w:val="009D588E"/>
    <w:rsid w:val="009E38F1"/>
    <w:rsid w:val="009E40D9"/>
    <w:rsid w:val="009E433D"/>
    <w:rsid w:val="009E6DF7"/>
    <w:rsid w:val="00A016B3"/>
    <w:rsid w:val="00A03042"/>
    <w:rsid w:val="00A06BC3"/>
    <w:rsid w:val="00A1348D"/>
    <w:rsid w:val="00A16AA1"/>
    <w:rsid w:val="00A17262"/>
    <w:rsid w:val="00A17BA5"/>
    <w:rsid w:val="00A232EE"/>
    <w:rsid w:val="00A33E90"/>
    <w:rsid w:val="00A41B84"/>
    <w:rsid w:val="00A44411"/>
    <w:rsid w:val="00A469FA"/>
    <w:rsid w:val="00A55B01"/>
    <w:rsid w:val="00A56255"/>
    <w:rsid w:val="00A56B5B"/>
    <w:rsid w:val="00A6258F"/>
    <w:rsid w:val="00A64EE6"/>
    <w:rsid w:val="00A657DD"/>
    <w:rsid w:val="00A666A6"/>
    <w:rsid w:val="00A706B4"/>
    <w:rsid w:val="00A74140"/>
    <w:rsid w:val="00A80611"/>
    <w:rsid w:val="00A81CD8"/>
    <w:rsid w:val="00AA31A3"/>
    <w:rsid w:val="00AA3A0E"/>
    <w:rsid w:val="00AA4E66"/>
    <w:rsid w:val="00AB2918"/>
    <w:rsid w:val="00AB5340"/>
    <w:rsid w:val="00AC62B9"/>
    <w:rsid w:val="00AC7C96"/>
    <w:rsid w:val="00AD197C"/>
    <w:rsid w:val="00AD75DC"/>
    <w:rsid w:val="00AE237D"/>
    <w:rsid w:val="00AE5B98"/>
    <w:rsid w:val="00AE5DF7"/>
    <w:rsid w:val="00AF7249"/>
    <w:rsid w:val="00AF7C07"/>
    <w:rsid w:val="00B01B00"/>
    <w:rsid w:val="00B10A8E"/>
    <w:rsid w:val="00B13586"/>
    <w:rsid w:val="00B26388"/>
    <w:rsid w:val="00B275BB"/>
    <w:rsid w:val="00B32E46"/>
    <w:rsid w:val="00B405B7"/>
    <w:rsid w:val="00B4262C"/>
    <w:rsid w:val="00B446B6"/>
    <w:rsid w:val="00B515AE"/>
    <w:rsid w:val="00B53C10"/>
    <w:rsid w:val="00B65F66"/>
    <w:rsid w:val="00B66901"/>
    <w:rsid w:val="00B71E6D"/>
    <w:rsid w:val="00B72070"/>
    <w:rsid w:val="00B779E1"/>
    <w:rsid w:val="00B81570"/>
    <w:rsid w:val="00B8242E"/>
    <w:rsid w:val="00B84371"/>
    <w:rsid w:val="00B85A41"/>
    <w:rsid w:val="00BA069F"/>
    <w:rsid w:val="00BA1A67"/>
    <w:rsid w:val="00BB15DE"/>
    <w:rsid w:val="00BC093D"/>
    <w:rsid w:val="00BC38BA"/>
    <w:rsid w:val="00BC5972"/>
    <w:rsid w:val="00BD5799"/>
    <w:rsid w:val="00BE3959"/>
    <w:rsid w:val="00BF38FA"/>
    <w:rsid w:val="00BF7A7C"/>
    <w:rsid w:val="00C30C63"/>
    <w:rsid w:val="00C35E7E"/>
    <w:rsid w:val="00C51F45"/>
    <w:rsid w:val="00C558DA"/>
    <w:rsid w:val="00C57664"/>
    <w:rsid w:val="00C725DC"/>
    <w:rsid w:val="00C84759"/>
    <w:rsid w:val="00C93203"/>
    <w:rsid w:val="00C948FC"/>
    <w:rsid w:val="00C95831"/>
    <w:rsid w:val="00C961BB"/>
    <w:rsid w:val="00CA2CB5"/>
    <w:rsid w:val="00CA6C7F"/>
    <w:rsid w:val="00CB1404"/>
    <w:rsid w:val="00CC10A6"/>
    <w:rsid w:val="00CC2354"/>
    <w:rsid w:val="00CD10A8"/>
    <w:rsid w:val="00CD2A97"/>
    <w:rsid w:val="00CD3D68"/>
    <w:rsid w:val="00CD7044"/>
    <w:rsid w:val="00CE2264"/>
    <w:rsid w:val="00CE524C"/>
    <w:rsid w:val="00CF141F"/>
    <w:rsid w:val="00CF2D0E"/>
    <w:rsid w:val="00CF4777"/>
    <w:rsid w:val="00CF6DD5"/>
    <w:rsid w:val="00D02075"/>
    <w:rsid w:val="00D12B2C"/>
    <w:rsid w:val="00D12D55"/>
    <w:rsid w:val="00D14E11"/>
    <w:rsid w:val="00D15118"/>
    <w:rsid w:val="00D169AF"/>
    <w:rsid w:val="00D17D71"/>
    <w:rsid w:val="00D22513"/>
    <w:rsid w:val="00D25249"/>
    <w:rsid w:val="00D44172"/>
    <w:rsid w:val="00D46C05"/>
    <w:rsid w:val="00D54779"/>
    <w:rsid w:val="00D63B8C"/>
    <w:rsid w:val="00D71D25"/>
    <w:rsid w:val="00D739CC"/>
    <w:rsid w:val="00D8093D"/>
    <w:rsid w:val="00D8108C"/>
    <w:rsid w:val="00D82D20"/>
    <w:rsid w:val="00D842AE"/>
    <w:rsid w:val="00D9211C"/>
    <w:rsid w:val="00D92DE0"/>
    <w:rsid w:val="00D93A0F"/>
    <w:rsid w:val="00D96369"/>
    <w:rsid w:val="00DA1BCA"/>
    <w:rsid w:val="00DB1194"/>
    <w:rsid w:val="00DC0665"/>
    <w:rsid w:val="00DC158A"/>
    <w:rsid w:val="00DC46FF"/>
    <w:rsid w:val="00DD1A4F"/>
    <w:rsid w:val="00DD7C2C"/>
    <w:rsid w:val="00DE52CB"/>
    <w:rsid w:val="00DE7A06"/>
    <w:rsid w:val="00DF59F6"/>
    <w:rsid w:val="00E04301"/>
    <w:rsid w:val="00E06389"/>
    <w:rsid w:val="00E06797"/>
    <w:rsid w:val="00E10FB7"/>
    <w:rsid w:val="00E110C8"/>
    <w:rsid w:val="00E13B97"/>
    <w:rsid w:val="00E208B6"/>
    <w:rsid w:val="00E215B0"/>
    <w:rsid w:val="00E21C83"/>
    <w:rsid w:val="00E24FC5"/>
    <w:rsid w:val="00E302D9"/>
    <w:rsid w:val="00E379F4"/>
    <w:rsid w:val="00E41FB3"/>
    <w:rsid w:val="00E4612E"/>
    <w:rsid w:val="00E46D9A"/>
    <w:rsid w:val="00E565FF"/>
    <w:rsid w:val="00E572F5"/>
    <w:rsid w:val="00E65388"/>
    <w:rsid w:val="00E67F90"/>
    <w:rsid w:val="00E7156A"/>
    <w:rsid w:val="00E76253"/>
    <w:rsid w:val="00E85B7D"/>
    <w:rsid w:val="00E9121B"/>
    <w:rsid w:val="00EA0B53"/>
    <w:rsid w:val="00EA39E5"/>
    <w:rsid w:val="00EA611F"/>
    <w:rsid w:val="00EB1B8B"/>
    <w:rsid w:val="00EC3219"/>
    <w:rsid w:val="00EC5A46"/>
    <w:rsid w:val="00EC63E2"/>
    <w:rsid w:val="00EF22B3"/>
    <w:rsid w:val="00EF2844"/>
    <w:rsid w:val="00F0302C"/>
    <w:rsid w:val="00F044F7"/>
    <w:rsid w:val="00F064C1"/>
    <w:rsid w:val="00F0739B"/>
    <w:rsid w:val="00F113DA"/>
    <w:rsid w:val="00F14E79"/>
    <w:rsid w:val="00F160FD"/>
    <w:rsid w:val="00F220A3"/>
    <w:rsid w:val="00F22D44"/>
    <w:rsid w:val="00F32F67"/>
    <w:rsid w:val="00F33B29"/>
    <w:rsid w:val="00F35717"/>
    <w:rsid w:val="00F35A6E"/>
    <w:rsid w:val="00F37DC8"/>
    <w:rsid w:val="00F41127"/>
    <w:rsid w:val="00F4451E"/>
    <w:rsid w:val="00F51BE0"/>
    <w:rsid w:val="00F5341A"/>
    <w:rsid w:val="00F650C3"/>
    <w:rsid w:val="00F70758"/>
    <w:rsid w:val="00F8091E"/>
    <w:rsid w:val="00F8577F"/>
    <w:rsid w:val="00F8615C"/>
    <w:rsid w:val="00F9516F"/>
    <w:rsid w:val="00F97D86"/>
    <w:rsid w:val="00FA4C2D"/>
    <w:rsid w:val="00FB12E9"/>
    <w:rsid w:val="00FB6C90"/>
    <w:rsid w:val="00FC659E"/>
    <w:rsid w:val="00FD3739"/>
    <w:rsid w:val="00FD3EE8"/>
    <w:rsid w:val="00FD5860"/>
    <w:rsid w:val="00FE352D"/>
    <w:rsid w:val="00FE3C1E"/>
    <w:rsid w:val="00FE6D8D"/>
    <w:rsid w:val="00FE7D62"/>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144">
      <w:bodyDiv w:val="1"/>
      <w:marLeft w:val="0"/>
      <w:marRight w:val="0"/>
      <w:marTop w:val="0"/>
      <w:marBottom w:val="0"/>
      <w:divBdr>
        <w:top w:val="none" w:sz="0" w:space="0" w:color="auto"/>
        <w:left w:val="none" w:sz="0" w:space="0" w:color="auto"/>
        <w:bottom w:val="none" w:sz="0" w:space="0" w:color="auto"/>
        <w:right w:val="none" w:sz="0" w:space="0" w:color="auto"/>
      </w:divBdr>
    </w:div>
    <w:div w:id="125004368">
      <w:bodyDiv w:val="1"/>
      <w:marLeft w:val="0"/>
      <w:marRight w:val="0"/>
      <w:marTop w:val="0"/>
      <w:marBottom w:val="0"/>
      <w:divBdr>
        <w:top w:val="none" w:sz="0" w:space="0" w:color="auto"/>
        <w:left w:val="none" w:sz="0" w:space="0" w:color="auto"/>
        <w:bottom w:val="none" w:sz="0" w:space="0" w:color="auto"/>
        <w:right w:val="none" w:sz="0" w:space="0" w:color="auto"/>
      </w:divBdr>
    </w:div>
    <w:div w:id="30143022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5810880">
      <w:bodyDiv w:val="1"/>
      <w:marLeft w:val="0"/>
      <w:marRight w:val="0"/>
      <w:marTop w:val="0"/>
      <w:marBottom w:val="0"/>
      <w:divBdr>
        <w:top w:val="none" w:sz="0" w:space="0" w:color="auto"/>
        <w:left w:val="none" w:sz="0" w:space="0" w:color="auto"/>
        <w:bottom w:val="none" w:sz="0" w:space="0" w:color="auto"/>
        <w:right w:val="none" w:sz="0" w:space="0" w:color="auto"/>
      </w:divBdr>
    </w:div>
    <w:div w:id="932662137">
      <w:bodyDiv w:val="1"/>
      <w:marLeft w:val="0"/>
      <w:marRight w:val="0"/>
      <w:marTop w:val="0"/>
      <w:marBottom w:val="0"/>
      <w:divBdr>
        <w:top w:val="none" w:sz="0" w:space="0" w:color="auto"/>
        <w:left w:val="none" w:sz="0" w:space="0" w:color="auto"/>
        <w:bottom w:val="none" w:sz="0" w:space="0" w:color="auto"/>
        <w:right w:val="none" w:sz="0" w:space="0" w:color="auto"/>
      </w:divBdr>
    </w:div>
    <w:div w:id="104447909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37490448">
      <w:bodyDiv w:val="1"/>
      <w:marLeft w:val="0"/>
      <w:marRight w:val="0"/>
      <w:marTop w:val="0"/>
      <w:marBottom w:val="0"/>
      <w:divBdr>
        <w:top w:val="none" w:sz="0" w:space="0" w:color="auto"/>
        <w:left w:val="none" w:sz="0" w:space="0" w:color="auto"/>
        <w:bottom w:val="none" w:sz="0" w:space="0" w:color="auto"/>
        <w:right w:val="none" w:sz="0" w:space="0" w:color="auto"/>
      </w:divBdr>
    </w:div>
    <w:div w:id="1476216323">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047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6F51-EEC1-43FA-AFD1-968A59401039}">
  <ds:schemaRefs>
    <ds:schemaRef ds:uri="http://schemas.openxmlformats.org/officeDocument/2006/bibliography"/>
  </ds:schemaRefs>
</ds:datastoreItem>
</file>

<file path=customXml/itemProps2.xml><?xml version="1.0" encoding="utf-8"?>
<ds:datastoreItem xmlns:ds="http://schemas.openxmlformats.org/officeDocument/2006/customXml" ds:itemID="{0A6C402D-6037-4AC4-9F15-D3417A8B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2013-10-29T13:45:00Z</dcterms:created>
  <dcterms:modified xsi:type="dcterms:W3CDTF">2013-10-29T13:45:00Z</dcterms:modified>
</cp:coreProperties>
</file>