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"/>
        <w:gridCol w:w="1469"/>
        <w:gridCol w:w="475"/>
        <w:gridCol w:w="257"/>
        <w:gridCol w:w="1697"/>
        <w:gridCol w:w="959"/>
        <w:gridCol w:w="716"/>
        <w:gridCol w:w="1549"/>
        <w:gridCol w:w="365"/>
        <w:gridCol w:w="717"/>
        <w:gridCol w:w="1224"/>
        <w:gridCol w:w="35"/>
      </w:tblGrid>
      <w:tr w:rsidR="00C816C2" w14:paraId="216021EB" w14:textId="77777777" w:rsidTr="00C816C2">
        <w:trPr>
          <w:cantSplit/>
          <w:trHeight w:val="1079"/>
          <w:jc w:val="center"/>
        </w:trPr>
        <w:tc>
          <w:tcPr>
            <w:tcW w:w="2269" w:type="dxa"/>
            <w:gridSpan w:val="4"/>
            <w:hideMark/>
          </w:tcPr>
          <w:p w14:paraId="401D858D" w14:textId="77777777" w:rsidR="00C816C2" w:rsidRDefault="00C816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>ОРГАНИЗАЦИЯ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ОБЪЕДИНЕННЫХ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НАЦИЙ </w:t>
            </w:r>
          </w:p>
        </w:tc>
        <w:tc>
          <w:tcPr>
            <w:tcW w:w="1724" w:type="dxa"/>
            <w:vAlign w:val="center"/>
            <w:hideMark/>
          </w:tcPr>
          <w:p w14:paraId="47995521" w14:textId="77777777" w:rsidR="00C816C2" w:rsidRDefault="00C816C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A0EA14" wp14:editId="0140F303">
                  <wp:extent cx="1038225" cy="438150"/>
                  <wp:effectExtent l="0" t="0" r="0" b="0"/>
                  <wp:docPr id="23" name="Picture 23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3A3D6" w14:textId="77777777" w:rsidR="00C816C2" w:rsidRDefault="00C816C2">
            <w:pPr>
              <w:ind w:left="8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ЮНЕП</w:t>
            </w:r>
            <w:proofErr w:type="spellEnd"/>
          </w:p>
        </w:tc>
        <w:tc>
          <w:tcPr>
            <w:tcW w:w="973" w:type="dxa"/>
            <w:vAlign w:val="center"/>
            <w:hideMark/>
          </w:tcPr>
          <w:p w14:paraId="69912234" w14:textId="77777777" w:rsidR="00C816C2" w:rsidRDefault="00C816C2">
            <w:pPr>
              <w:ind w:left="-127"/>
              <w:jc w:val="center"/>
              <w:rPr>
                <w:rFonts w:ascii="Calibri" w:hAnsi="Calibri"/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B7633A" wp14:editId="1D667733">
                  <wp:extent cx="571500" cy="476250"/>
                  <wp:effectExtent l="0" t="0" r="0" b="0"/>
                  <wp:docPr id="22" name="Picture 22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" w:type="dxa"/>
            <w:vAlign w:val="center"/>
            <w:hideMark/>
          </w:tcPr>
          <w:p w14:paraId="7FDA2072" w14:textId="77777777" w:rsidR="00C816C2" w:rsidRDefault="00C816C2">
            <w:pPr>
              <w:ind w:left="-4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7974F" wp14:editId="7B74A798">
                  <wp:extent cx="428625" cy="409575"/>
                  <wp:effectExtent l="0" t="0" r="0" b="0"/>
                  <wp:docPr id="21" name="Picture 21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gridSpan w:val="2"/>
            <w:vAlign w:val="center"/>
          </w:tcPr>
          <w:p w14:paraId="6E1BA368" w14:textId="77777777" w:rsidR="00C816C2" w:rsidRDefault="00C816C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558BF7F" w14:textId="77777777" w:rsidR="00C816C2" w:rsidRDefault="00C816C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727" w:type="dxa"/>
            <w:vAlign w:val="center"/>
            <w:hideMark/>
          </w:tcPr>
          <w:p w14:paraId="28B74893" w14:textId="77777777" w:rsidR="00C816C2" w:rsidRDefault="00C816C2">
            <w:pPr>
              <w:ind w:left="113" w:right="-318"/>
              <w:rPr>
                <w:sz w:val="22"/>
                <w:szCs w:val="22"/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4E7E69" wp14:editId="6F545649">
                  <wp:extent cx="285750" cy="571500"/>
                  <wp:effectExtent l="0" t="0" r="0" b="0"/>
                  <wp:docPr id="20" name="Picture 20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gridSpan w:val="2"/>
            <w:hideMark/>
          </w:tcPr>
          <w:p w14:paraId="1A67F64A" w14:textId="77777777" w:rsidR="00C816C2" w:rsidRDefault="00C816C2" w:rsidP="00C816C2">
            <w:pPr>
              <w:pStyle w:val="Heading2"/>
              <w:numPr>
                <w:ilvl w:val="0"/>
                <w:numId w:val="0"/>
              </w:numPr>
              <w:spacing w:after="0"/>
              <w:ind w:left="79"/>
              <w:rPr>
                <w:rFonts w:ascii="Arial" w:hAnsi="Arial" w:cs="Arial"/>
                <w:sz w:val="52"/>
                <w:szCs w:val="52"/>
                <w:lang w:val="en-GB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BES</w:t>
            </w:r>
            <w:proofErr w:type="spellEnd"/>
          </w:p>
        </w:tc>
      </w:tr>
      <w:tr w:rsidR="00C816C2" w14:paraId="2F89F9F0" w14:textId="77777777" w:rsidTr="00C816C2">
        <w:trPr>
          <w:gridBefore w:val="1"/>
          <w:gridAfter w:val="1"/>
          <w:wBefore w:w="36" w:type="dxa"/>
          <w:wAfter w:w="35" w:type="dxa"/>
          <w:cantSplit/>
          <w:trHeight w:val="282"/>
          <w:jc w:val="center"/>
        </w:trPr>
        <w:tc>
          <w:tcPr>
            <w:tcW w:w="1489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EE38" w14:textId="77777777" w:rsidR="00C816C2" w:rsidRDefault="00C816C2">
            <w:pPr>
              <w:rPr>
                <w:noProof/>
                <w:lang w:val="en-GB"/>
              </w:rPr>
            </w:pPr>
          </w:p>
        </w:tc>
        <w:tc>
          <w:tcPr>
            <w:tcW w:w="574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9682" w14:textId="77777777" w:rsidR="00C816C2" w:rsidRDefault="00C816C2">
            <w:pPr>
              <w:rPr>
                <w:rFonts w:eastAsia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6F3F7" w14:textId="74111B39" w:rsidR="00C816C2" w:rsidRPr="007F7CE1" w:rsidRDefault="00C816C2" w:rsidP="00534257">
            <w:pPr>
              <w:ind w:left="330"/>
              <w:rPr>
                <w:b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</w:rPr>
              <w:t>IPBES</w:t>
            </w:r>
            <w:proofErr w:type="spellEnd"/>
            <w:r>
              <w:t>/6/</w:t>
            </w:r>
            <w:r w:rsidR="007F7CE1">
              <w:rPr>
                <w:lang w:val="en-GB"/>
              </w:rPr>
              <w:t>INF/8</w:t>
            </w:r>
          </w:p>
        </w:tc>
      </w:tr>
      <w:tr w:rsidR="00C816C2" w:rsidRPr="00260B85" w14:paraId="210E3148" w14:textId="77777777" w:rsidTr="005141F5">
        <w:trPr>
          <w:gridBefore w:val="1"/>
          <w:gridAfter w:val="1"/>
          <w:wBefore w:w="36" w:type="dxa"/>
          <w:wAfter w:w="35" w:type="dxa"/>
          <w:cantSplit/>
          <w:trHeight w:val="1433"/>
          <w:jc w:val="center"/>
        </w:trPr>
        <w:tc>
          <w:tcPr>
            <w:tcW w:w="1972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6304C" w14:textId="77777777" w:rsidR="00C816C2" w:rsidRDefault="00C816C2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17F2E0D" wp14:editId="57166231">
                  <wp:extent cx="1114425" cy="5238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gridSpan w:val="5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B7B1B8" w14:textId="77777777" w:rsidR="00C816C2" w:rsidRDefault="00C816C2" w:rsidP="005141F5">
            <w:pPr>
              <w:spacing w:before="120" w:after="12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Межправительственная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научно-политическая платформа по биоразнообразию и экосистемным услугам</w:t>
            </w:r>
          </w:p>
        </w:tc>
        <w:tc>
          <w:tcPr>
            <w:tcW w:w="2339" w:type="dxa"/>
            <w:gridSpan w:val="3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36EF" w14:textId="611AAF03" w:rsidR="00C816C2" w:rsidRPr="00A918C6" w:rsidRDefault="00C816C2" w:rsidP="00534257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ind w:left="330"/>
              <w:rPr>
                <w:lang w:val="en-GB"/>
              </w:rPr>
            </w:pPr>
            <w:r w:rsidRPr="00A918C6">
              <w:rPr>
                <w:lang w:val="en-GB"/>
              </w:rPr>
              <w:t>Distr.: General</w:t>
            </w:r>
            <w:r w:rsidRPr="00A918C6">
              <w:rPr>
                <w:lang w:val="en-GB"/>
              </w:rPr>
              <w:br/>
            </w:r>
            <w:r w:rsidR="007F7CE1">
              <w:rPr>
                <w:lang w:val="en-GB"/>
              </w:rPr>
              <w:t>15 January</w:t>
            </w:r>
            <w:r w:rsidRPr="00A918C6">
              <w:rPr>
                <w:lang w:val="en-GB"/>
              </w:rPr>
              <w:t xml:space="preserve"> 201</w:t>
            </w:r>
            <w:r w:rsidR="007F7CE1">
              <w:rPr>
                <w:lang w:val="en-GB"/>
              </w:rPr>
              <w:t>8</w:t>
            </w:r>
          </w:p>
          <w:p w14:paraId="550C5267" w14:textId="229B3309" w:rsidR="00C816C2" w:rsidRPr="00C816C2" w:rsidRDefault="00C816C2" w:rsidP="00534257">
            <w:pPr>
              <w:ind w:left="330"/>
              <w:rPr>
                <w:lang w:val="en-US"/>
              </w:rPr>
            </w:pPr>
          </w:p>
          <w:p w14:paraId="54C2229E" w14:textId="77777777" w:rsidR="00C816C2" w:rsidRPr="00C816C2" w:rsidRDefault="00C816C2" w:rsidP="00534257">
            <w:pPr>
              <w:ind w:left="330"/>
              <w:rPr>
                <w:lang w:val="en-US"/>
              </w:rPr>
            </w:pPr>
            <w:r w:rsidRPr="00C816C2">
              <w:rPr>
                <w:lang w:val="en-US"/>
              </w:rPr>
              <w:t xml:space="preserve">Russian </w:t>
            </w:r>
          </w:p>
          <w:p w14:paraId="36B6E223" w14:textId="77777777" w:rsidR="00C816C2" w:rsidRPr="00C816C2" w:rsidRDefault="00C816C2" w:rsidP="005141F5">
            <w:pPr>
              <w:ind w:left="329"/>
              <w:rPr>
                <w:lang w:val="en-US"/>
              </w:rPr>
            </w:pPr>
            <w:r w:rsidRPr="00C816C2">
              <w:rPr>
                <w:lang w:val="en-US"/>
              </w:rPr>
              <w:t>Original: English</w:t>
            </w:r>
          </w:p>
        </w:tc>
      </w:tr>
    </w:tbl>
    <w:p w14:paraId="38856575" w14:textId="77777777" w:rsidR="00475F50" w:rsidRPr="00832FBF" w:rsidRDefault="00CD2522" w:rsidP="00EC3B3F">
      <w:pPr>
        <w:rPr>
          <w:b/>
        </w:rPr>
      </w:pPr>
      <w:r w:rsidRPr="00832FBF">
        <w:rPr>
          <w:b/>
        </w:rPr>
        <w:t xml:space="preserve">Пленум Межправительственной научно-политической </w:t>
      </w:r>
      <w:r w:rsidR="00EC3B3F" w:rsidRPr="00832FBF">
        <w:rPr>
          <w:b/>
        </w:rPr>
        <w:br/>
      </w:r>
      <w:r w:rsidRPr="00832FBF">
        <w:rPr>
          <w:b/>
        </w:rPr>
        <w:t>платформы по биоразнообразию и экосистемным услугам</w:t>
      </w:r>
    </w:p>
    <w:p w14:paraId="70920C39" w14:textId="77777777" w:rsidR="00EC6548" w:rsidRPr="00EC3B3F" w:rsidRDefault="00CD2522" w:rsidP="00EC3B3F">
      <w:r w:rsidRPr="00832FBF">
        <w:rPr>
          <w:b/>
        </w:rPr>
        <w:t>Шестая сессия</w:t>
      </w:r>
    </w:p>
    <w:p w14:paraId="2DEBD4EE" w14:textId="77777777" w:rsidR="00EC6548" w:rsidRPr="00EC3B3F" w:rsidRDefault="00CD2522" w:rsidP="00EC3B3F">
      <w:proofErr w:type="spellStart"/>
      <w:r w:rsidRPr="00EC3B3F">
        <w:t>Медельин</w:t>
      </w:r>
      <w:proofErr w:type="spellEnd"/>
      <w:r w:rsidRPr="00EC3B3F">
        <w:t>, Колумбия, 18</w:t>
      </w:r>
      <w:r w:rsidR="00832FBF" w:rsidRPr="00F6381C">
        <w:t>-</w:t>
      </w:r>
      <w:r w:rsidRPr="00EC3B3F">
        <w:t>24 марта 2018 года</w:t>
      </w:r>
    </w:p>
    <w:p w14:paraId="4B54696E" w14:textId="4A8D638C" w:rsidR="00F9521B" w:rsidRPr="00EC3B3F" w:rsidRDefault="00CD2522" w:rsidP="00832FBF">
      <w:pPr>
        <w:spacing w:after="60"/>
      </w:pPr>
      <w:r w:rsidRPr="00EC3B3F">
        <w:t xml:space="preserve">Пункт </w:t>
      </w:r>
      <w:r w:rsidR="00705752" w:rsidRPr="00815CEA">
        <w:t>8</w:t>
      </w:r>
      <w:r w:rsidRPr="00EC3B3F">
        <w:t xml:space="preserve"> предварительной повестки дня</w:t>
      </w:r>
      <w:r w:rsidRPr="00EC3B3F">
        <w:footnoteReference w:customMarkFollows="1" w:id="2"/>
        <w:t>*</w:t>
      </w:r>
    </w:p>
    <w:p w14:paraId="5C6B8B97" w14:textId="77777777" w:rsidR="00815CEA" w:rsidRPr="00B432CA" w:rsidRDefault="00815CEA" w:rsidP="00B432CA">
      <w:pPr>
        <w:spacing w:after="120"/>
        <w:ind w:right="1701"/>
        <w:rPr>
          <w:b/>
        </w:rPr>
      </w:pPr>
      <w:bookmarkStart w:id="0" w:name="bookmark_21"/>
      <w:bookmarkStart w:id="1" w:name="_Hlk503373860"/>
      <w:r w:rsidRPr="00B432CA">
        <w:rPr>
          <w:b/>
        </w:rPr>
        <w:t>Предстоящие оценки: тематическая оценка устойчивого использования диких видов; методологическая оценка различной концептуализации разнообразных ценностей природы и ее благ; и тематическая оценка инвазивных чужеродных видов</w:t>
      </w:r>
      <w:bookmarkEnd w:id="0"/>
    </w:p>
    <w:p w14:paraId="0F93A8F2" w14:textId="245ACF34" w:rsidR="00815CEA" w:rsidRPr="00775CE4" w:rsidRDefault="00815CEA" w:rsidP="00B432CA">
      <w:pPr>
        <w:spacing w:before="320" w:after="240"/>
        <w:ind w:left="1247" w:right="567"/>
        <w:rPr>
          <w:b/>
          <w:sz w:val="28"/>
          <w:szCs w:val="28"/>
        </w:rPr>
      </w:pPr>
      <w:bookmarkStart w:id="2" w:name="bookmark_22"/>
      <w:bookmarkEnd w:id="1"/>
      <w:r w:rsidRPr="00B432CA">
        <w:rPr>
          <w:b/>
          <w:sz w:val="28"/>
          <w:szCs w:val="28"/>
        </w:rPr>
        <w:t xml:space="preserve">Информация об аналитическом исследовании для тематической оценки устойчивого использования диких видов (результат 3 b) </w:t>
      </w:r>
      <w:proofErr w:type="spellStart"/>
      <w:r w:rsidRPr="00B432CA">
        <w:rPr>
          <w:b/>
          <w:sz w:val="28"/>
          <w:szCs w:val="28"/>
        </w:rPr>
        <w:t>iii</w:t>
      </w:r>
      <w:proofErr w:type="spellEnd"/>
      <w:r w:rsidRPr="00B432CA">
        <w:rPr>
          <w:b/>
          <w:sz w:val="28"/>
          <w:szCs w:val="28"/>
        </w:rPr>
        <w:t>)</w:t>
      </w:r>
      <w:bookmarkEnd w:id="2"/>
      <w:r w:rsidR="00775CE4" w:rsidRPr="00775CE4">
        <w:rPr>
          <w:b/>
          <w:sz w:val="28"/>
          <w:szCs w:val="28"/>
        </w:rPr>
        <w:t>)</w:t>
      </w:r>
    </w:p>
    <w:p w14:paraId="2EC50D68" w14:textId="6C701298" w:rsidR="00815CEA" w:rsidRPr="00B432CA" w:rsidRDefault="00815CEA" w:rsidP="00260B85">
      <w:pPr>
        <w:spacing w:after="120"/>
        <w:ind w:left="1247"/>
        <w:rPr>
          <w:b/>
          <w:sz w:val="24"/>
          <w:szCs w:val="24"/>
        </w:rPr>
      </w:pPr>
      <w:bookmarkStart w:id="3" w:name="bookmark_23"/>
      <w:r w:rsidRPr="00B432CA">
        <w:rPr>
          <w:b/>
          <w:sz w:val="24"/>
          <w:szCs w:val="24"/>
        </w:rPr>
        <w:t>Записка секретариата</w:t>
      </w:r>
      <w:bookmarkEnd w:id="3"/>
    </w:p>
    <w:p w14:paraId="58A00FD1" w14:textId="7722CD8F" w:rsidR="00815CEA" w:rsidRPr="00775CE4" w:rsidRDefault="00775CE4" w:rsidP="00775CE4">
      <w:pPr>
        <w:spacing w:after="120"/>
        <w:ind w:left="1247"/>
      </w:pPr>
      <w:bookmarkStart w:id="4" w:name="bookmark_24"/>
      <w:proofErr w:type="gramStart"/>
      <w:r w:rsidRPr="00775CE4">
        <w:t>1.</w:t>
      </w:r>
      <w:r>
        <w:tab/>
      </w:r>
      <w:r w:rsidR="00815CEA" w:rsidRPr="00775CE4">
        <w:t>В</w:t>
      </w:r>
      <w:proofErr w:type="gramEnd"/>
      <w:r w:rsidR="00815CEA" w:rsidRPr="00775CE4">
        <w:t xml:space="preserve"> пункте 3 раздела V решения МПБЭУ-5/1 Пленум Межправительственной научно</w:t>
      </w:r>
      <w:r w:rsidR="00815CEA" w:rsidRPr="00775CE4">
        <w:noBreakHyphen/>
        <w:t xml:space="preserve">политической платформы по биоразнообразию и экосистемным услугам одобрил доклад об аналитическом исследовании для тематической оценки устойчивого использования диких видов, приведенный в приложении </w:t>
      </w:r>
      <w:proofErr w:type="spellStart"/>
      <w:r w:rsidR="00815CEA" w:rsidRPr="00775CE4">
        <w:t>IV</w:t>
      </w:r>
      <w:proofErr w:type="spellEnd"/>
      <w:r w:rsidR="00815CEA" w:rsidRPr="00775CE4">
        <w:t xml:space="preserve"> к этому решению. В пункте 5 решения МПБЭУ</w:t>
      </w:r>
      <w:r w:rsidR="00260B85">
        <w:noBreakHyphen/>
      </w:r>
      <w:r w:rsidR="00815CEA" w:rsidRPr="00775CE4">
        <w:t>5/6 о финансовой и бюджетной основе Пленум постановил рассмотреть на своей шестой сессии, при условии наличия достаточных средств, проводимую тематическую оценку устойчивого использования диких видов, проводимую методологическую оценку различной концептуализации разнообразных ценностей природы и ее благ, а также проводимую тематическую оценку инвазивных чужеродных видов.</w:t>
      </w:r>
      <w:bookmarkEnd w:id="4"/>
    </w:p>
    <w:p w14:paraId="0F8BB83E" w14:textId="53037F2D" w:rsidR="00815CEA" w:rsidRPr="00775CE4" w:rsidRDefault="00775CE4" w:rsidP="00775CE4">
      <w:pPr>
        <w:spacing w:after="120"/>
        <w:ind w:left="1248"/>
      </w:pPr>
      <w:bookmarkStart w:id="5" w:name="bookmark_25"/>
      <w:r w:rsidRPr="00775CE4">
        <w:t>2.</w:t>
      </w:r>
      <w:r>
        <w:tab/>
      </w:r>
      <w:r w:rsidR="00815CEA" w:rsidRPr="00775CE4">
        <w:t xml:space="preserve">На его шестой сессии Пленуму будет предложено рассмотреть вопрос о проведении тематической оценки устойчивого использования диких видов на основе одобренного доклада об аналитическом исследовании, который воспроизводится в приложении к настоящей записке без официального редактирования. Раздел </w:t>
      </w:r>
      <w:proofErr w:type="spellStart"/>
      <w:r w:rsidR="00815CEA" w:rsidRPr="00775CE4">
        <w:t>VI</w:t>
      </w:r>
      <w:proofErr w:type="spellEnd"/>
      <w:r w:rsidR="00815CEA" w:rsidRPr="00775CE4">
        <w:t xml:space="preserve"> доклада об аналитическом исследовании, о процессе и графике, и раздел </w:t>
      </w:r>
      <w:proofErr w:type="spellStart"/>
      <w:r w:rsidR="00815CEA" w:rsidRPr="00775CE4">
        <w:t>VII</w:t>
      </w:r>
      <w:proofErr w:type="spellEnd"/>
      <w:r w:rsidR="00815CEA" w:rsidRPr="00775CE4">
        <w:t xml:space="preserve"> о смете расходов были пересмотрены с учетом информации, изложенной в записке секретариата о соображениях, касающихся предстоящих оценок, включая предлагаемый пересмотренный процесс, сроки и бюджет (</w:t>
      </w:r>
      <w:proofErr w:type="spellStart"/>
      <w:r w:rsidR="00815CEA" w:rsidRPr="00775CE4">
        <w:t>IPBES</w:t>
      </w:r>
      <w:proofErr w:type="spellEnd"/>
      <w:r w:rsidR="00815CEA" w:rsidRPr="00775CE4">
        <w:t xml:space="preserve">/6/8). </w:t>
      </w:r>
      <w:bookmarkStart w:id="6" w:name="_Hlk503429308"/>
      <w:bookmarkEnd w:id="5"/>
      <w:bookmarkEnd w:id="6"/>
    </w:p>
    <w:p w14:paraId="1CF4FF61" w14:textId="77777777" w:rsidR="009E6DB7" w:rsidRPr="00775CE4" w:rsidRDefault="009E6DB7" w:rsidP="00775CE4">
      <w:pPr>
        <w:spacing w:after="120"/>
        <w:rPr>
          <w:sz w:val="28"/>
          <w:szCs w:val="28"/>
        </w:rPr>
      </w:pPr>
      <w:r w:rsidRPr="00775CE4">
        <w:rPr>
          <w:sz w:val="28"/>
          <w:szCs w:val="28"/>
        </w:rPr>
        <w:br w:type="page"/>
      </w:r>
    </w:p>
    <w:p w14:paraId="705BDB72" w14:textId="77777777" w:rsidR="00186A58" w:rsidRPr="00CF5C0D" w:rsidRDefault="00186A58" w:rsidP="00CF5C0D">
      <w:pPr>
        <w:spacing w:after="240"/>
        <w:rPr>
          <w:b/>
          <w:sz w:val="28"/>
          <w:szCs w:val="28"/>
        </w:rPr>
      </w:pPr>
      <w:bookmarkStart w:id="7" w:name="bookmark_26"/>
      <w:r w:rsidRPr="00CF5C0D">
        <w:rPr>
          <w:b/>
          <w:sz w:val="28"/>
          <w:szCs w:val="28"/>
        </w:rPr>
        <w:lastRenderedPageBreak/>
        <w:t>Приложение</w:t>
      </w:r>
      <w:bookmarkEnd w:id="7"/>
    </w:p>
    <w:p w14:paraId="59C495BB" w14:textId="77777777" w:rsidR="00186A58" w:rsidRPr="00412205" w:rsidRDefault="00186A58" w:rsidP="00CF5C0D">
      <w:pPr>
        <w:spacing w:after="120"/>
        <w:ind w:left="1247" w:right="567"/>
        <w:rPr>
          <w:b/>
          <w:sz w:val="28"/>
          <w:szCs w:val="28"/>
        </w:rPr>
      </w:pPr>
      <w:r w:rsidRPr="00412205">
        <w:rPr>
          <w:b/>
          <w:sz w:val="28"/>
          <w:szCs w:val="28"/>
        </w:rPr>
        <w:t xml:space="preserve">Доклад об аналитическом исследовании для тематической оценки устойчивого использования диких видов: результат 3 b) </w:t>
      </w:r>
      <w:proofErr w:type="spellStart"/>
      <w:r w:rsidRPr="00412205">
        <w:rPr>
          <w:b/>
          <w:sz w:val="28"/>
          <w:szCs w:val="28"/>
        </w:rPr>
        <w:t>iii</w:t>
      </w:r>
      <w:proofErr w:type="spellEnd"/>
      <w:r w:rsidRPr="00412205">
        <w:rPr>
          <w:b/>
          <w:sz w:val="28"/>
          <w:szCs w:val="28"/>
        </w:rPr>
        <w:t>)</w:t>
      </w:r>
    </w:p>
    <w:p w14:paraId="65B10CFC" w14:textId="77777777" w:rsidR="00186A58" w:rsidRPr="00412205" w:rsidRDefault="00186A58" w:rsidP="00FE3D45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412205">
        <w:rPr>
          <w:b/>
          <w:sz w:val="28"/>
          <w:szCs w:val="28"/>
        </w:rPr>
        <w:tab/>
        <w:t>I.</w:t>
      </w:r>
      <w:r w:rsidRPr="00412205">
        <w:rPr>
          <w:b/>
          <w:sz w:val="28"/>
          <w:szCs w:val="28"/>
        </w:rPr>
        <w:tab/>
        <w:t>Сфера охвата, географические границы, обоснование, целесообразность и методологический подход</w:t>
      </w:r>
    </w:p>
    <w:p w14:paraId="544C0885" w14:textId="77777777" w:rsidR="00186A58" w:rsidRPr="00412205" w:rsidRDefault="00186A58" w:rsidP="00186A58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412205">
        <w:rPr>
          <w:b/>
          <w:sz w:val="24"/>
          <w:szCs w:val="24"/>
        </w:rPr>
        <w:tab/>
        <w:t>A.</w:t>
      </w:r>
      <w:r w:rsidRPr="00412205">
        <w:rPr>
          <w:b/>
          <w:sz w:val="24"/>
          <w:szCs w:val="24"/>
        </w:rPr>
        <w:tab/>
        <w:t>Сфера охвата</w:t>
      </w:r>
    </w:p>
    <w:p w14:paraId="03EFC284" w14:textId="77777777" w:rsidR="00186A58" w:rsidRPr="00412205" w:rsidRDefault="00186A58" w:rsidP="00186A58">
      <w:pPr>
        <w:spacing w:after="120"/>
        <w:ind w:left="1247"/>
      </w:pPr>
      <w:r w:rsidRPr="00412205">
        <w:t>1.</w:t>
      </w:r>
      <w:r w:rsidRPr="00412205">
        <w:tab/>
        <w:t>Целью предлагаемой тематической оценки является рассмотрение различных подходов к укреплению устойчивости использования диких видов всех организмов в экосистемах, которые они населяют, и укрепление связанных с этим способов практической деятельности, мер, возможностей и инструментов для их сохранения в процессе использования. Основное внимание в процессе оценки будет уделяться устойчивости использования диких видов, при этом ею будет признаваться неразрывная взаимозависимость между использованием диких видов и его более широкими социально</w:t>
      </w:r>
      <w:r w:rsidRPr="00412205">
        <w:noBreakHyphen/>
        <w:t>экологическими условиями. Оценка будет ориентирована на конкретные решения, с общей целью выявления проблем и возможностей для формирования или дальнейшего укрепления мер и условий, которые обеспечивают устойчивое использование диких видов и содействуют ему и препятствуют их неустойчивому использованию. Будут проанализированы соответствующие аспекты устойчивого использования диких видов, и будет проведена оценка состояния и тенденций устойчивого использования диких видов наряду с прямыми и косвенными факторами изменений и обеспечиваемым ими вкладом. В рамках оценки дополнительное развитие получат перспективные сценарии использования диких видов и продолжится изучение последствий для диких видов и их эволюционной судьбы, а также будет проводиться анализ ряда проблем, возможностей и вариантов политики для дальнейшего укрепления устойчивого использования диких видов. Временн</w:t>
      </w:r>
      <w:r w:rsidRPr="00412205">
        <w:rPr>
          <w:b/>
        </w:rPr>
        <w:t>ы</w:t>
      </w:r>
      <w:r w:rsidRPr="00412205">
        <w:t>е рамки анализов будут охватывать текущее состояние, тенденции до 2020 года (включая прошлые периоды, отстоящие на срок до 50 лет) и возможные прогнозы на будущее с акцентом на различные периоды между 2030 и 2050 годами.</w:t>
      </w:r>
    </w:p>
    <w:p w14:paraId="20060085" w14:textId="77777777" w:rsidR="00186A58" w:rsidRPr="00412205" w:rsidRDefault="00186A58" w:rsidP="00186A58">
      <w:pPr>
        <w:spacing w:after="120"/>
        <w:ind w:left="1247"/>
      </w:pPr>
      <w:r w:rsidRPr="00412205">
        <w:t>2.</w:t>
      </w:r>
      <w:r w:rsidRPr="00412205">
        <w:tab/>
        <w:t>По результатам оценки будет выработано общее понимание термина «дикие виды», которое согласуется с общим подходом оценки и концептуальными рамками МПБЭУ и учитывает существующие определения, используемые в рамках Конвенции о международной торговле видами дикой фауны и флоры, находящимися под угрозой исчезновения (</w:t>
      </w:r>
      <w:proofErr w:type="spellStart"/>
      <w:r w:rsidRPr="00412205">
        <w:t>СИТЕС</w:t>
      </w:r>
      <w:proofErr w:type="spellEnd"/>
      <w:r w:rsidRPr="00412205">
        <w:t>), Продовольственной и сельскохозяйственной организации Объединенных Наций (</w:t>
      </w:r>
      <w:proofErr w:type="spellStart"/>
      <w:r w:rsidRPr="00412205">
        <w:t>ФАО</w:t>
      </w:r>
      <w:proofErr w:type="spellEnd"/>
      <w:r w:rsidRPr="00412205">
        <w:t xml:space="preserve">), Конвенции о биологическом разнообразии и других соответствующих международных органов, а также различными системами знаний, признавая при этом, что, в зависимости от контекста, понятия «дикий» и «домашний» или «содержащийся в неволе» являются граничными в пределах совокупности смысловых значений. В качестве отправной точки, этим понятием определяются неодомашненные виды и дикие популяции одомашненных видов. По этой причине в оценке не будут рассматриваться, например, вопросы содержания или разведение </w:t>
      </w:r>
      <w:proofErr w:type="gramStart"/>
      <w:r w:rsidRPr="00412205">
        <w:t>растений</w:t>
      </w:r>
      <w:proofErr w:type="gramEnd"/>
      <w:r w:rsidRPr="00412205">
        <w:t xml:space="preserve"> или животных на фермах или популяций в аквакультуре или на искусственных плантациях, за исключением тех случаев, когда ими могут обеспечиваться альтернативы использованию популяций дикой природы.</w:t>
      </w:r>
    </w:p>
    <w:p w14:paraId="214EBB7F" w14:textId="77777777" w:rsidR="00186A58" w:rsidRPr="00412205" w:rsidRDefault="00186A58" w:rsidP="00186A58">
      <w:pPr>
        <w:spacing w:after="120"/>
        <w:ind w:left="1247"/>
      </w:pPr>
      <w:proofErr w:type="gramStart"/>
      <w:r w:rsidRPr="00412205">
        <w:t>3.</w:t>
      </w:r>
      <w:r w:rsidRPr="00412205">
        <w:tab/>
        <w:t>В</w:t>
      </w:r>
      <w:proofErr w:type="gramEnd"/>
      <w:r w:rsidRPr="00412205">
        <w:t xml:space="preserve"> оценке будет признаваться неразрывное единство природы и человека, включая </w:t>
      </w:r>
      <w:proofErr w:type="spellStart"/>
      <w:r w:rsidRPr="00412205">
        <w:t>экосистемные</w:t>
      </w:r>
      <w:proofErr w:type="spellEnd"/>
      <w:r w:rsidRPr="00412205">
        <w:t xml:space="preserve"> функции и обеспечиваемый природой вклад на благо человека и в интересах достижения достойного качества жизни, как это предусмотрено концептуальными рамками МПБЭУ. Таким образом, в ней будут учитываться не только положительные и отрицательные экологические и социальные последствия использования диких видов, но и последствия различных подходов, методов и технологий в различных социально-политических условиях, и их связь с различными системами знаний, включая знания и практику коренного и местного населения. </w:t>
      </w:r>
    </w:p>
    <w:p w14:paraId="647BAE0F" w14:textId="77777777" w:rsidR="00186A58" w:rsidRPr="00412205" w:rsidRDefault="00186A58" w:rsidP="00186A58">
      <w:pPr>
        <w:spacing w:after="120"/>
        <w:ind w:left="1247"/>
      </w:pPr>
      <w:proofErr w:type="gramStart"/>
      <w:r w:rsidRPr="00412205">
        <w:t>4.</w:t>
      </w:r>
      <w:r w:rsidRPr="00412205">
        <w:tab/>
        <w:t>В</w:t>
      </w:r>
      <w:proofErr w:type="gramEnd"/>
      <w:r w:rsidRPr="00412205">
        <w:t xml:space="preserve"> ходе оценки основное внимание будет уделено истощительному и </w:t>
      </w:r>
      <w:proofErr w:type="spellStart"/>
      <w:r w:rsidRPr="00412205">
        <w:t>неистощительному</w:t>
      </w:r>
      <w:proofErr w:type="spellEnd"/>
      <w:r w:rsidRPr="00412205">
        <w:t xml:space="preserve"> использованию ряда диких видов в составе репрезентативной группы таксонов и видов применения. В оценке будет учитываться широкий круг аспектов фактического использования диких видов, в том числе пространственные и временные масштабы; в качестве средств к существованию и в коммерческих или рекреационных целях; контексты традиций, законности и противозаконности. Для отражения масштабов и сложности использования диких видов оценкой будет охватываться ряд наземных и водных единиц анализа МПБЭУ, включая </w:t>
      </w:r>
      <w:r w:rsidRPr="00412205">
        <w:lastRenderedPageBreak/>
        <w:t xml:space="preserve">морские, и </w:t>
      </w:r>
      <w:proofErr w:type="gramStart"/>
      <w:r w:rsidRPr="00412205">
        <w:t>их смежность</w:t>
      </w:r>
      <w:proofErr w:type="gramEnd"/>
      <w:r w:rsidRPr="00412205">
        <w:t xml:space="preserve"> и взаимосвязанность. В процессе оценки не будет дублироваться работа других оценок, но будет проводиться обзор существующей работы в контексте мандата МПБЭУ и настоящего доклада об аналитическом исследовании.</w:t>
      </w:r>
    </w:p>
    <w:p w14:paraId="77D154C1" w14:textId="77777777" w:rsidR="00186A58" w:rsidRPr="00412205" w:rsidRDefault="00186A58" w:rsidP="00186A58">
      <w:pPr>
        <w:spacing w:after="120"/>
        <w:ind w:left="1247"/>
      </w:pPr>
      <w:r w:rsidRPr="00412205">
        <w:t>5.</w:t>
      </w:r>
      <w:r w:rsidRPr="00412205">
        <w:tab/>
        <w:t xml:space="preserve">На основе признанных на международном уровне определений и принципов устойчивого использования, таких как определение и рекомендации для устойчивого использования биоразнообразия в соответствии со статьей 2 Конвенции о биологическом разнообразии, </w:t>
      </w:r>
      <w:proofErr w:type="spellStart"/>
      <w:r w:rsidRPr="00412205">
        <w:t>Аддис-Абебскими</w:t>
      </w:r>
      <w:proofErr w:type="spellEnd"/>
      <w:r w:rsidRPr="00412205">
        <w:t xml:space="preserve"> принципами и оперативными указаниями по устойчивому использованию биоразнообразия, принятыми ее Конференцией Сторон (решение </w:t>
      </w:r>
      <w:proofErr w:type="spellStart"/>
      <w:r w:rsidRPr="00412205">
        <w:t>VII</w:t>
      </w:r>
      <w:proofErr w:type="spellEnd"/>
      <w:r w:rsidRPr="00412205">
        <w:t xml:space="preserve">/12), и концепцией «выводов об отсутствии угрозы» в рамках </w:t>
      </w:r>
      <w:proofErr w:type="spellStart"/>
      <w:r w:rsidRPr="00412205">
        <w:t>СИТЕС</w:t>
      </w:r>
      <w:proofErr w:type="spellEnd"/>
      <w:r w:rsidRPr="00412205">
        <w:t xml:space="preserve"> и руководящими указаниями, разработанными для их формулирования с учетом особенностей различных видов, оценка будет включать освещение того, что может быть обоснованно включено в устойчивое использование диких видов в контексте международных целевых показателей, таких как </w:t>
      </w:r>
      <w:proofErr w:type="spellStart"/>
      <w:r w:rsidRPr="00412205">
        <w:t>Айтинские</w:t>
      </w:r>
      <w:proofErr w:type="spellEnd"/>
      <w:r w:rsidRPr="00412205">
        <w:t xml:space="preserve"> задачи в области биоразнообразия и цели в области устойчивого развития.</w:t>
      </w:r>
    </w:p>
    <w:p w14:paraId="34AD721D" w14:textId="77777777" w:rsidR="00186A58" w:rsidRPr="00412205" w:rsidRDefault="00186A58" w:rsidP="00186A58">
      <w:pPr>
        <w:spacing w:after="120"/>
        <w:ind w:left="1247"/>
      </w:pPr>
      <w:proofErr w:type="gramStart"/>
      <w:r w:rsidRPr="00412205">
        <w:t>6.</w:t>
      </w:r>
      <w:r w:rsidRPr="00412205">
        <w:tab/>
        <w:t>В</w:t>
      </w:r>
      <w:proofErr w:type="gramEnd"/>
      <w:r w:rsidRPr="00412205">
        <w:t xml:space="preserve"> ходе оценки будут выявлены возможности и проблемы в отношении создания или дальнейшего укрепления благоприятных условий и мер, способствующих устойчивости использования диких видов в экосистемах, которые они населяют. Эта оценка будет основываться на понимании устойчивого использования диких видов, которые являются важными элементами функционирования экосистем в настоящее время и в будущем и их значения для людей. В тех случаях, когда по результатам оценки будет делаться вывод, что использование диких видов не является устойчивым, следует изучить возможные варианты политики в отношении того, какой уровень использования (если таковой имеется) может быть устойчивым, и когда все использование следует ограничить с целью восстановления видов, принимая во внимание экологические условия для такого восстановления. Опираясь на опыт, извлеченный из широкого круга мнений и систем знаний, в процессе оценки будут анализироваться сильные и слабые стороны соответствующих систем управления, законодательных и торговых режимов, методологий и практики.</w:t>
      </w:r>
    </w:p>
    <w:p w14:paraId="7CFFA211" w14:textId="77777777" w:rsidR="00186A58" w:rsidRPr="00412205" w:rsidRDefault="00186A58" w:rsidP="00186A58">
      <w:pPr>
        <w:spacing w:after="120"/>
        <w:ind w:left="1247"/>
      </w:pPr>
      <w:proofErr w:type="gramStart"/>
      <w:r w:rsidRPr="00412205">
        <w:t>7.</w:t>
      </w:r>
      <w:r w:rsidRPr="00412205">
        <w:tab/>
        <w:t>В</w:t>
      </w:r>
      <w:proofErr w:type="gramEnd"/>
      <w:r w:rsidRPr="00412205">
        <w:t xml:space="preserve"> процессе оценки будут рассматриваться следующие вопросы, актуальные для директивных органов, занимающихся устойчивым использованием диких видов:</w:t>
      </w:r>
    </w:p>
    <w:p w14:paraId="75F956B7" w14:textId="77777777" w:rsidR="00186A58" w:rsidRPr="00412205" w:rsidRDefault="00186A58" w:rsidP="00186A58">
      <w:pPr>
        <w:spacing w:after="120"/>
        <w:ind w:left="1247" w:firstLine="624"/>
      </w:pPr>
      <w:r w:rsidRPr="00412205">
        <w:rPr>
          <w:lang w:val="en-US"/>
        </w:rPr>
        <w:t>a</w:t>
      </w:r>
      <w:r w:rsidRPr="00412205">
        <w:t>)</w:t>
      </w:r>
      <w:r w:rsidRPr="00412205">
        <w:tab/>
        <w:t>Каковы надлежащие способы концептуализации и реализации устойчивого использования диких видов? (глава 2);</w:t>
      </w:r>
    </w:p>
    <w:p w14:paraId="7980A416" w14:textId="77777777" w:rsidR="00186A58" w:rsidRPr="00412205" w:rsidRDefault="00186A58" w:rsidP="00186A58">
      <w:pPr>
        <w:spacing w:after="120"/>
        <w:ind w:left="1247" w:firstLine="624"/>
      </w:pPr>
      <w:r w:rsidRPr="00412205">
        <w:rPr>
          <w:lang w:val="en-US"/>
        </w:rPr>
        <w:t>b</w:t>
      </w:r>
      <w:r w:rsidRPr="00412205">
        <w:t>)</w:t>
      </w:r>
      <w:r w:rsidRPr="00412205">
        <w:tab/>
        <w:t>Какие методы и инструменты имеются для оценки, измерения и регулирования устойчивого использования диких видов? (глава 2);</w:t>
      </w:r>
    </w:p>
    <w:p w14:paraId="5723D8B3" w14:textId="77777777" w:rsidR="00186A58" w:rsidRPr="00412205" w:rsidRDefault="00186A58" w:rsidP="00186A58">
      <w:pPr>
        <w:spacing w:after="120"/>
        <w:ind w:left="1247" w:firstLine="624"/>
      </w:pPr>
      <w:r w:rsidRPr="00412205">
        <w:rPr>
          <w:lang w:val="en-US"/>
        </w:rPr>
        <w:t>c</w:t>
      </w:r>
      <w:r w:rsidRPr="00412205">
        <w:t>)</w:t>
      </w:r>
      <w:r w:rsidRPr="00412205">
        <w:tab/>
        <w:t>Каково положительное и отрицательное воздействие различного использования диких видов и других прямых факторов на природу и обеспечиваемый ею вклад на благо человека? (глава 3);</w:t>
      </w:r>
    </w:p>
    <w:p w14:paraId="153D3CD9" w14:textId="77777777" w:rsidR="00186A58" w:rsidRPr="00412205" w:rsidRDefault="00186A58" w:rsidP="00186A58">
      <w:pPr>
        <w:spacing w:after="120"/>
        <w:ind w:left="1247" w:firstLine="624"/>
      </w:pPr>
      <w:r w:rsidRPr="00412205">
        <w:rPr>
          <w:lang w:val="en-US"/>
        </w:rPr>
        <w:t>d</w:t>
      </w:r>
      <w:r w:rsidRPr="00412205">
        <w:t>)</w:t>
      </w:r>
      <w:r w:rsidRPr="00412205">
        <w:tab/>
        <w:t>Кто может являться основным выгодоприобретателем от устойчивого использования диких видов? (глава 3);</w:t>
      </w:r>
    </w:p>
    <w:p w14:paraId="695400EF" w14:textId="77777777" w:rsidR="00186A58" w:rsidRPr="00412205" w:rsidRDefault="00186A58" w:rsidP="00186A58">
      <w:pPr>
        <w:spacing w:after="120"/>
        <w:ind w:left="1247" w:firstLine="624"/>
      </w:pPr>
      <w:r w:rsidRPr="00412205">
        <w:rPr>
          <w:lang w:val="en-US"/>
        </w:rPr>
        <w:t>e</w:t>
      </w:r>
      <w:r w:rsidRPr="00412205">
        <w:t>)</w:t>
      </w:r>
      <w:r w:rsidRPr="00412205">
        <w:tab/>
        <w:t>Каковы косвенные факторы, которые влияют на устойчивое использование диких видов, включая системные препятствия и порочные стимулы, предотвращающие устойчивое использование? (глава 4);</w:t>
      </w:r>
    </w:p>
    <w:p w14:paraId="56B4C231" w14:textId="77777777" w:rsidR="00186A58" w:rsidRPr="00412205" w:rsidRDefault="00186A58" w:rsidP="00186A58">
      <w:pPr>
        <w:spacing w:after="120"/>
        <w:ind w:left="1247" w:firstLine="624"/>
      </w:pPr>
      <w:r w:rsidRPr="00412205">
        <w:rPr>
          <w:lang w:val="en-US"/>
        </w:rPr>
        <w:t>f</w:t>
      </w:r>
      <w:r w:rsidRPr="00412205">
        <w:t>)</w:t>
      </w:r>
      <w:r w:rsidRPr="00412205">
        <w:tab/>
        <w:t>Каковы различные сценарии, касающиеся устойчивого использования диких видов? (глава 5);</w:t>
      </w:r>
    </w:p>
    <w:p w14:paraId="6F8AA4D2" w14:textId="77777777" w:rsidR="00186A58" w:rsidRPr="00412205" w:rsidRDefault="00186A58" w:rsidP="00186A58">
      <w:pPr>
        <w:spacing w:after="120"/>
        <w:ind w:left="1247" w:firstLine="624"/>
      </w:pPr>
      <w:r w:rsidRPr="00412205">
        <w:rPr>
          <w:lang w:val="en-US"/>
        </w:rPr>
        <w:t>g</w:t>
      </w:r>
      <w:r w:rsidRPr="00412205">
        <w:t>)</w:t>
      </w:r>
      <w:r w:rsidRPr="00412205">
        <w:tab/>
        <w:t>Какие варианты политики и методы управления, касающиеся различных сценариев использования диких видов, включая социально-экономические и экологические соображения, могут привести к достижению устойчивости использования диких видов в экосистемах, которые они населяют? (глава 5);</w:t>
      </w:r>
    </w:p>
    <w:p w14:paraId="34E1F005" w14:textId="77777777" w:rsidR="00186A58" w:rsidRPr="00412205" w:rsidRDefault="00186A58" w:rsidP="00186A58">
      <w:pPr>
        <w:spacing w:after="120"/>
        <w:ind w:left="1247" w:firstLine="624"/>
      </w:pPr>
      <w:r w:rsidRPr="00412205">
        <w:rPr>
          <w:lang w:val="en-US"/>
        </w:rPr>
        <w:t>h</w:t>
      </w:r>
      <w:r w:rsidRPr="00412205">
        <w:t>)</w:t>
      </w:r>
      <w:r w:rsidRPr="00412205">
        <w:tab/>
        <w:t>Какие ответные меры политики и методы и инструменты для качественной и количественной оценки и регулирования устойчивого использования диких видов оказались надлежащими и эффективными, в каких условиях и в какие сроки? В какой степени они могут быть воспроизведены в других контекстах? (глава 6);</w:t>
      </w:r>
    </w:p>
    <w:p w14:paraId="5AC1C0AA" w14:textId="77777777" w:rsidR="00186A58" w:rsidRPr="00412205" w:rsidRDefault="00186A58" w:rsidP="00186A58">
      <w:pPr>
        <w:spacing w:after="120"/>
        <w:ind w:left="1247" w:firstLine="624"/>
      </w:pPr>
      <w:proofErr w:type="spellStart"/>
      <w:r w:rsidRPr="00412205">
        <w:rPr>
          <w:lang w:val="en-US"/>
        </w:rPr>
        <w:t>i</w:t>
      </w:r>
      <w:proofErr w:type="spellEnd"/>
      <w:r w:rsidRPr="00412205">
        <w:t>)</w:t>
      </w:r>
      <w:r w:rsidRPr="00412205">
        <w:tab/>
        <w:t>Какие пробелы в данных и знаниях в отношении состояния, факторов, последствий, ответных мер политики и инструментов и методов поддержки политики необходимо устранить с тем, чтобы лучше понять и реализовать ряд вариантов и возможностей для улучшения охраны природы посредством устойчивого использования диких видов? (глава 6);</w:t>
      </w:r>
    </w:p>
    <w:p w14:paraId="56091339" w14:textId="77777777" w:rsidR="00186A58" w:rsidRPr="00412205" w:rsidRDefault="00186A58" w:rsidP="00186A58">
      <w:pPr>
        <w:spacing w:after="120"/>
        <w:ind w:left="1247" w:firstLine="624"/>
      </w:pPr>
      <w:r w:rsidRPr="00412205">
        <w:rPr>
          <w:lang w:val="en-US"/>
        </w:rPr>
        <w:lastRenderedPageBreak/>
        <w:t>j</w:t>
      </w:r>
      <w:r w:rsidRPr="00412205">
        <w:t>)</w:t>
      </w:r>
      <w:r w:rsidRPr="00412205">
        <w:tab/>
        <w:t>Какие возможности несет устойчивое использование диких видов в отношении альтернативных видов землепользования (например, замена менее устойчивой деятельности в сфере землепользования)? (глава 6).</w:t>
      </w:r>
    </w:p>
    <w:p w14:paraId="353346E7" w14:textId="77777777" w:rsidR="00186A58" w:rsidRPr="00412205" w:rsidRDefault="00186A58" w:rsidP="00186A58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412205">
        <w:rPr>
          <w:b/>
          <w:sz w:val="24"/>
          <w:szCs w:val="24"/>
        </w:rPr>
        <w:tab/>
        <w:t>B.</w:t>
      </w:r>
      <w:r w:rsidRPr="00412205">
        <w:rPr>
          <w:b/>
          <w:sz w:val="24"/>
          <w:szCs w:val="24"/>
        </w:rPr>
        <w:tab/>
        <w:t>Географический охват оценки</w:t>
      </w:r>
    </w:p>
    <w:p w14:paraId="0B33D38E" w14:textId="77777777" w:rsidR="00186A58" w:rsidRPr="00412205" w:rsidRDefault="00186A58" w:rsidP="00186A58">
      <w:pPr>
        <w:spacing w:after="120"/>
        <w:ind w:left="1247"/>
      </w:pPr>
      <w:r w:rsidRPr="00412205">
        <w:t>8.</w:t>
      </w:r>
      <w:r w:rsidRPr="00412205">
        <w:tab/>
        <w:t>Охват оценки будет носить глобальный характер, включая наземные и водные (включая морские) социально-экологические системы в различных пространственных масштабах, от местного до глобального.</w:t>
      </w:r>
    </w:p>
    <w:p w14:paraId="5E479493" w14:textId="77777777" w:rsidR="00186A58" w:rsidRPr="00412205" w:rsidRDefault="00186A58" w:rsidP="00186A58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412205">
        <w:rPr>
          <w:b/>
          <w:sz w:val="24"/>
          <w:szCs w:val="24"/>
        </w:rPr>
        <w:tab/>
        <w:t>C.</w:t>
      </w:r>
      <w:r w:rsidRPr="00412205">
        <w:rPr>
          <w:b/>
          <w:sz w:val="24"/>
          <w:szCs w:val="24"/>
        </w:rPr>
        <w:tab/>
        <w:t>Обоснование</w:t>
      </w:r>
    </w:p>
    <w:p w14:paraId="7B1BA8C2" w14:textId="77777777" w:rsidR="00186A58" w:rsidRPr="00412205" w:rsidRDefault="00186A58" w:rsidP="00186A58">
      <w:pPr>
        <w:spacing w:after="120"/>
        <w:ind w:left="1247"/>
      </w:pPr>
      <w:r w:rsidRPr="00412205">
        <w:t>9.</w:t>
      </w:r>
      <w:r w:rsidRPr="00412205">
        <w:tab/>
        <w:t>Необходимо провести всеобъемлющую оценку состояния и тенденций в области использования диких видов и возможных будущих сценариев такого использования с точки зрения устойчивости текущего использования в его социально-экологических условиях, а также состояния и тенденций прямых и косвенных факторов, которые влияют на эту устойчивость. Оценка будет учитывать многочисленные мировоззренческие концепции, системы знаний, культурные традиции и ценности, которые действуют в различных социально</w:t>
      </w:r>
      <w:r w:rsidRPr="00412205">
        <w:noBreakHyphen/>
        <w:t>экологических условиях.</w:t>
      </w:r>
    </w:p>
    <w:p w14:paraId="6F26271D" w14:textId="77777777" w:rsidR="00186A58" w:rsidRPr="00412205" w:rsidRDefault="00186A58" w:rsidP="00186A58">
      <w:pPr>
        <w:spacing w:after="120"/>
        <w:ind w:left="1247"/>
      </w:pPr>
      <w:r w:rsidRPr="00412205">
        <w:t>10.</w:t>
      </w:r>
      <w:r w:rsidRPr="00412205">
        <w:tab/>
        <w:t>Использование диких видов имеет исключительно важное значение для всех социумов, в особенности для проживающих в странах или регионах с богатым биоразнообразием, являющихся объектами глобальных усилий по сохранению. Эта оценка дает возможность принять меры для достижения достойного качества жизни, включая потребности коренных народов и местных общин. Для многих стран сама суть культуры и средств к существованию их населения основывается на природных ресурсах, к которым они имеют доступ, и на экосистемах, частью которых они являются. Многие виды также используются населением за пределами стран, в которых они находятся, например, в рамках международной торговли и туризма.</w:t>
      </w:r>
    </w:p>
    <w:p w14:paraId="25B7817E" w14:textId="77777777" w:rsidR="00186A58" w:rsidRPr="00412205" w:rsidRDefault="00186A58" w:rsidP="00186A58">
      <w:pPr>
        <w:spacing w:after="120"/>
        <w:ind w:left="1247"/>
      </w:pPr>
      <w:r w:rsidRPr="00412205">
        <w:t>11.</w:t>
      </w:r>
      <w:r w:rsidRPr="00412205">
        <w:tab/>
        <w:t xml:space="preserve">Имеется общее стремление защитить дикие виды от исчезновения и сокращения численности, особенно в случае с наиболее видными млекопитающими и птицами. Использование этих видов считается и подвергается публичной критике в качестве одной из основных причин сокращения их численности. При неправильной организации использование диких видов может привести к вымиранию, а устойчивое использование диких видов может являться одним из факторов сохранения в долгосрочной перспективе. Устойчивое использование диких видов, а не их неиспользование, является важным аспектом устойчивого и </w:t>
      </w:r>
      <w:proofErr w:type="gramStart"/>
      <w:r w:rsidRPr="00412205">
        <w:t>справедливого социально-экономического развития</w:t>
      </w:r>
      <w:proofErr w:type="gramEnd"/>
      <w:r w:rsidRPr="00412205">
        <w:t xml:space="preserve"> и политики, сохраняющим биоразнообразие, на которое полагается человек.</w:t>
      </w:r>
    </w:p>
    <w:p w14:paraId="0BEF7F4A" w14:textId="77777777" w:rsidR="00186A58" w:rsidRPr="00412205" w:rsidRDefault="00186A58" w:rsidP="00186A58">
      <w:pPr>
        <w:spacing w:after="120"/>
        <w:ind w:left="1247"/>
      </w:pPr>
      <w:r w:rsidRPr="00412205">
        <w:t>12.</w:t>
      </w:r>
      <w:r w:rsidRPr="00412205">
        <w:tab/>
        <w:t>Оценка позволит получить варианты сценариев политики и методов управления, которые могут способствовать сохранению биоразнообразия и поддержанию социально</w:t>
      </w:r>
      <w:r w:rsidRPr="00412205">
        <w:noBreakHyphen/>
        <w:t xml:space="preserve">экологических функций, таких как обеспечиваемый природой вклад на благо людей. Оценка внесет вклад в разработку более мощной базы знаний, касающейся как концепции устойчивого использования диких видов, так и </w:t>
      </w:r>
      <w:proofErr w:type="gramStart"/>
      <w:r w:rsidRPr="00412205">
        <w:t>прямых</w:t>
      </w:r>
      <w:proofErr w:type="gramEnd"/>
      <w:r w:rsidRPr="00412205">
        <w:t xml:space="preserve"> и косвенных факторов нерациональной практики, и в способы противодействия такой практике. Оценка будет сосредоточена на существующих инструментах политики и инструментах поддержки политики и их эффективности и будет стимулировать разработку дополнительных инструментов и методологий поддержки политики.</w:t>
      </w:r>
    </w:p>
    <w:p w14:paraId="7DF2FC6A" w14:textId="77777777" w:rsidR="00186A58" w:rsidRPr="00412205" w:rsidRDefault="00186A58" w:rsidP="00186A58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412205">
        <w:rPr>
          <w:b/>
          <w:sz w:val="24"/>
          <w:szCs w:val="24"/>
        </w:rPr>
        <w:tab/>
        <w:t>D.</w:t>
      </w:r>
      <w:r w:rsidRPr="00412205">
        <w:rPr>
          <w:b/>
          <w:sz w:val="24"/>
          <w:szCs w:val="24"/>
        </w:rPr>
        <w:tab/>
        <w:t>Целесообразность</w:t>
      </w:r>
    </w:p>
    <w:p w14:paraId="6DCA7A19" w14:textId="77777777" w:rsidR="00186A58" w:rsidRPr="00412205" w:rsidRDefault="00186A58" w:rsidP="00186A58">
      <w:pPr>
        <w:spacing w:after="120"/>
        <w:ind w:left="1247"/>
      </w:pPr>
      <w:r w:rsidRPr="00412205">
        <w:t>13.</w:t>
      </w:r>
      <w:r w:rsidRPr="00412205">
        <w:tab/>
        <w:t>Оценка обеспечит пользователей и общественность, включая правительства, многосторонние организации, частный сектор и гражданское общество, в том числе коренные народы, местные общины и неправительственные организации, актуальным, заслуживающим доверия, обоснованным, авторитетным, опирающимся на факты всеобъемлющим анализом устойчивого использования диких видов на основании современного состояния знаний, полученных из систем научных и других знаний, включая знания коренного и местного населения.</w:t>
      </w:r>
    </w:p>
    <w:p w14:paraId="0BBAFA36" w14:textId="77777777" w:rsidR="00186A58" w:rsidRPr="00412205" w:rsidRDefault="00186A58" w:rsidP="00186A58">
      <w:pPr>
        <w:spacing w:after="120"/>
        <w:ind w:left="1247"/>
      </w:pPr>
      <w:r w:rsidRPr="00412205">
        <w:t>14.</w:t>
      </w:r>
      <w:r w:rsidRPr="00412205">
        <w:tab/>
        <w:t>Оценка будет способствовать достижению второй цели Конвенции о биологическом разнообразии, касающейся устойчивого использования биоразнообразия. Она будет также оказывать поддержку в осуществлении Стратегического плана по биоразнообразию на 2011</w:t>
      </w:r>
      <w:r w:rsidRPr="00412205">
        <w:noBreakHyphen/>
        <w:t xml:space="preserve">2020 годы и следующих </w:t>
      </w:r>
      <w:proofErr w:type="spellStart"/>
      <w:r w:rsidRPr="00412205">
        <w:t>Айтинских</w:t>
      </w:r>
      <w:proofErr w:type="spellEnd"/>
      <w:r w:rsidRPr="00412205">
        <w:t xml:space="preserve"> задач в области биоразнообразия: 6 (устойчивое связанное с потреблением использование запасов рыб и беспозвоночных и водных растений) и 12 (сохранение видов, находящихся под угрозой исчезновения) и элементов задач 3 (стимулы), 4 (устойчивое потребление и производство), 7 (устойчивое управление, в частности, лесами), </w:t>
      </w:r>
      <w:r w:rsidRPr="00412205">
        <w:lastRenderedPageBreak/>
        <w:t>16 (</w:t>
      </w:r>
      <w:proofErr w:type="spellStart"/>
      <w:r w:rsidRPr="00412205">
        <w:t>Нагойский</w:t>
      </w:r>
      <w:proofErr w:type="spellEnd"/>
      <w:r w:rsidRPr="00412205">
        <w:t xml:space="preserve"> протокол) и 18 (традиционные способы использования биологических ресурсов). Оценка будет также оказывать поддержку в осуществлении ряда решений, принятых Конференцией Сторон Конвенции о биологическом разнообразии, в том числе об </w:t>
      </w:r>
      <w:proofErr w:type="spellStart"/>
      <w:r w:rsidRPr="00412205">
        <w:t>Аддис</w:t>
      </w:r>
      <w:r w:rsidRPr="00412205">
        <w:noBreakHyphen/>
        <w:t>Абебских</w:t>
      </w:r>
      <w:proofErr w:type="spellEnd"/>
      <w:r w:rsidRPr="00412205">
        <w:t xml:space="preserve"> принципах и оперативных указаниях по устойчивому использованию биоразнообразия, о дифференциации видов использования в качестве средств существования, законной и незаконной охоте, чрезмерном использовании запасов и внутренней и международной торговле особями диких видов и продукцией.</w:t>
      </w:r>
    </w:p>
    <w:p w14:paraId="1F1D971A" w14:textId="77777777" w:rsidR="00186A58" w:rsidRPr="00412205" w:rsidRDefault="00186A58" w:rsidP="00186A58">
      <w:pPr>
        <w:spacing w:after="120"/>
        <w:ind w:left="1247"/>
      </w:pPr>
      <w:r w:rsidRPr="00412205">
        <w:t>15.</w:t>
      </w:r>
      <w:r w:rsidRPr="00412205">
        <w:tab/>
        <w:t xml:space="preserve">Оценка будет способствовать достижению цели </w:t>
      </w:r>
      <w:proofErr w:type="spellStart"/>
      <w:r w:rsidRPr="00412205">
        <w:t>СИТЕС</w:t>
      </w:r>
      <w:proofErr w:type="spellEnd"/>
      <w:r w:rsidRPr="00412205">
        <w:t xml:space="preserve">, которая заключается в обеспечении того, чтобы международная торговля находящимися под угрозой исчезновения дикими животными и растениями не угрожала их выживанию в дикой природе. Оценка будет содействовать предоставлению Сторонам </w:t>
      </w:r>
      <w:proofErr w:type="spellStart"/>
      <w:r w:rsidRPr="00412205">
        <w:t>СИТЕС</w:t>
      </w:r>
      <w:proofErr w:type="spellEnd"/>
      <w:r w:rsidRPr="00412205">
        <w:t xml:space="preserve"> информации, которую они могут использовать при выдаче разрешений. Она также представит информацию о том, будет ли международная торговля иметь пагубные или благоприятные последствия для выживания видов, и продемонстрирует важность и ценность экологически приемлемых практических методов сохранения видов. Оценка будет учитывать потребности национальных научных и управленческих органов в знаниях для содействия использованию прикладных наук в целях осуществления </w:t>
      </w:r>
      <w:proofErr w:type="spellStart"/>
      <w:r w:rsidRPr="00412205">
        <w:t>СИТЕС</w:t>
      </w:r>
      <w:proofErr w:type="spellEnd"/>
      <w:r w:rsidRPr="00412205">
        <w:t>, включая заключения об отсутствии угрозы и законном приобретении и связанные с ними торговые решения. Кроме того, она будет способствовать изучению условий, способствующих устойчивому использованию диких видов и определению методов и инструментов для оценки, измерения и регулирования устойчивого использования диких видов.</w:t>
      </w:r>
    </w:p>
    <w:p w14:paraId="4D3A7DBC" w14:textId="2786DB69" w:rsidR="00186A58" w:rsidRPr="00412205" w:rsidRDefault="00186A58" w:rsidP="00186A58">
      <w:pPr>
        <w:spacing w:after="120"/>
        <w:ind w:left="1247"/>
      </w:pPr>
      <w:r w:rsidRPr="00412205">
        <w:t>16.</w:t>
      </w:r>
      <w:r w:rsidRPr="00412205">
        <w:tab/>
        <w:t>Оценка может использоваться странами в их работе по достижению целей в области устойчивого развития, в частности целей 2 (ликвидация голода), 12 (устойчивое производство и потребление), 13 (борьба с изменением климата), 14 (сохранение и рациональное использование океанов, морей и морских ресурсов), 15 (устойчивое использование экосистем суши) и 17</w:t>
      </w:r>
      <w:r w:rsidR="00FE3D45">
        <w:rPr>
          <w:lang w:val="en-GB"/>
        </w:rPr>
        <w:t> </w:t>
      </w:r>
      <w:r w:rsidRPr="00412205">
        <w:t>(активизация работы в рамках Глобального партнерства в интересах устойчивого развития). Кроме того, оценка ориентирована на содействие усилиям по борьбе с неустойчивым и незаконным использованием диких видов, которое подрывает реализацию более широких общественных целей и задач. Кроме того, она будет способствовать целям 1 (ликвидация нищеты), 3 (обеспечение здорового образа жизни и благополучия), 5 (достижение гендерного равенства), 6 (обеспечение рационального использования водных ресурсов и санитарии), 7</w:t>
      </w:r>
      <w:r w:rsidRPr="00412205">
        <w:rPr>
          <w:lang w:val="en-US"/>
        </w:rPr>
        <w:t> </w:t>
      </w:r>
      <w:r w:rsidRPr="00412205">
        <w:t>(устойчивые источники энергии) и 16 (миролюбивое и открытое общество).</w:t>
      </w:r>
    </w:p>
    <w:p w14:paraId="57F68577" w14:textId="77777777" w:rsidR="00186A58" w:rsidRPr="00412205" w:rsidRDefault="00186A58" w:rsidP="00186A58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</w:rPr>
      </w:pPr>
      <w:r w:rsidRPr="00412205">
        <w:rPr>
          <w:b/>
          <w:sz w:val="24"/>
          <w:szCs w:val="24"/>
        </w:rPr>
        <w:tab/>
        <w:t>E.</w:t>
      </w:r>
      <w:r w:rsidRPr="00412205">
        <w:rPr>
          <w:b/>
          <w:sz w:val="24"/>
          <w:szCs w:val="24"/>
        </w:rPr>
        <w:tab/>
        <w:t>Методологический подход</w:t>
      </w:r>
    </w:p>
    <w:p w14:paraId="276AFCD9" w14:textId="77777777" w:rsidR="00186A58" w:rsidRPr="00412205" w:rsidRDefault="00186A58" w:rsidP="00186A58">
      <w:pPr>
        <w:spacing w:after="120"/>
        <w:ind w:left="1247"/>
      </w:pPr>
      <w:r w:rsidRPr="00412205">
        <w:t>17.</w:t>
      </w:r>
      <w:r w:rsidRPr="00412205">
        <w:tab/>
        <w:t xml:space="preserve">Оценка будет основываться на имеющейся научной литературе, национальных оценках и источниках из других систем знаний, в том числе знаний коренных народов и местных общин, и будет опираться на работу существующих учреждений и объединений (см. раздел </w:t>
      </w:r>
      <w:proofErr w:type="spellStart"/>
      <w:r w:rsidRPr="00412205">
        <w:t>IV</w:t>
      </w:r>
      <w:proofErr w:type="spellEnd"/>
      <w:r w:rsidRPr="00412205">
        <w:t xml:space="preserve"> «Заинтересованные стороны и инициативы»). В ней будет рассматриваться соответствующая работа, например, достижения </w:t>
      </w:r>
      <w:proofErr w:type="spellStart"/>
      <w:r w:rsidRPr="00412205">
        <w:t>СИТЕС</w:t>
      </w:r>
      <w:proofErr w:type="spellEnd"/>
      <w:r w:rsidRPr="00412205">
        <w:t xml:space="preserve"> в контексте заключений об отсутствии угрозы и определения устойчивого использования и торговли дикими животными. Также будут учитываться региональные и глобальные оценки МПБЭУ по вопросам биоразнообразия и экосистемных услуг, а также оценки деградации и восстановления земель, которыми охватываются многие аспекты устойчивого использования. В процессе оценки следует учитывать предварительное руководство по концептуализации ценностей биоразнообразия и обеспечиваемого природой вклада на благо человека. Полученные в процессе аналитического исследования материалы, включая ссылки на изданную и «серую» литературу, будут иметься в распоряжении группы экспертов по оценке. Подготовка оценки будет осуществляться в соответствии с согласованными процедурами. Доверительные границы будут применяться согласно руководству МПБЭУ по оценкам ко всем основным выводам в резюме технических глав доклада по оценке и к ключевым положениям, содержащимся в резюме для директивных органов.</w:t>
      </w:r>
    </w:p>
    <w:p w14:paraId="4E72E9C5" w14:textId="77777777" w:rsidR="00186A58" w:rsidRPr="00412205" w:rsidRDefault="00186A58" w:rsidP="00186A58">
      <w:pPr>
        <w:spacing w:after="120"/>
        <w:ind w:left="1247"/>
      </w:pPr>
      <w:r w:rsidRPr="00412205">
        <w:t>18.</w:t>
      </w:r>
      <w:r w:rsidRPr="00412205">
        <w:tab/>
        <w:t>Группа экспертов по оценке должна обеспечивать дисциплинарную, региональную и гендерную сбалансированность, представлять самые различные мировоззренческие концепции и включать 2 сопредседателей, 12 ведущих авторов-координаторов, 36 ведущих авторов и 12 редакторов</w:t>
      </w:r>
      <w:r w:rsidRPr="00412205">
        <w:noBreakHyphen/>
        <w:t>рецензентов, которые будут отобраны в соответствии с процедурами подготовки итоговых материалов Платформы после предложения о выдвижении кандидатур и после утверждения Пленумом доклада об аналитическом исследовании.</w:t>
      </w:r>
    </w:p>
    <w:p w14:paraId="297F1BB6" w14:textId="77777777" w:rsidR="00186A58" w:rsidRPr="00412205" w:rsidRDefault="00186A58" w:rsidP="00186A58">
      <w:pPr>
        <w:spacing w:after="120"/>
        <w:ind w:left="1247"/>
      </w:pPr>
      <w:r w:rsidRPr="00412205">
        <w:t>19.</w:t>
      </w:r>
      <w:r w:rsidRPr="00412205">
        <w:tab/>
        <w:t>Техническая поддержка оценки будет обеспечиваться группой технической поддержки, действующей в рамках секретариата.</w:t>
      </w:r>
    </w:p>
    <w:p w14:paraId="0C56D33C" w14:textId="77777777" w:rsidR="00186A58" w:rsidRPr="00412205" w:rsidRDefault="00186A58" w:rsidP="00186A58">
      <w:pPr>
        <w:spacing w:after="240"/>
        <w:ind w:left="1247"/>
      </w:pPr>
      <w:r w:rsidRPr="00412205">
        <w:lastRenderedPageBreak/>
        <w:t>20.</w:t>
      </w:r>
      <w:r w:rsidRPr="00412205">
        <w:tab/>
        <w:t xml:space="preserve">Подготовка оценки будет проводиться в течение трех лет. Процесс и график подготовки изложены в разделе </w:t>
      </w:r>
      <w:proofErr w:type="spellStart"/>
      <w:r w:rsidRPr="00412205">
        <w:t>VI</w:t>
      </w:r>
      <w:proofErr w:type="spellEnd"/>
      <w:r w:rsidRPr="00412205">
        <w:t xml:space="preserve"> ниже.</w:t>
      </w:r>
    </w:p>
    <w:p w14:paraId="79F26E86" w14:textId="77777777" w:rsidR="00186A58" w:rsidRPr="00412205" w:rsidRDefault="00186A58" w:rsidP="00186A58">
      <w:pPr>
        <w:keepNext/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412205">
        <w:rPr>
          <w:b/>
          <w:sz w:val="28"/>
          <w:szCs w:val="28"/>
        </w:rPr>
        <w:tab/>
      </w:r>
      <w:proofErr w:type="spellStart"/>
      <w:r w:rsidRPr="00412205">
        <w:rPr>
          <w:b/>
          <w:sz w:val="28"/>
          <w:szCs w:val="28"/>
        </w:rPr>
        <w:t>II</w:t>
      </w:r>
      <w:proofErr w:type="spellEnd"/>
      <w:r w:rsidRPr="00412205">
        <w:rPr>
          <w:b/>
          <w:sz w:val="28"/>
          <w:szCs w:val="28"/>
        </w:rPr>
        <w:t>.</w:t>
      </w:r>
      <w:r w:rsidRPr="00412205">
        <w:rPr>
          <w:b/>
          <w:sz w:val="28"/>
          <w:szCs w:val="28"/>
        </w:rPr>
        <w:tab/>
        <w:t>Тезисное содержание глав</w:t>
      </w:r>
    </w:p>
    <w:p w14:paraId="648700B1" w14:textId="77777777" w:rsidR="00186A58" w:rsidRPr="00412205" w:rsidRDefault="00186A58" w:rsidP="00186A58">
      <w:pPr>
        <w:spacing w:after="120"/>
        <w:ind w:left="1247"/>
      </w:pPr>
      <w:r w:rsidRPr="00412205">
        <w:t>21.</w:t>
      </w:r>
      <w:r w:rsidRPr="00412205">
        <w:tab/>
        <w:t>Тематическая оценка будет состоять из шести глав и резюме глав, а также резюме для директивных органов, в котором будут изложены ключевые идеи глав. Оценка будет также включать глоссарий всех соответствующих терминов и определений.</w:t>
      </w:r>
    </w:p>
    <w:p w14:paraId="2A326370" w14:textId="77777777" w:rsidR="00186A58" w:rsidRPr="00412205" w:rsidRDefault="00186A58" w:rsidP="00186A58">
      <w:pPr>
        <w:spacing w:after="120"/>
        <w:ind w:left="1247"/>
        <w:rPr>
          <w:b/>
        </w:rPr>
      </w:pPr>
      <w:r w:rsidRPr="00412205">
        <w:rPr>
          <w:b/>
        </w:rPr>
        <w:tab/>
        <w:t>Глава 1. Общие сведения</w:t>
      </w:r>
    </w:p>
    <w:p w14:paraId="6A1D910F" w14:textId="77777777" w:rsidR="00186A58" w:rsidRPr="00412205" w:rsidRDefault="00186A58" w:rsidP="00186A58">
      <w:pPr>
        <w:spacing w:after="120"/>
        <w:ind w:left="1247"/>
      </w:pPr>
      <w:proofErr w:type="gramStart"/>
      <w:r w:rsidRPr="00412205">
        <w:t>22.</w:t>
      </w:r>
      <w:r w:rsidRPr="00412205">
        <w:tab/>
        <w:t>В</w:t>
      </w:r>
      <w:proofErr w:type="gramEnd"/>
      <w:r w:rsidRPr="00412205">
        <w:t xml:space="preserve"> главе 1 определяется основная канва оценки и кратко освещается, каким образом устойчивое использование диких видов и их вклад будут рассматриваться в контексте концептуальных рамок МПБЭУ. В главе 1 будет дано определение понятия «дикие виды» с учетом определений, используемых в рамках </w:t>
      </w:r>
      <w:proofErr w:type="spellStart"/>
      <w:r w:rsidRPr="00412205">
        <w:t>СИТЕС</w:t>
      </w:r>
      <w:proofErr w:type="spellEnd"/>
      <w:r w:rsidRPr="00412205">
        <w:t xml:space="preserve">, </w:t>
      </w:r>
      <w:proofErr w:type="spellStart"/>
      <w:r w:rsidRPr="00412205">
        <w:t>ФАО</w:t>
      </w:r>
      <w:proofErr w:type="spellEnd"/>
      <w:r w:rsidRPr="00412205">
        <w:t>, Конвенции о биологическом разнообразии и других соответствующих международных органов, а также различных систем знаний, и их устойчивого использования, принимая во внимание биологические, экологические и эволюционные аспекты.</w:t>
      </w:r>
    </w:p>
    <w:p w14:paraId="0B52D055" w14:textId="77777777" w:rsidR="00186A58" w:rsidRPr="00412205" w:rsidRDefault="00186A58" w:rsidP="00186A58">
      <w:pPr>
        <w:spacing w:after="120"/>
        <w:ind w:left="1247"/>
      </w:pPr>
      <w:proofErr w:type="gramStart"/>
      <w:r w:rsidRPr="00412205">
        <w:t>23.</w:t>
      </w:r>
      <w:r w:rsidRPr="00412205">
        <w:tab/>
        <w:t>В</w:t>
      </w:r>
      <w:proofErr w:type="gramEnd"/>
      <w:r w:rsidRPr="00412205">
        <w:t xml:space="preserve"> этой главе будут представлены план и общее обоснование последовательности глав оценки, а также </w:t>
      </w:r>
      <w:proofErr w:type="spellStart"/>
      <w:r w:rsidRPr="00412205">
        <w:t>уделения</w:t>
      </w:r>
      <w:proofErr w:type="spellEnd"/>
      <w:r w:rsidRPr="00412205">
        <w:t xml:space="preserve"> повышенного внимания вопросам интенсивного и экстенсивного использования ряда диких видов в составе репрезентативной группы таксонов и видов применения. Оценкой будет учитываться широкий круг аспектов фактического использования диких видов, в том числе пространственные и временные масштабы; в качестве средств к существованию и в коммерческих или рекреационных целях; контексты традиций, законности и противозаконности. В этой главе будет объясняться применяемый комплексный социально</w:t>
      </w:r>
      <w:r w:rsidRPr="00412205">
        <w:noBreakHyphen/>
        <w:t xml:space="preserve">экологический подход, которым признается неразрывное единство природы и человека, включая </w:t>
      </w:r>
      <w:proofErr w:type="spellStart"/>
      <w:r w:rsidRPr="00412205">
        <w:t>экосистемные</w:t>
      </w:r>
      <w:proofErr w:type="spellEnd"/>
      <w:r w:rsidRPr="00412205">
        <w:t xml:space="preserve"> функции и обеспечиваемый природой вклад на благо человека и достижения достойного качества жизни. В этой главе будет указано, каким образом оценка будет способствовать укреплению соответствующих видов практики, мер, потенциала и инструментов и способствовать достижению соответствующих согласованных на международном уровне целей и задач, таких как цели </w:t>
      </w:r>
      <w:proofErr w:type="spellStart"/>
      <w:r w:rsidRPr="00412205">
        <w:t>СИТЕС</w:t>
      </w:r>
      <w:proofErr w:type="spellEnd"/>
      <w:r w:rsidRPr="00412205">
        <w:t xml:space="preserve">, </w:t>
      </w:r>
      <w:proofErr w:type="spellStart"/>
      <w:r w:rsidRPr="00412205">
        <w:t>Айтинские</w:t>
      </w:r>
      <w:proofErr w:type="spellEnd"/>
      <w:r w:rsidRPr="00412205">
        <w:t xml:space="preserve"> задачи в области биоразнообразия и цели в области устойчивого развития.</w:t>
      </w:r>
    </w:p>
    <w:p w14:paraId="030F053B" w14:textId="77777777" w:rsidR="00186A58" w:rsidRPr="00412205" w:rsidRDefault="00186A58" w:rsidP="00186A58">
      <w:pPr>
        <w:spacing w:after="120"/>
        <w:ind w:left="1247"/>
        <w:rPr>
          <w:b/>
        </w:rPr>
      </w:pPr>
      <w:r w:rsidRPr="00412205">
        <w:rPr>
          <w:b/>
        </w:rPr>
        <w:tab/>
        <w:t>Глава 2. Концептуализация устойчивого использования диких видов</w:t>
      </w:r>
    </w:p>
    <w:p w14:paraId="72484C52" w14:textId="77777777" w:rsidR="00186A58" w:rsidRPr="00412205" w:rsidRDefault="00186A58" w:rsidP="00186A58">
      <w:pPr>
        <w:spacing w:after="120"/>
        <w:ind w:left="1247"/>
      </w:pPr>
      <w:proofErr w:type="gramStart"/>
      <w:r w:rsidRPr="00412205">
        <w:t>24.</w:t>
      </w:r>
      <w:r w:rsidRPr="00412205">
        <w:tab/>
        <w:t>В</w:t>
      </w:r>
      <w:proofErr w:type="gramEnd"/>
      <w:r w:rsidRPr="00412205">
        <w:t xml:space="preserve"> главе 2 будут подробно рассмотрены условия, необходимые для устойчивого использования диких видов, и критерии и элементы, которые имеют важное значение для обеспечения того, чтобы последствия использования диких видов были социально обоснованными и не выходили за рамки безопасных экологических пределов. В главе будет представлен критический анализ принципов устойчивого использования, включая признанные стандарты в отношении устойчивого использования диких видов.</w:t>
      </w:r>
    </w:p>
    <w:p w14:paraId="5AA4E638" w14:textId="77777777" w:rsidR="00186A58" w:rsidRPr="00412205" w:rsidRDefault="00186A58" w:rsidP="00186A58">
      <w:pPr>
        <w:spacing w:after="120"/>
        <w:ind w:left="1247"/>
      </w:pPr>
      <w:r w:rsidRPr="00412205">
        <w:t>25.</w:t>
      </w:r>
      <w:r w:rsidRPr="00412205">
        <w:tab/>
        <w:t xml:space="preserve">Опираясь на </w:t>
      </w:r>
      <w:proofErr w:type="spellStart"/>
      <w:r w:rsidRPr="00412205">
        <w:t>международно</w:t>
      </w:r>
      <w:proofErr w:type="spellEnd"/>
      <w:r w:rsidRPr="00412205">
        <w:t xml:space="preserve"> признанные определения, принципы и концепции устойчивого использования, в главе будут конкретизироваться значение устойчивого использования диких видов в контексте таких международных задач, как </w:t>
      </w:r>
      <w:proofErr w:type="spellStart"/>
      <w:r w:rsidRPr="00412205">
        <w:t>Айтинские</w:t>
      </w:r>
      <w:proofErr w:type="spellEnd"/>
      <w:r w:rsidRPr="00412205">
        <w:t xml:space="preserve"> задачи в области биоразнообразия и цели устойчивого развития, и их последствия для конвенций, например, </w:t>
      </w:r>
      <w:proofErr w:type="spellStart"/>
      <w:r w:rsidRPr="00412205">
        <w:t>СИТЕС</w:t>
      </w:r>
      <w:proofErr w:type="spellEnd"/>
      <w:r w:rsidRPr="00412205">
        <w:t xml:space="preserve">. Будут освещаться методы и инструменты, необходимые для качественной и количественной оценки и регулирования устойчивого использования диких видов, а также обеспечиваемого ими вклада, принимая во внимание широкий круг аспектов их фактического использования, в том числе: пространственные, временные и количественные масштабы; использование в виде средств существования, в коммерческих или рекреационных целях; устойчивое традиционное использование; в контексте законности и противозаконности; как они воспринимаются и классифицируются местным населением; другие соображения. В ней также будет рассмотрена </w:t>
      </w:r>
      <w:proofErr w:type="spellStart"/>
      <w:r w:rsidRPr="00412205">
        <w:t>неантропоцентрическая</w:t>
      </w:r>
      <w:proofErr w:type="spellEnd"/>
      <w:r w:rsidRPr="00412205">
        <w:t xml:space="preserve"> ценность устойчивого использования видов, в частности для сохранения эволюционных перспектив экосистем и видов. Эта глава будет опираться на предварительное руководство по концептуализации ценностей биоразнообразия и обеспечиваемого природой вклада на благо человека.</w:t>
      </w:r>
    </w:p>
    <w:p w14:paraId="0320C9A4" w14:textId="77777777" w:rsidR="00186A58" w:rsidRPr="00412205" w:rsidRDefault="00186A58" w:rsidP="00186A58">
      <w:pPr>
        <w:spacing w:after="120"/>
        <w:ind w:left="1247"/>
        <w:rPr>
          <w:b/>
        </w:rPr>
      </w:pPr>
      <w:r w:rsidRPr="00412205">
        <w:tab/>
      </w:r>
      <w:r w:rsidRPr="00412205">
        <w:rPr>
          <w:b/>
        </w:rPr>
        <w:t>Глава 3. Положение дел и тенденции в области использования диких видов и его последствия для диких видов, окружающей среды и населения</w:t>
      </w:r>
    </w:p>
    <w:p w14:paraId="1BE43D25" w14:textId="77777777" w:rsidR="00186A58" w:rsidRPr="00412205" w:rsidRDefault="00186A58" w:rsidP="00186A58">
      <w:pPr>
        <w:spacing w:after="120"/>
        <w:ind w:left="1247"/>
      </w:pPr>
      <w:proofErr w:type="gramStart"/>
      <w:r w:rsidRPr="00412205">
        <w:t>26.</w:t>
      </w:r>
      <w:r w:rsidRPr="00412205">
        <w:tab/>
        <w:t>В</w:t>
      </w:r>
      <w:proofErr w:type="gramEnd"/>
      <w:r w:rsidRPr="00412205">
        <w:t xml:space="preserve"> главе 3 будет изложена оценка использования диких видов, его воздействия на их природоохранный статус, тенденций и положительных и отрицательных экологических аспектов различных категорий интенсивного и экстенсивного использования, рассмотренных в главе 1, применительно к некоторым диким видам в составе ряда таксонов, и соответствующие </w:t>
      </w:r>
      <w:r w:rsidRPr="00412205">
        <w:lastRenderedPageBreak/>
        <w:t xml:space="preserve">наземные и водные единицы анализа, включая морские. Это будет делаться в увязке с </w:t>
      </w:r>
      <w:proofErr w:type="spellStart"/>
      <w:r w:rsidRPr="00412205">
        <w:t>Айтинскими</w:t>
      </w:r>
      <w:proofErr w:type="spellEnd"/>
      <w:r w:rsidRPr="00412205">
        <w:t xml:space="preserve"> целевыми задачами и целями в области устойчивого развития. Так, будет проведен анализ устойчивого использования диких видов, охватывающий все регионы МПБЭУ, с применением сбалансированного подхода к таксонам и видам в каждом таксоне и опираясь на соответствующую работу, такую как заключения </w:t>
      </w:r>
      <w:proofErr w:type="spellStart"/>
      <w:r w:rsidRPr="00412205">
        <w:t>СИТЕС</w:t>
      </w:r>
      <w:proofErr w:type="spellEnd"/>
      <w:r w:rsidRPr="00412205">
        <w:t xml:space="preserve"> об отсутствии угрозы. Критерии отбора диких видов могут включать риск исчезновения, важность для общин, примеры наилучшей практики, интенсивное и экстенсивное использование.</w:t>
      </w:r>
    </w:p>
    <w:p w14:paraId="1E0A8080" w14:textId="77777777" w:rsidR="00186A58" w:rsidRPr="00412205" w:rsidRDefault="00186A58" w:rsidP="00186A58">
      <w:pPr>
        <w:spacing w:after="120"/>
        <w:ind w:left="1247"/>
      </w:pPr>
      <w:proofErr w:type="gramStart"/>
      <w:r w:rsidRPr="00412205">
        <w:t>27.</w:t>
      </w:r>
      <w:r w:rsidRPr="00412205">
        <w:tab/>
        <w:t>В</w:t>
      </w:r>
      <w:proofErr w:type="gramEnd"/>
      <w:r w:rsidRPr="00412205">
        <w:t xml:space="preserve"> главе будет проводиться оценка знаний о том, какие уровни использования (если таковые имеются) могут являться устойчивыми и (или) когда требуется регулирование для восстановления видов, принимая во внимание экологические условия для такого восстановления. При рассмотрении различных методов регулирования, в частности – рекомендуемых в контексте </w:t>
      </w:r>
      <w:proofErr w:type="spellStart"/>
      <w:r w:rsidRPr="00412205">
        <w:t>СИТЕС</w:t>
      </w:r>
      <w:proofErr w:type="spellEnd"/>
      <w:r w:rsidRPr="00412205">
        <w:t xml:space="preserve">, Конвенции о биологическом разнообразии, Конвенции по сохранению мигрирующих видов диких животных и других соответствующих конвенций, а также оценок, проведенных </w:t>
      </w:r>
      <w:proofErr w:type="spellStart"/>
      <w:r w:rsidRPr="00412205">
        <w:t>ФАО</w:t>
      </w:r>
      <w:proofErr w:type="spellEnd"/>
      <w:r w:rsidRPr="00412205">
        <w:t xml:space="preserve"> и региональными рыбохозяйственными организациями, в главе будет оцениваться воздействие использования отдельных диких видов на природу, в том числе его последствий для экологии, динамики и генетического разнообразия популяций видов, или для соответствующих экосистемных функций. При оценке экологического контекста использования диких видов в главе будут также учитываться соответствующие прямые факторы, такие как деградация, изменение характера землепользования, преобразование среды обитания, развитие городов, загрязнение, подкисление, </w:t>
      </w:r>
      <w:proofErr w:type="spellStart"/>
      <w:r w:rsidRPr="00412205">
        <w:t>эвтрофикация</w:t>
      </w:r>
      <w:proofErr w:type="spellEnd"/>
      <w:r w:rsidRPr="00412205">
        <w:t>, инвазивные чужеродные виды и изменение климата.</w:t>
      </w:r>
    </w:p>
    <w:p w14:paraId="13F060A1" w14:textId="77777777" w:rsidR="00186A58" w:rsidRPr="00412205" w:rsidRDefault="00186A58" w:rsidP="00186A58">
      <w:pPr>
        <w:spacing w:after="120"/>
        <w:ind w:left="1247"/>
      </w:pPr>
      <w:proofErr w:type="gramStart"/>
      <w:r w:rsidRPr="00412205">
        <w:t>28.</w:t>
      </w:r>
      <w:r w:rsidRPr="00412205">
        <w:tab/>
        <w:t>В</w:t>
      </w:r>
      <w:proofErr w:type="gramEnd"/>
      <w:r w:rsidRPr="00412205">
        <w:t xml:space="preserve"> главе 3 также будет проводиться оценка последствий использования диких видов применительно к обеспечиваемому природой вкладу на благо человека и достижению достойного качества жизни, с учетом условий, критериев и элементов устойчивости их использования, рассмотренных в главе 2. Глава будет опираться на предварительное руководство по концептуализации ценностей биоразнообразия и обеспечиваемого природой вклада на благо человека.</w:t>
      </w:r>
    </w:p>
    <w:p w14:paraId="07B7C7D3" w14:textId="77777777" w:rsidR="00186A58" w:rsidRPr="00412205" w:rsidRDefault="00186A58" w:rsidP="00186A58">
      <w:pPr>
        <w:spacing w:after="120"/>
        <w:ind w:left="1247"/>
        <w:rPr>
          <w:b/>
        </w:rPr>
      </w:pPr>
      <w:r w:rsidRPr="00412205">
        <w:rPr>
          <w:b/>
        </w:rPr>
        <w:tab/>
        <w:t>Глава 4. Косвенные факторы устойчивого использования диких видов</w:t>
      </w:r>
    </w:p>
    <w:p w14:paraId="30799A22" w14:textId="77777777" w:rsidR="00186A58" w:rsidRPr="00412205" w:rsidRDefault="00186A58" w:rsidP="00186A58">
      <w:pPr>
        <w:spacing w:after="120"/>
        <w:ind w:left="1247"/>
      </w:pPr>
      <w:proofErr w:type="gramStart"/>
      <w:r w:rsidRPr="00412205">
        <w:t>29.</w:t>
      </w:r>
      <w:r w:rsidRPr="00412205">
        <w:tab/>
        <w:t>В</w:t>
      </w:r>
      <w:proofErr w:type="gramEnd"/>
      <w:r w:rsidRPr="00412205">
        <w:t xml:space="preserve"> главе 4 будет проводиться оценка положительных и отрицательных косвенных факторов устойчивого использования диких видов посредством изучения институциональных механизмов, режимов управления и социально-политических, экономических, правовых, культурных и технологических условий использования диких видов в различных масштабах. В ней будут анализироваться условия, такие как системы землевладения, городское управление, практика землепользования и соответствующее природоохранное законодательство и схемы незаконного использования. Рассмотренные косвенные факторы будут включать следующие: демография, уровни дохода, модели потребления, системы ценностей и другие. Будет рассмотрен вопрос о том, как институциональные и управленческие механизмы оказывают положительное и отрицательное влияние на изменения в использовании диких видов, на взаимодействие между факторами и экологические последствия.</w:t>
      </w:r>
    </w:p>
    <w:p w14:paraId="441AD1D5" w14:textId="77777777" w:rsidR="00186A58" w:rsidRPr="00412205" w:rsidRDefault="00186A58" w:rsidP="00186A58">
      <w:pPr>
        <w:spacing w:after="120"/>
        <w:ind w:left="1247"/>
        <w:rPr>
          <w:b/>
        </w:rPr>
      </w:pPr>
      <w:r w:rsidRPr="00412205">
        <w:rPr>
          <w:b/>
        </w:rPr>
        <w:tab/>
        <w:t>Глава 5. Будущие сценарии устойчивого использования диких видов</w:t>
      </w:r>
    </w:p>
    <w:p w14:paraId="53F0BD28" w14:textId="77777777" w:rsidR="00186A58" w:rsidRPr="00412205" w:rsidRDefault="00186A58" w:rsidP="00186A58">
      <w:pPr>
        <w:spacing w:after="120"/>
        <w:ind w:left="1247"/>
      </w:pPr>
      <w:proofErr w:type="gramStart"/>
      <w:r w:rsidRPr="00412205">
        <w:t>30.</w:t>
      </w:r>
      <w:r w:rsidRPr="00412205">
        <w:tab/>
        <w:t>В</w:t>
      </w:r>
      <w:proofErr w:type="gramEnd"/>
      <w:r w:rsidRPr="00412205">
        <w:t xml:space="preserve"> главе 5 будут представлены возможные будущие сценарии устойчивого использования диких видов и их последствия для сохранения диких видов в их более широких социально-экологических контекстах. При оценке тенденций и сценариев использования диких видов в главе будут учитываться условия, критерии и элементы, имеющие основополагающее значение для устойчивости такого использования, как отражено в главе 2, и анализ прямых и косвенных факторов, оценка которым была дана в главах 3 и 4. При рассмотрении сценариев в этой главе будут также задействованы результаты методологической оценки МПБЭУ сценариев и моделей биоразнообразия и экосистемных услуг (решение МПБЭУ-4/1, раздел V, пункт 1 и приложение </w:t>
      </w:r>
      <w:proofErr w:type="spellStart"/>
      <w:r w:rsidRPr="00412205">
        <w:t>IV</w:t>
      </w:r>
      <w:proofErr w:type="spellEnd"/>
      <w:r w:rsidRPr="00412205">
        <w:t>), предварительное руководство по концептуализации ценностей биоразнообразия и обеспечиваемого природой вклада на благо человека и результаты оценки эффективности мер политики, предусмотренных в главе 6. В ней будут использованы исследовательские сценарии вероятного будущего развития ситуации для диких видов и вклада, который они обеспечивают, с учетом уровней использования, а также будут рассмотрены сценарии проверки политики и методы управления, которые могли бы привести к более устойчивому состоянию в будущем. Возможное будущее и сценарии для устойчивого использования диких видов будут учитывать региональные особенности, в том числе особенности малых островных государств.</w:t>
      </w:r>
    </w:p>
    <w:p w14:paraId="55958D22" w14:textId="77777777" w:rsidR="00186A58" w:rsidRPr="00412205" w:rsidRDefault="00186A58" w:rsidP="00186A58">
      <w:pPr>
        <w:keepNext/>
        <w:spacing w:after="120"/>
        <w:ind w:left="1247"/>
        <w:rPr>
          <w:b/>
        </w:rPr>
      </w:pPr>
      <w:r w:rsidRPr="00412205">
        <w:rPr>
          <w:b/>
        </w:rPr>
        <w:lastRenderedPageBreak/>
        <w:tab/>
        <w:t>Глава 6. Варианты и ответные меры политики</w:t>
      </w:r>
    </w:p>
    <w:p w14:paraId="655436E1" w14:textId="77777777" w:rsidR="00186A58" w:rsidRPr="00412205" w:rsidRDefault="00186A58" w:rsidP="00186A58">
      <w:pPr>
        <w:spacing w:after="120"/>
        <w:ind w:left="1247"/>
      </w:pPr>
      <w:proofErr w:type="gramStart"/>
      <w:r w:rsidRPr="00412205">
        <w:t>31.</w:t>
      </w:r>
      <w:r w:rsidRPr="00412205">
        <w:tab/>
        <w:t>В</w:t>
      </w:r>
      <w:proofErr w:type="gramEnd"/>
      <w:r w:rsidRPr="00412205">
        <w:t xml:space="preserve"> главе 6 будет представлен анализ знаний об эффективности мер политики в отношении устойчивого использования диких видов и будут определены возможные варианты для директивных органов и стоящие перед ними препятствия применительно к актуальным для политики вопросам, которые рассматривались в предыдущих главах. Изучаемые варианты будут включать различные инструменты политики, в том числе правовые и нормативные документы и передовую практику. Изучаемые варианты должны также включать в себя меры в области информационного обеспечения, направленные на пропаганду устойчивого использования путем повышения осведомленности, налаживания связей и создания потенциала. Кроме того, сочетание программных инструментов и их интеграция с другими направлениями природоохранной политики и руководства будут подчеркиваться в качестве программных стратегий для поощрения устойчивого использования диких видов и мест их обитания.</w:t>
      </w:r>
    </w:p>
    <w:p w14:paraId="6ACA344C" w14:textId="77777777" w:rsidR="00186A58" w:rsidRPr="00412205" w:rsidRDefault="00186A58" w:rsidP="00186A58">
      <w:pPr>
        <w:spacing w:after="240"/>
        <w:ind w:left="1247"/>
      </w:pPr>
      <w:proofErr w:type="gramStart"/>
      <w:r w:rsidRPr="00412205">
        <w:t>32.</w:t>
      </w:r>
      <w:r w:rsidRPr="00412205">
        <w:tab/>
        <w:t>В</w:t>
      </w:r>
      <w:proofErr w:type="gramEnd"/>
      <w:r w:rsidRPr="00412205">
        <w:t xml:space="preserve"> этой главе при рассмотрении вариантов будут учитываться различные иерархические, пространственные и временные масштабы, ряд систем управления и информация о выгодоприобретателях и тех, кто будет нести затраты и получать преимущества, связанные с их осуществлением. В ней будут рассмотрены знания как об установленных законом, так и о традиционных системах землевладения и роль неформальных институтов, а также будут выявлены имеющиеся данные, благоприятные условия и ограничения для внедрения мер политики, приобретенный опыт, включая решения и методы обеспечения успеха и потребностей в области создания потенциала в различных условиях.</w:t>
      </w:r>
    </w:p>
    <w:p w14:paraId="6A452A4A" w14:textId="77777777" w:rsidR="00186A58" w:rsidRPr="00412205" w:rsidRDefault="00186A58" w:rsidP="00186A58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412205">
        <w:rPr>
          <w:b/>
          <w:sz w:val="28"/>
          <w:szCs w:val="28"/>
        </w:rPr>
        <w:tab/>
      </w:r>
      <w:proofErr w:type="spellStart"/>
      <w:r w:rsidRPr="00412205">
        <w:rPr>
          <w:b/>
          <w:sz w:val="28"/>
          <w:szCs w:val="28"/>
        </w:rPr>
        <w:t>III</w:t>
      </w:r>
      <w:proofErr w:type="spellEnd"/>
      <w:r w:rsidRPr="00412205">
        <w:rPr>
          <w:b/>
          <w:sz w:val="28"/>
          <w:szCs w:val="28"/>
        </w:rPr>
        <w:t>.</w:t>
      </w:r>
      <w:r w:rsidRPr="00412205">
        <w:rPr>
          <w:b/>
          <w:sz w:val="28"/>
          <w:szCs w:val="28"/>
        </w:rPr>
        <w:tab/>
        <w:t>Показатели, параметры и наборы данных</w:t>
      </w:r>
    </w:p>
    <w:p w14:paraId="7A743B43" w14:textId="77777777" w:rsidR="00186A58" w:rsidRPr="00412205" w:rsidRDefault="00186A58" w:rsidP="00186A58">
      <w:pPr>
        <w:spacing w:after="120"/>
        <w:ind w:left="1247"/>
      </w:pPr>
      <w:r w:rsidRPr="00412205">
        <w:t>33.</w:t>
      </w:r>
      <w:r w:rsidRPr="00412205">
        <w:tab/>
        <w:t>При поддержке целевой группы МПБЭУ по информации и данным и с учетом базовых и акцентируемых показателей, отобранных для региональных и глобальных оценок биоразнообразия и экосистемных услуг и оценки деградации и восстановления земель, в ходе оценки будет рассмотрен вопрос о применении и эффективности существующих показателей для оценки устойчивого использования, таких как, например, показатели, разработанные Партнерством по индикаторам биоразнообразия, и будут исследованы другие возможные показатели и наборы данных, которые могут быть использованы.</w:t>
      </w:r>
    </w:p>
    <w:p w14:paraId="58126622" w14:textId="77777777" w:rsidR="00186A58" w:rsidRPr="00412205" w:rsidRDefault="00186A58" w:rsidP="00186A58">
      <w:pPr>
        <w:spacing w:after="120"/>
        <w:ind w:left="1247"/>
      </w:pPr>
      <w:proofErr w:type="gramStart"/>
      <w:r w:rsidRPr="00412205">
        <w:t>34.</w:t>
      </w:r>
      <w:r w:rsidRPr="00412205">
        <w:tab/>
        <w:t>В</w:t>
      </w:r>
      <w:proofErr w:type="gramEnd"/>
      <w:r w:rsidRPr="00412205">
        <w:t xml:space="preserve"> ходе оценки будет изучено, в какой мере данные имеются в наличии и являются ли они современными, и будут определены пробелы в данных и знаниях. Данные, отобранные для использования в ходе оценки, должны поддаваться разукрупнению по соответствующим переменным, таким как биотопы, таксоны, уровень дохода. В соответствии с планом МПБЭУ по использованию данных и информации будет уделено внимание обеспечению доступа к метаданным и, по возможности, к соответствующим исходным данным путем операционно</w:t>
      </w:r>
      <w:r w:rsidRPr="00412205">
        <w:noBreakHyphen/>
        <w:t>совместимого процесса обеспечения сопоставимости оценок. Кроме того, целевая группа по информации и данным разработает рекомендации и процедуры для обеспечения того, чтобы данные и информация, используемые в оценке, широко применялись в будущих оценках МПБЭУ и других практических мероприятиях.</w:t>
      </w:r>
    </w:p>
    <w:p w14:paraId="54E51CAA" w14:textId="77777777" w:rsidR="00186A58" w:rsidRPr="00412205" w:rsidRDefault="00186A58" w:rsidP="00186A58">
      <w:pPr>
        <w:spacing w:after="120"/>
        <w:ind w:left="1247"/>
      </w:pPr>
      <w:proofErr w:type="gramStart"/>
      <w:r w:rsidRPr="00412205">
        <w:t>35.</w:t>
      </w:r>
      <w:r w:rsidRPr="00412205">
        <w:tab/>
        <w:t>В</w:t>
      </w:r>
      <w:proofErr w:type="gramEnd"/>
      <w:r w:rsidRPr="00412205">
        <w:t xml:space="preserve"> ходе глобальной оценки будут также установлены другие актуальные источники данных и информации, которые могут уже существовать или появляться, и будет изыскиваться доступ к ним. Эти источники включают глобальные, региональные и национальные учреждения и организации, а также научную литературу и знания коренного населения и местных общин. Потребности процесса оценки будут доводиться до широкого круга получателей с целью выявления возможностей и стимулирования обмена актуальными данными и информацией.</w:t>
      </w:r>
    </w:p>
    <w:p w14:paraId="74897853" w14:textId="77777777" w:rsidR="00186A58" w:rsidRPr="00412205" w:rsidRDefault="00186A58" w:rsidP="00186A58">
      <w:pPr>
        <w:spacing w:after="240"/>
        <w:ind w:left="1247"/>
      </w:pPr>
      <w:r w:rsidRPr="00412205">
        <w:t>36.</w:t>
      </w:r>
      <w:r w:rsidRPr="00412205">
        <w:tab/>
        <w:t>Целевая группа по системам знаний коренного и местного населения, а также соответствующие носители знаний и эксперты по знаниям коренного и местного населения будут направлять процедуры анализа и использования знаний коренного и местного населения. Коллективная способность к выполнению этих задач будет подкрепляться посредством создания потенциала, обмена знаниями и международного сотрудничества.</w:t>
      </w:r>
    </w:p>
    <w:p w14:paraId="58DA0ECC" w14:textId="77777777" w:rsidR="00186A58" w:rsidRPr="00412205" w:rsidRDefault="00186A58" w:rsidP="00186A58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412205">
        <w:rPr>
          <w:b/>
          <w:sz w:val="28"/>
          <w:szCs w:val="28"/>
        </w:rPr>
        <w:tab/>
      </w:r>
      <w:proofErr w:type="spellStart"/>
      <w:r w:rsidRPr="00412205">
        <w:rPr>
          <w:b/>
          <w:sz w:val="28"/>
          <w:szCs w:val="28"/>
        </w:rPr>
        <w:t>IV</w:t>
      </w:r>
      <w:proofErr w:type="spellEnd"/>
      <w:r w:rsidRPr="00412205">
        <w:rPr>
          <w:b/>
          <w:sz w:val="28"/>
          <w:szCs w:val="28"/>
        </w:rPr>
        <w:t>.</w:t>
      </w:r>
      <w:r w:rsidRPr="00412205">
        <w:rPr>
          <w:b/>
          <w:sz w:val="28"/>
          <w:szCs w:val="28"/>
        </w:rPr>
        <w:tab/>
        <w:t>Заинтересованные стороны и инициативы</w:t>
      </w:r>
    </w:p>
    <w:p w14:paraId="407691AF" w14:textId="77777777" w:rsidR="00186A58" w:rsidRPr="00412205" w:rsidRDefault="00186A58" w:rsidP="00186A58">
      <w:pPr>
        <w:spacing w:after="120"/>
        <w:ind w:left="1247"/>
      </w:pPr>
      <w:r w:rsidRPr="00412205">
        <w:t>37.</w:t>
      </w:r>
      <w:r w:rsidRPr="00412205">
        <w:tab/>
        <w:t xml:space="preserve">Согласно принципам функционирования МПБЭУ партнерства играют важную роль в предотвращении дублирования и содействии синергии с уже осуществляющимися мероприятиями. Стратегические партнерства представляют собой важнейший </w:t>
      </w:r>
      <w:proofErr w:type="spellStart"/>
      <w:r w:rsidRPr="00412205">
        <w:t>подкомплекс</w:t>
      </w:r>
      <w:proofErr w:type="spellEnd"/>
      <w:r w:rsidRPr="00412205">
        <w:t xml:space="preserve"> множества возможных форм партнерства с МПБЭУ. В контексте оценки устойчивого </w:t>
      </w:r>
      <w:r w:rsidRPr="00412205">
        <w:lastRenderedPageBreak/>
        <w:t xml:space="preserve">использования диких видов стратегическими являются те партнерства, которые содействуют, к примеру, отношениям с многочисленными соответствующими органами под единой глобальной эгидой. Стратегические партнеры для процесса оценки должны определяться в соответствии с руководством МПБЭУ по формированию стратегических партнерств и других механизмов сотрудничества (решение МПБЭУ-3/4, приложение </w:t>
      </w:r>
      <w:proofErr w:type="spellStart"/>
      <w:r w:rsidRPr="00412205">
        <w:t>III</w:t>
      </w:r>
      <w:proofErr w:type="spellEnd"/>
      <w:r w:rsidRPr="00412205">
        <w:t xml:space="preserve">). Принять участие в процессе оценки предлагается и другим заинтересованным организациям. </w:t>
      </w:r>
    </w:p>
    <w:p w14:paraId="1FBFBDCB" w14:textId="77777777" w:rsidR="00186A58" w:rsidRPr="00412205" w:rsidRDefault="00186A58" w:rsidP="00186A58">
      <w:pPr>
        <w:spacing w:after="240"/>
        <w:ind w:left="1247"/>
      </w:pPr>
      <w:r w:rsidRPr="00412205">
        <w:t>38.</w:t>
      </w:r>
      <w:r w:rsidRPr="00412205">
        <w:tab/>
        <w:t>Коренное и местное население, как правило, обладает значительными знаниями о диких видах, которые окружают их, в том числе знаниями о местах их обитания, сезонном наличии, этологии, в случае с видами животных, и по другим вопросам, и оно нередко использует их для получения средств к существованию и для других целей. Следовательно, коренное и местное население является основной заинтересованной стороной и ключевым партнером национальных правительств и международных учреждений, стремящихся защищать биоразнообразие посредством мер по сохранению или нормативно-правовых мер. Источники средств к существованию коренного и местного населения зачастую тесно взаимосвязаны с использованием диких видов. Стимулы для устойчивого использования диких видов могут использоваться местным населением в качестве инструментов для обеспечения устойчивости использования диких видов.</w:t>
      </w:r>
    </w:p>
    <w:p w14:paraId="19E0D8B5" w14:textId="77777777" w:rsidR="00186A58" w:rsidRPr="00412205" w:rsidRDefault="00186A58" w:rsidP="00186A58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412205">
        <w:rPr>
          <w:b/>
          <w:sz w:val="28"/>
          <w:szCs w:val="28"/>
        </w:rPr>
        <w:tab/>
        <w:t>V.</w:t>
      </w:r>
      <w:r w:rsidRPr="00412205">
        <w:rPr>
          <w:b/>
          <w:sz w:val="28"/>
          <w:szCs w:val="28"/>
        </w:rPr>
        <w:tab/>
        <w:t>Создание потенциала</w:t>
      </w:r>
    </w:p>
    <w:p w14:paraId="61E667ED" w14:textId="77777777" w:rsidR="00186A58" w:rsidRPr="00412205" w:rsidRDefault="00186A58" w:rsidP="00186A58">
      <w:pPr>
        <w:spacing w:after="120"/>
        <w:ind w:left="1247"/>
      </w:pPr>
      <w:r w:rsidRPr="00412205">
        <w:t>39.</w:t>
      </w:r>
      <w:r w:rsidRPr="00412205">
        <w:tab/>
        <w:t xml:space="preserve">Одна из основных целей оценки заключается в том, чтобы содействовать развитию и совершенствованию подходов к обеспечению устойчивости использования диких видов и укреплению соответствующих видов практики, мер, методов, потенциала и инструментов. Оценка будет также направлена на укрепление научной основы для принятия обоснованных решений по этому вопросу. Она обеспечит основу для деятельности по созданию потенциала в целях совершенствования человеческого, институционального и технического потенциала для содействия осуществлению ее ключевых идей. Это включает в себя создание возможностей для предоставления научно обоснованных данных, необходимых для определения устойчивости использования диких видов. Создание потенциала будет направлено в долгосрочной перспективе на разработку и использование инструментов и методологий поддержки политики и улучшение доступа к необходимым данным, информации и </w:t>
      </w:r>
      <w:proofErr w:type="gramStart"/>
      <w:r w:rsidRPr="00412205">
        <w:t>знаниям</w:t>
      </w:r>
      <w:proofErr w:type="gramEnd"/>
      <w:r w:rsidRPr="00412205">
        <w:t xml:space="preserve"> и системам знаний коренного и местного населения.</w:t>
      </w:r>
    </w:p>
    <w:p w14:paraId="5F2DD692" w14:textId="77777777" w:rsidR="00186A58" w:rsidRPr="00412205" w:rsidRDefault="00186A58" w:rsidP="00186A58">
      <w:pPr>
        <w:spacing w:after="240"/>
        <w:ind w:left="1247"/>
      </w:pPr>
      <w:r w:rsidRPr="00412205">
        <w:t>40.</w:t>
      </w:r>
      <w:r w:rsidRPr="00412205">
        <w:tab/>
        <w:t>Кроме того, мероприятия по созданию потенциала будут спланированы таким образом, чтобы сделать возможным эффективное участие в оценке экспертов из развивающихся стран. Оценка будет поддерживаться целевой группой по созданию потенциала, в частности посредством выполнения скользящего плана МПБЭУ по созданию потенциала. В соответствии с этим планом создание потенциала будет также включать усиление эффективного вклада систем знаний коренного и местного населения в оценки.</w:t>
      </w:r>
    </w:p>
    <w:p w14:paraId="7C8D9952" w14:textId="77777777" w:rsidR="00186A58" w:rsidRPr="00412205" w:rsidRDefault="00186A58" w:rsidP="00186A58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412205">
        <w:rPr>
          <w:b/>
          <w:sz w:val="28"/>
          <w:szCs w:val="28"/>
        </w:rPr>
        <w:tab/>
      </w:r>
      <w:proofErr w:type="spellStart"/>
      <w:r w:rsidRPr="00412205">
        <w:rPr>
          <w:b/>
          <w:sz w:val="28"/>
          <w:szCs w:val="28"/>
        </w:rPr>
        <w:t>VI</w:t>
      </w:r>
      <w:proofErr w:type="spellEnd"/>
      <w:r w:rsidRPr="00412205">
        <w:rPr>
          <w:b/>
          <w:sz w:val="28"/>
          <w:szCs w:val="28"/>
        </w:rPr>
        <w:t>.</w:t>
      </w:r>
      <w:r w:rsidRPr="00412205">
        <w:rPr>
          <w:b/>
          <w:sz w:val="28"/>
          <w:szCs w:val="28"/>
        </w:rPr>
        <w:tab/>
        <w:t>Процесс и график</w:t>
      </w:r>
    </w:p>
    <w:p w14:paraId="5F3FC969" w14:textId="77777777" w:rsidR="00186A58" w:rsidRPr="00412205" w:rsidRDefault="00186A58" w:rsidP="00186A58">
      <w:pPr>
        <w:spacing w:after="120"/>
        <w:ind w:left="1247"/>
      </w:pPr>
      <w:r w:rsidRPr="00412205">
        <w:t>41.</w:t>
      </w:r>
      <w:r w:rsidRPr="00412205">
        <w:tab/>
      </w:r>
      <w:r>
        <w:t>П</w:t>
      </w:r>
      <w:r w:rsidRPr="00412205">
        <w:t>редлагаемые</w:t>
      </w:r>
      <w:r>
        <w:t xml:space="preserve"> пересмотренные процесс и график </w:t>
      </w:r>
      <w:r w:rsidRPr="00412205">
        <w:t>подготовки доклада об оценке, включая мероприятия, основные этапы и институциональные механизмы</w:t>
      </w:r>
      <w:r>
        <w:t xml:space="preserve">, с учетом уроков, извлеченных из завершенных и проводимых оценок, приводятся в документе </w:t>
      </w:r>
      <w:proofErr w:type="spellStart"/>
      <w:r>
        <w:rPr>
          <w:lang w:val="en-US"/>
        </w:rPr>
        <w:t>IPBES</w:t>
      </w:r>
      <w:proofErr w:type="spellEnd"/>
      <w:r w:rsidRPr="00C412DB">
        <w:t>/6/8</w:t>
      </w:r>
      <w:r>
        <w:t xml:space="preserve"> о предстоящих оценках</w:t>
      </w:r>
      <w:r w:rsidRPr="00412205">
        <w:t>.</w:t>
      </w:r>
    </w:p>
    <w:p w14:paraId="2D1EAD44" w14:textId="77777777" w:rsidR="00186A58" w:rsidRPr="00412205" w:rsidRDefault="00186A58" w:rsidP="00186A58">
      <w:pPr>
        <w:tabs>
          <w:tab w:val="right" w:pos="851"/>
        </w:tabs>
        <w:spacing w:before="240" w:after="120"/>
        <w:ind w:left="1247" w:right="284" w:hanging="1247"/>
        <w:rPr>
          <w:b/>
          <w:sz w:val="28"/>
          <w:szCs w:val="28"/>
        </w:rPr>
      </w:pPr>
      <w:r w:rsidRPr="00412205">
        <w:rPr>
          <w:b/>
          <w:sz w:val="28"/>
          <w:szCs w:val="28"/>
        </w:rPr>
        <w:tab/>
      </w:r>
      <w:proofErr w:type="spellStart"/>
      <w:r w:rsidRPr="00412205">
        <w:rPr>
          <w:b/>
          <w:sz w:val="28"/>
          <w:szCs w:val="28"/>
        </w:rPr>
        <w:t>VII</w:t>
      </w:r>
      <w:proofErr w:type="spellEnd"/>
      <w:r w:rsidRPr="00412205">
        <w:rPr>
          <w:b/>
          <w:sz w:val="28"/>
          <w:szCs w:val="28"/>
        </w:rPr>
        <w:t>.</w:t>
      </w:r>
      <w:r w:rsidRPr="00412205">
        <w:rPr>
          <w:b/>
          <w:sz w:val="28"/>
          <w:szCs w:val="28"/>
        </w:rPr>
        <w:tab/>
        <w:t>Смета расходов</w:t>
      </w:r>
    </w:p>
    <w:p w14:paraId="515E27DB" w14:textId="3F402011" w:rsidR="00186A58" w:rsidRPr="00186A58" w:rsidRDefault="00186A58" w:rsidP="00186A58">
      <w:pPr>
        <w:ind w:left="1247"/>
        <w:rPr>
          <w:b/>
          <w:sz w:val="28"/>
          <w:szCs w:val="28"/>
        </w:rPr>
      </w:pPr>
      <w:r w:rsidRPr="00412205">
        <w:t>42.</w:t>
      </w:r>
      <w:r w:rsidRPr="00412205">
        <w:tab/>
      </w:r>
      <w:r>
        <w:t xml:space="preserve">Пересмотренная смета расходов для этой оценки приводится в </w:t>
      </w:r>
      <w:r w:rsidRPr="00C412DB">
        <w:t xml:space="preserve">документе </w:t>
      </w:r>
      <w:proofErr w:type="spellStart"/>
      <w:r w:rsidRPr="00C412DB">
        <w:rPr>
          <w:lang w:val="en-US"/>
        </w:rPr>
        <w:t>IPBES</w:t>
      </w:r>
      <w:proofErr w:type="spellEnd"/>
      <w:r w:rsidRPr="00C412DB">
        <w:t>/6/8</w:t>
      </w:r>
      <w:r>
        <w:t xml:space="preserve"> и принята к сведению в документе </w:t>
      </w:r>
      <w:proofErr w:type="spellStart"/>
      <w:r w:rsidRPr="00C412DB">
        <w:rPr>
          <w:lang w:val="en-US"/>
        </w:rPr>
        <w:t>IPBES</w:t>
      </w:r>
      <w:proofErr w:type="spellEnd"/>
      <w:r w:rsidRPr="00C412DB">
        <w:t>/6/</w:t>
      </w:r>
      <w:r>
        <w:t>9 о финансовой и бюджетной основе Платформы</w:t>
      </w:r>
      <w:r w:rsidRPr="00186A58">
        <w:t>.</w:t>
      </w:r>
    </w:p>
    <w:p w14:paraId="607402EB" w14:textId="5A44216A" w:rsidR="006F0422" w:rsidRPr="00EC3B3F" w:rsidRDefault="00EC3B3F" w:rsidP="009F3AF0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40"/>
        <w:jc w:val="center"/>
        <w:rPr>
          <w:lang w:val="en-GB"/>
        </w:rPr>
      </w:pPr>
      <w:r>
        <w:rPr>
          <w:lang w:val="en-GB"/>
        </w:rPr>
        <w:t>____________________</w:t>
      </w:r>
      <w:bookmarkStart w:id="8" w:name="_GoBack"/>
      <w:bookmarkEnd w:id="8"/>
    </w:p>
    <w:sectPr w:rsidR="006F0422" w:rsidRPr="00EC3B3F" w:rsidSect="00260B8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98515" w14:textId="77777777" w:rsidR="009E6DB7" w:rsidRDefault="009E6DB7">
      <w:r>
        <w:separator/>
      </w:r>
    </w:p>
  </w:endnote>
  <w:endnote w:type="continuationSeparator" w:id="0">
    <w:p w14:paraId="6ACF20B1" w14:textId="77777777" w:rsidR="009E6DB7" w:rsidRDefault="009E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Athelas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7BDE" w14:textId="078FBAF4" w:rsidR="009E6DB7" w:rsidRDefault="009E6DB7" w:rsidP="006A0BFB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079F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455D" w14:textId="1C34BCD8" w:rsidR="009E6DB7" w:rsidRDefault="009E6DB7" w:rsidP="006A0BFB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079F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3DA5" w14:textId="40EEC3B5" w:rsidR="00900894" w:rsidRPr="006A0BFB" w:rsidRDefault="006A0BFB" w:rsidP="006A0BFB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proofErr w:type="spellStart"/>
    <w:r>
      <w:rPr>
        <w:sz w:val="20"/>
        <w:lang w:val="en-GB"/>
      </w:rPr>
      <w:t>K</w:t>
    </w:r>
    <w:r w:rsidR="00705752">
      <w:rPr>
        <w:sz w:val="20"/>
        <w:lang w:val="en-GB"/>
      </w:rPr>
      <w:t>1800079</w:t>
    </w:r>
    <w:proofErr w:type="spellEnd"/>
    <w:r w:rsidR="00705752">
      <w:rPr>
        <w:sz w:val="20"/>
        <w:lang w:val="en-GB"/>
      </w:rPr>
      <w:t xml:space="preserve">      050218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D88E6" w14:textId="77777777" w:rsidR="009E6DB7" w:rsidRDefault="009E6DB7" w:rsidP="009669B1">
      <w:pPr>
        <w:ind w:left="624"/>
      </w:pPr>
      <w:r>
        <w:separator/>
      </w:r>
    </w:p>
  </w:footnote>
  <w:footnote w:type="continuationSeparator" w:id="0">
    <w:p w14:paraId="0F018FE8" w14:textId="77777777" w:rsidR="009E6DB7" w:rsidRDefault="009E6DB7">
      <w:r>
        <w:continuationSeparator/>
      </w:r>
    </w:p>
    <w:p w14:paraId="49FA6AC2" w14:textId="77777777" w:rsidR="009E6DB7" w:rsidRDefault="009E6DB7"/>
  </w:footnote>
  <w:footnote w:type="continuationNotice" w:id="1">
    <w:p w14:paraId="3D019932" w14:textId="77777777" w:rsidR="009E6DB7" w:rsidRDefault="009E6DB7"/>
  </w:footnote>
  <w:footnote w:id="2">
    <w:p w14:paraId="7AD592E3" w14:textId="77777777" w:rsidR="009E6DB7" w:rsidRDefault="009E6DB7" w:rsidP="009669B1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>
        <w:rPr>
          <w:rStyle w:val="FootnoteReference"/>
          <w:szCs w:val="18"/>
          <w:vertAlign w:val="baseline"/>
        </w:rPr>
        <w:t>*</w:t>
      </w:r>
      <w:r>
        <w:rPr>
          <w:szCs w:val="18"/>
        </w:rPr>
        <w:t xml:space="preserve"> </w:t>
      </w:r>
      <w:r>
        <w:rPr>
          <w:szCs w:val="18"/>
        </w:rPr>
        <w:tab/>
      </w:r>
      <w:proofErr w:type="spellStart"/>
      <w:r>
        <w:rPr>
          <w:szCs w:val="18"/>
        </w:rPr>
        <w:t>IPBES</w:t>
      </w:r>
      <w:proofErr w:type="spellEnd"/>
      <w:r>
        <w:rPr>
          <w:szCs w:val="18"/>
        </w:rPr>
        <w:t>/6/1.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16AF" w14:textId="340FCFE0" w:rsidR="009E6DB7" w:rsidRPr="00DB7CDD" w:rsidRDefault="009E6DB7" w:rsidP="00FC317A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GB"/>
      </w:rPr>
    </w:pPr>
    <w:proofErr w:type="spellStart"/>
    <w:r>
      <w:t>IPBES</w:t>
    </w:r>
    <w:proofErr w:type="spellEnd"/>
    <w:r>
      <w:t>/6/</w:t>
    </w:r>
    <w:r w:rsidR="00DB7CDD">
      <w:rPr>
        <w:lang w:val="en-GB"/>
      </w:rPr>
      <w:t>INF/8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927F" w14:textId="1308CCB5" w:rsidR="009E6DB7" w:rsidRPr="002E10DF" w:rsidRDefault="009E6DB7" w:rsidP="00955E2B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GB"/>
      </w:rPr>
    </w:pPr>
    <w:proofErr w:type="spellStart"/>
    <w:r>
      <w:t>IPBES</w:t>
    </w:r>
    <w:proofErr w:type="spellEnd"/>
    <w:r>
      <w:t>/6/</w:t>
    </w:r>
    <w:r w:rsidR="002E10DF">
      <w:rPr>
        <w:lang w:val="en-GB"/>
      </w:rPr>
      <w:t>INF/8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2A58" w14:textId="1F5D737D" w:rsidR="009E6DB7" w:rsidRPr="00900894" w:rsidRDefault="009E6DB7" w:rsidP="00900894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3A7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cs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cs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cs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cs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cs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cs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cs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cs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cs"/>
      </w:r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</w:abstractNum>
  <w:abstractNum w:abstractNumId="2" w15:restartNumberingAfterBreak="0">
    <w:nsid w:val="30D92B84"/>
    <w:multiLevelType w:val="multilevel"/>
    <w:tmpl w:val="48241D10"/>
    <w:numStyleLink w:val="Normallist"/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</w:rPr>
    </w:lvl>
  </w:abstractNum>
  <w:abstractNum w:abstractNumId="4" w15:restartNumberingAfterBreak="0">
    <w:nsid w:val="36E47EE8"/>
    <w:multiLevelType w:val="hybridMultilevel"/>
    <w:tmpl w:val="16729768"/>
    <w:lvl w:ilvl="0" w:tplc="3D8449E6">
      <w:start w:val="1"/>
      <w:numFmt w:val="upperLetter"/>
      <w:lvlText w:val="%1."/>
      <w:lvlJc w:val="left"/>
      <w:pPr>
        <w:ind w:left="1976" w:hanging="360"/>
      </w:pPr>
      <w:rPr>
        <w:rFonts w:cs="Times New Roman" w:hint="cs"/>
      </w:rPr>
    </w:lvl>
    <w:lvl w:ilvl="1" w:tplc="4B101E04">
      <w:start w:val="1"/>
      <w:numFmt w:val="upperLetter"/>
      <w:pStyle w:val="Heading2"/>
      <w:lvlText w:val="%2."/>
      <w:lvlJc w:val="left"/>
      <w:pPr>
        <w:ind w:left="2696" w:hanging="360"/>
      </w:pPr>
      <w:rPr>
        <w:rFonts w:cs="Times New Roman" w:hint="cs"/>
      </w:rPr>
    </w:lvl>
    <w:lvl w:ilvl="2" w:tplc="D986A47C">
      <w:start w:val="1"/>
      <w:numFmt w:val="lowerRoman"/>
      <w:lvlText w:val="%3."/>
      <w:lvlJc w:val="right"/>
      <w:pPr>
        <w:ind w:left="3416" w:hanging="180"/>
      </w:pPr>
      <w:rPr>
        <w:rFonts w:cs="Times New Roman" w:hint="cs"/>
      </w:rPr>
    </w:lvl>
    <w:lvl w:ilvl="3" w:tplc="C096B6C4">
      <w:start w:val="1"/>
      <w:numFmt w:val="decimal"/>
      <w:lvlText w:val="%4."/>
      <w:lvlJc w:val="left"/>
      <w:pPr>
        <w:ind w:left="4136" w:hanging="360"/>
      </w:pPr>
      <w:rPr>
        <w:rFonts w:cs="Times New Roman" w:hint="cs"/>
      </w:rPr>
    </w:lvl>
    <w:lvl w:ilvl="4" w:tplc="0D1E73F2">
      <w:start w:val="1"/>
      <w:numFmt w:val="lowerLetter"/>
      <w:lvlText w:val="%5."/>
      <w:lvlJc w:val="left"/>
      <w:pPr>
        <w:ind w:left="4856" w:hanging="360"/>
      </w:pPr>
      <w:rPr>
        <w:rFonts w:cs="Times New Roman" w:hint="cs"/>
      </w:rPr>
    </w:lvl>
    <w:lvl w:ilvl="5" w:tplc="88E4F9E8">
      <w:start w:val="1"/>
      <w:numFmt w:val="lowerRoman"/>
      <w:lvlText w:val="%6."/>
      <w:lvlJc w:val="right"/>
      <w:pPr>
        <w:ind w:left="5576" w:hanging="180"/>
      </w:pPr>
      <w:rPr>
        <w:rFonts w:cs="Times New Roman" w:hint="cs"/>
      </w:rPr>
    </w:lvl>
    <w:lvl w:ilvl="6" w:tplc="EA707068">
      <w:start w:val="1"/>
      <w:numFmt w:val="decimal"/>
      <w:lvlText w:val="%7."/>
      <w:lvlJc w:val="left"/>
      <w:pPr>
        <w:ind w:left="6296" w:hanging="360"/>
      </w:pPr>
      <w:rPr>
        <w:rFonts w:cs="Times New Roman" w:hint="cs"/>
      </w:rPr>
    </w:lvl>
    <w:lvl w:ilvl="7" w:tplc="C4C2D6FE">
      <w:start w:val="1"/>
      <w:numFmt w:val="lowerLetter"/>
      <w:lvlText w:val="%8."/>
      <w:lvlJc w:val="left"/>
      <w:pPr>
        <w:ind w:left="7016" w:hanging="360"/>
      </w:pPr>
      <w:rPr>
        <w:rFonts w:cs="Times New Roman" w:hint="cs"/>
      </w:rPr>
    </w:lvl>
    <w:lvl w:ilvl="8" w:tplc="7708DAD6">
      <w:start w:val="1"/>
      <w:numFmt w:val="lowerRoman"/>
      <w:lvlText w:val="%9."/>
      <w:lvlJc w:val="right"/>
      <w:pPr>
        <w:ind w:left="7736" w:hanging="180"/>
      </w:pPr>
      <w:rPr>
        <w:rFonts w:cs="Times New Roman" w:hint="cs"/>
      </w:rPr>
    </w:lvl>
  </w:abstractNum>
  <w:abstractNum w:abstractNumId="5" w15:restartNumberingAfterBreak="0">
    <w:nsid w:val="407A4D00"/>
    <w:multiLevelType w:val="hybridMultilevel"/>
    <w:tmpl w:val="1AD84E48"/>
    <w:lvl w:ilvl="0" w:tplc="D67835B6">
      <w:start w:val="1"/>
      <w:numFmt w:val="upperRoman"/>
      <w:pStyle w:val="AnnexHeading1"/>
      <w:lvlText w:val="%1."/>
      <w:lvlJc w:val="right"/>
      <w:pPr>
        <w:ind w:left="1429" w:hanging="360"/>
      </w:pPr>
      <w:rPr>
        <w:rFonts w:cs="Times New Roman" w:hint="cs"/>
      </w:rPr>
    </w:lvl>
    <w:lvl w:ilvl="1" w:tplc="D8DC18CA">
      <w:start w:val="1"/>
      <w:numFmt w:val="lowerLetter"/>
      <w:lvlText w:val="%2."/>
      <w:lvlJc w:val="left"/>
      <w:pPr>
        <w:ind w:left="2149" w:hanging="360"/>
      </w:pPr>
      <w:rPr>
        <w:rFonts w:cs="Times New Roman" w:hint="cs"/>
      </w:rPr>
    </w:lvl>
    <w:lvl w:ilvl="2" w:tplc="56C065E0">
      <w:start w:val="1"/>
      <w:numFmt w:val="lowerRoman"/>
      <w:lvlText w:val="%3."/>
      <w:lvlJc w:val="right"/>
      <w:pPr>
        <w:ind w:left="2869" w:hanging="180"/>
      </w:pPr>
      <w:rPr>
        <w:rFonts w:cs="Times New Roman" w:hint="cs"/>
      </w:rPr>
    </w:lvl>
    <w:lvl w:ilvl="3" w:tplc="C3A058D4">
      <w:start w:val="1"/>
      <w:numFmt w:val="decimal"/>
      <w:lvlText w:val="%4."/>
      <w:lvlJc w:val="left"/>
      <w:pPr>
        <w:ind w:left="3589" w:hanging="360"/>
      </w:pPr>
      <w:rPr>
        <w:rFonts w:cs="Times New Roman" w:hint="cs"/>
      </w:rPr>
    </w:lvl>
    <w:lvl w:ilvl="4" w:tplc="272629A2">
      <w:start w:val="1"/>
      <w:numFmt w:val="lowerLetter"/>
      <w:lvlText w:val="%5."/>
      <w:lvlJc w:val="left"/>
      <w:pPr>
        <w:ind w:left="4309" w:hanging="360"/>
      </w:pPr>
      <w:rPr>
        <w:rFonts w:cs="Times New Roman" w:hint="cs"/>
      </w:rPr>
    </w:lvl>
    <w:lvl w:ilvl="5" w:tplc="AC9210DE">
      <w:start w:val="1"/>
      <w:numFmt w:val="lowerRoman"/>
      <w:lvlText w:val="%6."/>
      <w:lvlJc w:val="right"/>
      <w:pPr>
        <w:ind w:left="5029" w:hanging="180"/>
      </w:pPr>
      <w:rPr>
        <w:rFonts w:cs="Times New Roman" w:hint="cs"/>
      </w:rPr>
    </w:lvl>
    <w:lvl w:ilvl="6" w:tplc="7532628E">
      <w:start w:val="1"/>
      <w:numFmt w:val="decimal"/>
      <w:lvlText w:val="%7."/>
      <w:lvlJc w:val="left"/>
      <w:pPr>
        <w:ind w:left="5749" w:hanging="360"/>
      </w:pPr>
      <w:rPr>
        <w:rFonts w:cs="Times New Roman" w:hint="cs"/>
      </w:rPr>
    </w:lvl>
    <w:lvl w:ilvl="7" w:tplc="521A2524">
      <w:start w:val="1"/>
      <w:numFmt w:val="lowerLetter"/>
      <w:lvlText w:val="%8."/>
      <w:lvlJc w:val="left"/>
      <w:pPr>
        <w:ind w:left="6469" w:hanging="360"/>
      </w:pPr>
      <w:rPr>
        <w:rFonts w:cs="Times New Roman" w:hint="cs"/>
      </w:rPr>
    </w:lvl>
    <w:lvl w:ilvl="8" w:tplc="18DC141C">
      <w:start w:val="1"/>
      <w:numFmt w:val="lowerRoman"/>
      <w:lvlText w:val="%9."/>
      <w:lvlJc w:val="right"/>
      <w:pPr>
        <w:ind w:left="7189" w:hanging="180"/>
      </w:pPr>
      <w:rPr>
        <w:rFonts w:cs="Times New Roman" w:hint="cs"/>
      </w:rPr>
    </w:lvl>
  </w:abstractNum>
  <w:abstractNum w:abstractNumId="6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/>
      </w:pPr>
      <w:rPr>
        <w:rFonts w:cs="Times New Roman" w:hint="cs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cs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cs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cs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cs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cs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cs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cs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cs"/>
      </w:rPr>
    </w:lvl>
  </w:abstractNum>
  <w:abstractNum w:abstractNumId="7" w15:restartNumberingAfterBreak="0">
    <w:nsid w:val="558B7316"/>
    <w:multiLevelType w:val="hybridMultilevel"/>
    <w:tmpl w:val="0B646E8C"/>
    <w:lvl w:ilvl="0" w:tplc="A762E55E">
      <w:start w:val="1"/>
      <w:numFmt w:val="upperRoman"/>
      <w:pStyle w:val="Heading1"/>
      <w:lvlText w:val="%1."/>
      <w:lvlJc w:val="right"/>
      <w:pPr>
        <w:ind w:left="1344" w:hanging="360"/>
      </w:pPr>
      <w:rPr>
        <w:rFonts w:cs="Times New Roman" w:hint="cs"/>
      </w:rPr>
    </w:lvl>
    <w:lvl w:ilvl="1" w:tplc="F788CF3A">
      <w:start w:val="1"/>
      <w:numFmt w:val="upperLetter"/>
      <w:lvlText w:val="%2."/>
      <w:lvlJc w:val="left"/>
      <w:pPr>
        <w:ind w:left="2334" w:hanging="630"/>
      </w:pPr>
      <w:rPr>
        <w:rFonts w:cs="Times New Roman" w:hint="cs"/>
      </w:rPr>
    </w:lvl>
    <w:lvl w:ilvl="2" w:tplc="69184442">
      <w:start w:val="1"/>
      <w:numFmt w:val="lowerRoman"/>
      <w:lvlText w:val="%3."/>
      <w:lvlJc w:val="right"/>
      <w:pPr>
        <w:ind w:left="2784" w:hanging="180"/>
      </w:pPr>
      <w:rPr>
        <w:rFonts w:cs="Times New Roman" w:hint="cs"/>
      </w:rPr>
    </w:lvl>
    <w:lvl w:ilvl="3" w:tplc="E4FC371C">
      <w:start w:val="1"/>
      <w:numFmt w:val="decimal"/>
      <w:lvlText w:val="%4."/>
      <w:lvlJc w:val="left"/>
      <w:pPr>
        <w:ind w:left="3504" w:hanging="360"/>
      </w:pPr>
      <w:rPr>
        <w:rFonts w:cs="Times New Roman" w:hint="cs"/>
      </w:rPr>
    </w:lvl>
    <w:lvl w:ilvl="4" w:tplc="A62EA408">
      <w:start w:val="1"/>
      <w:numFmt w:val="lowerLetter"/>
      <w:lvlText w:val="%5."/>
      <w:lvlJc w:val="left"/>
      <w:pPr>
        <w:ind w:left="4224" w:hanging="360"/>
      </w:pPr>
      <w:rPr>
        <w:rFonts w:cs="Times New Roman" w:hint="cs"/>
      </w:rPr>
    </w:lvl>
    <w:lvl w:ilvl="5" w:tplc="3EBC1F3C">
      <w:start w:val="1"/>
      <w:numFmt w:val="lowerRoman"/>
      <w:lvlText w:val="%6."/>
      <w:lvlJc w:val="right"/>
      <w:pPr>
        <w:ind w:left="4944" w:hanging="180"/>
      </w:pPr>
      <w:rPr>
        <w:rFonts w:cs="Times New Roman" w:hint="cs"/>
      </w:rPr>
    </w:lvl>
    <w:lvl w:ilvl="6" w:tplc="9044E920">
      <w:start w:val="1"/>
      <w:numFmt w:val="decimal"/>
      <w:lvlText w:val="%7."/>
      <w:lvlJc w:val="left"/>
      <w:pPr>
        <w:ind w:left="5664" w:hanging="360"/>
      </w:pPr>
      <w:rPr>
        <w:rFonts w:cs="Times New Roman" w:hint="cs"/>
      </w:rPr>
    </w:lvl>
    <w:lvl w:ilvl="7" w:tplc="2726499C">
      <w:start w:val="1"/>
      <w:numFmt w:val="lowerLetter"/>
      <w:lvlText w:val="%8."/>
      <w:lvlJc w:val="left"/>
      <w:pPr>
        <w:ind w:left="6384" w:hanging="360"/>
      </w:pPr>
      <w:rPr>
        <w:rFonts w:cs="Times New Roman" w:hint="cs"/>
      </w:rPr>
    </w:lvl>
    <w:lvl w:ilvl="8" w:tplc="53205E4E">
      <w:start w:val="1"/>
      <w:numFmt w:val="lowerRoman"/>
      <w:lvlText w:val="%9."/>
      <w:lvlJc w:val="right"/>
      <w:pPr>
        <w:ind w:left="7104" w:hanging="180"/>
      </w:pPr>
      <w:rPr>
        <w:rFonts w:cs="Times New Roman" w:hint="cs"/>
      </w:rPr>
    </w:lvl>
  </w:abstractNum>
  <w:abstractNum w:abstractNumId="8" w15:restartNumberingAfterBreak="0">
    <w:nsid w:val="73B00142"/>
    <w:multiLevelType w:val="hybridMultilevel"/>
    <w:tmpl w:val="B4D6E8A4"/>
    <w:lvl w:ilvl="0" w:tplc="34F4BF0A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 w:hint="cs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6338BBBE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</w:rPr>
    </w:lvl>
    <w:lvl w:ilvl="2" w:tplc="094CEB3C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</w:rPr>
    </w:lvl>
    <w:lvl w:ilvl="3" w:tplc="F2F691A0">
      <w:start w:val="1"/>
      <w:numFmt w:val="decimal"/>
      <w:lvlText w:val="%4."/>
      <w:lvlJc w:val="left"/>
      <w:pPr>
        <w:ind w:left="2880" w:hanging="360"/>
      </w:pPr>
      <w:rPr>
        <w:rFonts w:cs="Times New Roman" w:hint="cs"/>
      </w:rPr>
    </w:lvl>
    <w:lvl w:ilvl="4" w:tplc="423A0C96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</w:rPr>
    </w:lvl>
    <w:lvl w:ilvl="5" w:tplc="308E19A4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</w:rPr>
    </w:lvl>
    <w:lvl w:ilvl="6" w:tplc="E7B25A90">
      <w:start w:val="1"/>
      <w:numFmt w:val="decimal"/>
      <w:lvlText w:val="%7."/>
      <w:lvlJc w:val="left"/>
      <w:pPr>
        <w:ind w:left="5040" w:hanging="360"/>
      </w:pPr>
      <w:rPr>
        <w:rFonts w:cs="Times New Roman" w:hint="cs"/>
      </w:rPr>
    </w:lvl>
    <w:lvl w:ilvl="7" w:tplc="AE0A4A70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</w:rPr>
    </w:lvl>
    <w:lvl w:ilvl="8" w:tplc="041863AE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cs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cs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cs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cs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cs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cs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cs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cs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cs"/>
        </w:rPr>
      </w:lvl>
    </w:lvlOverride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1B"/>
    <w:rsid w:val="00000289"/>
    <w:rsid w:val="00002192"/>
    <w:rsid w:val="000022EE"/>
    <w:rsid w:val="00003059"/>
    <w:rsid w:val="00011D0D"/>
    <w:rsid w:val="000149E6"/>
    <w:rsid w:val="00023E32"/>
    <w:rsid w:val="000247B0"/>
    <w:rsid w:val="00024BA9"/>
    <w:rsid w:val="0002608C"/>
    <w:rsid w:val="00026997"/>
    <w:rsid w:val="000270F7"/>
    <w:rsid w:val="00032DB5"/>
    <w:rsid w:val="00033E0B"/>
    <w:rsid w:val="00035EDE"/>
    <w:rsid w:val="00041E36"/>
    <w:rsid w:val="00043A55"/>
    <w:rsid w:val="000440BA"/>
    <w:rsid w:val="00045080"/>
    <w:rsid w:val="000458EE"/>
    <w:rsid w:val="0004779A"/>
    <w:rsid w:val="000509B4"/>
    <w:rsid w:val="00051A17"/>
    <w:rsid w:val="00055BA7"/>
    <w:rsid w:val="00062885"/>
    <w:rsid w:val="00064C34"/>
    <w:rsid w:val="00070F3B"/>
    <w:rsid w:val="00071886"/>
    <w:rsid w:val="00072509"/>
    <w:rsid w:val="000742BC"/>
    <w:rsid w:val="00081E43"/>
    <w:rsid w:val="00082A0C"/>
    <w:rsid w:val="000917E8"/>
    <w:rsid w:val="00094221"/>
    <w:rsid w:val="000958F5"/>
    <w:rsid w:val="0009640C"/>
    <w:rsid w:val="00097531"/>
    <w:rsid w:val="000A2414"/>
    <w:rsid w:val="000A3290"/>
    <w:rsid w:val="000A4790"/>
    <w:rsid w:val="000A5BF2"/>
    <w:rsid w:val="000B1C30"/>
    <w:rsid w:val="000B59B2"/>
    <w:rsid w:val="000C1055"/>
    <w:rsid w:val="000C2626"/>
    <w:rsid w:val="000C665C"/>
    <w:rsid w:val="000D33C0"/>
    <w:rsid w:val="000D523B"/>
    <w:rsid w:val="000D796E"/>
    <w:rsid w:val="000E067F"/>
    <w:rsid w:val="000E13EF"/>
    <w:rsid w:val="000E53DF"/>
    <w:rsid w:val="000E6007"/>
    <w:rsid w:val="000F2897"/>
    <w:rsid w:val="000F3B6C"/>
    <w:rsid w:val="001001EB"/>
    <w:rsid w:val="00100602"/>
    <w:rsid w:val="00102111"/>
    <w:rsid w:val="001042CB"/>
    <w:rsid w:val="00105304"/>
    <w:rsid w:val="0010723B"/>
    <w:rsid w:val="00115758"/>
    <w:rsid w:val="001159BB"/>
    <w:rsid w:val="001202E3"/>
    <w:rsid w:val="00120D5B"/>
    <w:rsid w:val="00121708"/>
    <w:rsid w:val="00121A57"/>
    <w:rsid w:val="0012562E"/>
    <w:rsid w:val="00125695"/>
    <w:rsid w:val="0013059D"/>
    <w:rsid w:val="0013398F"/>
    <w:rsid w:val="0013648B"/>
    <w:rsid w:val="00137580"/>
    <w:rsid w:val="00141A55"/>
    <w:rsid w:val="0015069E"/>
    <w:rsid w:val="00151424"/>
    <w:rsid w:val="001554A3"/>
    <w:rsid w:val="00156281"/>
    <w:rsid w:val="0016362C"/>
    <w:rsid w:val="0016591F"/>
    <w:rsid w:val="00166FFD"/>
    <w:rsid w:val="001673CF"/>
    <w:rsid w:val="0016791D"/>
    <w:rsid w:val="00170D4D"/>
    <w:rsid w:val="001811FA"/>
    <w:rsid w:val="00181BC9"/>
    <w:rsid w:val="00181EC8"/>
    <w:rsid w:val="00182AEE"/>
    <w:rsid w:val="00183EEE"/>
    <w:rsid w:val="00184349"/>
    <w:rsid w:val="0018693C"/>
    <w:rsid w:val="00186A58"/>
    <w:rsid w:val="00187A5D"/>
    <w:rsid w:val="0019268D"/>
    <w:rsid w:val="001A64B7"/>
    <w:rsid w:val="001B04AE"/>
    <w:rsid w:val="001B08F0"/>
    <w:rsid w:val="001B1617"/>
    <w:rsid w:val="001B3588"/>
    <w:rsid w:val="001B40EE"/>
    <w:rsid w:val="001B4A39"/>
    <w:rsid w:val="001C0F6C"/>
    <w:rsid w:val="001C74C3"/>
    <w:rsid w:val="001D3874"/>
    <w:rsid w:val="001D3C41"/>
    <w:rsid w:val="001D4810"/>
    <w:rsid w:val="001D7905"/>
    <w:rsid w:val="001D7E75"/>
    <w:rsid w:val="001E26C3"/>
    <w:rsid w:val="001E28D0"/>
    <w:rsid w:val="001E2D65"/>
    <w:rsid w:val="001E56D2"/>
    <w:rsid w:val="001E7D56"/>
    <w:rsid w:val="001F034F"/>
    <w:rsid w:val="001F7513"/>
    <w:rsid w:val="001F75DE"/>
    <w:rsid w:val="001F765B"/>
    <w:rsid w:val="00200D58"/>
    <w:rsid w:val="00201017"/>
    <w:rsid w:val="002013BE"/>
    <w:rsid w:val="002039D3"/>
    <w:rsid w:val="002041A0"/>
    <w:rsid w:val="002063A4"/>
    <w:rsid w:val="00206EF4"/>
    <w:rsid w:val="0021145B"/>
    <w:rsid w:val="00215826"/>
    <w:rsid w:val="00221AE7"/>
    <w:rsid w:val="002231FA"/>
    <w:rsid w:val="002261D9"/>
    <w:rsid w:val="00226C92"/>
    <w:rsid w:val="00231749"/>
    <w:rsid w:val="00231D89"/>
    <w:rsid w:val="00234B58"/>
    <w:rsid w:val="002463AF"/>
    <w:rsid w:val="002464B8"/>
    <w:rsid w:val="00247707"/>
    <w:rsid w:val="00250609"/>
    <w:rsid w:val="00250F52"/>
    <w:rsid w:val="00253901"/>
    <w:rsid w:val="00254264"/>
    <w:rsid w:val="002545F6"/>
    <w:rsid w:val="00260B85"/>
    <w:rsid w:val="002620CD"/>
    <w:rsid w:val="002726CF"/>
    <w:rsid w:val="002732DC"/>
    <w:rsid w:val="0027353E"/>
    <w:rsid w:val="002738DA"/>
    <w:rsid w:val="002757F7"/>
    <w:rsid w:val="002773E9"/>
    <w:rsid w:val="00286193"/>
    <w:rsid w:val="00286740"/>
    <w:rsid w:val="00287E60"/>
    <w:rsid w:val="00291B5D"/>
    <w:rsid w:val="002929D8"/>
    <w:rsid w:val="002A0E0D"/>
    <w:rsid w:val="002A1365"/>
    <w:rsid w:val="002A237D"/>
    <w:rsid w:val="002A4C53"/>
    <w:rsid w:val="002A564F"/>
    <w:rsid w:val="002A6A11"/>
    <w:rsid w:val="002B035E"/>
    <w:rsid w:val="002B0737"/>
    <w:rsid w:val="002B1E6D"/>
    <w:rsid w:val="002B56EA"/>
    <w:rsid w:val="002C145D"/>
    <w:rsid w:val="002C1FCE"/>
    <w:rsid w:val="002C2C3E"/>
    <w:rsid w:val="002C3453"/>
    <w:rsid w:val="002C533E"/>
    <w:rsid w:val="002C7132"/>
    <w:rsid w:val="002C71EB"/>
    <w:rsid w:val="002C7B02"/>
    <w:rsid w:val="002D027F"/>
    <w:rsid w:val="002D12A2"/>
    <w:rsid w:val="002D146C"/>
    <w:rsid w:val="002D19B0"/>
    <w:rsid w:val="002D1F98"/>
    <w:rsid w:val="002D3489"/>
    <w:rsid w:val="002D3D4C"/>
    <w:rsid w:val="002D7B60"/>
    <w:rsid w:val="002E0A87"/>
    <w:rsid w:val="002E0D90"/>
    <w:rsid w:val="002E10DF"/>
    <w:rsid w:val="002E1FAF"/>
    <w:rsid w:val="002E3EA7"/>
    <w:rsid w:val="002E5876"/>
    <w:rsid w:val="002F1211"/>
    <w:rsid w:val="002F1F0E"/>
    <w:rsid w:val="002F312A"/>
    <w:rsid w:val="002F4761"/>
    <w:rsid w:val="002F5B0F"/>
    <w:rsid w:val="002F6E0C"/>
    <w:rsid w:val="003029A1"/>
    <w:rsid w:val="00304CAC"/>
    <w:rsid w:val="003056C1"/>
    <w:rsid w:val="00306B12"/>
    <w:rsid w:val="00311C3C"/>
    <w:rsid w:val="003124FF"/>
    <w:rsid w:val="0031413F"/>
    <w:rsid w:val="00316942"/>
    <w:rsid w:val="00320BDB"/>
    <w:rsid w:val="00320C16"/>
    <w:rsid w:val="003212A9"/>
    <w:rsid w:val="0032629D"/>
    <w:rsid w:val="003364FF"/>
    <w:rsid w:val="00336901"/>
    <w:rsid w:val="00337F63"/>
    <w:rsid w:val="00341F94"/>
    <w:rsid w:val="00342061"/>
    <w:rsid w:val="003446B5"/>
    <w:rsid w:val="0034548C"/>
    <w:rsid w:val="003503B6"/>
    <w:rsid w:val="00352F00"/>
    <w:rsid w:val="00353F95"/>
    <w:rsid w:val="00355EA9"/>
    <w:rsid w:val="0037382E"/>
    <w:rsid w:val="00377EB9"/>
    <w:rsid w:val="0038494E"/>
    <w:rsid w:val="00385963"/>
    <w:rsid w:val="00387932"/>
    <w:rsid w:val="00392923"/>
    <w:rsid w:val="003939D6"/>
    <w:rsid w:val="00394E92"/>
    <w:rsid w:val="00396257"/>
    <w:rsid w:val="00397909"/>
    <w:rsid w:val="00397EB8"/>
    <w:rsid w:val="003A14D2"/>
    <w:rsid w:val="003A4FD0"/>
    <w:rsid w:val="003A69D1"/>
    <w:rsid w:val="003A6EF9"/>
    <w:rsid w:val="003B0C0D"/>
    <w:rsid w:val="003B1545"/>
    <w:rsid w:val="003B32FC"/>
    <w:rsid w:val="003B41D2"/>
    <w:rsid w:val="003B72EF"/>
    <w:rsid w:val="003B7A70"/>
    <w:rsid w:val="003C1952"/>
    <w:rsid w:val="003C409D"/>
    <w:rsid w:val="003C4EFB"/>
    <w:rsid w:val="003C670D"/>
    <w:rsid w:val="003D2B36"/>
    <w:rsid w:val="003D5E4F"/>
    <w:rsid w:val="003E05E6"/>
    <w:rsid w:val="003E09A0"/>
    <w:rsid w:val="003E395B"/>
    <w:rsid w:val="003E5FEA"/>
    <w:rsid w:val="003E7728"/>
    <w:rsid w:val="003F0E85"/>
    <w:rsid w:val="00400EFD"/>
    <w:rsid w:val="00404648"/>
    <w:rsid w:val="00404965"/>
    <w:rsid w:val="00410C55"/>
    <w:rsid w:val="00410DE0"/>
    <w:rsid w:val="004115B6"/>
    <w:rsid w:val="00415822"/>
    <w:rsid w:val="00417725"/>
    <w:rsid w:val="00421A1D"/>
    <w:rsid w:val="00422B5C"/>
    <w:rsid w:val="0042490F"/>
    <w:rsid w:val="00425C06"/>
    <w:rsid w:val="00437F26"/>
    <w:rsid w:val="004467B3"/>
    <w:rsid w:val="00446EF6"/>
    <w:rsid w:val="00447EF3"/>
    <w:rsid w:val="00450542"/>
    <w:rsid w:val="004510AC"/>
    <w:rsid w:val="00454769"/>
    <w:rsid w:val="00456B79"/>
    <w:rsid w:val="0045793B"/>
    <w:rsid w:val="00460F97"/>
    <w:rsid w:val="00461489"/>
    <w:rsid w:val="00462285"/>
    <w:rsid w:val="0046429E"/>
    <w:rsid w:val="00466991"/>
    <w:rsid w:val="00467FF2"/>
    <w:rsid w:val="0047064C"/>
    <w:rsid w:val="00471DFA"/>
    <w:rsid w:val="00475F50"/>
    <w:rsid w:val="00476C56"/>
    <w:rsid w:val="00477EA8"/>
    <w:rsid w:val="00480742"/>
    <w:rsid w:val="0048258A"/>
    <w:rsid w:val="004827F3"/>
    <w:rsid w:val="00486B9B"/>
    <w:rsid w:val="00491C8E"/>
    <w:rsid w:val="00493E19"/>
    <w:rsid w:val="00494455"/>
    <w:rsid w:val="00494CB6"/>
    <w:rsid w:val="00495289"/>
    <w:rsid w:val="00496EFB"/>
    <w:rsid w:val="0049713A"/>
    <w:rsid w:val="004A0A85"/>
    <w:rsid w:val="004A1438"/>
    <w:rsid w:val="004A36DE"/>
    <w:rsid w:val="004A4744"/>
    <w:rsid w:val="004A587C"/>
    <w:rsid w:val="004B1F4A"/>
    <w:rsid w:val="004B2FAC"/>
    <w:rsid w:val="004B5666"/>
    <w:rsid w:val="004C0035"/>
    <w:rsid w:val="004C172C"/>
    <w:rsid w:val="004C5C96"/>
    <w:rsid w:val="004D06A4"/>
    <w:rsid w:val="004D0BD8"/>
    <w:rsid w:val="004D24D3"/>
    <w:rsid w:val="004D6638"/>
    <w:rsid w:val="004E1BBB"/>
    <w:rsid w:val="004E2C90"/>
    <w:rsid w:val="004E6336"/>
    <w:rsid w:val="004F1A81"/>
    <w:rsid w:val="004F2809"/>
    <w:rsid w:val="004F2D0E"/>
    <w:rsid w:val="00501B9D"/>
    <w:rsid w:val="005037BE"/>
    <w:rsid w:val="0050619E"/>
    <w:rsid w:val="00507F32"/>
    <w:rsid w:val="00512808"/>
    <w:rsid w:val="0051335F"/>
    <w:rsid w:val="005141F5"/>
    <w:rsid w:val="005160EC"/>
    <w:rsid w:val="005218D9"/>
    <w:rsid w:val="005240FA"/>
    <w:rsid w:val="005269C4"/>
    <w:rsid w:val="00530772"/>
    <w:rsid w:val="005341C5"/>
    <w:rsid w:val="00534257"/>
    <w:rsid w:val="0053431C"/>
    <w:rsid w:val="00535BDA"/>
    <w:rsid w:val="00536186"/>
    <w:rsid w:val="00536253"/>
    <w:rsid w:val="00537EC1"/>
    <w:rsid w:val="005401DE"/>
    <w:rsid w:val="00541438"/>
    <w:rsid w:val="00543454"/>
    <w:rsid w:val="00544198"/>
    <w:rsid w:val="005453ED"/>
    <w:rsid w:val="0054667C"/>
    <w:rsid w:val="0055008F"/>
    <w:rsid w:val="00550273"/>
    <w:rsid w:val="00550DF7"/>
    <w:rsid w:val="00561B44"/>
    <w:rsid w:val="005628E3"/>
    <w:rsid w:val="00565DCE"/>
    <w:rsid w:val="0057037E"/>
    <w:rsid w:val="00571ED8"/>
    <w:rsid w:val="00572130"/>
    <w:rsid w:val="00572430"/>
    <w:rsid w:val="0057315F"/>
    <w:rsid w:val="00573200"/>
    <w:rsid w:val="00574792"/>
    <w:rsid w:val="00574E0C"/>
    <w:rsid w:val="00574E93"/>
    <w:rsid w:val="005750B4"/>
    <w:rsid w:val="00581A72"/>
    <w:rsid w:val="00584B14"/>
    <w:rsid w:val="00585102"/>
    <w:rsid w:val="0058611F"/>
    <w:rsid w:val="0058768E"/>
    <w:rsid w:val="0059580D"/>
    <w:rsid w:val="00596D2C"/>
    <w:rsid w:val="00597AC7"/>
    <w:rsid w:val="005A0602"/>
    <w:rsid w:val="005A1268"/>
    <w:rsid w:val="005A1B2D"/>
    <w:rsid w:val="005A2B43"/>
    <w:rsid w:val="005A59FE"/>
    <w:rsid w:val="005A6673"/>
    <w:rsid w:val="005B0DDF"/>
    <w:rsid w:val="005B12BF"/>
    <w:rsid w:val="005B53AD"/>
    <w:rsid w:val="005B584B"/>
    <w:rsid w:val="005C00D1"/>
    <w:rsid w:val="005C481F"/>
    <w:rsid w:val="005C6047"/>
    <w:rsid w:val="005C67C8"/>
    <w:rsid w:val="005D0249"/>
    <w:rsid w:val="005D36D1"/>
    <w:rsid w:val="005D4E57"/>
    <w:rsid w:val="005D7F7D"/>
    <w:rsid w:val="005E2B1F"/>
    <w:rsid w:val="005F05FD"/>
    <w:rsid w:val="005F100C"/>
    <w:rsid w:val="005F1648"/>
    <w:rsid w:val="005F7986"/>
    <w:rsid w:val="005F7B75"/>
    <w:rsid w:val="00604768"/>
    <w:rsid w:val="00607ABA"/>
    <w:rsid w:val="0061054B"/>
    <w:rsid w:val="006107AA"/>
    <w:rsid w:val="006119BC"/>
    <w:rsid w:val="0061660A"/>
    <w:rsid w:val="00616D89"/>
    <w:rsid w:val="00620F1E"/>
    <w:rsid w:val="00621F9B"/>
    <w:rsid w:val="006231AF"/>
    <w:rsid w:val="00623998"/>
    <w:rsid w:val="006252F5"/>
    <w:rsid w:val="006303B4"/>
    <w:rsid w:val="006316D5"/>
    <w:rsid w:val="00632342"/>
    <w:rsid w:val="00634466"/>
    <w:rsid w:val="006370DB"/>
    <w:rsid w:val="00637CE4"/>
    <w:rsid w:val="00641396"/>
    <w:rsid w:val="00641703"/>
    <w:rsid w:val="006421CF"/>
    <w:rsid w:val="006431A6"/>
    <w:rsid w:val="006459F6"/>
    <w:rsid w:val="006474E9"/>
    <w:rsid w:val="006501AD"/>
    <w:rsid w:val="0065086E"/>
    <w:rsid w:val="00650CB3"/>
    <w:rsid w:val="00650F2B"/>
    <w:rsid w:val="00651BFA"/>
    <w:rsid w:val="00654CEC"/>
    <w:rsid w:val="00667141"/>
    <w:rsid w:val="00667DF0"/>
    <w:rsid w:val="00673954"/>
    <w:rsid w:val="0068018C"/>
    <w:rsid w:val="00680C84"/>
    <w:rsid w:val="006848C8"/>
    <w:rsid w:val="00686FD9"/>
    <w:rsid w:val="00692E2A"/>
    <w:rsid w:val="006968D2"/>
    <w:rsid w:val="00697D05"/>
    <w:rsid w:val="006A0BFB"/>
    <w:rsid w:val="006A5EEA"/>
    <w:rsid w:val="006A6838"/>
    <w:rsid w:val="006A76F2"/>
    <w:rsid w:val="006B23FC"/>
    <w:rsid w:val="006B2B6C"/>
    <w:rsid w:val="006B3586"/>
    <w:rsid w:val="006C3C12"/>
    <w:rsid w:val="006C740F"/>
    <w:rsid w:val="006D3683"/>
    <w:rsid w:val="006D7EFB"/>
    <w:rsid w:val="006E2D3B"/>
    <w:rsid w:val="006E3441"/>
    <w:rsid w:val="006E41E2"/>
    <w:rsid w:val="006E478D"/>
    <w:rsid w:val="006E6722"/>
    <w:rsid w:val="006E72E2"/>
    <w:rsid w:val="006F0422"/>
    <w:rsid w:val="006F30E0"/>
    <w:rsid w:val="006F5B20"/>
    <w:rsid w:val="006F6CE5"/>
    <w:rsid w:val="006F7C94"/>
    <w:rsid w:val="00700A0F"/>
    <w:rsid w:val="007027B9"/>
    <w:rsid w:val="00702B51"/>
    <w:rsid w:val="00705752"/>
    <w:rsid w:val="00705F05"/>
    <w:rsid w:val="00706F55"/>
    <w:rsid w:val="00714C5E"/>
    <w:rsid w:val="00715E88"/>
    <w:rsid w:val="00722341"/>
    <w:rsid w:val="007238F1"/>
    <w:rsid w:val="00723B64"/>
    <w:rsid w:val="0072504C"/>
    <w:rsid w:val="00727640"/>
    <w:rsid w:val="00734CAA"/>
    <w:rsid w:val="00734ED5"/>
    <w:rsid w:val="00745F24"/>
    <w:rsid w:val="00746D9D"/>
    <w:rsid w:val="007532F9"/>
    <w:rsid w:val="00754B14"/>
    <w:rsid w:val="0075535B"/>
    <w:rsid w:val="00757581"/>
    <w:rsid w:val="00757CA2"/>
    <w:rsid w:val="0076107C"/>
    <w:rsid w:val="0077008E"/>
    <w:rsid w:val="00772F40"/>
    <w:rsid w:val="007737A8"/>
    <w:rsid w:val="00775731"/>
    <w:rsid w:val="00775CE4"/>
    <w:rsid w:val="00775E6F"/>
    <w:rsid w:val="007772D2"/>
    <w:rsid w:val="0078639F"/>
    <w:rsid w:val="0079062B"/>
    <w:rsid w:val="007964D9"/>
    <w:rsid w:val="007A0685"/>
    <w:rsid w:val="007A5746"/>
    <w:rsid w:val="007A5C12"/>
    <w:rsid w:val="007B15E8"/>
    <w:rsid w:val="007B3217"/>
    <w:rsid w:val="007C2541"/>
    <w:rsid w:val="007C29D1"/>
    <w:rsid w:val="007C39F6"/>
    <w:rsid w:val="007C522E"/>
    <w:rsid w:val="007D41B4"/>
    <w:rsid w:val="007D5D6C"/>
    <w:rsid w:val="007D7245"/>
    <w:rsid w:val="007E003F"/>
    <w:rsid w:val="007E16A9"/>
    <w:rsid w:val="007E520A"/>
    <w:rsid w:val="007E53F8"/>
    <w:rsid w:val="007E7B76"/>
    <w:rsid w:val="007F154E"/>
    <w:rsid w:val="007F170C"/>
    <w:rsid w:val="007F215A"/>
    <w:rsid w:val="007F2825"/>
    <w:rsid w:val="007F445A"/>
    <w:rsid w:val="007F72D1"/>
    <w:rsid w:val="007F767E"/>
    <w:rsid w:val="007F7CE1"/>
    <w:rsid w:val="00801250"/>
    <w:rsid w:val="008019EB"/>
    <w:rsid w:val="00801C07"/>
    <w:rsid w:val="00802809"/>
    <w:rsid w:val="00804B9B"/>
    <w:rsid w:val="00805E39"/>
    <w:rsid w:val="008141B7"/>
    <w:rsid w:val="00815CEA"/>
    <w:rsid w:val="00815D26"/>
    <w:rsid w:val="00822A3B"/>
    <w:rsid w:val="00823529"/>
    <w:rsid w:val="00830E26"/>
    <w:rsid w:val="00832FBF"/>
    <w:rsid w:val="0083580A"/>
    <w:rsid w:val="008400EB"/>
    <w:rsid w:val="008429B3"/>
    <w:rsid w:val="00843576"/>
    <w:rsid w:val="00843B64"/>
    <w:rsid w:val="00853640"/>
    <w:rsid w:val="00854EB8"/>
    <w:rsid w:val="008556AE"/>
    <w:rsid w:val="0086242F"/>
    <w:rsid w:val="00864868"/>
    <w:rsid w:val="00867BFF"/>
    <w:rsid w:val="00871513"/>
    <w:rsid w:val="00872D84"/>
    <w:rsid w:val="008739BA"/>
    <w:rsid w:val="00880504"/>
    <w:rsid w:val="00883559"/>
    <w:rsid w:val="00883E81"/>
    <w:rsid w:val="0088480A"/>
    <w:rsid w:val="00891297"/>
    <w:rsid w:val="00891B46"/>
    <w:rsid w:val="008926EC"/>
    <w:rsid w:val="00892B3A"/>
    <w:rsid w:val="008947F5"/>
    <w:rsid w:val="008954FF"/>
    <w:rsid w:val="008957DD"/>
    <w:rsid w:val="00897D98"/>
    <w:rsid w:val="008A1781"/>
    <w:rsid w:val="008A2426"/>
    <w:rsid w:val="008A3DE0"/>
    <w:rsid w:val="008A6562"/>
    <w:rsid w:val="008A6D5D"/>
    <w:rsid w:val="008A6DF2"/>
    <w:rsid w:val="008B41D8"/>
    <w:rsid w:val="008B6614"/>
    <w:rsid w:val="008B79B4"/>
    <w:rsid w:val="008C005A"/>
    <w:rsid w:val="008C3FFF"/>
    <w:rsid w:val="008C56E6"/>
    <w:rsid w:val="008C6727"/>
    <w:rsid w:val="008C6B32"/>
    <w:rsid w:val="008D0E23"/>
    <w:rsid w:val="008D37C3"/>
    <w:rsid w:val="008D6361"/>
    <w:rsid w:val="008D65A4"/>
    <w:rsid w:val="008D6BA0"/>
    <w:rsid w:val="008D7C99"/>
    <w:rsid w:val="008E0AD6"/>
    <w:rsid w:val="008E0FCB"/>
    <w:rsid w:val="008E42F2"/>
    <w:rsid w:val="008E523E"/>
    <w:rsid w:val="008F1ECC"/>
    <w:rsid w:val="008F5894"/>
    <w:rsid w:val="008F6FA6"/>
    <w:rsid w:val="008F7B79"/>
    <w:rsid w:val="009004C4"/>
    <w:rsid w:val="009007D3"/>
    <w:rsid w:val="00900894"/>
    <w:rsid w:val="00900F74"/>
    <w:rsid w:val="00901521"/>
    <w:rsid w:val="0090316B"/>
    <w:rsid w:val="009036BA"/>
    <w:rsid w:val="00905D1D"/>
    <w:rsid w:val="00911AB0"/>
    <w:rsid w:val="00914084"/>
    <w:rsid w:val="0092178C"/>
    <w:rsid w:val="009227FB"/>
    <w:rsid w:val="00940DCC"/>
    <w:rsid w:val="0094179A"/>
    <w:rsid w:val="00942E83"/>
    <w:rsid w:val="00943BDB"/>
    <w:rsid w:val="0094459E"/>
    <w:rsid w:val="00944DBC"/>
    <w:rsid w:val="00950977"/>
    <w:rsid w:val="00951A7B"/>
    <w:rsid w:val="00952E29"/>
    <w:rsid w:val="00953A23"/>
    <w:rsid w:val="0095574F"/>
    <w:rsid w:val="00955E2B"/>
    <w:rsid w:val="009562DD"/>
    <w:rsid w:val="009564A6"/>
    <w:rsid w:val="00961709"/>
    <w:rsid w:val="00962B5E"/>
    <w:rsid w:val="00962CE3"/>
    <w:rsid w:val="00963208"/>
    <w:rsid w:val="009669B1"/>
    <w:rsid w:val="009679B2"/>
    <w:rsid w:val="00970E74"/>
    <w:rsid w:val="00975552"/>
    <w:rsid w:val="0098071E"/>
    <w:rsid w:val="0098251E"/>
    <w:rsid w:val="00983EE2"/>
    <w:rsid w:val="0098413D"/>
    <w:rsid w:val="00986F26"/>
    <w:rsid w:val="0098720D"/>
    <w:rsid w:val="0098795B"/>
    <w:rsid w:val="00992D72"/>
    <w:rsid w:val="00995E7F"/>
    <w:rsid w:val="009A2923"/>
    <w:rsid w:val="009A4ACC"/>
    <w:rsid w:val="009A6528"/>
    <w:rsid w:val="009A770C"/>
    <w:rsid w:val="009B4A0F"/>
    <w:rsid w:val="009B50EA"/>
    <w:rsid w:val="009B56AC"/>
    <w:rsid w:val="009B78F6"/>
    <w:rsid w:val="009C1324"/>
    <w:rsid w:val="009C2133"/>
    <w:rsid w:val="009C2890"/>
    <w:rsid w:val="009C2F37"/>
    <w:rsid w:val="009C6D94"/>
    <w:rsid w:val="009C725F"/>
    <w:rsid w:val="009D0B63"/>
    <w:rsid w:val="009D22C8"/>
    <w:rsid w:val="009D3F3B"/>
    <w:rsid w:val="009D59AB"/>
    <w:rsid w:val="009D7A6F"/>
    <w:rsid w:val="009E2A02"/>
    <w:rsid w:val="009E6DB7"/>
    <w:rsid w:val="009E6DF7"/>
    <w:rsid w:val="009F0550"/>
    <w:rsid w:val="009F3AF0"/>
    <w:rsid w:val="009F506B"/>
    <w:rsid w:val="009F5B43"/>
    <w:rsid w:val="00A04861"/>
    <w:rsid w:val="00A1079F"/>
    <w:rsid w:val="00A1348D"/>
    <w:rsid w:val="00A14A1D"/>
    <w:rsid w:val="00A15A68"/>
    <w:rsid w:val="00A17BA5"/>
    <w:rsid w:val="00A232EE"/>
    <w:rsid w:val="00A24ABA"/>
    <w:rsid w:val="00A25358"/>
    <w:rsid w:val="00A344F0"/>
    <w:rsid w:val="00A35FE5"/>
    <w:rsid w:val="00A4104B"/>
    <w:rsid w:val="00A41B84"/>
    <w:rsid w:val="00A42891"/>
    <w:rsid w:val="00A44411"/>
    <w:rsid w:val="00A469FA"/>
    <w:rsid w:val="00A55740"/>
    <w:rsid w:val="00A55B01"/>
    <w:rsid w:val="00A56B5B"/>
    <w:rsid w:val="00A60C1D"/>
    <w:rsid w:val="00A63601"/>
    <w:rsid w:val="00A64EE6"/>
    <w:rsid w:val="00A657DD"/>
    <w:rsid w:val="00A659F9"/>
    <w:rsid w:val="00A666A6"/>
    <w:rsid w:val="00A6689A"/>
    <w:rsid w:val="00A676CB"/>
    <w:rsid w:val="00A725A3"/>
    <w:rsid w:val="00A7486A"/>
    <w:rsid w:val="00A74B19"/>
    <w:rsid w:val="00A74EA7"/>
    <w:rsid w:val="00A756E3"/>
    <w:rsid w:val="00A80611"/>
    <w:rsid w:val="00A81CD8"/>
    <w:rsid w:val="00A861C0"/>
    <w:rsid w:val="00A86DA8"/>
    <w:rsid w:val="00A86F55"/>
    <w:rsid w:val="00A918C6"/>
    <w:rsid w:val="00A91A56"/>
    <w:rsid w:val="00A92AB4"/>
    <w:rsid w:val="00A93A1D"/>
    <w:rsid w:val="00A93FBF"/>
    <w:rsid w:val="00A94470"/>
    <w:rsid w:val="00A9783E"/>
    <w:rsid w:val="00AA0568"/>
    <w:rsid w:val="00AA0D97"/>
    <w:rsid w:val="00AA31A3"/>
    <w:rsid w:val="00AA3A0E"/>
    <w:rsid w:val="00AA4E66"/>
    <w:rsid w:val="00AB02E3"/>
    <w:rsid w:val="00AB2918"/>
    <w:rsid w:val="00AB5340"/>
    <w:rsid w:val="00AB6CC2"/>
    <w:rsid w:val="00AC354D"/>
    <w:rsid w:val="00AC7790"/>
    <w:rsid w:val="00AC7C96"/>
    <w:rsid w:val="00AD07F8"/>
    <w:rsid w:val="00AD1320"/>
    <w:rsid w:val="00AD3BAC"/>
    <w:rsid w:val="00AD6913"/>
    <w:rsid w:val="00AD7C9B"/>
    <w:rsid w:val="00AE237D"/>
    <w:rsid w:val="00AE5B98"/>
    <w:rsid w:val="00AE78E0"/>
    <w:rsid w:val="00AE7DFE"/>
    <w:rsid w:val="00AF1164"/>
    <w:rsid w:val="00AF1C29"/>
    <w:rsid w:val="00AF34B1"/>
    <w:rsid w:val="00AF7249"/>
    <w:rsid w:val="00AF774E"/>
    <w:rsid w:val="00AF7C07"/>
    <w:rsid w:val="00B02DB7"/>
    <w:rsid w:val="00B04842"/>
    <w:rsid w:val="00B04D46"/>
    <w:rsid w:val="00B063E8"/>
    <w:rsid w:val="00B125DF"/>
    <w:rsid w:val="00B13586"/>
    <w:rsid w:val="00B1376A"/>
    <w:rsid w:val="00B17933"/>
    <w:rsid w:val="00B20FAE"/>
    <w:rsid w:val="00B22A15"/>
    <w:rsid w:val="00B252F1"/>
    <w:rsid w:val="00B25B1B"/>
    <w:rsid w:val="00B275BB"/>
    <w:rsid w:val="00B3446A"/>
    <w:rsid w:val="00B34BBF"/>
    <w:rsid w:val="00B405B7"/>
    <w:rsid w:val="00B4262C"/>
    <w:rsid w:val="00B432CA"/>
    <w:rsid w:val="00B45E05"/>
    <w:rsid w:val="00B46490"/>
    <w:rsid w:val="00B46A37"/>
    <w:rsid w:val="00B514AD"/>
    <w:rsid w:val="00B54189"/>
    <w:rsid w:val="00B609AE"/>
    <w:rsid w:val="00B66901"/>
    <w:rsid w:val="00B675BC"/>
    <w:rsid w:val="00B71E6D"/>
    <w:rsid w:val="00B72070"/>
    <w:rsid w:val="00B74138"/>
    <w:rsid w:val="00B754F3"/>
    <w:rsid w:val="00B771A3"/>
    <w:rsid w:val="00B774D1"/>
    <w:rsid w:val="00B779E1"/>
    <w:rsid w:val="00B82766"/>
    <w:rsid w:val="00B82774"/>
    <w:rsid w:val="00B84371"/>
    <w:rsid w:val="00B84486"/>
    <w:rsid w:val="00B85A41"/>
    <w:rsid w:val="00B870E3"/>
    <w:rsid w:val="00B8730A"/>
    <w:rsid w:val="00B87967"/>
    <w:rsid w:val="00B90AE9"/>
    <w:rsid w:val="00B93FF9"/>
    <w:rsid w:val="00B95C83"/>
    <w:rsid w:val="00B96740"/>
    <w:rsid w:val="00B96BF7"/>
    <w:rsid w:val="00BA1A67"/>
    <w:rsid w:val="00BA1A84"/>
    <w:rsid w:val="00BA2D85"/>
    <w:rsid w:val="00BA3FEE"/>
    <w:rsid w:val="00BA5D7B"/>
    <w:rsid w:val="00BA7066"/>
    <w:rsid w:val="00BB08A5"/>
    <w:rsid w:val="00BB15DE"/>
    <w:rsid w:val="00BB28A6"/>
    <w:rsid w:val="00BB44A6"/>
    <w:rsid w:val="00BB5833"/>
    <w:rsid w:val="00BB6A46"/>
    <w:rsid w:val="00BB7851"/>
    <w:rsid w:val="00BB7ADE"/>
    <w:rsid w:val="00BB7D04"/>
    <w:rsid w:val="00BB7F92"/>
    <w:rsid w:val="00BC093D"/>
    <w:rsid w:val="00BD1287"/>
    <w:rsid w:val="00BD1C43"/>
    <w:rsid w:val="00BD1F24"/>
    <w:rsid w:val="00BE18BF"/>
    <w:rsid w:val="00BE1AD0"/>
    <w:rsid w:val="00BE2356"/>
    <w:rsid w:val="00BE4664"/>
    <w:rsid w:val="00BE5A4F"/>
    <w:rsid w:val="00BF1300"/>
    <w:rsid w:val="00BF3184"/>
    <w:rsid w:val="00BF3DE7"/>
    <w:rsid w:val="00BF41EA"/>
    <w:rsid w:val="00BF7A7C"/>
    <w:rsid w:val="00BF7E4E"/>
    <w:rsid w:val="00C0012F"/>
    <w:rsid w:val="00C0058D"/>
    <w:rsid w:val="00C02585"/>
    <w:rsid w:val="00C1111C"/>
    <w:rsid w:val="00C12A44"/>
    <w:rsid w:val="00C14EF2"/>
    <w:rsid w:val="00C16DA2"/>
    <w:rsid w:val="00C20C7F"/>
    <w:rsid w:val="00C22B9D"/>
    <w:rsid w:val="00C30C63"/>
    <w:rsid w:val="00C33A37"/>
    <w:rsid w:val="00C3419C"/>
    <w:rsid w:val="00C41236"/>
    <w:rsid w:val="00C4166B"/>
    <w:rsid w:val="00C421A1"/>
    <w:rsid w:val="00C454AC"/>
    <w:rsid w:val="00C47B77"/>
    <w:rsid w:val="00C50649"/>
    <w:rsid w:val="00C51F45"/>
    <w:rsid w:val="00C549DA"/>
    <w:rsid w:val="00C558DA"/>
    <w:rsid w:val="00C55AF0"/>
    <w:rsid w:val="00C57664"/>
    <w:rsid w:val="00C61CAF"/>
    <w:rsid w:val="00C644FB"/>
    <w:rsid w:val="00C67678"/>
    <w:rsid w:val="00C725DC"/>
    <w:rsid w:val="00C74A0B"/>
    <w:rsid w:val="00C81295"/>
    <w:rsid w:val="00C81642"/>
    <w:rsid w:val="00C816C2"/>
    <w:rsid w:val="00C84759"/>
    <w:rsid w:val="00C90FDD"/>
    <w:rsid w:val="00C93203"/>
    <w:rsid w:val="00C93A3A"/>
    <w:rsid w:val="00C956B3"/>
    <w:rsid w:val="00C95831"/>
    <w:rsid w:val="00C961BB"/>
    <w:rsid w:val="00C96977"/>
    <w:rsid w:val="00CA2A89"/>
    <w:rsid w:val="00CA2CB5"/>
    <w:rsid w:val="00CA3FEB"/>
    <w:rsid w:val="00CA469B"/>
    <w:rsid w:val="00CA5494"/>
    <w:rsid w:val="00CA6BB7"/>
    <w:rsid w:val="00CA6C7F"/>
    <w:rsid w:val="00CB0208"/>
    <w:rsid w:val="00CB1404"/>
    <w:rsid w:val="00CB5521"/>
    <w:rsid w:val="00CC10A6"/>
    <w:rsid w:val="00CC2354"/>
    <w:rsid w:val="00CC27D3"/>
    <w:rsid w:val="00CD2522"/>
    <w:rsid w:val="00CD2A97"/>
    <w:rsid w:val="00CD2BA6"/>
    <w:rsid w:val="00CD3D68"/>
    <w:rsid w:val="00CD7044"/>
    <w:rsid w:val="00CE0C80"/>
    <w:rsid w:val="00CE1762"/>
    <w:rsid w:val="00CE2264"/>
    <w:rsid w:val="00CE229D"/>
    <w:rsid w:val="00CE2A2D"/>
    <w:rsid w:val="00CE524C"/>
    <w:rsid w:val="00CE5FCF"/>
    <w:rsid w:val="00CF11D0"/>
    <w:rsid w:val="00CF141F"/>
    <w:rsid w:val="00CF1A24"/>
    <w:rsid w:val="00CF4777"/>
    <w:rsid w:val="00CF5C0D"/>
    <w:rsid w:val="00CF7C54"/>
    <w:rsid w:val="00D00910"/>
    <w:rsid w:val="00D02075"/>
    <w:rsid w:val="00D023AA"/>
    <w:rsid w:val="00D0375F"/>
    <w:rsid w:val="00D1203C"/>
    <w:rsid w:val="00D1252B"/>
    <w:rsid w:val="00D12B2C"/>
    <w:rsid w:val="00D15118"/>
    <w:rsid w:val="00D169AF"/>
    <w:rsid w:val="00D22464"/>
    <w:rsid w:val="00D22513"/>
    <w:rsid w:val="00D25249"/>
    <w:rsid w:val="00D25F71"/>
    <w:rsid w:val="00D26C5B"/>
    <w:rsid w:val="00D307E8"/>
    <w:rsid w:val="00D34988"/>
    <w:rsid w:val="00D44172"/>
    <w:rsid w:val="00D46C05"/>
    <w:rsid w:val="00D5047E"/>
    <w:rsid w:val="00D50913"/>
    <w:rsid w:val="00D50E8C"/>
    <w:rsid w:val="00D539B7"/>
    <w:rsid w:val="00D559E2"/>
    <w:rsid w:val="00D62076"/>
    <w:rsid w:val="00D63B8C"/>
    <w:rsid w:val="00D70559"/>
    <w:rsid w:val="00D71D25"/>
    <w:rsid w:val="00D72AE3"/>
    <w:rsid w:val="00D739CC"/>
    <w:rsid w:val="00D76614"/>
    <w:rsid w:val="00D8093D"/>
    <w:rsid w:val="00D80A9A"/>
    <w:rsid w:val="00D8108C"/>
    <w:rsid w:val="00D82D20"/>
    <w:rsid w:val="00D8418A"/>
    <w:rsid w:val="00D842AE"/>
    <w:rsid w:val="00D9211C"/>
    <w:rsid w:val="00D92DE0"/>
    <w:rsid w:val="00D93559"/>
    <w:rsid w:val="00D93A0F"/>
    <w:rsid w:val="00D93C9E"/>
    <w:rsid w:val="00D956AE"/>
    <w:rsid w:val="00D96369"/>
    <w:rsid w:val="00D97F1C"/>
    <w:rsid w:val="00DA1935"/>
    <w:rsid w:val="00DA1BCA"/>
    <w:rsid w:val="00DA400B"/>
    <w:rsid w:val="00DA527D"/>
    <w:rsid w:val="00DA7368"/>
    <w:rsid w:val="00DB1194"/>
    <w:rsid w:val="00DB2A9F"/>
    <w:rsid w:val="00DB627A"/>
    <w:rsid w:val="00DB7B66"/>
    <w:rsid w:val="00DB7CDD"/>
    <w:rsid w:val="00DC1277"/>
    <w:rsid w:val="00DC1A40"/>
    <w:rsid w:val="00DC357C"/>
    <w:rsid w:val="00DC3702"/>
    <w:rsid w:val="00DC46FF"/>
    <w:rsid w:val="00DC53CD"/>
    <w:rsid w:val="00DC6F6D"/>
    <w:rsid w:val="00DD0DB1"/>
    <w:rsid w:val="00DD1207"/>
    <w:rsid w:val="00DD1A4F"/>
    <w:rsid w:val="00DD226E"/>
    <w:rsid w:val="00DD2778"/>
    <w:rsid w:val="00DD2A04"/>
    <w:rsid w:val="00DD2F61"/>
    <w:rsid w:val="00DD7572"/>
    <w:rsid w:val="00DD7C2C"/>
    <w:rsid w:val="00DE1E28"/>
    <w:rsid w:val="00DE3AA8"/>
    <w:rsid w:val="00DE7A06"/>
    <w:rsid w:val="00DF20F7"/>
    <w:rsid w:val="00DF284D"/>
    <w:rsid w:val="00DF33F6"/>
    <w:rsid w:val="00DF4E83"/>
    <w:rsid w:val="00DF59F6"/>
    <w:rsid w:val="00DF629F"/>
    <w:rsid w:val="00E01CC6"/>
    <w:rsid w:val="00E02C78"/>
    <w:rsid w:val="00E03F3B"/>
    <w:rsid w:val="00E04301"/>
    <w:rsid w:val="00E06389"/>
    <w:rsid w:val="00E06797"/>
    <w:rsid w:val="00E07216"/>
    <w:rsid w:val="00E10FB7"/>
    <w:rsid w:val="00E110C8"/>
    <w:rsid w:val="00E1511C"/>
    <w:rsid w:val="00E17BD4"/>
    <w:rsid w:val="00E215B0"/>
    <w:rsid w:val="00E21C83"/>
    <w:rsid w:val="00E2657C"/>
    <w:rsid w:val="00E302D9"/>
    <w:rsid w:val="00E31C4A"/>
    <w:rsid w:val="00E41FB3"/>
    <w:rsid w:val="00E4438D"/>
    <w:rsid w:val="00E45435"/>
    <w:rsid w:val="00E4612E"/>
    <w:rsid w:val="00E46D9A"/>
    <w:rsid w:val="00E47CC4"/>
    <w:rsid w:val="00E529FB"/>
    <w:rsid w:val="00E5481D"/>
    <w:rsid w:val="00E5506F"/>
    <w:rsid w:val="00E565FF"/>
    <w:rsid w:val="00E56947"/>
    <w:rsid w:val="00E579BD"/>
    <w:rsid w:val="00E6052D"/>
    <w:rsid w:val="00E61362"/>
    <w:rsid w:val="00E62507"/>
    <w:rsid w:val="00E62F72"/>
    <w:rsid w:val="00E636CC"/>
    <w:rsid w:val="00E65388"/>
    <w:rsid w:val="00E674AC"/>
    <w:rsid w:val="00E71B74"/>
    <w:rsid w:val="00E72745"/>
    <w:rsid w:val="00E730F5"/>
    <w:rsid w:val="00E76253"/>
    <w:rsid w:val="00E81947"/>
    <w:rsid w:val="00E85B7D"/>
    <w:rsid w:val="00E8703E"/>
    <w:rsid w:val="00E9121B"/>
    <w:rsid w:val="00E91315"/>
    <w:rsid w:val="00E92B5F"/>
    <w:rsid w:val="00EA0B53"/>
    <w:rsid w:val="00EA0F3E"/>
    <w:rsid w:val="00EA0F68"/>
    <w:rsid w:val="00EA1C2C"/>
    <w:rsid w:val="00EA39E5"/>
    <w:rsid w:val="00EA5E5C"/>
    <w:rsid w:val="00EB1B8B"/>
    <w:rsid w:val="00EB1CC0"/>
    <w:rsid w:val="00EB33A3"/>
    <w:rsid w:val="00EB4C62"/>
    <w:rsid w:val="00EC0CDE"/>
    <w:rsid w:val="00EC0F91"/>
    <w:rsid w:val="00EC3219"/>
    <w:rsid w:val="00EC388E"/>
    <w:rsid w:val="00EC3B3F"/>
    <w:rsid w:val="00EC5A46"/>
    <w:rsid w:val="00EC63E2"/>
    <w:rsid w:val="00EC6548"/>
    <w:rsid w:val="00ED5A59"/>
    <w:rsid w:val="00ED71F9"/>
    <w:rsid w:val="00ED75BF"/>
    <w:rsid w:val="00EE12DE"/>
    <w:rsid w:val="00EE17B3"/>
    <w:rsid w:val="00EE1A7F"/>
    <w:rsid w:val="00EE7486"/>
    <w:rsid w:val="00EF22B3"/>
    <w:rsid w:val="00EF2844"/>
    <w:rsid w:val="00EF469B"/>
    <w:rsid w:val="00EF5026"/>
    <w:rsid w:val="00F044F7"/>
    <w:rsid w:val="00F064C1"/>
    <w:rsid w:val="00F113DA"/>
    <w:rsid w:val="00F12540"/>
    <w:rsid w:val="00F17586"/>
    <w:rsid w:val="00F22D44"/>
    <w:rsid w:val="00F245DD"/>
    <w:rsid w:val="00F251A0"/>
    <w:rsid w:val="00F30F8A"/>
    <w:rsid w:val="00F31555"/>
    <w:rsid w:val="00F31F38"/>
    <w:rsid w:val="00F32F67"/>
    <w:rsid w:val="00F366DE"/>
    <w:rsid w:val="00F37DC8"/>
    <w:rsid w:val="00F41127"/>
    <w:rsid w:val="00F42017"/>
    <w:rsid w:val="00F47CD5"/>
    <w:rsid w:val="00F532DB"/>
    <w:rsid w:val="00F5341A"/>
    <w:rsid w:val="00F63428"/>
    <w:rsid w:val="00F6381C"/>
    <w:rsid w:val="00F64AA5"/>
    <w:rsid w:val="00F650C3"/>
    <w:rsid w:val="00F678D7"/>
    <w:rsid w:val="00F701AE"/>
    <w:rsid w:val="00F71407"/>
    <w:rsid w:val="00F716AD"/>
    <w:rsid w:val="00F8091E"/>
    <w:rsid w:val="00F83F10"/>
    <w:rsid w:val="00F84AFF"/>
    <w:rsid w:val="00F8577F"/>
    <w:rsid w:val="00F8615C"/>
    <w:rsid w:val="00F86FDB"/>
    <w:rsid w:val="00F924D6"/>
    <w:rsid w:val="00F9516F"/>
    <w:rsid w:val="00F9521B"/>
    <w:rsid w:val="00F95425"/>
    <w:rsid w:val="00FA13F7"/>
    <w:rsid w:val="00FA18BF"/>
    <w:rsid w:val="00FA2125"/>
    <w:rsid w:val="00FA30C9"/>
    <w:rsid w:val="00FA380A"/>
    <w:rsid w:val="00FA50B9"/>
    <w:rsid w:val="00FA7174"/>
    <w:rsid w:val="00FB254A"/>
    <w:rsid w:val="00FB5770"/>
    <w:rsid w:val="00FB5801"/>
    <w:rsid w:val="00FB6C90"/>
    <w:rsid w:val="00FC26D1"/>
    <w:rsid w:val="00FC317A"/>
    <w:rsid w:val="00FC3299"/>
    <w:rsid w:val="00FC47C2"/>
    <w:rsid w:val="00FC523C"/>
    <w:rsid w:val="00FC6422"/>
    <w:rsid w:val="00FD1FE5"/>
    <w:rsid w:val="00FD3EE8"/>
    <w:rsid w:val="00FD4EFE"/>
    <w:rsid w:val="00FD534F"/>
    <w:rsid w:val="00FD5860"/>
    <w:rsid w:val="00FE352D"/>
    <w:rsid w:val="00FE3D45"/>
    <w:rsid w:val="00FE7D62"/>
    <w:rsid w:val="00FF11E9"/>
    <w:rsid w:val="00FF2F85"/>
    <w:rsid w:val="00FF301A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EDE6C87"/>
  <w14:defaultImageDpi w14:val="96"/>
  <w15:docId w15:val="{BFD48C53-FA92-417D-BFD6-0DE1D8E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</w:rPr>
  </w:style>
  <w:style w:type="paragraph" w:styleId="Heading1">
    <w:name w:val="heading 1"/>
    <w:basedOn w:val="Normal"/>
    <w:next w:val="Normalnumber"/>
    <w:link w:val="Heading1Char"/>
    <w:uiPriority w:val="9"/>
    <w:qFormat/>
    <w:rsid w:val="00062885"/>
    <w:pPr>
      <w:keepNext/>
      <w:numPr>
        <w:numId w:val="5"/>
      </w:numPr>
      <w:tabs>
        <w:tab w:val="left" w:pos="1247"/>
        <w:tab w:val="left" w:pos="1814"/>
      </w:tabs>
      <w:spacing w:before="240" w:after="120"/>
      <w:ind w:hanging="534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uiPriority w:val="9"/>
    <w:qFormat/>
    <w:rsid w:val="003124FF"/>
    <w:pPr>
      <w:keepNext/>
      <w:numPr>
        <w:ilvl w:val="1"/>
        <w:numId w:val="6"/>
      </w:numPr>
      <w:spacing w:before="240" w:after="120"/>
      <w:ind w:left="1276" w:hanging="556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uiPriority w:val="9"/>
    <w:qFormat/>
    <w:rsid w:val="00EA0B53"/>
    <w:pPr>
      <w:spacing w:after="120"/>
      <w:ind w:left="1304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uiPriority w:val="9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AA4E66"/>
    <w:pPr>
      <w:keepNext/>
      <w:widowControl w:val="0"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037BE"/>
    <w:rPr>
      <w:rFonts w:eastAsia="MS Mincho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124FF"/>
    <w:rPr>
      <w:rFonts w:eastAsia="MS Mincho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4779A"/>
    <w:rPr>
      <w:rFonts w:eastAsia="MS Mincho"/>
      <w:b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5037BE"/>
    <w:rPr>
      <w:rFonts w:eastAsia="MS Mincho"/>
      <w:u w:val="single"/>
    </w:rPr>
  </w:style>
  <w:style w:type="character" w:styleId="PageNumber">
    <w:name w:val="page number"/>
    <w:basedOn w:val="DefaultParagraphFont"/>
    <w:uiPriority w:val="99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</w:style>
  <w:style w:type="paragraph" w:styleId="TOC6">
    <w:name w:val="toc 6"/>
    <w:basedOn w:val="Normal"/>
    <w:next w:val="Normal"/>
    <w:autoRedefine/>
    <w:uiPriority w:val="39"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uiPriority w:val="99"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4A36DE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611"/>
    </w:pPr>
    <w:rPr>
      <w:rFonts w:eastAsia="Gulim"/>
      <w:b/>
      <w:sz w:val="24"/>
      <w:szCs w:val="24"/>
      <w:lang w:eastAsia="ko-KR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uiPriority w:val="99"/>
    <w:semiHidden/>
    <w:rsid w:val="00AA4E66"/>
    <w:pPr>
      <w:ind w:left="1247"/>
    </w:pPr>
  </w:style>
  <w:style w:type="paragraph" w:customStyle="1" w:styleId="Normal-pool">
    <w:name w:val="Normal-pool"/>
    <w:link w:val="Normal-poolChar"/>
    <w:qFormat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</w:style>
  <w:style w:type="character" w:customStyle="1" w:styleId="NormalnumberChar">
    <w:name w:val="Normal_number Char"/>
    <w:link w:val="Normalnumber"/>
    <w:locked/>
    <w:rsid w:val="00494455"/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16 Point,Footnote Reference Superscript,SUPERS,Superscript 6 Point,number,ftref,(Ref. de nota al pie)"/>
    <w:basedOn w:val="DefaultParagraphFont"/>
    <w:uiPriority w:val="99"/>
    <w:rsid w:val="00AA4E66"/>
    <w:rPr>
      <w:rFonts w:ascii="Times New Roman" w:hAnsi="Times New Roman"/>
      <w:color w:val="auto"/>
      <w:sz w:val="18"/>
      <w:vertAlign w:val="superscript"/>
    </w:rPr>
  </w:style>
  <w:style w:type="paragraph" w:styleId="FootnoteText">
    <w:name w:val="footnote text"/>
    <w:aliases w:val="Boston 10,DNV-FT,Font: Geneva 9,Footnote Text Char Char,Footnote Text Char Char Char,Footnote Text Char Char Char Char,Footnote Text1,Fußnotentextf,Geneva 9,f,fn,Footnotes,Footnote ak,ft,fn cafc,Footnotes Char Char,fn Char Char"/>
    <w:basedOn w:val="Normal-pool"/>
    <w:link w:val="FootnoteTextChar"/>
    <w:uiPriority w:val="99"/>
    <w:rsid w:val="00AA4E66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aliases w:val="Boston 10 Char,DNV-FT Char,Font: Geneva 9 Char,Footnote Text Char Char Char1,Footnote Text Char Char Char Char1,Footnote Text Char Char Char Char Char,Footnote Text1 Char,Fußnotentextf Char,Geneva 9 Char,f Char,fn Char,Footnotes Char"/>
    <w:basedOn w:val="DefaultParagraphFont"/>
    <w:link w:val="FootnoteText"/>
    <w:uiPriority w:val="99"/>
    <w:locked/>
    <w:rsid w:val="005037BE"/>
    <w:rPr>
      <w:sz w:val="18"/>
      <w:lang w:val="ru-RU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C093D"/>
    <w:rPr>
      <w:lang w:val="ru-RU" w:eastAsia="en-US"/>
    </w:rPr>
  </w:style>
  <w:style w:type="character" w:customStyle="1" w:styleId="docs-bold">
    <w:name w:val="docs-bold"/>
    <w:rsid w:val="00BC093D"/>
  </w:style>
  <w:style w:type="character" w:customStyle="1" w:styleId="Normal-poolChar">
    <w:name w:val="Normal-pool Char"/>
    <w:link w:val="Normal-pool"/>
    <w:locked/>
    <w:rsid w:val="00D71D25"/>
    <w:rPr>
      <w:lang w:val="ru-RU" w:eastAsia="en-US"/>
    </w:rPr>
  </w:style>
  <w:style w:type="character" w:customStyle="1" w:styleId="CH2Char">
    <w:name w:val="CH2 Char"/>
    <w:link w:val="CH2"/>
    <w:locked/>
    <w:rsid w:val="004A36DE"/>
    <w:rPr>
      <w:rFonts w:eastAsia="Gulim"/>
      <w:b/>
      <w:sz w:val="24"/>
      <w:lang w:val="ru-RU" w:eastAsia="ko-KR"/>
    </w:rPr>
  </w:style>
  <w:style w:type="character" w:styleId="FollowedHyperlink">
    <w:name w:val="FollowedHyperlink"/>
    <w:basedOn w:val="DefaultParagraphFont"/>
    <w:uiPriority w:val="99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16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3CF"/>
    <w:rPr>
      <w:rFonts w:ascii="Tahoma" w:eastAsia="MS Mincho" w:hAnsi="Tahoma"/>
      <w:sz w:val="16"/>
      <w:lang w:val="ru-RU" w:eastAsia="x-none"/>
    </w:rPr>
  </w:style>
  <w:style w:type="character" w:styleId="CommentReference">
    <w:name w:val="annotation reference"/>
    <w:basedOn w:val="DefaultParagraphFont"/>
    <w:uiPriority w:val="99"/>
    <w:rsid w:val="001673CF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673C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73CF"/>
    <w:rPr>
      <w:rFonts w:eastAsia="MS Mincho"/>
      <w:lang w:val="ru-R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67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673CF"/>
    <w:rPr>
      <w:rFonts w:eastAsia="MS Mincho"/>
      <w:b/>
      <w:lang w:val="ru-RU" w:eastAsia="x-none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basedOn w:val="DefaultParagraphFont"/>
    <w:uiPriority w:val="99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basedOn w:val="DefaultParagraphFont"/>
    <w:uiPriority w:val="99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locked/>
    <w:rsid w:val="0004779A"/>
    <w:rPr>
      <w:b/>
      <w:sz w:val="18"/>
      <w:lang w:val="ru-RU" w:eastAsia="en-US"/>
    </w:rPr>
  </w:style>
  <w:style w:type="paragraph" w:customStyle="1" w:styleId="ColorfulShading-Accent11">
    <w:name w:val="Colorful Shading - Accent 11"/>
    <w:hidden/>
    <w:uiPriority w:val="99"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DarkList-Accent31">
    <w:name w:val="Dark List - Accent 31"/>
    <w:hidden/>
    <w:uiPriority w:val="99"/>
    <w:semiHidden/>
    <w:rsid w:val="0004779A"/>
    <w:rPr>
      <w:spacing w:val="4"/>
      <w:w w:val="103"/>
      <w:kern w:val="14"/>
    </w:rPr>
  </w:style>
  <w:style w:type="character" w:customStyle="1" w:styleId="FooterChar">
    <w:name w:val="Footer Char"/>
    <w:link w:val="Footer"/>
    <w:uiPriority w:val="99"/>
    <w:locked/>
    <w:rsid w:val="00943BDB"/>
    <w:rPr>
      <w:sz w:val="18"/>
      <w:lang w:val="ru-RU" w:eastAsia="en-US"/>
    </w:rPr>
  </w:style>
  <w:style w:type="paragraph" w:customStyle="1" w:styleId="Level1">
    <w:name w:val="Level1"/>
    <w:basedOn w:val="Normal"/>
    <w:rsid w:val="000E53DF"/>
    <w:pPr>
      <w:tabs>
        <w:tab w:val="left" w:pos="578"/>
        <w:tab w:val="left" w:pos="1157"/>
      </w:tabs>
      <w:suppressAutoHyphens/>
      <w:spacing w:after="240"/>
    </w:pPr>
  </w:style>
  <w:style w:type="paragraph" w:styleId="Title">
    <w:name w:val="Title"/>
    <w:basedOn w:val="BBTitle"/>
    <w:next w:val="Normal"/>
    <w:link w:val="TitleChar"/>
    <w:uiPriority w:val="10"/>
    <w:qFormat/>
    <w:rsid w:val="00062885"/>
  </w:style>
  <w:style w:type="character" w:customStyle="1" w:styleId="TitleChar">
    <w:name w:val="Title Char"/>
    <w:basedOn w:val="DefaultParagraphFont"/>
    <w:link w:val="Title"/>
    <w:uiPriority w:val="10"/>
    <w:locked/>
    <w:rsid w:val="00062885"/>
    <w:rPr>
      <w:b/>
      <w:sz w:val="28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</w:tblPr>
    <w:tblStylePr w:type="firstRow">
      <w:pPr>
        <w:widowControl/>
        <w:spacing w:beforeLines="0" w:before="0" w:beforeAutospacing="0" w:afterLines="0" w:after="0" w:afterAutospacing="0"/>
        <w:jc w:val="left"/>
      </w:pPr>
      <w:rPr>
        <w:rFonts w:ascii="Arial" w:hAnsi="Arial" w:cs="Times New Roman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idowControl/>
        <w:spacing w:beforeLines="0" w:before="120" w:beforeAutospacing="0" w:afterLines="0" w:after="0" w:afterAutospacing="0"/>
        <w:ind w:rightChars="0" w:right="567"/>
      </w:pPr>
      <w:rPr>
        <w:rFonts w:ascii="Arial" w:hAnsi="Arial" w:cs="Times New Roman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idowControl/>
        <w:ind w:rightChars="0" w:right="0"/>
      </w:pPr>
      <w:rPr>
        <w:rFonts w:cs="Times New Roman"/>
      </w:rPr>
    </w:tblStylePr>
    <w:tblStylePr w:type="lastCol">
      <w:pPr>
        <w:widowControl/>
      </w:pPr>
      <w:rPr>
        <w:rFonts w:ascii="Times New Roman" w:hAnsi="Times New Roman" w:cs="Times New Roman"/>
        <w:sz w:val="20"/>
      </w:rPr>
    </w:tblStylePr>
    <w:tblStylePr w:type="band1Vert">
      <w:pPr>
        <w:widowControl/>
      </w:pPr>
      <w:rPr>
        <w:rFonts w:ascii="Times New Roman" w:hAnsi="Times New Roman" w:cs="Times New Roman"/>
      </w:rPr>
    </w:tblStylePr>
    <w:tblStylePr w:type="band2Vert">
      <w:pPr>
        <w:widowControl/>
        <w:spacing w:beforeLines="0" w:before="0" w:beforeAutospacing="0" w:afterLines="0" w:after="0" w:afterAutospacing="0"/>
      </w:pPr>
      <w:rPr>
        <w:rFonts w:ascii="Times New Roman" w:hAnsi="Times New Roman" w:cs="Times New Roman"/>
        <w:b/>
        <w:i w:val="0"/>
        <w:color w:val="auto"/>
        <w:sz w:val="32"/>
        <w:szCs w:val="32"/>
      </w:rPr>
    </w:tblStylePr>
    <w:tblStylePr w:type="band1Horz">
      <w:pPr>
        <w:widowControl/>
      </w:pPr>
      <w:rPr>
        <w:rFonts w:ascii="Times New Roman" w:hAnsi="Times New Roman" w:cs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pPr>
        <w:widowControl/>
      </w:pPr>
      <w:rPr>
        <w:rFonts w:ascii="Times New Roman" w:hAnsi="Times New Roman" w:cs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idowControl/>
        <w:spacing w:beforeLines="0" w:before="0" w:beforeAutospacing="0" w:afterLines="0" w:after="0" w:afterAutospacing="0"/>
        <w:jc w:val="right"/>
      </w:pPr>
      <w:rPr>
        <w:rFonts w:ascii="Arial" w:hAnsi="Arial" w:cs="Times New Roman"/>
        <w:b/>
        <w:i w:val="0"/>
        <w:color w:val="auto"/>
        <w:sz w:val="64"/>
        <w:szCs w:val="64"/>
      </w:rPr>
    </w:tblStylePr>
    <w:tblStylePr w:type="nwCell">
      <w:pPr>
        <w:widowControl/>
      </w:pPr>
      <w:rPr>
        <w:rFonts w:ascii="Arial" w:hAnsi="Arial" w:cs="Times New Roman"/>
        <w:b/>
        <w:i w:val="0"/>
        <w:caps/>
        <w:smallCaps w:val="0"/>
        <w:color w:val="auto"/>
        <w:sz w:val="27"/>
        <w:szCs w:val="27"/>
      </w:rPr>
    </w:tblStylePr>
    <w:tblStylePr w:type="seCell">
      <w:pPr>
        <w:widowControl/>
        <w:spacing w:beforeLines="0" w:before="120" w:beforeAutospacing="0" w:afterLines="0" w:after="120" w:afterAutospacing="0"/>
        <w:ind w:leftChars="0" w:left="0" w:rightChars="0" w:right="0"/>
      </w:pPr>
      <w:rPr>
        <w:rFonts w:ascii="Times New Roman" w:hAnsi="Times New Roman" w:cs="Times New Roman"/>
        <w:b w:val="0"/>
        <w:sz w:val="20"/>
      </w:rPr>
    </w:tblStylePr>
    <w:tblStylePr w:type="swCell">
      <w:pPr>
        <w:widowControl/>
        <w:spacing w:afterLines="0" w:after="240" w:afterAutospacing="0"/>
        <w:ind w:rightChars="0" w:right="0"/>
      </w:pPr>
      <w:rPr>
        <w:rFonts w:ascii="Times New Roman" w:hAnsi="Times New Roman" w:cs="Times New Roman"/>
      </w:rPr>
    </w:tblStylePr>
  </w:style>
  <w:style w:type="paragraph" w:customStyle="1" w:styleId="AgendaItemTitle">
    <w:name w:val="AgendaItem_Title"/>
    <w:basedOn w:val="Normal-pool"/>
    <w:qFormat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gendaItem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1">
    <w:name w:val="Footer Char1"/>
    <w:basedOn w:val="DefaultParagraphFont"/>
    <w:uiPriority w:val="99"/>
    <w:semiHidden/>
    <w:rPr>
      <w:rFonts w:eastAsia="MS Mincho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erChar1">
    <w:name w:val="Header Char1"/>
    <w:basedOn w:val="DefaultParagraphFont"/>
    <w:uiPriority w:val="99"/>
    <w:semiHidden/>
    <w:rPr>
      <w:rFonts w:eastAsia="MS Mincho"/>
    </w:rPr>
  </w:style>
  <w:style w:type="character" w:styleId="Hyperlink">
    <w:name w:val="Hyperlink"/>
    <w:basedOn w:val="DefaultParagraphFont"/>
    <w:uiPriority w:val="99"/>
    <w:rsid w:val="00AA4E66"/>
    <w:rPr>
      <w:rFonts w:ascii="Times New Roman" w:hAnsi="Times New Roman"/>
      <w:color w:val="auto"/>
      <w:sz w:val="20"/>
      <w:u w:val="none"/>
      <w:lang w:val="ru-RU" w:eastAsia="x-none"/>
    </w:r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AA4E66"/>
    <w:pPr>
      <w:numPr>
        <w:numId w:val="4"/>
      </w:numPr>
      <w:spacing w:after="120"/>
    </w:p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AA4E66"/>
    <w:pPr>
      <w:ind w:left="800"/>
    </w:pPr>
    <w:rPr>
      <w:sz w:val="18"/>
      <w:szCs w:val="18"/>
    </w:rPr>
  </w:style>
  <w:style w:type="paragraph" w:customStyle="1" w:styleId="AnnexTitle">
    <w:name w:val="Annex Title"/>
    <w:basedOn w:val="Normal-pool"/>
    <w:qFormat/>
    <w:rsid w:val="0058611F"/>
    <w:pPr>
      <w:pageBreakBefore/>
    </w:pPr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AnnexNumbered">
    <w:name w:val="Annex Numbered"/>
    <w:basedOn w:val="AnnexTitle"/>
    <w:qFormat/>
    <w:rsid w:val="004A36DE"/>
    <w:pPr>
      <w:numPr>
        <w:numId w:val="7"/>
      </w:numPr>
    </w:pPr>
    <w:rPr>
      <w:w w:val="103"/>
    </w:rPr>
  </w:style>
  <w:style w:type="paragraph" w:customStyle="1" w:styleId="NormalPlain">
    <w:name w:val="Normal_Plain"/>
    <w:basedOn w:val="Normal"/>
    <w:qFormat/>
    <w:rsid w:val="004A36DE"/>
    <w:pPr>
      <w:ind w:left="1260"/>
    </w:pPr>
    <w:rPr>
      <w:lang w:eastAsia="ko-KR"/>
    </w:rPr>
  </w:style>
  <w:style w:type="paragraph" w:customStyle="1" w:styleId="AATitle">
    <w:name w:val="AA_Title"/>
    <w:basedOn w:val="Normal"/>
    <w:rsid w:val="00EC6548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</w:rPr>
  </w:style>
  <w:style w:type="character" w:styleId="BookTitle">
    <w:name w:val="Book Title"/>
    <w:basedOn w:val="DefaultParagraphFont"/>
    <w:uiPriority w:val="33"/>
    <w:qFormat/>
    <w:rsid w:val="00F63428"/>
    <w:rPr>
      <w:rFonts w:cs="Times New Roman"/>
      <w:b/>
      <w:bCs/>
      <w:smallCaps/>
      <w:spacing w:val="5"/>
    </w:rPr>
  </w:style>
  <w:style w:type="paragraph" w:customStyle="1" w:styleId="ZZAnxheader">
    <w:name w:val="ZZ_Anx_header"/>
    <w:basedOn w:val="Normal"/>
    <w:rsid w:val="00F6342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b/>
      <w:bCs/>
      <w:sz w:val="28"/>
      <w:szCs w:val="22"/>
    </w:rPr>
  </w:style>
  <w:style w:type="paragraph" w:customStyle="1" w:styleId="Footerpool">
    <w:name w:val="Footer_pool"/>
    <w:basedOn w:val="Normal"/>
    <w:next w:val="Normal"/>
    <w:semiHidden/>
    <w:rsid w:val="005037BE"/>
    <w:pPr>
      <w:tabs>
        <w:tab w:val="left" w:pos="4321"/>
        <w:tab w:val="right" w:pos="8641"/>
      </w:tabs>
      <w:spacing w:before="60" w:after="120" w:line="276" w:lineRule="auto"/>
    </w:pPr>
    <w:rPr>
      <w:rFonts w:ascii="Calibri" w:hAnsi="Calibri"/>
      <w:b/>
      <w:sz w:val="18"/>
      <w:szCs w:val="22"/>
    </w:rPr>
  </w:style>
  <w:style w:type="paragraph" w:customStyle="1" w:styleId="Headerpool">
    <w:name w:val="Header_pool"/>
    <w:basedOn w:val="Normal"/>
    <w:next w:val="Normal"/>
    <w:semiHidden/>
    <w:rsid w:val="005037BE"/>
    <w:pPr>
      <w:pBdr>
        <w:bottom w:val="single" w:sz="4" w:space="1" w:color="auto"/>
      </w:pBdr>
      <w:tabs>
        <w:tab w:val="center" w:pos="4536"/>
        <w:tab w:val="right" w:pos="9072"/>
      </w:tabs>
      <w:spacing w:after="120" w:line="276" w:lineRule="auto"/>
    </w:pPr>
    <w:rPr>
      <w:rFonts w:ascii="Calibri" w:hAnsi="Calibri"/>
      <w:b/>
      <w:sz w:val="18"/>
      <w:szCs w:val="22"/>
    </w:rPr>
  </w:style>
  <w:style w:type="paragraph" w:customStyle="1" w:styleId="Normalpool">
    <w:name w:val="Normal_pool"/>
    <w:semiHidden/>
    <w:rsid w:val="005037B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4"/>
      <w:szCs w:val="24"/>
    </w:rPr>
  </w:style>
  <w:style w:type="paragraph" w:customStyle="1" w:styleId="Footer-pool">
    <w:name w:val="Footer-pool"/>
    <w:basedOn w:val="Normal-pool"/>
    <w:next w:val="Normal-pool"/>
    <w:rsid w:val="005037BE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  <w:szCs w:val="24"/>
    </w:rPr>
  </w:style>
  <w:style w:type="paragraph" w:customStyle="1" w:styleId="Header-pool">
    <w:name w:val="Header-pool"/>
    <w:basedOn w:val="Normal-pool"/>
    <w:next w:val="Normal-pool"/>
    <w:rsid w:val="005037BE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  <w:szCs w:val="24"/>
    </w:rPr>
  </w:style>
  <w:style w:type="paragraph" w:customStyle="1" w:styleId="TablesClmnHd">
    <w:name w:val="_Tables_Clmn_Hd"/>
    <w:basedOn w:val="Normal"/>
    <w:rsid w:val="005037BE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037BE"/>
  </w:style>
  <w:style w:type="character" w:customStyle="1" w:styleId="TablesBodyChar">
    <w:name w:val="_Tables_Body Char"/>
    <w:link w:val="TablesBody"/>
    <w:locked/>
    <w:rsid w:val="005037BE"/>
    <w:rPr>
      <w:i/>
      <w:spacing w:val="6"/>
      <w:w w:val="106"/>
      <w:kern w:val="8"/>
      <w:sz w:val="14"/>
      <w:lang w:val="ru-RU" w:eastAsia="x-none"/>
    </w:rPr>
  </w:style>
  <w:style w:type="paragraph" w:styleId="BodyText">
    <w:name w:val="Body Text"/>
    <w:basedOn w:val="Normal"/>
    <w:link w:val="BodyTextChar"/>
    <w:uiPriority w:val="99"/>
    <w:rsid w:val="005037BE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37BE"/>
    <w:rPr>
      <w:rFonts w:cs="Times New Roman"/>
      <w:sz w:val="24"/>
      <w:lang w:val="ru-RU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5037B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037BE"/>
    <w:rPr>
      <w:rFonts w:ascii="Calibri" w:hAnsi="Calibri"/>
      <w:sz w:val="22"/>
      <w:szCs w:val="22"/>
    </w:rPr>
  </w:style>
  <w:style w:type="character" w:customStyle="1" w:styleId="st">
    <w:name w:val="st"/>
    <w:rsid w:val="005037BE"/>
  </w:style>
  <w:style w:type="table" w:customStyle="1" w:styleId="PlainTable11">
    <w:name w:val="Plain Table 11"/>
    <w:basedOn w:val="TableNormal"/>
    <w:next w:val="PlainTable12"/>
    <w:uiPriority w:val="41"/>
    <w:rsid w:val="005037BE"/>
    <w:rPr>
      <w:rFonts w:ascii="Calibri" w:hAnsi="Calibri"/>
      <w:sz w:val="22"/>
      <w:szCs w:val="22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>
        <w:widowControl/>
      </w:pPr>
      <w:rPr>
        <w:rFonts w:cs="Times New Roman"/>
        <w:b/>
        <w:bCs/>
      </w:rPr>
    </w:tblStylePr>
    <w:tblStylePr w:type="lastRow">
      <w:pPr>
        <w:widowControl/>
      </w:pPr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  <w:tblStylePr w:type="band1Vert">
      <w:pPr>
        <w:widowControl/>
      </w:pPr>
      <w:rPr>
        <w:rFonts w:cs="Times New Roman"/>
      </w:rPr>
      <w:tblPr/>
      <w:tcPr>
        <w:shd w:val="clear" w:color="auto" w:fill="F2F2F2"/>
      </w:tcPr>
    </w:tblStylePr>
    <w:tblStylePr w:type="band1Horz">
      <w:pPr>
        <w:widowControl/>
      </w:pPr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037BE"/>
    <w:rPr>
      <w:rFonts w:ascii="Calibri" w:hAnsi="Calibri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>
        <w:widowControl/>
      </w:pPr>
      <w:rPr>
        <w:rFonts w:cs="Times New Roman"/>
        <w:b/>
        <w:bCs/>
      </w:rPr>
    </w:tblStylePr>
    <w:tblStylePr w:type="lastRow">
      <w:pPr>
        <w:widowControl/>
      </w:pPr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  <w:tblStylePr w:type="band1Vert">
      <w:pPr>
        <w:widowControl/>
      </w:pPr>
      <w:rPr>
        <w:rFonts w:cs="Times New Roman"/>
      </w:rPr>
      <w:tblPr/>
      <w:tcPr>
        <w:shd w:val="clear" w:color="auto" w:fill="F2F2F2"/>
      </w:tcPr>
    </w:tblStylePr>
    <w:tblStylePr w:type="band1Horz">
      <w:pPr>
        <w:widowControl/>
      </w:pPr>
      <w:rPr>
        <w:rFonts w:cs="Times New Roman"/>
      </w:rPr>
      <w:tblPr/>
      <w:tcPr>
        <w:shd w:val="clear" w:color="auto" w:fill="F2F2F2"/>
      </w:tcPr>
    </w:tblStylePr>
  </w:style>
  <w:style w:type="table" w:customStyle="1" w:styleId="TableGrid1">
    <w:name w:val="Table Grid1"/>
    <w:basedOn w:val="TableNormal"/>
    <w:next w:val="TableGrid"/>
    <w:uiPriority w:val="39"/>
    <w:rsid w:val="005037BE"/>
    <w:rPr>
      <w:rFonts w:ascii="Calibri" w:hAnsi="Calibri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37BE"/>
    <w:rPr>
      <w:rFonts w:eastAsia="Times New Roman"/>
      <w:sz w:val="24"/>
      <w:szCs w:val="24"/>
    </w:rPr>
  </w:style>
  <w:style w:type="table" w:customStyle="1" w:styleId="PlainTable21">
    <w:name w:val="Plain Table 21"/>
    <w:basedOn w:val="TableNormal"/>
    <w:uiPriority w:val="42"/>
    <w:rsid w:val="005037BE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idowControl/>
      </w:pPr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pPr>
        <w:widowControl/>
      </w:pPr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  <w:tblStylePr w:type="band1Vert">
      <w:pPr>
        <w:widowControl/>
      </w:pPr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pPr>
        <w:widowControl/>
      </w:pPr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pPr>
        <w:widowControl/>
      </w:pPr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037BE"/>
    <w:pPr>
      <w:spacing w:after="200" w:line="276" w:lineRule="auto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037BE"/>
    <w:rPr>
      <w:rFonts w:ascii="Lucida Grande" w:eastAsia="Times New Roman" w:hAnsi="Lucida Grande" w:cs="Lucida Grande"/>
      <w:sz w:val="24"/>
      <w:szCs w:val="24"/>
      <w:lang w:val="ru-RU" w:eastAsia="x-none"/>
    </w:rPr>
  </w:style>
  <w:style w:type="table" w:customStyle="1" w:styleId="GridTable1Light-Accent51">
    <w:name w:val="Grid Table 1 Light - Accent 51"/>
    <w:basedOn w:val="TableNormal"/>
    <w:uiPriority w:val="46"/>
    <w:rsid w:val="005037BE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pPr>
        <w:widowControl/>
      </w:pPr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pPr>
        <w:widowControl/>
      </w:pPr>
      <w:rPr>
        <w:rFonts w:cs="Times New Roman"/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</w:style>
  <w:style w:type="paragraph" w:styleId="ListParagraph">
    <w:name w:val="List Paragraph"/>
    <w:basedOn w:val="Normal"/>
    <w:uiPriority w:val="34"/>
    <w:qFormat/>
    <w:rsid w:val="005037B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customStyle="1" w:styleId="PlainTable31">
    <w:name w:val="Plain Table 31"/>
    <w:basedOn w:val="TableNormal"/>
    <w:uiPriority w:val="43"/>
    <w:rsid w:val="005037BE"/>
    <w:rPr>
      <w:rFonts w:ascii="Calibri" w:hAnsi="Calibri"/>
      <w:lang w:eastAsia="de-DE"/>
    </w:rPr>
    <w:tblPr>
      <w:tblStyleRowBandSize w:val="1"/>
      <w:tblStyleColBandSize w:val="1"/>
    </w:tblPr>
    <w:tblStylePr w:type="firstRow">
      <w:pPr>
        <w:widowControl/>
      </w:pPr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pPr>
        <w:widowControl/>
      </w:pPr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pPr>
        <w:widowControl/>
      </w:pPr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pPr>
        <w:widowControl/>
      </w:pPr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pPr>
        <w:widowControl/>
      </w:pPr>
      <w:rPr>
        <w:rFonts w:cs="Times New Roman"/>
      </w:rPr>
      <w:tblPr/>
      <w:tcPr>
        <w:shd w:val="clear" w:color="auto" w:fill="F2F2F2"/>
      </w:tcPr>
    </w:tblStylePr>
    <w:tblStylePr w:type="band1Horz">
      <w:pPr>
        <w:widowControl/>
      </w:pPr>
      <w:rPr>
        <w:rFonts w:cs="Times New Roman"/>
      </w:rPr>
      <w:tblPr/>
      <w:tcPr>
        <w:shd w:val="clear" w:color="auto" w:fill="F2F2F2"/>
      </w:tcPr>
    </w:tblStylePr>
    <w:tblStylePr w:type="neCell">
      <w:pPr>
        <w:widowControl/>
      </w:pPr>
      <w:rPr>
        <w:rFonts w:cs="Times New Roman"/>
      </w:rPr>
      <w:tblPr/>
      <w:tcPr>
        <w:tcBorders>
          <w:left w:val="nil"/>
        </w:tcBorders>
      </w:tcPr>
    </w:tblStylePr>
    <w:tblStylePr w:type="nwCell">
      <w:pPr>
        <w:widowControl/>
      </w:pPr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37BE"/>
    <w:rPr>
      <w:rFonts w:ascii="Calibri" w:hAnsi="Calibri"/>
      <w:lang w:eastAsia="de-DE"/>
    </w:rPr>
    <w:tblPr>
      <w:tblStyleRowBandSize w:val="1"/>
      <w:tblStyleColBandSize w:val="1"/>
    </w:tblPr>
    <w:tblStylePr w:type="firstRow">
      <w:pPr>
        <w:widowControl/>
      </w:pPr>
      <w:rPr>
        <w:rFonts w:cs="Times New Roman"/>
        <w:b/>
        <w:bCs/>
      </w:rPr>
    </w:tblStylePr>
    <w:tblStylePr w:type="lastRow">
      <w:pPr>
        <w:widowControl/>
      </w:pPr>
      <w:rPr>
        <w:rFonts w:cs="Times New Roman"/>
        <w:b/>
        <w:bCs/>
      </w:r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  <w:tblStylePr w:type="band1Vert">
      <w:pPr>
        <w:widowControl/>
      </w:pPr>
      <w:rPr>
        <w:rFonts w:cs="Times New Roman"/>
      </w:rPr>
      <w:tblPr/>
      <w:tcPr>
        <w:shd w:val="clear" w:color="auto" w:fill="F2F2F2"/>
      </w:tcPr>
    </w:tblStylePr>
    <w:tblStylePr w:type="band1Horz">
      <w:pPr>
        <w:widowControl/>
      </w:pPr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5037BE"/>
    <w:rPr>
      <w:rFonts w:ascii="Calibri" w:hAnsi="Calibri"/>
      <w:lang w:eastAsia="de-DE"/>
    </w:rPr>
    <w:tblPr>
      <w:tblStyleRowBandSize w:val="1"/>
      <w:tblStyleColBandSize w:val="1"/>
    </w:tblPr>
    <w:tblStylePr w:type="firstRow">
      <w:pPr>
        <w:widowControl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pPr>
        <w:widowControl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widowControl/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pPr>
        <w:widowControl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pPr>
        <w:widowControl/>
      </w:pPr>
      <w:rPr>
        <w:rFonts w:cs="Times New Roman"/>
      </w:rPr>
      <w:tblPr/>
      <w:tcPr>
        <w:shd w:val="clear" w:color="auto" w:fill="F2F2F2"/>
      </w:tcPr>
    </w:tblStylePr>
    <w:tblStylePr w:type="band1Horz">
      <w:pPr>
        <w:widowControl/>
      </w:pPr>
      <w:rPr>
        <w:rFonts w:cs="Times New Roman"/>
      </w:rPr>
      <w:tblPr/>
      <w:tcPr>
        <w:shd w:val="clear" w:color="auto" w:fill="F2F2F2"/>
      </w:tcPr>
    </w:tblStylePr>
    <w:tblStylePr w:type="neCell">
      <w:pPr>
        <w:widowControl/>
      </w:pPr>
      <w:rPr>
        <w:rFonts w:cs="Times New Roman"/>
      </w:rPr>
      <w:tblPr/>
      <w:tcPr>
        <w:tcBorders>
          <w:left w:val="nil"/>
        </w:tcBorders>
      </w:tcPr>
    </w:tblStylePr>
    <w:tblStylePr w:type="nwCell">
      <w:pPr>
        <w:widowControl/>
      </w:pPr>
      <w:rPr>
        <w:rFonts w:cs="Times New Roman"/>
      </w:rPr>
      <w:tblPr/>
      <w:tcPr>
        <w:tcBorders>
          <w:right w:val="nil"/>
        </w:tcBorders>
      </w:tcPr>
    </w:tblStylePr>
    <w:tblStylePr w:type="seCell">
      <w:pPr>
        <w:widowControl/>
      </w:pPr>
      <w:rPr>
        <w:rFonts w:cs="Times New Roman"/>
      </w:rPr>
      <w:tblPr/>
      <w:tcPr>
        <w:tcBorders>
          <w:left w:val="nil"/>
        </w:tcBorders>
      </w:tcPr>
    </w:tblStylePr>
    <w:tblStylePr w:type="swCell">
      <w:pPr>
        <w:widowControl/>
      </w:pPr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5037BE"/>
    <w:rPr>
      <w:rFonts w:ascii="Calibri" w:hAnsi="Calibri"/>
      <w:lang w:eastAsia="de-DE"/>
    </w:rPr>
    <w:tblPr>
      <w:tblStyleRowBandSize w:val="1"/>
      <w:tblStyleColBandSize w:val="1"/>
    </w:tblPr>
    <w:tcPr>
      <w:shd w:val="clear" w:color="auto" w:fill="FFFFFF"/>
    </w:tcPr>
    <w:tblStylePr w:type="firstRow">
      <w:pPr>
        <w:widowControl/>
      </w:pPr>
      <w:rPr>
        <w:rFonts w:cs="Times New Roman"/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pPr>
        <w:widowControl/>
      </w:pPr>
      <w:rPr>
        <w:rFonts w:cs="Times New Roman"/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  <w:tblStylePr w:type="band1Vert">
      <w:pPr>
        <w:widowControl/>
      </w:pPr>
      <w:rPr>
        <w:rFonts w:cs="Times New Roman"/>
      </w:rPr>
      <w:tblPr/>
      <w:tcPr>
        <w:shd w:val="clear" w:color="auto" w:fill="DEEAF6"/>
      </w:tcPr>
    </w:tblStylePr>
    <w:tblStylePr w:type="band1Horz">
      <w:pPr>
        <w:widowControl/>
      </w:pPr>
      <w:rPr>
        <w:rFonts w:cs="Times New Roman"/>
      </w:rPr>
      <w:tblPr/>
      <w:tcPr>
        <w:shd w:val="clear" w:color="auto" w:fill="DEEAF6"/>
      </w:tcPr>
    </w:tblStylePr>
  </w:style>
  <w:style w:type="table" w:customStyle="1" w:styleId="GridTable1Light1">
    <w:name w:val="Grid Table 1 Light1"/>
    <w:basedOn w:val="TableNormal"/>
    <w:uiPriority w:val="46"/>
    <w:rsid w:val="005037BE"/>
    <w:rPr>
      <w:rFonts w:ascii="Calibri" w:hAnsi="Calibri"/>
      <w:lang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widowControl/>
      </w:pPr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pPr>
        <w:widowControl/>
      </w:pPr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37BE"/>
    <w:rPr>
      <w:rFonts w:ascii="Calibri" w:hAnsi="Calibri"/>
      <w:lang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pPr>
        <w:widowControl/>
      </w:pPr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pPr>
        <w:widowControl/>
      </w:pPr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</w:style>
  <w:style w:type="table" w:styleId="ColorfulGrid">
    <w:name w:val="Colorful Grid"/>
    <w:basedOn w:val="TableNormal"/>
    <w:uiPriority w:val="73"/>
    <w:rsid w:val="005037BE"/>
    <w:rPr>
      <w:rFonts w:ascii="Calibri" w:hAnsi="Calibri"/>
      <w:color w:val="000000"/>
      <w:lang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pPr>
        <w:widowControl/>
      </w:pPr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pPr>
        <w:widowControl/>
      </w:pPr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pPr>
        <w:widowControl/>
      </w:pPr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pPr>
        <w:widowControl/>
      </w:pPr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pPr>
        <w:widowControl/>
      </w:pPr>
      <w:rPr>
        <w:rFonts w:cs="Times New Roman"/>
      </w:rPr>
      <w:tblPr/>
      <w:tcPr>
        <w:shd w:val="clear" w:color="auto" w:fill="808080"/>
      </w:tcPr>
    </w:tblStylePr>
    <w:tblStylePr w:type="band1Horz">
      <w:pPr>
        <w:widowControl/>
      </w:pPr>
      <w:rPr>
        <w:rFonts w:cs="Times New Roman"/>
      </w:rPr>
      <w:tblPr/>
      <w:tcPr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5037BE"/>
    <w:rPr>
      <w:rFonts w:ascii="Calibri" w:hAnsi="Calibri"/>
      <w:lang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pPr>
        <w:widowControl/>
      </w:pPr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pPr>
        <w:widowControl/>
      </w:pPr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pPr>
        <w:widowControl/>
      </w:pPr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pPr>
        <w:widowControl/>
      </w:pPr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pPr>
        <w:widowControl/>
      </w:pPr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pPr>
        <w:widowControl/>
      </w:pPr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ListTable1Light1">
    <w:name w:val="List Table 1 Light1"/>
    <w:basedOn w:val="TableNormal"/>
    <w:uiPriority w:val="46"/>
    <w:rsid w:val="005037BE"/>
    <w:rPr>
      <w:rFonts w:ascii="Calibri" w:hAnsi="Calibri"/>
      <w:lang w:eastAsia="de-DE"/>
    </w:rPr>
    <w:tblPr>
      <w:tblStyleRowBandSize w:val="1"/>
      <w:tblStyleColBandSize w:val="1"/>
    </w:tblPr>
    <w:tblStylePr w:type="firstRow">
      <w:pPr>
        <w:widowControl/>
      </w:pPr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pPr>
        <w:widowControl/>
      </w:pPr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  <w:tblStylePr w:type="band1Vert">
      <w:pPr>
        <w:widowControl/>
      </w:pPr>
      <w:rPr>
        <w:rFonts w:cs="Times New Roman"/>
      </w:rPr>
      <w:tblPr/>
      <w:tcPr>
        <w:shd w:val="clear" w:color="auto" w:fill="CCCCCC"/>
      </w:tcPr>
    </w:tblStylePr>
    <w:tblStylePr w:type="band1Horz">
      <w:pPr>
        <w:widowControl/>
      </w:pPr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1Light-Accent31">
    <w:name w:val="Grid Table 1 Light - Accent 31"/>
    <w:basedOn w:val="TableNormal"/>
    <w:uiPriority w:val="46"/>
    <w:rsid w:val="005037BE"/>
    <w:rPr>
      <w:rFonts w:ascii="Calibri" w:hAnsi="Calibri"/>
      <w:lang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pPr>
        <w:widowControl/>
      </w:pPr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pPr>
        <w:widowControl/>
      </w:pPr>
      <w:rPr>
        <w:rFonts w:cs="Times New Roman"/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</w:style>
  <w:style w:type="table" w:styleId="LightShading-Accent3">
    <w:name w:val="Light Shading Accent 3"/>
    <w:basedOn w:val="TableNormal"/>
    <w:uiPriority w:val="60"/>
    <w:rsid w:val="005037BE"/>
    <w:rPr>
      <w:rFonts w:ascii="Calibri" w:hAnsi="Calibri"/>
      <w:color w:val="7B7B7B"/>
      <w:lang w:eastAsia="de-DE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widowControl/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widowControl/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  <w:tblStylePr w:type="band1Vert">
      <w:pPr>
        <w:widowControl/>
      </w:pPr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pPr>
        <w:widowControl/>
      </w:pPr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5">
    <w:name w:val="Light Shading Accent 5"/>
    <w:basedOn w:val="TableNormal"/>
    <w:uiPriority w:val="60"/>
    <w:rsid w:val="005037BE"/>
    <w:rPr>
      <w:rFonts w:ascii="Calibri" w:hAnsi="Calibri"/>
      <w:color w:val="2F5496"/>
      <w:lang w:eastAsia="de-DE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widowControl/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widowControl/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  <w:tblStylePr w:type="band1Vert">
      <w:pPr>
        <w:widowControl/>
      </w:pPr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pPr>
        <w:widowControl/>
      </w:pPr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1">
    <w:name w:val="Light Shading Accent 1"/>
    <w:basedOn w:val="TableNormal"/>
    <w:uiPriority w:val="60"/>
    <w:rsid w:val="005037BE"/>
    <w:rPr>
      <w:rFonts w:ascii="Calibri" w:hAnsi="Calibri"/>
      <w:color w:val="2E74B5"/>
      <w:lang w:eastAsia="de-DE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widowControl/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widowControl/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  <w:tblStylePr w:type="band1Vert">
      <w:pPr>
        <w:widowControl/>
      </w:pPr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pPr>
        <w:widowControl/>
      </w:pPr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AnnexHeading1">
    <w:name w:val="Annex Heading 1"/>
    <w:basedOn w:val="Heading1"/>
    <w:qFormat/>
    <w:rsid w:val="005037BE"/>
    <w:pPr>
      <w:numPr>
        <w:numId w:val="8"/>
      </w:numPr>
      <w:ind w:left="1276" w:hanging="709"/>
    </w:pPr>
  </w:style>
  <w:style w:type="character" w:customStyle="1" w:styleId="st1">
    <w:name w:val="st1"/>
    <w:basedOn w:val="DefaultParagraphFont"/>
    <w:rsid w:val="005037BE"/>
    <w:rPr>
      <w:rFonts w:cs="Times New Roman"/>
    </w:rPr>
  </w:style>
  <w:style w:type="paragraph" w:styleId="Revision">
    <w:name w:val="Revision"/>
    <w:hidden/>
    <w:uiPriority w:val="99"/>
    <w:semiHidden/>
    <w:rsid w:val="005037BE"/>
    <w:rPr>
      <w:rFonts w:ascii="Calibri" w:eastAsia="MS Mincho" w:hAnsi="Calibri"/>
      <w:sz w:val="22"/>
      <w:szCs w:val="22"/>
    </w:rPr>
  </w:style>
  <w:style w:type="table" w:customStyle="1" w:styleId="PlainTable13">
    <w:name w:val="Plain Table 13"/>
    <w:basedOn w:val="TableNormal"/>
    <w:uiPriority w:val="41"/>
    <w:rsid w:val="005037BE"/>
    <w:rPr>
      <w:rFonts w:ascii="Calibri" w:hAnsi="Calibri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>
        <w:widowControl/>
      </w:pPr>
      <w:rPr>
        <w:rFonts w:cs="Times New Roman"/>
        <w:b/>
        <w:bCs/>
      </w:rPr>
    </w:tblStylePr>
    <w:tblStylePr w:type="lastRow">
      <w:pPr>
        <w:widowControl/>
      </w:pPr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  <w:tblStylePr w:type="band1Vert">
      <w:pPr>
        <w:widowControl/>
      </w:pPr>
      <w:rPr>
        <w:rFonts w:cs="Times New Roman"/>
      </w:rPr>
      <w:tblPr/>
      <w:tcPr>
        <w:shd w:val="clear" w:color="auto" w:fill="F2F2F2"/>
      </w:tcPr>
    </w:tblStylePr>
    <w:tblStylePr w:type="band1Horz">
      <w:pPr>
        <w:widowControl/>
      </w:pPr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uiPriority w:val="42"/>
    <w:rsid w:val="005037BE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idowControl/>
      </w:pPr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pPr>
        <w:widowControl/>
      </w:pPr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  <w:tblStylePr w:type="band1Vert">
      <w:pPr>
        <w:widowControl/>
      </w:pPr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pPr>
        <w:widowControl/>
      </w:pPr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pPr>
        <w:widowControl/>
      </w:pPr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2">
    <w:name w:val="Grid Table 1 Light - Accent 52"/>
    <w:basedOn w:val="TableNormal"/>
    <w:uiPriority w:val="46"/>
    <w:rsid w:val="005037BE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pPr>
        <w:widowControl/>
      </w:pPr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pPr>
        <w:widowControl/>
      </w:pPr>
      <w:rPr>
        <w:rFonts w:cs="Times New Roman"/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</w:style>
  <w:style w:type="table" w:customStyle="1" w:styleId="PlainTable32">
    <w:name w:val="Plain Table 32"/>
    <w:basedOn w:val="TableNormal"/>
    <w:uiPriority w:val="43"/>
    <w:rsid w:val="005037BE"/>
    <w:rPr>
      <w:rFonts w:ascii="Calibri" w:hAnsi="Calibri"/>
      <w:lang w:eastAsia="de-DE"/>
    </w:rPr>
    <w:tblPr>
      <w:tblStyleRowBandSize w:val="1"/>
      <w:tblStyleColBandSize w:val="1"/>
    </w:tblPr>
    <w:tblStylePr w:type="firstRow">
      <w:pPr>
        <w:widowControl/>
      </w:pPr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pPr>
        <w:widowControl/>
      </w:pPr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pPr>
        <w:widowControl/>
      </w:pPr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pPr>
        <w:widowControl/>
      </w:pPr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pPr>
        <w:widowControl/>
      </w:pPr>
      <w:rPr>
        <w:rFonts w:cs="Times New Roman"/>
      </w:rPr>
      <w:tblPr/>
      <w:tcPr>
        <w:shd w:val="clear" w:color="auto" w:fill="F2F2F2"/>
      </w:tcPr>
    </w:tblStylePr>
    <w:tblStylePr w:type="band1Horz">
      <w:pPr>
        <w:widowControl/>
      </w:pPr>
      <w:rPr>
        <w:rFonts w:cs="Times New Roman"/>
      </w:rPr>
      <w:tblPr/>
      <w:tcPr>
        <w:shd w:val="clear" w:color="auto" w:fill="F2F2F2"/>
      </w:tcPr>
    </w:tblStylePr>
    <w:tblStylePr w:type="neCell">
      <w:pPr>
        <w:widowControl/>
      </w:pPr>
      <w:rPr>
        <w:rFonts w:cs="Times New Roman"/>
      </w:rPr>
      <w:tblPr/>
      <w:tcPr>
        <w:tcBorders>
          <w:left w:val="nil"/>
        </w:tcBorders>
      </w:tcPr>
    </w:tblStylePr>
    <w:tblStylePr w:type="nwCell">
      <w:pPr>
        <w:widowControl/>
      </w:pPr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5037BE"/>
    <w:rPr>
      <w:rFonts w:ascii="Calibri" w:hAnsi="Calibri"/>
      <w:lang w:eastAsia="de-DE"/>
    </w:rPr>
    <w:tblPr>
      <w:tblStyleRowBandSize w:val="1"/>
      <w:tblStyleColBandSize w:val="1"/>
    </w:tblPr>
    <w:tblStylePr w:type="firstRow">
      <w:pPr>
        <w:widowControl/>
      </w:pPr>
      <w:rPr>
        <w:rFonts w:cs="Times New Roman"/>
        <w:b/>
        <w:bCs/>
      </w:rPr>
    </w:tblStylePr>
    <w:tblStylePr w:type="lastRow">
      <w:pPr>
        <w:widowControl/>
      </w:pPr>
      <w:rPr>
        <w:rFonts w:cs="Times New Roman"/>
        <w:b/>
        <w:bCs/>
      </w:r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  <w:tblStylePr w:type="band1Vert">
      <w:pPr>
        <w:widowControl/>
      </w:pPr>
      <w:rPr>
        <w:rFonts w:cs="Times New Roman"/>
      </w:rPr>
      <w:tblPr/>
      <w:tcPr>
        <w:shd w:val="clear" w:color="auto" w:fill="F2F2F2"/>
      </w:tcPr>
    </w:tblStylePr>
    <w:tblStylePr w:type="band1Horz">
      <w:pPr>
        <w:widowControl/>
      </w:pPr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52">
    <w:name w:val="Plain Table 52"/>
    <w:basedOn w:val="TableNormal"/>
    <w:uiPriority w:val="45"/>
    <w:rsid w:val="005037BE"/>
    <w:rPr>
      <w:rFonts w:ascii="Calibri" w:hAnsi="Calibri"/>
      <w:lang w:eastAsia="de-DE"/>
    </w:rPr>
    <w:tblPr>
      <w:tblStyleRowBandSize w:val="1"/>
      <w:tblStyleColBandSize w:val="1"/>
    </w:tblPr>
    <w:tblStylePr w:type="firstRow">
      <w:pPr>
        <w:widowControl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pPr>
        <w:widowControl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widowControl/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pPr>
        <w:widowControl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pPr>
        <w:widowControl/>
      </w:pPr>
      <w:rPr>
        <w:rFonts w:cs="Times New Roman"/>
      </w:rPr>
      <w:tblPr/>
      <w:tcPr>
        <w:shd w:val="clear" w:color="auto" w:fill="F2F2F2"/>
      </w:tcPr>
    </w:tblStylePr>
    <w:tblStylePr w:type="band1Horz">
      <w:pPr>
        <w:widowControl/>
      </w:pPr>
      <w:rPr>
        <w:rFonts w:cs="Times New Roman"/>
      </w:rPr>
      <w:tblPr/>
      <w:tcPr>
        <w:shd w:val="clear" w:color="auto" w:fill="F2F2F2"/>
      </w:tcPr>
    </w:tblStylePr>
    <w:tblStylePr w:type="neCell">
      <w:pPr>
        <w:widowControl/>
      </w:pPr>
      <w:rPr>
        <w:rFonts w:cs="Times New Roman"/>
      </w:rPr>
      <w:tblPr/>
      <w:tcPr>
        <w:tcBorders>
          <w:left w:val="nil"/>
        </w:tcBorders>
      </w:tcPr>
    </w:tblStylePr>
    <w:tblStylePr w:type="nwCell">
      <w:pPr>
        <w:widowControl/>
      </w:pPr>
      <w:rPr>
        <w:rFonts w:cs="Times New Roman"/>
      </w:rPr>
      <w:tblPr/>
      <w:tcPr>
        <w:tcBorders>
          <w:right w:val="nil"/>
        </w:tcBorders>
      </w:tcPr>
    </w:tblStylePr>
    <w:tblStylePr w:type="seCell">
      <w:pPr>
        <w:widowControl/>
      </w:pPr>
      <w:rPr>
        <w:rFonts w:cs="Times New Roman"/>
      </w:rPr>
      <w:tblPr/>
      <w:tcPr>
        <w:tcBorders>
          <w:left w:val="nil"/>
        </w:tcBorders>
      </w:tcPr>
    </w:tblStylePr>
    <w:tblStylePr w:type="swCell">
      <w:pPr>
        <w:widowControl/>
      </w:pPr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1Light-Accent12">
    <w:name w:val="List Table 1 Light - Accent 12"/>
    <w:basedOn w:val="TableNormal"/>
    <w:uiPriority w:val="46"/>
    <w:rsid w:val="005037BE"/>
    <w:rPr>
      <w:rFonts w:ascii="Calibri" w:hAnsi="Calibri"/>
      <w:lang w:eastAsia="de-DE"/>
    </w:rPr>
    <w:tblPr>
      <w:tblStyleRowBandSize w:val="1"/>
      <w:tblStyleColBandSize w:val="1"/>
    </w:tblPr>
    <w:tcPr>
      <w:shd w:val="clear" w:color="auto" w:fill="FFFFFF"/>
    </w:tcPr>
    <w:tblStylePr w:type="firstRow">
      <w:pPr>
        <w:widowControl/>
      </w:pPr>
      <w:rPr>
        <w:rFonts w:cs="Times New Roman"/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pPr>
        <w:widowControl/>
      </w:pPr>
      <w:rPr>
        <w:rFonts w:cs="Times New Roman"/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  <w:tblStylePr w:type="band1Vert">
      <w:pPr>
        <w:widowControl/>
      </w:pPr>
      <w:rPr>
        <w:rFonts w:cs="Times New Roman"/>
      </w:rPr>
      <w:tblPr/>
      <w:tcPr>
        <w:shd w:val="clear" w:color="auto" w:fill="DEEAF6"/>
      </w:tcPr>
    </w:tblStylePr>
    <w:tblStylePr w:type="band1Horz">
      <w:pPr>
        <w:widowControl/>
      </w:pPr>
      <w:rPr>
        <w:rFonts w:cs="Times New Roman"/>
      </w:rPr>
      <w:tblPr/>
      <w:tcPr>
        <w:shd w:val="clear" w:color="auto" w:fill="DEEAF6"/>
      </w:tcPr>
    </w:tblStylePr>
  </w:style>
  <w:style w:type="table" w:customStyle="1" w:styleId="GridTable1Light2">
    <w:name w:val="Grid Table 1 Light2"/>
    <w:basedOn w:val="TableNormal"/>
    <w:uiPriority w:val="46"/>
    <w:rsid w:val="005037BE"/>
    <w:rPr>
      <w:rFonts w:ascii="Calibri" w:hAnsi="Calibri"/>
      <w:lang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widowControl/>
      </w:pPr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pPr>
        <w:widowControl/>
      </w:pPr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5037BE"/>
    <w:rPr>
      <w:rFonts w:ascii="Calibri" w:hAnsi="Calibri"/>
      <w:lang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pPr>
        <w:widowControl/>
      </w:pPr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pPr>
        <w:widowControl/>
      </w:pPr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</w:style>
  <w:style w:type="table" w:customStyle="1" w:styleId="ListTable1Light2">
    <w:name w:val="List Table 1 Light2"/>
    <w:basedOn w:val="TableNormal"/>
    <w:uiPriority w:val="46"/>
    <w:rsid w:val="005037BE"/>
    <w:rPr>
      <w:rFonts w:ascii="Calibri" w:hAnsi="Calibri"/>
      <w:lang w:eastAsia="de-DE"/>
    </w:rPr>
    <w:tblPr>
      <w:tblStyleRowBandSize w:val="1"/>
      <w:tblStyleColBandSize w:val="1"/>
    </w:tblPr>
    <w:tblStylePr w:type="firstRow">
      <w:pPr>
        <w:widowControl/>
      </w:pPr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pPr>
        <w:widowControl/>
      </w:pPr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  <w:tblStylePr w:type="band1Vert">
      <w:pPr>
        <w:widowControl/>
      </w:pPr>
      <w:rPr>
        <w:rFonts w:cs="Times New Roman"/>
      </w:rPr>
      <w:tblPr/>
      <w:tcPr>
        <w:shd w:val="clear" w:color="auto" w:fill="CCCCCC"/>
      </w:tcPr>
    </w:tblStylePr>
    <w:tblStylePr w:type="band1Horz">
      <w:pPr>
        <w:widowControl/>
      </w:pPr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1Light-Accent32">
    <w:name w:val="Grid Table 1 Light - Accent 32"/>
    <w:basedOn w:val="TableNormal"/>
    <w:uiPriority w:val="46"/>
    <w:rsid w:val="005037BE"/>
    <w:rPr>
      <w:rFonts w:ascii="Calibri" w:hAnsi="Calibri"/>
      <w:lang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pPr>
        <w:widowControl/>
      </w:pPr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pPr>
        <w:widowControl/>
      </w:pPr>
      <w:rPr>
        <w:rFonts w:cs="Times New Roman"/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pPr>
        <w:widowControl/>
      </w:pPr>
      <w:rPr>
        <w:rFonts w:cs="Times New Roman"/>
        <w:b/>
        <w:bCs/>
      </w:rPr>
    </w:tblStylePr>
    <w:tblStylePr w:type="lastCol">
      <w:pPr>
        <w:widowControl/>
      </w:pPr>
      <w:rPr>
        <w:rFonts w:cs="Times New Roman"/>
        <w:b/>
        <w:bCs/>
      </w:r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37BE"/>
    <w:rPr>
      <w:rFonts w:ascii="Calibri" w:eastAsia="Times New Roman" w:hAnsi="Calibri" w:cs="Arial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037BE"/>
    <w:rPr>
      <w:rFonts w:ascii="Calibri" w:eastAsia="Times New Roman" w:hAnsi="Calibri" w:cs="Arial"/>
      <w:sz w:val="21"/>
      <w:szCs w:val="21"/>
      <w:lang w:val="ru-RU" w:eastAsia="x-none"/>
    </w:rPr>
  </w:style>
  <w:style w:type="numbering" w:customStyle="1" w:styleId="Normallist">
    <w:name w:val="Normal_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omare\Downloads\Template_Working_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d4f199e1-8ff6-4421-800c-b60412eeab13" xsi:nil="true"/>
    <Job_x0020_Number xmlns="d4f199e1-8ff6-4421-800c-b60412eeab13" xsi:nil="true"/>
    <Document_x0020_Language_x0028_s_x0029_ xmlns="d4f199e1-8ff6-4421-800c-b60412eeab13" xsi:nil="true"/>
    <Document_x0020_Name_ xmlns="9a8f22b8-05ea-4936-a963-5334b0fbdd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7B97D03965E4AAF48B8518C3B9D8C" ma:contentTypeVersion="52" ma:contentTypeDescription="Create a new document." ma:contentTypeScope="" ma:versionID="380abe7deed374b9ee5f9ae76b9369fa">
  <xsd:schema xmlns:xsd="http://www.w3.org/2001/XMLSchema" xmlns:xs="http://www.w3.org/2001/XMLSchema" xmlns:p="http://schemas.microsoft.com/office/2006/metadata/properties" xmlns:ns2="9a8f22b8-05ea-4936-a963-5334b0fbdd5f" xmlns:ns3="d4f199e1-8ff6-4421-800c-b60412eeab13" xmlns:ns4="699a0643-be3a-4930-aa07-4f5905529aa4" targetNamespace="http://schemas.microsoft.com/office/2006/metadata/properties" ma:root="true" ma:fieldsID="9280ef94f79a0566b74145095909fcab" ns2:_="" ns3:_="" ns4:_="">
    <xsd:import namespace="9a8f22b8-05ea-4936-a963-5334b0fbdd5f"/>
    <xsd:import namespace="d4f199e1-8ff6-4421-800c-b60412eeab13"/>
    <xsd:import namespace="699a0643-be3a-4930-aa07-4f5905529aa4"/>
    <xsd:element name="properties">
      <xsd:complexType>
        <xsd:sequence>
          <xsd:element name="documentManagement">
            <xsd:complexType>
              <xsd:all>
                <xsd:element ref="ns2:Document_x0020_Name_" minOccurs="0"/>
                <xsd:element ref="ns3:Document_x0020_Status" minOccurs="0"/>
                <xsd:element ref="ns3:Document_x0020_Language_x0028_s_x0029_" minOccurs="0"/>
                <xsd:element ref="ns3:Job_x0020_Number" minOccurs="0"/>
                <xsd:element ref="ns4:SharedWithUsers" minOccurs="0"/>
                <xsd:element ref="ns4:SharedWithDetails" minOccurs="0"/>
                <xsd:element ref="ns2:Document_x0020_Name_x003a_Document_x0020_Type" minOccurs="0"/>
                <xsd:element ref="ns2:Document_x0020_Name_x003a_Document_x0020_Edit_x0020_Type" minOccurs="0"/>
                <xsd:element ref="ns2:Document_x0020_Name_x003a_Distribution" minOccurs="0"/>
                <xsd:element ref="ns2:Document_x0020_Name_x003a_Docume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22b8-05ea-4936-a963-5334b0fbdd5f" elementFormDefault="qualified">
    <xsd:import namespace="http://schemas.microsoft.com/office/2006/documentManagement/types"/>
    <xsd:import namespace="http://schemas.microsoft.com/office/infopath/2007/PartnerControls"/>
    <xsd:element name="Document_x0020_Name_" ma:index="1" nillable="true" ma:displayName="Document Name" ma:indexed="true" ma:list="{4ec6360f-f2a9-4a0b-b5e8-01156924b145}" ma:internalName="Document_x0020_Name_" ma:readOnly="false" ma:showField="Title">
      <xsd:simpleType>
        <xsd:restriction base="dms:Lookup"/>
      </xsd:simpleType>
    </xsd:element>
    <xsd:element name="Document_x0020_Name_x003a_Document_x0020_Type" ma:index="10" nillable="true" ma:displayName="Document Name:Document Type" ma:list="{4ec6360f-f2a9-4a0b-b5e8-01156924b145}" ma:internalName="Document_x0020_Name_x003a_Document_x0020_Type" ma:readOnly="true" ma:showField="Document_x0020_Type_" ma:web="cdcbdaca-403c-4042-b44a-1c4b9866e4b7">
      <xsd:simpleType>
        <xsd:restriction base="dms:Lookup"/>
      </xsd:simpleType>
    </xsd:element>
    <xsd:element name="Document_x0020_Name_x003a_Document_x0020_Edit_x0020_Type" ma:index="11" nillable="true" ma:displayName="Document Name:Document Edit Type" ma:list="{4ec6360f-f2a9-4a0b-b5e8-01156924b145}" ma:internalName="Document_x0020_Name_x003a_Document_x0020_Edit_x0020_Type" ma:readOnly="true" ma:showField="m20d" ma:web="cdcbdaca-403c-4042-b44a-1c4b9866e4b7">
      <xsd:simpleType>
        <xsd:restriction base="dms:Lookup"/>
      </xsd:simpleType>
    </xsd:element>
    <xsd:element name="Document_x0020_Name_x003a_Distribution" ma:index="12" nillable="true" ma:displayName="Document Name:Distribution" ma:list="{4ec6360f-f2a9-4a0b-b5e8-01156924b145}" ma:internalName="Document_x0020_Name_x003a_Distribution" ma:readOnly="true" ma:showField="Distribution_" ma:web="cdcbdaca-403c-4042-b44a-1c4b9866e4b7">
      <xsd:simpleType>
        <xsd:restriction base="dms:Lookup"/>
      </xsd:simpleType>
    </xsd:element>
    <xsd:element name="Document_x0020_Name_x003a_DocumentID" ma:index="13" nillable="true" ma:displayName="Document Name:DocumentID" ma:list="{4ec6360f-f2a9-4a0b-b5e8-01156924b145}" ma:internalName="Document_x0020_Name_x003a_DocumentID" ma:readOnly="true" ma:showField="DocumentID" ma:web="cdcbdaca-403c-4042-b44a-1c4b9866e4b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199e1-8ff6-4421-800c-b60412eeab13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3" nillable="true" ma:displayName="Document Status" ma:description="Status of the document(Draft or Final)" ma:format="RadioButtons" ma:internalName="Document_x0020_Status">
      <xsd:simpleType>
        <xsd:restriction base="dms:Choice">
          <xsd:enumeration value="Template"/>
          <xsd:enumeration value="Draft"/>
          <xsd:enumeration value="Advance"/>
          <xsd:enumeration value="Final"/>
        </xsd:restriction>
      </xsd:simpleType>
    </xsd:element>
    <xsd:element name="Document_x0020_Language_x0028_s_x0029_" ma:index="4" nillable="true" ma:displayName="Document Language(s)" ma:description="Six official UN languages (Arabic, Chinese, English, French, Russian, Spanish)" ma:format="Dropdown" ma:indexed="true" ma:internalName="Document_x0020_Language_x0028_s_x0029_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</xsd:restriction>
      </xsd:simpleType>
    </xsd:element>
    <xsd:element name="Job_x0020_Number" ma:index="5" nillable="true" ma:displayName="Job Number" ma:description="The job number is assigned by  Documents Control and it includes the year, month and serial number." ma:internalName="Job_x0020_Number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a0643-be3a-4930-aa07-4f5905529a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85A7-04E5-4A45-B2D4-6199A8D3862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d4f199e1-8ff6-4421-800c-b60412eeab13"/>
    <ds:schemaRef ds:uri="http://schemas.openxmlformats.org/package/2006/metadata/core-properties"/>
    <ds:schemaRef ds:uri="9a8f22b8-05ea-4936-a963-5334b0fbdd5f"/>
    <ds:schemaRef ds:uri="http://purl.org/dc/elements/1.1/"/>
    <ds:schemaRef ds:uri="http://schemas.microsoft.com/office/infopath/2007/PartnerControls"/>
    <ds:schemaRef ds:uri="699a0643-be3a-4930-aa07-4f5905529a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D06B7D-BDA7-4D2A-9400-98F38FBC5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22b8-05ea-4936-a963-5334b0fbdd5f"/>
    <ds:schemaRef ds:uri="d4f199e1-8ff6-4421-800c-b60412eeab13"/>
    <ds:schemaRef ds:uri="699a0643-be3a-4930-aa07-4f5905529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24155-8A34-439C-AEA2-F3593154AC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9B7B7-2080-4BAD-A833-095DA05AB1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C6641A-B319-4E2D-87CA-D0CF0805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Template_Working_Documents.dotx</Template>
  <TotalTime>4</TotalTime>
  <Pages>9</Pages>
  <Words>4418</Words>
  <Characters>31098</Characters>
  <Application>Microsoft Office Word</Application>
  <DocSecurity>0</DocSecurity>
  <Lines>259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35446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Benedict Aboki Omare</dc:creator>
  <cp:lastModifiedBy>Tamara Olago</cp:lastModifiedBy>
  <cp:revision>2</cp:revision>
  <cp:lastPrinted>2018-02-02T06:44:00Z</cp:lastPrinted>
  <dcterms:created xsi:type="dcterms:W3CDTF">2018-02-05T06:48:00Z</dcterms:created>
  <dcterms:modified xsi:type="dcterms:W3CDTF">2018-02-05T06:48:00Z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0x010100BA17B97D03965E4AAF48B8518C3B9D8C</vt:lpwstr>
  </property>
  <property fmtid="{D5CDD505-2E9C-101B-9397-08002B2CF9AE}" pid="3" name="Document distribution">
    <vt:lpwstr>General</vt:lpwstr>
  </property>
  <property fmtid="{D5CDD505-2E9C-101B-9397-08002B2CF9AE}" pid="4" name="Document ID">
    <vt:lpwstr>IPBES/4/x</vt:lpwstr>
  </property>
  <property fmtid="{D5CDD505-2E9C-101B-9397-08002B2CF9AE}" pid="5" name="Document Symbol">
    <vt:lpwstr>Working (/.x)</vt:lpwstr>
  </property>
  <property fmtid="{D5CDD505-2E9C-101B-9397-08002B2CF9AE}" pid="6" name="wk4t">
    <vt:lpwstr>IPBES/4/14 - Nomination and selection process and proposals received for members of the Bureau</vt:lpwstr>
  </property>
</Properties>
</file>