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5"/>
        <w:gridCol w:w="497"/>
        <w:gridCol w:w="835"/>
        <w:gridCol w:w="972"/>
        <w:gridCol w:w="2347"/>
        <w:gridCol w:w="697"/>
        <w:gridCol w:w="560"/>
        <w:gridCol w:w="1625"/>
      </w:tblGrid>
      <w:tr w:rsidR="00F9521B" w:rsidRPr="0081483A" w14:paraId="4D0FD85D" w14:textId="77777777" w:rsidTr="00F9521B">
        <w:trPr>
          <w:cantSplit/>
          <w:trHeight w:val="1079"/>
          <w:jc w:val="right"/>
        </w:trPr>
        <w:tc>
          <w:tcPr>
            <w:tcW w:w="1545" w:type="dxa"/>
          </w:tcPr>
          <w:p w14:paraId="4AC776A6" w14:textId="77777777" w:rsidR="00F9521B" w:rsidRPr="0081483A" w:rsidRDefault="00F9521B" w:rsidP="00FE6DA7">
            <w:pPr>
              <w:pStyle w:val="Normal-pool"/>
              <w:tabs>
                <w:tab w:val="left" w:pos="4082"/>
              </w:tabs>
            </w:pPr>
            <w:r w:rsidRPr="00FE6DA7">
              <w:rPr>
                <w:rFonts w:ascii="Arial" w:hAnsi="Arial" w:cs="Arial"/>
                <w:b/>
                <w:noProof/>
                <w:sz w:val="27"/>
                <w:szCs w:val="27"/>
              </w:rPr>
              <w:t xml:space="preserve">UNITED </w:t>
            </w:r>
            <w:r w:rsidRPr="00FE6DA7">
              <w:rPr>
                <w:rFonts w:ascii="Arial" w:hAnsi="Arial" w:cs="Arial"/>
                <w:b/>
                <w:noProof/>
                <w:sz w:val="27"/>
                <w:szCs w:val="27"/>
              </w:rPr>
              <w:br/>
              <w:t>NATIONS</w:t>
            </w:r>
          </w:p>
        </w:tc>
        <w:tc>
          <w:tcPr>
            <w:tcW w:w="1004" w:type="dxa"/>
            <w:gridSpan w:val="2"/>
            <w:tcBorders>
              <w:left w:val="nil"/>
            </w:tcBorders>
            <w:vAlign w:val="center"/>
          </w:tcPr>
          <w:p w14:paraId="611F9359" w14:textId="77777777" w:rsidR="00F9521B" w:rsidRPr="0081483A" w:rsidRDefault="00F9521B" w:rsidP="00FE6DA7">
            <w:pPr>
              <w:pStyle w:val="Normal-pool"/>
            </w:pPr>
            <w:r>
              <w:rPr>
                <w:noProof/>
                <w:lang w:eastAsia="en-GB"/>
              </w:rPr>
              <w:drawing>
                <wp:inline distT="0" distB="0" distL="0" distR="0" wp14:anchorId="3A8A717B" wp14:editId="6C30475C">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13649D65" w14:textId="77777777" w:rsidR="00F9521B" w:rsidRPr="0081483A" w:rsidRDefault="00F9521B" w:rsidP="00FE6DA7">
            <w:pPr>
              <w:pStyle w:val="Normal-pool"/>
            </w:pPr>
            <w:r>
              <w:rPr>
                <w:noProof/>
                <w:lang w:eastAsia="en-GB"/>
              </w:rPr>
              <w:drawing>
                <wp:inline distT="0" distB="0" distL="0" distR="0" wp14:anchorId="132E7FCC" wp14:editId="79E973D2">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15F6D9ED" w14:textId="77777777" w:rsidR="00F9521B" w:rsidRPr="0081483A" w:rsidRDefault="00F9521B" w:rsidP="00FE6DA7">
            <w:pPr>
              <w:pStyle w:val="Normal-pool"/>
            </w:pPr>
            <w:r>
              <w:rPr>
                <w:noProof/>
                <w:lang w:eastAsia="en-GB"/>
              </w:rPr>
              <w:drawing>
                <wp:inline distT="0" distB="0" distL="0" distR="0" wp14:anchorId="0C0D40C5" wp14:editId="737A743E">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3A130F59" w14:textId="77777777" w:rsidR="00F9521B" w:rsidRPr="0081483A" w:rsidRDefault="00F9521B" w:rsidP="00FE6DA7">
            <w:pPr>
              <w:pStyle w:val="Normal-pool"/>
            </w:pPr>
            <w:r>
              <w:rPr>
                <w:noProof/>
                <w:lang w:eastAsia="en-GB"/>
              </w:rPr>
              <w:drawing>
                <wp:inline distT="0" distB="0" distL="0" distR="0" wp14:anchorId="3BCA74F2" wp14:editId="60F53CA8">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0840904B" w14:textId="77777777" w:rsidR="00F9521B" w:rsidRPr="0081483A" w:rsidRDefault="00F9521B" w:rsidP="00FE6DA7">
            <w:pPr>
              <w:pStyle w:val="Normal-pool"/>
            </w:pPr>
            <w:r>
              <w:rPr>
                <w:noProof/>
                <w:lang w:eastAsia="en-GB"/>
              </w:rPr>
              <w:drawing>
                <wp:inline distT="0" distB="0" distL="0" distR="0" wp14:anchorId="3B24E394" wp14:editId="113B89D9">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2FEC413F" w14:textId="77777777" w:rsidR="00F9521B" w:rsidRPr="0081483A" w:rsidRDefault="00F9521B" w:rsidP="00FE6DA7">
            <w:pPr>
              <w:pStyle w:val="Normal-pool"/>
            </w:pPr>
          </w:p>
        </w:tc>
        <w:tc>
          <w:tcPr>
            <w:tcW w:w="1686" w:type="dxa"/>
          </w:tcPr>
          <w:p w14:paraId="158FE9FA" w14:textId="77777777" w:rsidR="00F9521B" w:rsidRPr="003F1D30" w:rsidRDefault="00F9521B" w:rsidP="00FE6DA7">
            <w:pPr>
              <w:pStyle w:val="Normal-pool"/>
              <w:tabs>
                <w:tab w:val="left" w:pos="4082"/>
              </w:tabs>
              <w:rPr>
                <w:sz w:val="64"/>
                <w:szCs w:val="64"/>
              </w:rPr>
            </w:pPr>
            <w:r w:rsidRPr="00FE6DA7">
              <w:rPr>
                <w:rFonts w:ascii="Arial" w:hAnsi="Arial" w:cs="Arial"/>
                <w:b/>
                <w:sz w:val="64"/>
                <w:szCs w:val="64"/>
              </w:rPr>
              <w:t>BES</w:t>
            </w:r>
          </w:p>
        </w:tc>
      </w:tr>
      <w:tr w:rsidR="00F9521B" w:rsidRPr="0081483A" w14:paraId="382FAB23" w14:textId="77777777" w:rsidTr="00F9521B">
        <w:trPr>
          <w:cantSplit/>
          <w:trHeight w:val="282"/>
          <w:jc w:val="right"/>
        </w:trPr>
        <w:tc>
          <w:tcPr>
            <w:tcW w:w="1545" w:type="dxa"/>
            <w:tcBorders>
              <w:bottom w:val="single" w:sz="2" w:space="0" w:color="auto"/>
            </w:tcBorders>
          </w:tcPr>
          <w:p w14:paraId="73EC38A1" w14:textId="77777777" w:rsidR="00F9521B" w:rsidRPr="0081483A" w:rsidRDefault="00F9521B" w:rsidP="00FE6DA7">
            <w:pPr>
              <w:pStyle w:val="Normal-pool"/>
              <w:tabs>
                <w:tab w:val="left" w:pos="4082"/>
              </w:tabs>
              <w:rPr>
                <w:noProof/>
              </w:rPr>
            </w:pPr>
          </w:p>
        </w:tc>
        <w:tc>
          <w:tcPr>
            <w:tcW w:w="6025" w:type="dxa"/>
            <w:gridSpan w:val="6"/>
            <w:tcBorders>
              <w:bottom w:val="single" w:sz="2" w:space="0" w:color="auto"/>
            </w:tcBorders>
          </w:tcPr>
          <w:p w14:paraId="48457851" w14:textId="77777777" w:rsidR="00F9521B" w:rsidRPr="00FE6DA7" w:rsidRDefault="00F9521B" w:rsidP="00FE6DA7">
            <w:pPr>
              <w:pStyle w:val="Normal-pool"/>
              <w:tabs>
                <w:tab w:val="left" w:pos="4082"/>
              </w:tabs>
              <w:rPr>
                <w:noProof/>
              </w:rPr>
            </w:pPr>
          </w:p>
        </w:tc>
        <w:tc>
          <w:tcPr>
            <w:tcW w:w="2260" w:type="dxa"/>
            <w:gridSpan w:val="2"/>
            <w:tcBorders>
              <w:bottom w:val="single" w:sz="2" w:space="0" w:color="auto"/>
            </w:tcBorders>
          </w:tcPr>
          <w:p w14:paraId="2C2590C5" w14:textId="77777777" w:rsidR="00F9521B" w:rsidRPr="00FE6DA7" w:rsidRDefault="00F9521B" w:rsidP="00FE6DA7">
            <w:pPr>
              <w:pStyle w:val="Normal-pool"/>
              <w:tabs>
                <w:tab w:val="left" w:pos="4082"/>
              </w:tabs>
              <w:rPr>
                <w:noProof/>
              </w:rPr>
            </w:pPr>
            <w:r w:rsidRPr="00FE6DA7">
              <w:rPr>
                <w:b/>
                <w:noProof/>
                <w:sz w:val="24"/>
                <w:szCs w:val="24"/>
              </w:rPr>
              <w:t>IPBES</w:t>
            </w:r>
            <w:r w:rsidR="00EA5E5C">
              <w:rPr>
                <w:noProof/>
              </w:rPr>
              <w:t>/6</w:t>
            </w:r>
            <w:r w:rsidRPr="00EA5E72">
              <w:rPr>
                <w:noProof/>
              </w:rPr>
              <w:t>/</w:t>
            </w:r>
            <w:r w:rsidR="00813504">
              <w:rPr>
                <w:noProof/>
              </w:rPr>
              <w:t>INF/</w:t>
            </w:r>
            <w:r w:rsidR="00635396">
              <w:rPr>
                <w:noProof/>
              </w:rPr>
              <w:t>13</w:t>
            </w:r>
          </w:p>
        </w:tc>
      </w:tr>
      <w:tr w:rsidR="00F9521B" w:rsidRPr="0081483A" w14:paraId="683CDE15" w14:textId="77777777" w:rsidTr="00F9521B">
        <w:trPr>
          <w:cantSplit/>
          <w:trHeight w:val="1433"/>
          <w:jc w:val="right"/>
        </w:trPr>
        <w:tc>
          <w:tcPr>
            <w:tcW w:w="2034" w:type="dxa"/>
            <w:gridSpan w:val="2"/>
            <w:tcBorders>
              <w:top w:val="single" w:sz="2" w:space="0" w:color="auto"/>
              <w:bottom w:val="single" w:sz="24" w:space="0" w:color="auto"/>
            </w:tcBorders>
          </w:tcPr>
          <w:p w14:paraId="17C521D4" w14:textId="77777777" w:rsidR="00F9521B" w:rsidRPr="0081483A" w:rsidRDefault="00F9521B" w:rsidP="00FE6DA7">
            <w:pPr>
              <w:pStyle w:val="Normal-pool"/>
              <w:spacing w:before="240" w:after="240"/>
              <w:rPr>
                <w:sz w:val="28"/>
                <w:szCs w:val="28"/>
              </w:rPr>
            </w:pPr>
            <w:r>
              <w:rPr>
                <w:noProof/>
                <w:sz w:val="28"/>
                <w:szCs w:val="28"/>
                <w:lang w:eastAsia="en-GB"/>
              </w:rPr>
              <w:drawing>
                <wp:inline distT="0" distB="0" distL="0" distR="0" wp14:anchorId="3423FE95" wp14:editId="63EA6F2C">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00AF79C4" w14:textId="77777777" w:rsidR="00F9521B" w:rsidRPr="00FE6DA7" w:rsidRDefault="00F9521B" w:rsidP="00FE6DA7">
            <w:pPr>
              <w:pStyle w:val="Normal-pool"/>
              <w:tabs>
                <w:tab w:val="left" w:pos="4082"/>
              </w:tabs>
              <w:spacing w:before="120" w:after="240"/>
              <w:rPr>
                <w:rFonts w:ascii="Arial" w:hAnsi="Arial" w:cs="Arial"/>
                <w:b/>
                <w:sz w:val="28"/>
                <w:szCs w:val="28"/>
              </w:rPr>
            </w:pPr>
            <w:r w:rsidRPr="00FE6DA7">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66DF0D12" w14:textId="4463EDF4" w:rsidR="00F9521B" w:rsidRPr="00EA5E72" w:rsidRDefault="00F9521B" w:rsidP="00FE6DA7">
            <w:pPr>
              <w:pStyle w:val="Normal-pool"/>
              <w:tabs>
                <w:tab w:val="left" w:pos="4082"/>
              </w:tabs>
              <w:spacing w:before="120" w:after="120"/>
            </w:pPr>
            <w:r w:rsidRPr="00EA5E72">
              <w:t>Distr.: General</w:t>
            </w:r>
            <w:r w:rsidRPr="00EA5E72">
              <w:br/>
            </w:r>
            <w:r w:rsidR="007B2377">
              <w:t>19 January 2018</w:t>
            </w:r>
          </w:p>
          <w:p w14:paraId="16056693" w14:textId="7870C6CD" w:rsidR="00F9521B" w:rsidRPr="009E78C3" w:rsidRDefault="00F9521B" w:rsidP="00FE6DA7">
            <w:pPr>
              <w:pStyle w:val="Normal-pool"/>
              <w:tabs>
                <w:tab w:val="left" w:pos="4082"/>
              </w:tabs>
              <w:spacing w:before="120" w:after="120"/>
            </w:pPr>
            <w:r w:rsidRPr="00EA5E72">
              <w:t>English</w:t>
            </w:r>
            <w:r w:rsidR="00280F1E">
              <w:t xml:space="preserve"> only</w:t>
            </w:r>
          </w:p>
        </w:tc>
      </w:tr>
    </w:tbl>
    <w:p w14:paraId="0220ACD1" w14:textId="77777777" w:rsidR="00F9521B" w:rsidRDefault="00F9521B" w:rsidP="00FE6DA7">
      <w:pPr>
        <w:pStyle w:val="AATitle"/>
      </w:pPr>
      <w:r>
        <w:t>Plenary of the Intergovernmental Science-Policy</w:t>
      </w:r>
    </w:p>
    <w:p w14:paraId="3A927198" w14:textId="77777777" w:rsidR="00F9521B" w:rsidRDefault="00F9521B" w:rsidP="00FE6DA7">
      <w:pPr>
        <w:pStyle w:val="AATitle"/>
      </w:pPr>
      <w:r>
        <w:t>Platform on Biodiversity and Ecosystem Services</w:t>
      </w:r>
    </w:p>
    <w:p w14:paraId="1F1C9962" w14:textId="77777777" w:rsidR="00EC6548" w:rsidRPr="009379B9" w:rsidRDefault="00EC6548" w:rsidP="00FE6DA7">
      <w:pPr>
        <w:pStyle w:val="AATitle"/>
      </w:pPr>
      <w:r w:rsidRPr="009379B9">
        <w:t>Sixth session</w:t>
      </w:r>
    </w:p>
    <w:p w14:paraId="273501D2" w14:textId="06CE341B" w:rsidR="00EC6548" w:rsidRPr="00FE6DA7" w:rsidRDefault="00EC6548" w:rsidP="00FE6DA7">
      <w:pPr>
        <w:pStyle w:val="AATitle"/>
        <w:rPr>
          <w:b w:val="0"/>
          <w:bCs/>
          <w:lang w:eastAsia="ja-JP"/>
        </w:rPr>
      </w:pPr>
      <w:r w:rsidRPr="00FE6DA7">
        <w:rPr>
          <w:b w:val="0"/>
          <w:lang w:eastAsia="ja-JP"/>
        </w:rPr>
        <w:t xml:space="preserve">Medellin, Colombia, </w:t>
      </w:r>
      <w:r w:rsidR="00876818" w:rsidRPr="00FE6DA7">
        <w:rPr>
          <w:b w:val="0"/>
          <w:lang w:eastAsia="ja-JP"/>
        </w:rPr>
        <w:t>18</w:t>
      </w:r>
      <w:r w:rsidRPr="00FE6DA7">
        <w:rPr>
          <w:b w:val="0"/>
          <w:lang w:eastAsia="ja-JP"/>
        </w:rPr>
        <w:t>–24 March 2018</w:t>
      </w:r>
    </w:p>
    <w:p w14:paraId="37939820" w14:textId="2FB1B1ED" w:rsidR="00F9521B" w:rsidRPr="00FE6DA7" w:rsidRDefault="00F9521B" w:rsidP="00FE6DA7">
      <w:pPr>
        <w:pStyle w:val="AATitle"/>
        <w:rPr>
          <w:b w:val="0"/>
        </w:rPr>
      </w:pPr>
      <w:r w:rsidRPr="00FE6DA7">
        <w:rPr>
          <w:b w:val="0"/>
        </w:rPr>
        <w:t xml:space="preserve">Item </w:t>
      </w:r>
      <w:r w:rsidR="00876818" w:rsidRPr="00FE6DA7">
        <w:rPr>
          <w:b w:val="0"/>
        </w:rPr>
        <w:t>5</w:t>
      </w:r>
      <w:r w:rsidR="00705DB6" w:rsidRPr="00FE6DA7">
        <w:rPr>
          <w:b w:val="0"/>
        </w:rPr>
        <w:t xml:space="preserve"> of the provisional agenda</w:t>
      </w:r>
      <w:r w:rsidR="00705DB6" w:rsidRPr="00FE6DA7">
        <w:rPr>
          <w:rStyle w:val="FootnoteReference"/>
          <w:b w:val="0"/>
          <w:vertAlign w:val="baseline"/>
        </w:rPr>
        <w:footnoteReference w:customMarkFollows="1" w:id="1"/>
        <w:t>*</w:t>
      </w:r>
    </w:p>
    <w:p w14:paraId="266F8EDA" w14:textId="50522647" w:rsidR="00876818" w:rsidRPr="008429B3" w:rsidRDefault="00876818" w:rsidP="00FE6DA7">
      <w:pPr>
        <w:pStyle w:val="AATitle2"/>
        <w:spacing w:before="60"/>
      </w:pPr>
      <w:r>
        <w:t xml:space="preserve">Report of the Executive Secretary on the implementation </w:t>
      </w:r>
      <w:r w:rsidR="00FE6DA7">
        <w:br/>
      </w:r>
      <w:r>
        <w:t>of the first work programme for the period 2014–2018</w:t>
      </w:r>
    </w:p>
    <w:p w14:paraId="11426E5B" w14:textId="6F0DAAB9" w:rsidR="00A50F23" w:rsidRPr="00A50F23" w:rsidRDefault="00A50F23" w:rsidP="00FE6DA7">
      <w:pPr>
        <w:pStyle w:val="BBTitle"/>
      </w:pPr>
      <w:r>
        <w:t>Information on work related to indigenous and local knowledge</w:t>
      </w:r>
      <w:r w:rsidR="00161DDB">
        <w:t xml:space="preserve"> (deliverable 1 (c))</w:t>
      </w:r>
    </w:p>
    <w:p w14:paraId="053B4BBB" w14:textId="77777777" w:rsidR="00280F1E" w:rsidRDefault="00F9521B" w:rsidP="00FE6DA7">
      <w:pPr>
        <w:pStyle w:val="CH2"/>
      </w:pPr>
      <w:r w:rsidRPr="00FE6DA7">
        <w:t>Note by the s</w:t>
      </w:r>
      <w:r w:rsidR="00062885" w:rsidRPr="00FE6DA7">
        <w:t>ecretariat</w:t>
      </w:r>
      <w:r w:rsidR="00A7486A" w:rsidRPr="00FE6DA7">
        <w:t xml:space="preserve"> </w:t>
      </w:r>
    </w:p>
    <w:p w14:paraId="051A495D" w14:textId="56311C7E" w:rsidR="00813504" w:rsidRDefault="00876818" w:rsidP="00B77039">
      <w:pPr>
        <w:pStyle w:val="Normalnumber"/>
        <w:numPr>
          <w:ilvl w:val="0"/>
          <w:numId w:val="7"/>
        </w:numPr>
        <w:tabs>
          <w:tab w:val="clear" w:pos="1247"/>
          <w:tab w:val="clear" w:pos="1814"/>
          <w:tab w:val="clear" w:pos="2381"/>
          <w:tab w:val="clear" w:pos="2948"/>
          <w:tab w:val="clear" w:pos="3515"/>
          <w:tab w:val="left" w:pos="624"/>
        </w:tabs>
        <w:ind w:left="1247" w:firstLine="0"/>
      </w:pPr>
      <w:r>
        <w:t>In</w:t>
      </w:r>
      <w:r w:rsidRPr="00D53497">
        <w:t xml:space="preserve"> </w:t>
      </w:r>
      <w:r>
        <w:t xml:space="preserve">section III of </w:t>
      </w:r>
      <w:r w:rsidR="00E52B71" w:rsidRPr="00D53497">
        <w:t>decision IPBES-5/1</w:t>
      </w:r>
      <w:r w:rsidR="007B2377">
        <w:t>,</w:t>
      </w:r>
      <w:r w:rsidR="00E52B71" w:rsidRPr="00D53497">
        <w:t xml:space="preserve"> the </w:t>
      </w:r>
      <w:r w:rsidR="00E52B71" w:rsidRPr="00876818">
        <w:t xml:space="preserve">Plenary </w:t>
      </w:r>
      <w:r w:rsidR="00280F1E">
        <w:t xml:space="preserve">of the Intergovernmental Science-Policy Platform on Biodiversity and Ecosystem Services (IPBES) </w:t>
      </w:r>
      <w:r w:rsidR="00C3753D" w:rsidRPr="000718D5">
        <w:t>a</w:t>
      </w:r>
      <w:r w:rsidR="00E52B71" w:rsidRPr="000718D5">
        <w:t>pproved</w:t>
      </w:r>
      <w:r w:rsidR="00E52B71" w:rsidRPr="00876818">
        <w:t xml:space="preserve"> the</w:t>
      </w:r>
      <w:r w:rsidR="00E52B71" w:rsidRPr="00D53497">
        <w:t xml:space="preserve"> approach to recognizing and working with indigenous and local knowledge set out in annex II to </w:t>
      </w:r>
      <w:r>
        <w:t xml:space="preserve">the </w:t>
      </w:r>
      <w:r w:rsidR="00E52B71" w:rsidRPr="00D53497">
        <w:t>decision</w:t>
      </w:r>
      <w:r>
        <w:t>,</w:t>
      </w:r>
      <w:r w:rsidR="00E52B71" w:rsidRPr="00D53497">
        <w:t xml:space="preserve"> and </w:t>
      </w:r>
      <w:r w:rsidR="00E52B71" w:rsidRPr="008F3BEE">
        <w:t xml:space="preserve">requested </w:t>
      </w:r>
      <w:r w:rsidR="00E52B71" w:rsidRPr="00D53497">
        <w:t>the Multidisciplinary Expert Panel, supported by the task force on indigenous and l</w:t>
      </w:r>
      <w:r w:rsidR="00E52B71">
        <w:t xml:space="preserve">ocal knowledge, to implement </w:t>
      </w:r>
      <w:r>
        <w:t>the approach</w:t>
      </w:r>
      <w:r w:rsidR="00E52B71">
        <w:t xml:space="preserve">. </w:t>
      </w:r>
      <w:r w:rsidR="00280F1E">
        <w:t>Since the adoption of</w:t>
      </w:r>
      <w:r w:rsidR="00E52B71" w:rsidRPr="00D53497">
        <w:t xml:space="preserve"> </w:t>
      </w:r>
      <w:r w:rsidR="007B2377" w:rsidRPr="00D53497">
        <w:t>decision IPBES-5/1</w:t>
      </w:r>
      <w:r w:rsidR="00E52B71" w:rsidRPr="00D53497">
        <w:t xml:space="preserve">, work on </w:t>
      </w:r>
      <w:r w:rsidR="00C3753D">
        <w:t>indigenous and local knowledge</w:t>
      </w:r>
      <w:r w:rsidR="00C3753D" w:rsidRPr="00D53497">
        <w:t xml:space="preserve"> </w:t>
      </w:r>
      <w:r w:rsidR="00E52B71">
        <w:t>has</w:t>
      </w:r>
      <w:r w:rsidR="00E52B71" w:rsidRPr="00D53497">
        <w:t xml:space="preserve"> focus</w:t>
      </w:r>
      <w:r w:rsidR="00E52B71">
        <w:t>ed</w:t>
      </w:r>
      <w:r w:rsidR="00E52B71" w:rsidRPr="00D53497">
        <w:t xml:space="preserve"> on the implementation of the </w:t>
      </w:r>
      <w:r w:rsidR="00C3753D">
        <w:t xml:space="preserve">indigenous and local knowledge </w:t>
      </w:r>
      <w:r w:rsidR="00E52B71">
        <w:t>approach.</w:t>
      </w:r>
      <w:r w:rsidR="00E52B71" w:rsidRPr="00D53497">
        <w:t xml:space="preserve"> </w:t>
      </w:r>
    </w:p>
    <w:p w14:paraId="45CC830D" w14:textId="0B37CA32" w:rsidR="00A7486A" w:rsidRPr="00A7486A" w:rsidRDefault="00813504" w:rsidP="00B77039">
      <w:pPr>
        <w:pStyle w:val="Normalnumber"/>
        <w:numPr>
          <w:ilvl w:val="0"/>
          <w:numId w:val="7"/>
        </w:numPr>
        <w:tabs>
          <w:tab w:val="clear" w:pos="1247"/>
          <w:tab w:val="clear" w:pos="1814"/>
          <w:tab w:val="clear" w:pos="2381"/>
          <w:tab w:val="clear" w:pos="2948"/>
          <w:tab w:val="clear" w:pos="3515"/>
          <w:tab w:val="left" w:pos="624"/>
        </w:tabs>
        <w:ind w:left="1247" w:firstLine="0"/>
      </w:pPr>
      <w:r w:rsidRPr="00635396">
        <w:t>The annex to the present note</w:t>
      </w:r>
      <w:r w:rsidR="00280F1E">
        <w:t>, which is presented without formal editing,</w:t>
      </w:r>
      <w:r w:rsidRPr="00635396">
        <w:t xml:space="preserve"> sets out information on </w:t>
      </w:r>
      <w:r w:rsidR="00E52B71" w:rsidRPr="00635396">
        <w:t xml:space="preserve">progress to date </w:t>
      </w:r>
      <w:r w:rsidR="00280F1E">
        <w:t>i</w:t>
      </w:r>
      <w:r w:rsidR="00E52B71" w:rsidRPr="00635396">
        <w:t>n</w:t>
      </w:r>
      <w:r w:rsidR="002356C5">
        <w:t xml:space="preserve"> </w:t>
      </w:r>
      <w:r w:rsidR="00280F1E">
        <w:t xml:space="preserve">the </w:t>
      </w:r>
      <w:r w:rsidR="002356C5">
        <w:t>work related to</w:t>
      </w:r>
      <w:r w:rsidR="00E52B71" w:rsidRPr="00635396">
        <w:t xml:space="preserve"> </w:t>
      </w:r>
      <w:r w:rsidR="00C3753D" w:rsidRPr="00635396">
        <w:t>indigenous and local knowledge,</w:t>
      </w:r>
      <w:r w:rsidR="00E52B71" w:rsidRPr="00635396">
        <w:t xml:space="preserve"> including</w:t>
      </w:r>
      <w:r w:rsidR="00635396" w:rsidRPr="00635396">
        <w:t xml:space="preserve"> </w:t>
      </w:r>
      <w:r w:rsidR="00280F1E">
        <w:t xml:space="preserve">the </w:t>
      </w:r>
      <w:r w:rsidR="00C3753D" w:rsidRPr="00635396">
        <w:t xml:space="preserve">implementation of the indigenous and local knowledge </w:t>
      </w:r>
      <w:r w:rsidR="00635396" w:rsidRPr="00635396">
        <w:t xml:space="preserve">approach in the context of the </w:t>
      </w:r>
      <w:r w:rsidR="00876818">
        <w:t xml:space="preserve">IPBES </w:t>
      </w:r>
      <w:r w:rsidR="002356C5">
        <w:t>g</w:t>
      </w:r>
      <w:r w:rsidR="00635396" w:rsidRPr="00635396">
        <w:t xml:space="preserve">lobal </w:t>
      </w:r>
      <w:r w:rsidR="002356C5">
        <w:t>a</w:t>
      </w:r>
      <w:r w:rsidR="00635396" w:rsidRPr="00635396">
        <w:t>ssessment</w:t>
      </w:r>
      <w:r w:rsidR="00876818">
        <w:t xml:space="preserve"> of </w:t>
      </w:r>
      <w:r w:rsidR="002356C5">
        <w:t>b</w:t>
      </w:r>
      <w:r w:rsidR="00876818">
        <w:t xml:space="preserve">iodiversity and </w:t>
      </w:r>
      <w:r w:rsidR="002356C5">
        <w:t>e</w:t>
      </w:r>
      <w:r w:rsidR="00876818">
        <w:t xml:space="preserve">cosystem </w:t>
      </w:r>
      <w:r w:rsidR="002356C5">
        <w:t>s</w:t>
      </w:r>
      <w:r w:rsidR="00876818">
        <w:t>ervices</w:t>
      </w:r>
      <w:r w:rsidR="00635396" w:rsidRPr="00635396">
        <w:t xml:space="preserve">, </w:t>
      </w:r>
      <w:r w:rsidR="00C3753D" w:rsidRPr="00635396">
        <w:t xml:space="preserve">progress </w:t>
      </w:r>
      <w:r w:rsidR="00280F1E">
        <w:t>in</w:t>
      </w:r>
      <w:r w:rsidR="00280F1E" w:rsidRPr="00635396">
        <w:t xml:space="preserve"> </w:t>
      </w:r>
      <w:r w:rsidR="00635396" w:rsidRPr="00635396">
        <w:t xml:space="preserve">the development of methodological guidance for </w:t>
      </w:r>
      <w:r w:rsidR="007B2377">
        <w:t xml:space="preserve">the </w:t>
      </w:r>
      <w:r w:rsidR="00C3753D" w:rsidRPr="00635396">
        <w:t>approach and arrangements supporting the implementation of the approach</w:t>
      </w:r>
      <w:r w:rsidR="00C3753D">
        <w:t>.</w:t>
      </w:r>
      <w:r w:rsidR="00616944">
        <w:t xml:space="preserve"> </w:t>
      </w:r>
    </w:p>
    <w:p w14:paraId="3D2986D1" w14:textId="77777777" w:rsidR="00FE6DA7" w:rsidRDefault="00FE6DA7">
      <w:pPr>
        <w:rPr>
          <w:rFonts w:eastAsia="Times New Roman"/>
          <w:b/>
          <w:bCs/>
          <w:sz w:val="28"/>
          <w:szCs w:val="22"/>
        </w:rPr>
      </w:pPr>
      <w:r>
        <w:br w:type="page"/>
      </w:r>
    </w:p>
    <w:p w14:paraId="51CC5AB8" w14:textId="7DF3CFC7" w:rsidR="008C17EC" w:rsidRPr="00FE6DA7" w:rsidRDefault="008C17EC" w:rsidP="00FE6DA7">
      <w:pPr>
        <w:pStyle w:val="ZZAnxheader"/>
      </w:pPr>
      <w:r w:rsidRPr="00FE6DA7">
        <w:lastRenderedPageBreak/>
        <w:t>Annex</w:t>
      </w:r>
    </w:p>
    <w:p w14:paraId="38CB39D7" w14:textId="77777777" w:rsidR="008C17EC" w:rsidRPr="00A50F23" w:rsidRDefault="008C17EC" w:rsidP="00FE6DA7">
      <w:pPr>
        <w:pStyle w:val="ZZAnxtitle"/>
        <w:tabs>
          <w:tab w:val="left" w:pos="4082"/>
        </w:tabs>
      </w:pPr>
      <w:r>
        <w:t xml:space="preserve">Information on </w:t>
      </w:r>
      <w:r w:rsidRPr="00FE6DA7">
        <w:t>work</w:t>
      </w:r>
      <w:r>
        <w:t xml:space="preserve"> related to indigenous and local knowledge</w:t>
      </w:r>
    </w:p>
    <w:p w14:paraId="6776B57C" w14:textId="7E98672D" w:rsidR="00E52B71" w:rsidRDefault="00FE6DA7" w:rsidP="00FE6DA7">
      <w:pPr>
        <w:pStyle w:val="CH1"/>
      </w:pPr>
      <w:r>
        <w:tab/>
        <w:t>I.</w:t>
      </w:r>
      <w:r>
        <w:tab/>
      </w:r>
      <w:r w:rsidR="00E52B71" w:rsidRPr="008F3BEE">
        <w:t>Context</w:t>
      </w:r>
    </w:p>
    <w:p w14:paraId="501D41B8" w14:textId="77777777" w:rsidR="00E52B71" w:rsidRDefault="00E52B71"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With decision IPBES-5/1 the Plenary: </w:t>
      </w:r>
    </w:p>
    <w:p w14:paraId="0D6F0A5C" w14:textId="2C25F150" w:rsidR="00E52B71" w:rsidRPr="00D53497" w:rsidRDefault="00E52B71" w:rsidP="00FE6DA7">
      <w:pPr>
        <w:pStyle w:val="Normalnumber"/>
        <w:numPr>
          <w:ilvl w:val="1"/>
          <w:numId w:val="4"/>
        </w:numPr>
        <w:tabs>
          <w:tab w:val="clear" w:pos="1247"/>
          <w:tab w:val="clear" w:pos="1814"/>
          <w:tab w:val="clear" w:pos="2381"/>
          <w:tab w:val="clear" w:pos="2948"/>
          <w:tab w:val="clear" w:pos="3515"/>
          <w:tab w:val="left" w:pos="624"/>
        </w:tabs>
      </w:pPr>
      <w:r w:rsidRPr="00D53497">
        <w:rPr>
          <w:i/>
          <w:iCs/>
        </w:rPr>
        <w:t xml:space="preserve">Approved </w:t>
      </w:r>
      <w:r w:rsidRPr="00D53497">
        <w:t xml:space="preserve">the approach to recognizing and working with indigenous and local knowledge (set out in annex II to decision IPBES-5/1) and </w:t>
      </w:r>
      <w:r w:rsidRPr="00D53497">
        <w:rPr>
          <w:i/>
          <w:iCs/>
        </w:rPr>
        <w:t xml:space="preserve">requested </w:t>
      </w:r>
      <w:r w:rsidRPr="00D53497">
        <w:t xml:space="preserve">the Multidisciplinary Expert Panel, supported by the task force on indigenous and local knowledge, to implement it; </w:t>
      </w:r>
    </w:p>
    <w:p w14:paraId="77ED2F14" w14:textId="77777777" w:rsidR="00E52B71" w:rsidRPr="00D53497" w:rsidRDefault="00E52B71" w:rsidP="00FE6DA7">
      <w:pPr>
        <w:pStyle w:val="Normalnumber"/>
        <w:numPr>
          <w:ilvl w:val="1"/>
          <w:numId w:val="4"/>
        </w:numPr>
        <w:tabs>
          <w:tab w:val="clear" w:pos="1247"/>
          <w:tab w:val="clear" w:pos="1814"/>
          <w:tab w:val="clear" w:pos="2381"/>
          <w:tab w:val="clear" w:pos="2948"/>
          <w:tab w:val="clear" w:pos="3515"/>
          <w:tab w:val="left" w:pos="624"/>
        </w:tabs>
      </w:pPr>
      <w:r w:rsidRPr="00D53497">
        <w:rPr>
          <w:i/>
          <w:iCs/>
        </w:rPr>
        <w:t xml:space="preserve">Invited </w:t>
      </w:r>
      <w:r w:rsidRPr="00D53497">
        <w:t xml:space="preserve">indigenous peoples and local communities and their representatives, as well as experts on indigenous and local knowledge, to engage in the activities described in the approach, </w:t>
      </w:r>
      <w:proofErr w:type="gramStart"/>
      <w:r w:rsidRPr="00D53497">
        <w:t>in particular through</w:t>
      </w:r>
      <w:proofErr w:type="gramEnd"/>
      <w:r w:rsidRPr="00D53497">
        <w:t xml:space="preserve"> the participatory mechanism; </w:t>
      </w:r>
    </w:p>
    <w:p w14:paraId="6134134A" w14:textId="77777777" w:rsidR="00E52B71" w:rsidRPr="00D53497" w:rsidRDefault="00E52B71" w:rsidP="00FE6DA7">
      <w:pPr>
        <w:pStyle w:val="Normalnumber"/>
        <w:numPr>
          <w:ilvl w:val="1"/>
          <w:numId w:val="4"/>
        </w:numPr>
        <w:tabs>
          <w:tab w:val="clear" w:pos="1247"/>
          <w:tab w:val="clear" w:pos="1814"/>
          <w:tab w:val="clear" w:pos="2381"/>
          <w:tab w:val="clear" w:pos="2948"/>
          <w:tab w:val="clear" w:pos="3515"/>
          <w:tab w:val="left" w:pos="624"/>
        </w:tabs>
      </w:pPr>
      <w:r w:rsidRPr="00D53497">
        <w:rPr>
          <w:i/>
          <w:iCs/>
        </w:rPr>
        <w:t xml:space="preserve">Invited </w:t>
      </w:r>
      <w:r w:rsidRPr="00D53497">
        <w:t xml:space="preserve">Governments, stakeholders, strategic partners and others to support activities that mobilize indigenous and local knowledge where such knowledge is needed but not available in readily available formats and that increase the capacity of indigenous peoples and local communities to engage in and benefit from the Platform; and </w:t>
      </w:r>
    </w:p>
    <w:p w14:paraId="25D4F5FF" w14:textId="77777777" w:rsidR="00E52B71" w:rsidRPr="00D53497" w:rsidRDefault="00E52B71" w:rsidP="00FE6DA7">
      <w:pPr>
        <w:pStyle w:val="Normalnumber"/>
        <w:numPr>
          <w:ilvl w:val="1"/>
          <w:numId w:val="4"/>
        </w:numPr>
        <w:tabs>
          <w:tab w:val="clear" w:pos="1247"/>
          <w:tab w:val="clear" w:pos="1814"/>
          <w:tab w:val="clear" w:pos="2381"/>
          <w:tab w:val="clear" w:pos="2948"/>
          <w:tab w:val="clear" w:pos="3515"/>
          <w:tab w:val="left" w:pos="624"/>
        </w:tabs>
      </w:pPr>
      <w:r w:rsidRPr="00D53497">
        <w:rPr>
          <w:i/>
          <w:iCs/>
        </w:rPr>
        <w:t xml:space="preserve">Requested </w:t>
      </w:r>
      <w:r w:rsidRPr="00D53497">
        <w:t xml:space="preserve">the Executive Secretary to make the arrangements necessary to implement the approach, including arrangements for the establishment of the participatory mechanism, subject to the availability of resources. </w:t>
      </w:r>
    </w:p>
    <w:p w14:paraId="445B9DF5" w14:textId="77777777" w:rsidR="00E52B71" w:rsidRPr="00D53497" w:rsidRDefault="00E52B71"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Following up on this decision, the work on </w:t>
      </w:r>
      <w:r w:rsidR="00C3753D">
        <w:t>indigenous and local knowledge</w:t>
      </w:r>
      <w:r w:rsidR="00C3753D" w:rsidRPr="00D53497">
        <w:t xml:space="preserve"> </w:t>
      </w:r>
      <w:r w:rsidR="00C3753D">
        <w:t>has</w:t>
      </w:r>
      <w:r w:rsidR="00C3753D" w:rsidRPr="00D53497">
        <w:t xml:space="preserve"> focus</w:t>
      </w:r>
      <w:r w:rsidR="00C3753D">
        <w:t>ed</w:t>
      </w:r>
      <w:r w:rsidR="00C3753D" w:rsidRPr="00D53497">
        <w:t xml:space="preserve"> on the implementation of the </w:t>
      </w:r>
      <w:r w:rsidR="00C3753D">
        <w:t>indigenous and local knowledge</w:t>
      </w:r>
      <w:r w:rsidR="00C3753D" w:rsidRPr="00D53497">
        <w:t xml:space="preserve"> approach</w:t>
      </w:r>
      <w:r w:rsidRPr="00D53497">
        <w:t xml:space="preserve">. </w:t>
      </w:r>
    </w:p>
    <w:p w14:paraId="704230BD" w14:textId="51D56E9F" w:rsidR="00E52B71" w:rsidRPr="00D53497" w:rsidRDefault="00E52B71"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At the 9th meeting of </w:t>
      </w:r>
      <w:r w:rsidR="00C3753D">
        <w:t xml:space="preserve">the </w:t>
      </w:r>
      <w:r w:rsidRPr="00D53497">
        <w:t>MEP and Bureau</w:t>
      </w:r>
      <w:r w:rsidR="00161DDB">
        <w:t xml:space="preserve"> (June 2017)</w:t>
      </w:r>
      <w:r w:rsidRPr="00D53497">
        <w:t xml:space="preserve">, progress made on the implementation of the </w:t>
      </w:r>
      <w:r w:rsidR="00C3753D">
        <w:t>indigenous and local knowledge</w:t>
      </w:r>
      <w:r w:rsidR="00C3753D" w:rsidRPr="00D53497">
        <w:t xml:space="preserve"> </w:t>
      </w:r>
      <w:r w:rsidRPr="00D53497">
        <w:t xml:space="preserve">approach was reported, reflecting on the discussions and outcomes from the 6th meeting of </w:t>
      </w:r>
      <w:r w:rsidR="00C3753D" w:rsidRPr="00D53497">
        <w:t xml:space="preserve">the </w:t>
      </w:r>
      <w:r w:rsidR="00C3753D">
        <w:t>indigenous and local knowledge</w:t>
      </w:r>
      <w:r w:rsidR="00C3753D" w:rsidRPr="00D53497">
        <w:t xml:space="preserve"> </w:t>
      </w:r>
      <w:r w:rsidRPr="00D53497">
        <w:t xml:space="preserve">task force, held in May 2017 in Pereira, Colombia. </w:t>
      </w:r>
      <w:r>
        <w:t>T</w:t>
      </w:r>
      <w:r w:rsidRPr="00D53497">
        <w:t>he Bureau and MEP</w:t>
      </w:r>
      <w:r w:rsidR="004F7183">
        <w:t xml:space="preserve"> i</w:t>
      </w:r>
      <w:r w:rsidRPr="00D53497">
        <w:t>nvited the task force to submit at their 10</w:t>
      </w:r>
      <w:r w:rsidRPr="00FE6DA7">
        <w:t>th</w:t>
      </w:r>
      <w:r w:rsidRPr="00D53497">
        <w:t xml:space="preserve"> meeting </w:t>
      </w:r>
      <w:r w:rsidR="004F7183">
        <w:t xml:space="preserve">a </w:t>
      </w:r>
      <w:r w:rsidRPr="00D53497">
        <w:t xml:space="preserve">draft methodological guidance for the implementation of the approach as well as a further developed proposal for the governance supporting the implementation of the approach. </w:t>
      </w:r>
    </w:p>
    <w:p w14:paraId="5D57A7B9" w14:textId="44357BCF" w:rsidR="002356C5" w:rsidRPr="00476E7F" w:rsidRDefault="00E52B71" w:rsidP="00B77039">
      <w:pPr>
        <w:pStyle w:val="Normalnumber"/>
        <w:numPr>
          <w:ilvl w:val="0"/>
          <w:numId w:val="23"/>
        </w:numPr>
        <w:tabs>
          <w:tab w:val="clear" w:pos="1247"/>
          <w:tab w:val="clear" w:pos="1814"/>
          <w:tab w:val="clear" w:pos="2381"/>
          <w:tab w:val="clear" w:pos="2948"/>
          <w:tab w:val="clear" w:pos="3515"/>
          <w:tab w:val="left" w:pos="624"/>
        </w:tabs>
        <w:ind w:left="1247" w:firstLine="0"/>
      </w:pPr>
      <w:r>
        <w:t>At</w:t>
      </w:r>
      <w:r w:rsidRPr="00D53497">
        <w:t xml:space="preserve"> the </w:t>
      </w:r>
      <w:r>
        <w:t>10</w:t>
      </w:r>
      <w:r w:rsidRPr="00FE6DA7">
        <w:t>th</w:t>
      </w:r>
      <w:r w:rsidRPr="00D53497">
        <w:t xml:space="preserve"> meeting of</w:t>
      </w:r>
      <w:r w:rsidR="00C3753D">
        <w:t xml:space="preserve"> the</w:t>
      </w:r>
      <w:r w:rsidRPr="00D53497">
        <w:t xml:space="preserve"> MEP and Bureau</w:t>
      </w:r>
      <w:r w:rsidR="00D51E4A">
        <w:t xml:space="preserve"> (October 2017)</w:t>
      </w:r>
      <w:r w:rsidRPr="00D53497">
        <w:t xml:space="preserve">, further progress </w:t>
      </w:r>
      <w:r>
        <w:t xml:space="preserve">was reported. This included </w:t>
      </w:r>
      <w:r w:rsidRPr="00D53497">
        <w:t xml:space="preserve">implementing the following aspects </w:t>
      </w:r>
      <w:r>
        <w:t xml:space="preserve">of </w:t>
      </w:r>
      <w:r w:rsidRPr="00D53497">
        <w:t xml:space="preserve">the approach, described in more detail in the following sections: </w:t>
      </w:r>
      <w:r w:rsidR="004F7183">
        <w:t>a)</w:t>
      </w:r>
      <w:r w:rsidRPr="004F7183">
        <w:t xml:space="preserve"> Implementation of </w:t>
      </w:r>
      <w:r w:rsidR="00C3753D" w:rsidRPr="004F7183">
        <w:t xml:space="preserve">the indigenous and local knowledge </w:t>
      </w:r>
      <w:r w:rsidRPr="004F7183">
        <w:t xml:space="preserve">approach in the context of the Global Assessment; </w:t>
      </w:r>
      <w:r w:rsidR="004F7183">
        <w:t xml:space="preserve">b) </w:t>
      </w:r>
      <w:r w:rsidRPr="004F7183">
        <w:t xml:space="preserve">Development of methodological guidance for the </w:t>
      </w:r>
      <w:r w:rsidR="00C3753D" w:rsidRPr="004F7183">
        <w:t xml:space="preserve">indigenous and local knowledge </w:t>
      </w:r>
      <w:r w:rsidRPr="00476E7F">
        <w:t xml:space="preserve">approach; and </w:t>
      </w:r>
      <w:r w:rsidR="004F7183">
        <w:t xml:space="preserve">c) </w:t>
      </w:r>
      <w:r w:rsidRPr="00476E7F">
        <w:t xml:space="preserve">Arrangements supporting the implementation of </w:t>
      </w:r>
      <w:r w:rsidR="00C3753D" w:rsidRPr="00476E7F">
        <w:t xml:space="preserve">the indigenous and local knowledge approach. </w:t>
      </w:r>
      <w:r w:rsidRPr="007B675E">
        <w:t>The Bureau and MEP</w:t>
      </w:r>
      <w:r w:rsidR="004F7183">
        <w:t xml:space="preserve"> </w:t>
      </w:r>
      <w:r w:rsidR="004F7183" w:rsidRPr="00476E7F">
        <w:t>n</w:t>
      </w:r>
      <w:r w:rsidRPr="00476E7F">
        <w:t>oted some overlap between the proposed “facilitation, management and support” group and the task force; and that the functions of both should be clearly delineated</w:t>
      </w:r>
      <w:r w:rsidR="004F7183" w:rsidRPr="00476E7F">
        <w:t>; and n</w:t>
      </w:r>
      <w:r w:rsidR="002356C5" w:rsidRPr="00476E7F">
        <w:t>oted progress made in the development of a proposal for institutional arrangements supporting the implementation of the indigenous and local knowledge approach.</w:t>
      </w:r>
    </w:p>
    <w:p w14:paraId="5ADF6537" w14:textId="6E7C6F12" w:rsidR="00B5042E" w:rsidRPr="009B7205" w:rsidRDefault="00FE6DA7" w:rsidP="00FE6DA7">
      <w:pPr>
        <w:pStyle w:val="CH1"/>
      </w:pPr>
      <w:r>
        <w:tab/>
        <w:t>II.</w:t>
      </w:r>
      <w:r>
        <w:tab/>
      </w:r>
      <w:r w:rsidR="00B5042E" w:rsidRPr="009B7205">
        <w:t xml:space="preserve">Implementation of the agreed approach to recognising and working with indigenous and local knowledge in IPBES </w:t>
      </w:r>
    </w:p>
    <w:p w14:paraId="473AC4A0" w14:textId="42D16F94" w:rsidR="00B5042E" w:rsidRPr="00D53497" w:rsidRDefault="00FE6DA7" w:rsidP="00FE6DA7">
      <w:pPr>
        <w:pStyle w:val="CH1"/>
      </w:pPr>
      <w:r>
        <w:tab/>
        <w:t>A.</w:t>
      </w:r>
      <w:r>
        <w:tab/>
      </w:r>
      <w:r w:rsidR="00B5042E" w:rsidRPr="00D53497">
        <w:t xml:space="preserve">Implementation of the </w:t>
      </w:r>
      <w:r w:rsidR="00B5042E">
        <w:t>Indigenous and Local Knowledge</w:t>
      </w:r>
      <w:r w:rsidR="00B5042E" w:rsidRPr="00D53497">
        <w:t xml:space="preserve"> approach in the context of the Global Assessment </w:t>
      </w:r>
    </w:p>
    <w:p w14:paraId="3495F934" w14:textId="3D5194AE" w:rsidR="00B5042E" w:rsidRPr="00D53497" w:rsidRDefault="00B5042E"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9B7205">
        <w:t xml:space="preserve">After </w:t>
      </w:r>
      <w:r w:rsidRPr="00D53497">
        <w:t xml:space="preserve">the approval of the IPBES approach to working with </w:t>
      </w:r>
      <w:r w:rsidR="00C3753D" w:rsidRPr="00D53497">
        <w:t xml:space="preserve">indigenous and local knowledge </w:t>
      </w:r>
      <w:r w:rsidRPr="00D53497">
        <w:t>(</w:t>
      </w:r>
      <w:r w:rsidR="005B2932">
        <w:t xml:space="preserve">section III of </w:t>
      </w:r>
      <w:r w:rsidRPr="00D53497">
        <w:t>decision IPBES-5/1, and annex II</w:t>
      </w:r>
      <w:r w:rsidR="005B2932">
        <w:t xml:space="preserve"> to the decision</w:t>
      </w:r>
      <w:r w:rsidRPr="00D53497">
        <w:t xml:space="preserve">), the </w:t>
      </w:r>
      <w:r w:rsidR="00C3753D" w:rsidRPr="00D53497">
        <w:t xml:space="preserve">Global Assessment </w:t>
      </w:r>
      <w:r w:rsidRPr="00D53497">
        <w:t xml:space="preserve">devised steps to implement </w:t>
      </w:r>
      <w:r w:rsidR="00811D49">
        <w:t xml:space="preserve">the </w:t>
      </w:r>
      <w:r w:rsidR="00C3753D">
        <w:t>indigenous and local knowledge</w:t>
      </w:r>
      <w:r w:rsidR="00C3753D" w:rsidRPr="00D53497">
        <w:t xml:space="preserve"> </w:t>
      </w:r>
      <w:r w:rsidR="00811D49">
        <w:t>approach, which were presented at the ninth meeting of the MEP and Bureau (June 2017)</w:t>
      </w:r>
      <w:r w:rsidRPr="00D53497">
        <w:t xml:space="preserve">. These concrete plans included a series of consultations </w:t>
      </w:r>
      <w:r w:rsidR="003270F4">
        <w:t xml:space="preserve">that would take </w:t>
      </w:r>
      <w:r w:rsidR="003270F4" w:rsidRPr="003270F4">
        <w:t xml:space="preserve">place </w:t>
      </w:r>
      <w:r w:rsidRPr="003270F4">
        <w:t>either</w:t>
      </w:r>
      <w:r w:rsidRPr="00D53497">
        <w:t xml:space="preserve"> online or face-to-face with varying objectives. </w:t>
      </w:r>
    </w:p>
    <w:p w14:paraId="788619E0" w14:textId="5085B5F5" w:rsidR="00B5042E" w:rsidRPr="00D53497" w:rsidRDefault="00B5042E"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The </w:t>
      </w:r>
      <w:r w:rsidR="00C3753D">
        <w:t>indigenous and local knowledge</w:t>
      </w:r>
      <w:r w:rsidR="00C3753D" w:rsidRPr="00D53497">
        <w:t xml:space="preserve"> liaison group within </w:t>
      </w:r>
      <w:r w:rsidRPr="00D53497">
        <w:t xml:space="preserve">the </w:t>
      </w:r>
      <w:r w:rsidR="00C3753D" w:rsidRPr="00D53497">
        <w:t>Global Assessment</w:t>
      </w:r>
      <w:r w:rsidR="00C3753D">
        <w:t>,</w:t>
      </w:r>
      <w:r w:rsidR="00C3753D" w:rsidRPr="00D53497">
        <w:t xml:space="preserve"> </w:t>
      </w:r>
      <w:r w:rsidRPr="00D53497">
        <w:t xml:space="preserve">through one of its members </w:t>
      </w:r>
      <w:proofErr w:type="spellStart"/>
      <w:r w:rsidRPr="00D53497">
        <w:t>Zsolt</w:t>
      </w:r>
      <w:proofErr w:type="spellEnd"/>
      <w:r w:rsidRPr="00D53497">
        <w:t xml:space="preserve"> </w:t>
      </w:r>
      <w:proofErr w:type="spellStart"/>
      <w:r w:rsidRPr="00D53497">
        <w:t>Molnár</w:t>
      </w:r>
      <w:proofErr w:type="spellEnd"/>
      <w:r w:rsidRPr="00D53497">
        <w:t xml:space="preserve"> (Coordinating Lead Author Chapter 2 of the </w:t>
      </w:r>
      <w:r w:rsidR="00C3753D" w:rsidRPr="00D53497">
        <w:t>Global Assessment</w:t>
      </w:r>
      <w:r w:rsidRPr="00D53497">
        <w:t>)</w:t>
      </w:r>
      <w:r w:rsidR="00C3753D">
        <w:t>,</w:t>
      </w:r>
      <w:r w:rsidRPr="00D53497">
        <w:t xml:space="preserve"> organized a meeting of the </w:t>
      </w:r>
      <w:r w:rsidR="00C3753D" w:rsidRPr="00D53497">
        <w:t xml:space="preserve">Global Assessment </w:t>
      </w:r>
      <w:r w:rsidR="00C3753D">
        <w:t>indigenous and local knowledge</w:t>
      </w:r>
      <w:r w:rsidR="00C3753D" w:rsidRPr="00D53497">
        <w:t xml:space="preserve"> liaison group </w:t>
      </w:r>
      <w:r w:rsidRPr="00D53497">
        <w:t xml:space="preserve">(Budapest, Hungary 31 March to 02 April 2017). The objectives of this meeting were to discuss the process </w:t>
      </w:r>
      <w:r w:rsidR="00C3753D" w:rsidRPr="00D53497">
        <w:t>for</w:t>
      </w:r>
      <w:r w:rsidR="00C3753D">
        <w:t xml:space="preserve"> the inclusion of</w:t>
      </w:r>
      <w:r w:rsidR="00C3753D" w:rsidRPr="00D53497">
        <w:t xml:space="preserve"> </w:t>
      </w:r>
      <w:r w:rsidR="00C3753D">
        <w:t>indigenous and local knowledge</w:t>
      </w:r>
      <w:r w:rsidR="00C3753D" w:rsidRPr="00D53497">
        <w:t xml:space="preserve"> </w:t>
      </w:r>
      <w:r w:rsidRPr="00D53497">
        <w:t xml:space="preserve">into the </w:t>
      </w:r>
      <w:r w:rsidR="00C3753D" w:rsidRPr="00D53497">
        <w:t>Global Assessment</w:t>
      </w:r>
      <w:r w:rsidR="00C3753D">
        <w:t>,</w:t>
      </w:r>
      <w:r w:rsidR="00C3753D" w:rsidRPr="00D53497">
        <w:t xml:space="preserve"> </w:t>
      </w:r>
      <w:r w:rsidRPr="00D53497">
        <w:t xml:space="preserve">in addition to the planning and preparation of the upcoming consultations. </w:t>
      </w:r>
    </w:p>
    <w:p w14:paraId="4B9BAC59" w14:textId="04393E84" w:rsidR="00B5042E" w:rsidRPr="00D53497" w:rsidRDefault="00B5042E"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lastRenderedPageBreak/>
        <w:t xml:space="preserve">Subsequently, Eduardo </w:t>
      </w:r>
      <w:proofErr w:type="spellStart"/>
      <w:r w:rsidRPr="00D53497">
        <w:t>Brondizio</w:t>
      </w:r>
      <w:proofErr w:type="spellEnd"/>
      <w:r w:rsidRPr="00D53497">
        <w:t xml:space="preserve">, co-chair of the </w:t>
      </w:r>
      <w:r w:rsidR="0005607B" w:rsidRPr="00D53497">
        <w:t>Global Assessment</w:t>
      </w:r>
      <w:r w:rsidRPr="00D53497">
        <w:t xml:space="preserve">, together with </w:t>
      </w:r>
      <w:r w:rsidR="0005607B" w:rsidRPr="00D53497">
        <w:t xml:space="preserve">the </w:t>
      </w:r>
      <w:r w:rsidR="0005607B">
        <w:t>indigenous and local knowledge</w:t>
      </w:r>
      <w:r w:rsidR="0005607B" w:rsidRPr="00D53497">
        <w:t xml:space="preserve"> liaison group a</w:t>
      </w:r>
      <w:r w:rsidRPr="00D53497">
        <w:t xml:space="preserve">nd advised by the IPBES </w:t>
      </w:r>
      <w:r w:rsidR="0005607B">
        <w:t>indigenous and local knowledge</w:t>
      </w:r>
      <w:r w:rsidR="0005607B" w:rsidRPr="00D53497">
        <w:t xml:space="preserve"> task force</w:t>
      </w:r>
      <w:r w:rsidRPr="00D53497">
        <w:t xml:space="preserve">, launched the </w:t>
      </w:r>
      <w:r>
        <w:rPr>
          <w:b/>
          <w:bCs/>
        </w:rPr>
        <w:t>Indigenous and Local Knowledge</w:t>
      </w:r>
      <w:r w:rsidRPr="00D53497">
        <w:rPr>
          <w:b/>
          <w:bCs/>
        </w:rPr>
        <w:t xml:space="preserve"> Call for Contributions </w:t>
      </w:r>
      <w:r w:rsidR="0077282E" w:rsidRPr="0077282E">
        <w:rPr>
          <w:bCs/>
        </w:rPr>
        <w:t xml:space="preserve">from </w:t>
      </w:r>
      <w:r w:rsidRPr="00D53497">
        <w:t>25 July to 15 September 2017 in three languages (English, French and Spanish). There were 220 submissions</w:t>
      </w:r>
      <w:r w:rsidR="000E439B">
        <w:t xml:space="preserve"> received in response to that first call</w:t>
      </w:r>
      <w:r w:rsidRPr="00D53497">
        <w:t xml:space="preserve"> (English: 174, French: 14, and Spanish 32)</w:t>
      </w:r>
      <w:r w:rsidR="000E439B">
        <w:t>, which</w:t>
      </w:r>
      <w:r w:rsidRPr="00D53497">
        <w:rPr>
          <w:b/>
          <w:bCs/>
        </w:rPr>
        <w:t xml:space="preserve"> </w:t>
      </w:r>
      <w:r w:rsidR="000E439B">
        <w:t>was</w:t>
      </w:r>
      <w:r w:rsidRPr="00D53497">
        <w:t xml:space="preserve"> extended until 20 December 2017. </w:t>
      </w:r>
    </w:p>
    <w:p w14:paraId="749F74A8" w14:textId="77777777" w:rsidR="00B5042E" w:rsidRPr="00D53497" w:rsidRDefault="004225D1" w:rsidP="00B77039">
      <w:pPr>
        <w:pStyle w:val="Normalnumber"/>
        <w:numPr>
          <w:ilvl w:val="0"/>
          <w:numId w:val="23"/>
        </w:numPr>
        <w:tabs>
          <w:tab w:val="clear" w:pos="1247"/>
          <w:tab w:val="clear" w:pos="1814"/>
          <w:tab w:val="clear" w:pos="2381"/>
          <w:tab w:val="clear" w:pos="2948"/>
          <w:tab w:val="clear" w:pos="3515"/>
          <w:tab w:val="left" w:pos="624"/>
        </w:tabs>
        <w:ind w:left="1247" w:firstLine="0"/>
      </w:pPr>
      <w:r>
        <w:t>C</w:t>
      </w:r>
      <w:r w:rsidR="00B5042E" w:rsidRPr="00D53497">
        <w:t xml:space="preserve">ontributions received </w:t>
      </w:r>
      <w:r w:rsidR="0005607B">
        <w:t>through</w:t>
      </w:r>
      <w:r w:rsidR="00B5042E" w:rsidRPr="00D53497">
        <w:t xml:space="preserve"> the </w:t>
      </w:r>
      <w:r w:rsidR="00B5042E">
        <w:rPr>
          <w:b/>
          <w:bCs/>
        </w:rPr>
        <w:t>Indigenous and Local Knowledge</w:t>
      </w:r>
      <w:r w:rsidR="00B5042E" w:rsidRPr="00D53497">
        <w:rPr>
          <w:b/>
          <w:bCs/>
        </w:rPr>
        <w:t xml:space="preserve"> Call for Contributions</w:t>
      </w:r>
      <w:r>
        <w:rPr>
          <w:b/>
          <w:bCs/>
        </w:rPr>
        <w:t xml:space="preserve"> </w:t>
      </w:r>
      <w:r w:rsidRPr="008F3BEE">
        <w:rPr>
          <w:bCs/>
        </w:rPr>
        <w:t xml:space="preserve">mostly </w:t>
      </w:r>
      <w:r w:rsidRPr="00FE6DA7">
        <w:t>consist</w:t>
      </w:r>
      <w:r w:rsidRPr="008F3BEE">
        <w:rPr>
          <w:bCs/>
        </w:rPr>
        <w:t xml:space="preserve"> of</w:t>
      </w:r>
      <w:r w:rsidR="00B5042E" w:rsidRPr="008F3BEE">
        <w:rPr>
          <w:bCs/>
        </w:rPr>
        <w:t xml:space="preserve"> </w:t>
      </w:r>
      <w:r w:rsidRPr="0005607B">
        <w:t>research</w:t>
      </w:r>
      <w:r w:rsidRPr="009B7205">
        <w:t xml:space="preserve"> and conference papers (case study/conceptual/review), books and book chapters. Other submissions include </w:t>
      </w:r>
      <w:r w:rsidR="00260FC4" w:rsidRPr="009B7205">
        <w:t>synthesis reports,</w:t>
      </w:r>
      <w:r w:rsidRPr="009B7205">
        <w:t xml:space="preserve"> PhD dissertations, websites, videos, </w:t>
      </w:r>
      <w:r w:rsidR="00260FC4" w:rsidRPr="009B7205">
        <w:t xml:space="preserve">and </w:t>
      </w:r>
      <w:r w:rsidRPr="009B7205">
        <w:t>newspaper</w:t>
      </w:r>
      <w:r w:rsidR="0005607B">
        <w:t xml:space="preserve"> articles</w:t>
      </w:r>
      <w:r w:rsidRPr="009B7205">
        <w:t>.</w:t>
      </w:r>
      <w:r w:rsidR="00260FC4" w:rsidRPr="009B7205">
        <w:t xml:space="preserve"> </w:t>
      </w:r>
      <w:proofErr w:type="gramStart"/>
      <w:r w:rsidR="00260FC4" w:rsidRPr="009B7205">
        <w:t>A large number of</w:t>
      </w:r>
      <w:proofErr w:type="gramEnd"/>
      <w:r w:rsidR="00260FC4" w:rsidRPr="009B7205">
        <w:t xml:space="preserve"> names of experts and organizations were also submitted.</w:t>
      </w:r>
      <w:r w:rsidR="00260FC4">
        <w:t xml:space="preserve"> </w:t>
      </w:r>
    </w:p>
    <w:p w14:paraId="244B3C1B" w14:textId="77777777" w:rsidR="00B5042E" w:rsidRPr="00C55B3A" w:rsidRDefault="0091099F" w:rsidP="00B77039">
      <w:pPr>
        <w:pStyle w:val="Normalnumber"/>
        <w:numPr>
          <w:ilvl w:val="0"/>
          <w:numId w:val="23"/>
        </w:numPr>
        <w:tabs>
          <w:tab w:val="clear" w:pos="1247"/>
          <w:tab w:val="clear" w:pos="1814"/>
          <w:tab w:val="clear" w:pos="2381"/>
          <w:tab w:val="clear" w:pos="2948"/>
          <w:tab w:val="clear" w:pos="3515"/>
          <w:tab w:val="left" w:pos="624"/>
        </w:tabs>
        <w:ind w:left="1247" w:firstLine="0"/>
      </w:pPr>
      <w:r>
        <w:t>A</w:t>
      </w:r>
      <w:r w:rsidR="00B5042E">
        <w:t xml:space="preserve"> series of</w:t>
      </w:r>
      <w:r w:rsidR="00B5042E" w:rsidRPr="00D53497">
        <w:t xml:space="preserve"> face-to-</w:t>
      </w:r>
      <w:r w:rsidR="0005607B" w:rsidRPr="00D53497">
        <w:t xml:space="preserve">face </w:t>
      </w:r>
      <w:r w:rsidR="0005607B">
        <w:t>indigenous and local knowledge</w:t>
      </w:r>
      <w:r w:rsidR="0005607B" w:rsidRPr="00D53497">
        <w:t xml:space="preserve"> </w:t>
      </w:r>
      <w:r w:rsidR="00B5042E" w:rsidRPr="00D53497">
        <w:t xml:space="preserve">consultations </w:t>
      </w:r>
      <w:r w:rsidR="00B5042E">
        <w:t>have</w:t>
      </w:r>
      <w:r w:rsidR="00260FC4">
        <w:t xml:space="preserve"> also</w:t>
      </w:r>
      <w:r w:rsidR="00B5042E">
        <w:t xml:space="preserve"> been held</w:t>
      </w:r>
      <w:r w:rsidR="00B5042E" w:rsidRPr="00D53497">
        <w:t xml:space="preserve">: </w:t>
      </w:r>
    </w:p>
    <w:p w14:paraId="754DA103" w14:textId="60A09BB4" w:rsidR="00B5042E" w:rsidRPr="00D53497" w:rsidRDefault="00B5042E" w:rsidP="00977C8B">
      <w:pPr>
        <w:pStyle w:val="Normalnumber"/>
        <w:numPr>
          <w:ilvl w:val="1"/>
          <w:numId w:val="8"/>
        </w:numPr>
        <w:tabs>
          <w:tab w:val="clear" w:pos="1247"/>
          <w:tab w:val="clear" w:pos="1814"/>
          <w:tab w:val="clear" w:pos="2381"/>
          <w:tab w:val="clear" w:pos="2948"/>
          <w:tab w:val="clear" w:pos="3515"/>
          <w:tab w:val="left" w:pos="624"/>
        </w:tabs>
      </w:pPr>
      <w:r w:rsidRPr="00D53497">
        <w:t xml:space="preserve">Side Event at the 16th session of the United Nations Permanent Forum on Indigenous Issues (New York, USA, 24 April – 03 May 2017): </w:t>
      </w:r>
      <w:r w:rsidRPr="00D53497">
        <w:rPr>
          <w:b/>
          <w:bCs/>
        </w:rPr>
        <w:t>Operationalization strategy for advancing Indigenous and Local Knowledge and Practices (</w:t>
      </w:r>
      <w:r>
        <w:rPr>
          <w:b/>
          <w:bCs/>
        </w:rPr>
        <w:t>Indigenous and Local Knowledge</w:t>
      </w:r>
      <w:r w:rsidRPr="00D53497">
        <w:rPr>
          <w:b/>
          <w:bCs/>
        </w:rPr>
        <w:t>) in the IPBES Global Assessment</w:t>
      </w:r>
      <w:r w:rsidR="0005607B">
        <w:t>;</w:t>
      </w:r>
    </w:p>
    <w:p w14:paraId="3E26DBB0" w14:textId="1EDEE548" w:rsidR="00B5042E" w:rsidRDefault="00B5042E" w:rsidP="00977C8B">
      <w:pPr>
        <w:pStyle w:val="Normalnumber"/>
        <w:numPr>
          <w:ilvl w:val="1"/>
          <w:numId w:val="8"/>
        </w:numPr>
        <w:tabs>
          <w:tab w:val="clear" w:pos="1247"/>
          <w:tab w:val="clear" w:pos="1814"/>
          <w:tab w:val="clear" w:pos="2381"/>
          <w:tab w:val="clear" w:pos="2948"/>
          <w:tab w:val="clear" w:pos="3515"/>
          <w:tab w:val="left" w:pos="624"/>
        </w:tabs>
      </w:pPr>
      <w:r w:rsidRPr="00D53497">
        <w:t>Session at the 40th Annual Conference of the Society of Ethnobiology (Montreal, Canada, 10</w:t>
      </w:r>
      <w:r w:rsidR="0077282E">
        <w:t xml:space="preserve"> </w:t>
      </w:r>
      <w:r w:rsidR="0077282E" w:rsidRPr="00D53497">
        <w:t>–</w:t>
      </w:r>
      <w:r w:rsidR="0077282E">
        <w:t xml:space="preserve"> </w:t>
      </w:r>
      <w:r w:rsidRPr="00D53497">
        <w:t xml:space="preserve">13 May 2017): </w:t>
      </w:r>
      <w:r w:rsidRPr="00D53497">
        <w:rPr>
          <w:b/>
          <w:bCs/>
        </w:rPr>
        <w:t>The IPBES Global Assessment of Biodiversity and Ecosystems Services: Calling upon the contribution of Ethnobiology</w:t>
      </w:r>
      <w:r w:rsidRPr="00D53497">
        <w:t>. Both were reported on during the last (9th) meeting of the MEP and Bureau</w:t>
      </w:r>
      <w:r w:rsidR="0005607B">
        <w:t>;</w:t>
      </w:r>
      <w:r w:rsidR="00C24821">
        <w:t xml:space="preserve"> </w:t>
      </w:r>
    </w:p>
    <w:p w14:paraId="2B1FD6D4" w14:textId="573E1AF7" w:rsidR="00B5042E" w:rsidRPr="00FE6DA7" w:rsidRDefault="00B5042E" w:rsidP="00977C8B">
      <w:pPr>
        <w:pStyle w:val="Normalnumber"/>
        <w:numPr>
          <w:ilvl w:val="1"/>
          <w:numId w:val="8"/>
        </w:numPr>
        <w:tabs>
          <w:tab w:val="clear" w:pos="1247"/>
          <w:tab w:val="clear" w:pos="1814"/>
          <w:tab w:val="clear" w:pos="2381"/>
          <w:tab w:val="clear" w:pos="2948"/>
          <w:tab w:val="clear" w:pos="3515"/>
          <w:tab w:val="left" w:pos="624"/>
        </w:tabs>
      </w:pPr>
      <w:r w:rsidRPr="00FE6DA7">
        <w:t xml:space="preserve"> </w:t>
      </w:r>
      <w:r w:rsidRPr="00FE6DA7">
        <w:rPr>
          <w:b/>
          <w:bCs/>
        </w:rPr>
        <w:t xml:space="preserve">Dialogue on Human Rights and Biodiversity Conservation </w:t>
      </w:r>
      <w:r w:rsidRPr="00FE6DA7">
        <w:t>(</w:t>
      </w:r>
      <w:proofErr w:type="spellStart"/>
      <w:r w:rsidR="003270F4" w:rsidRPr="00FE6DA7">
        <w:t>Eldoret</w:t>
      </w:r>
      <w:proofErr w:type="spellEnd"/>
      <w:r w:rsidRPr="00FE6DA7">
        <w:t>, Kenya</w:t>
      </w:r>
      <w:r w:rsidR="0077282E" w:rsidRPr="00FE6DA7">
        <w:t>,</w:t>
      </w:r>
      <w:r w:rsidRPr="00FE6DA7">
        <w:t xml:space="preserve"> </w:t>
      </w:r>
      <w:r w:rsidR="00CF12AA">
        <w:br/>
      </w:r>
      <w:r w:rsidRPr="00FE6DA7">
        <w:t xml:space="preserve">20 </w:t>
      </w:r>
      <w:r w:rsidR="0077282E" w:rsidRPr="00FE6DA7">
        <w:t>–</w:t>
      </w:r>
      <w:r w:rsidRPr="00FE6DA7">
        <w:t xml:space="preserve"> 23 November 2017</w:t>
      </w:r>
      <w:r w:rsidR="0077282E" w:rsidRPr="00FE6DA7">
        <w:t>)</w:t>
      </w:r>
      <w:r w:rsidRPr="00FE6DA7">
        <w:t xml:space="preserve">. The co-organizers of this workshop were </w:t>
      </w:r>
      <w:proofErr w:type="spellStart"/>
      <w:r w:rsidRPr="00FE6DA7">
        <w:t>SwedBio</w:t>
      </w:r>
      <w:proofErr w:type="spellEnd"/>
      <w:r w:rsidRPr="00FE6DA7">
        <w:t xml:space="preserve"> at Stockholm Resilience Centre, Forest Peoples Programme, </w:t>
      </w:r>
      <w:r w:rsidR="0077282E" w:rsidRPr="00FE6DA7">
        <w:t xml:space="preserve">and </w:t>
      </w:r>
      <w:r w:rsidRPr="00FE6DA7">
        <w:t xml:space="preserve">Natural Justice, with local hosts </w:t>
      </w:r>
      <w:proofErr w:type="spellStart"/>
      <w:r w:rsidRPr="00FE6DA7">
        <w:t>Chepkitale</w:t>
      </w:r>
      <w:proofErr w:type="spellEnd"/>
      <w:r w:rsidRPr="00FE6DA7">
        <w:t xml:space="preserve"> Indigenous Peoples Development Project. This was an opportunity to consult on issues related to Chapters 2, 3, 5, and 6 involving the links between IPLCs and protected areas (PAs), protected area governance, and human rights</w:t>
      </w:r>
      <w:r w:rsidR="00802A47" w:rsidRPr="00FE6DA7">
        <w:t xml:space="preserve">. </w:t>
      </w:r>
      <w:r w:rsidR="00955D20" w:rsidRPr="00FE6DA7">
        <w:t xml:space="preserve">Participating IPBES authors gave presentations, engaged in dialogue discussions and carried out individual interviews with key indigenous participants. </w:t>
      </w:r>
      <w:r w:rsidR="00802A47" w:rsidRPr="00FE6DA7">
        <w:t xml:space="preserve">A report with the </w:t>
      </w:r>
      <w:r w:rsidR="00955D20" w:rsidRPr="00FE6DA7">
        <w:t xml:space="preserve">IPBES </w:t>
      </w:r>
      <w:r w:rsidR="00802A47" w:rsidRPr="00FE6DA7">
        <w:t>meeting outcomes has been made available to IPBES authors;</w:t>
      </w:r>
      <w:r w:rsidRPr="00FE6DA7">
        <w:t xml:space="preserve"> </w:t>
      </w:r>
    </w:p>
    <w:p w14:paraId="7F815D73" w14:textId="5EE3B115" w:rsidR="00B5042E" w:rsidRPr="00944E0F" w:rsidRDefault="005B024F" w:rsidP="00977C8B">
      <w:pPr>
        <w:pStyle w:val="Normalnumber"/>
        <w:numPr>
          <w:ilvl w:val="1"/>
          <w:numId w:val="8"/>
        </w:numPr>
        <w:tabs>
          <w:tab w:val="clear" w:pos="1247"/>
          <w:tab w:val="clear" w:pos="1814"/>
          <w:tab w:val="clear" w:pos="2381"/>
          <w:tab w:val="clear" w:pos="2948"/>
          <w:tab w:val="clear" w:pos="3515"/>
          <w:tab w:val="left" w:pos="624"/>
        </w:tabs>
      </w:pPr>
      <w:r w:rsidRPr="0077282E">
        <w:rPr>
          <w:b/>
        </w:rPr>
        <w:t>A dialogue held in the context of t</w:t>
      </w:r>
      <w:r w:rsidR="00B5042E" w:rsidRPr="0077282E">
        <w:rPr>
          <w:b/>
        </w:rPr>
        <w:t xml:space="preserve">he </w:t>
      </w:r>
      <w:r w:rsidR="00B5042E" w:rsidRPr="0077282E">
        <w:rPr>
          <w:b/>
          <w:bCs/>
        </w:rPr>
        <w:t>10th</w:t>
      </w:r>
      <w:r w:rsidR="00B5042E" w:rsidRPr="00944E0F">
        <w:rPr>
          <w:b/>
          <w:bCs/>
        </w:rPr>
        <w:t xml:space="preserve"> meeting of the Ad Hoc Open-ended Working Group on Article 8(j) and Related Provisions of the Convention on Biological Diversity </w:t>
      </w:r>
      <w:r w:rsidR="00B5042E" w:rsidRPr="0077282E">
        <w:rPr>
          <w:b/>
        </w:rPr>
        <w:t>(</w:t>
      </w:r>
      <w:r w:rsidR="000E439B" w:rsidRPr="0077282E">
        <w:rPr>
          <w:b/>
        </w:rPr>
        <w:t>CBD</w:t>
      </w:r>
      <w:r w:rsidR="0077282E" w:rsidRPr="0077282E">
        <w:rPr>
          <w:b/>
        </w:rPr>
        <w:t>)</w:t>
      </w:r>
      <w:r w:rsidR="000E439B">
        <w:t xml:space="preserve"> </w:t>
      </w:r>
      <w:r w:rsidR="0077282E">
        <w:t>(</w:t>
      </w:r>
      <w:r w:rsidR="00B5042E" w:rsidRPr="00944E0F">
        <w:t>Montreal, Canada</w:t>
      </w:r>
      <w:r w:rsidR="0077282E">
        <w:t>,</w:t>
      </w:r>
      <w:r w:rsidR="00B5042E" w:rsidRPr="00944E0F">
        <w:t xml:space="preserve"> 09 December 2017</w:t>
      </w:r>
      <w:r w:rsidR="0077282E">
        <w:t>)</w:t>
      </w:r>
      <w:r w:rsidR="00B5042E" w:rsidRPr="00944E0F">
        <w:t xml:space="preserve">. </w:t>
      </w:r>
      <w:r w:rsidR="00B5042E">
        <w:t>The</w:t>
      </w:r>
      <w:r w:rsidR="00B5042E" w:rsidRPr="00944E0F">
        <w:t xml:space="preserve"> IPBES secretariat work</w:t>
      </w:r>
      <w:r w:rsidR="00B5042E">
        <w:t>ed</w:t>
      </w:r>
      <w:r w:rsidR="00B5042E" w:rsidRPr="00944E0F">
        <w:t xml:space="preserve"> with the CBD, International Indigenous Forum on Biodiversity (IIFB), Indigenous Women's Biodiversity Network (IWBN), International Indigenous Forum on Biodiversity and Ecosystem Services (IIF BES), and the Forest Peoples Programme (FPP) on co-organizing this full-day dialogue</w:t>
      </w:r>
      <w:r w:rsidR="00955D20">
        <w:t>, which focused on key issues for indigenous and local communities in the Global Assessment</w:t>
      </w:r>
      <w:r w:rsidR="00B5042E" w:rsidRPr="00944E0F">
        <w:t xml:space="preserve">. </w:t>
      </w:r>
      <w:r w:rsidR="00955D20">
        <w:t>A report of the meeting outcomes has been made available to IPBES authors</w:t>
      </w:r>
      <w:r w:rsidR="00C24821">
        <w:t>.</w:t>
      </w:r>
    </w:p>
    <w:p w14:paraId="20EB0E33" w14:textId="69004624" w:rsidR="0091099F" w:rsidRPr="00D53497" w:rsidRDefault="00FE6DA7" w:rsidP="00FE6DA7">
      <w:pPr>
        <w:pStyle w:val="CH1"/>
      </w:pPr>
      <w:r>
        <w:tab/>
        <w:t>B.</w:t>
      </w:r>
      <w:r>
        <w:tab/>
      </w:r>
      <w:r w:rsidR="0091099F" w:rsidRPr="00D53497">
        <w:t xml:space="preserve">Progress regarding the development of methodological guidance for the IPBES </w:t>
      </w:r>
      <w:r w:rsidR="007B2377">
        <w:t>indigenous and local k</w:t>
      </w:r>
      <w:r w:rsidR="0091099F">
        <w:t>nowledge</w:t>
      </w:r>
      <w:r w:rsidR="007B2377">
        <w:t xml:space="preserve"> a</w:t>
      </w:r>
      <w:r w:rsidR="0091099F" w:rsidRPr="00D53497">
        <w:t xml:space="preserve">pproach </w:t>
      </w:r>
    </w:p>
    <w:p w14:paraId="748C7318" w14:textId="022EFCC6" w:rsidR="0091099F" w:rsidRPr="00D53497" w:rsidRDefault="0091099F"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The 6th meeting of the </w:t>
      </w:r>
      <w:r w:rsidR="007B2377">
        <w:t>indigenous and local k</w:t>
      </w:r>
      <w:r>
        <w:t>nowledge</w:t>
      </w:r>
      <w:r w:rsidRPr="00D53497">
        <w:t xml:space="preserve"> task force (8</w:t>
      </w:r>
      <w:r w:rsidR="0077282E">
        <w:t xml:space="preserve"> </w:t>
      </w:r>
      <w:r w:rsidR="0077282E" w:rsidRPr="00D53497">
        <w:t>–</w:t>
      </w:r>
      <w:r w:rsidR="0077282E">
        <w:t xml:space="preserve"> </w:t>
      </w:r>
      <w:r w:rsidRPr="00D53497">
        <w:t xml:space="preserve">11 May 2017, Colombia), discussed the IPBES </w:t>
      </w:r>
      <w:r w:rsidR="0005607B">
        <w:t>indigenous and local knowledge</w:t>
      </w:r>
      <w:r w:rsidR="0005607B" w:rsidRPr="00D53497">
        <w:t xml:space="preserve"> </w:t>
      </w:r>
      <w:r w:rsidRPr="00D53497">
        <w:t>approach, focusing on next steps for its operationalization</w:t>
      </w:r>
      <w:r w:rsidRPr="003270F4">
        <w:t>. It was agreed that further methodological guidance was needed to operationalize the requirements for respectfully working with indigenous knowledge and indigenous knowledge holders, including on how to work with FPIC principles.</w:t>
      </w:r>
      <w:r w:rsidRPr="00D53497">
        <w:t xml:space="preserve"> </w:t>
      </w:r>
    </w:p>
    <w:p w14:paraId="4B28653E" w14:textId="77777777" w:rsidR="0091099F" w:rsidRPr="00D53497" w:rsidRDefault="0091099F"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Concerns included how to </w:t>
      </w:r>
      <w:proofErr w:type="gramStart"/>
      <w:r w:rsidRPr="00D53497">
        <w:t>take into account</w:t>
      </w:r>
      <w:proofErr w:type="gramEnd"/>
      <w:r w:rsidRPr="00D53497">
        <w:t xml:space="preserve"> </w:t>
      </w:r>
      <w:r w:rsidR="0005607B">
        <w:t>indigenous and local knowledge</w:t>
      </w:r>
      <w:r w:rsidR="0005607B" w:rsidRPr="00D53497">
        <w:t xml:space="preserve"> </w:t>
      </w:r>
      <w:r w:rsidRPr="00D53497">
        <w:t xml:space="preserve">holder values within the approach, and how to account for these using FPIC principles. Participants also highlighted that a concerted effort would be needed to educate indigenous participants about their rights, about the IPBES assessment process, and about how data will be stored and synthesized, </w:t>
      </w:r>
      <w:proofErr w:type="gramStart"/>
      <w:r w:rsidRPr="00D53497">
        <w:t xml:space="preserve">in order </w:t>
      </w:r>
      <w:r w:rsidR="0005607B" w:rsidRPr="00D53497">
        <w:t>for</w:t>
      </w:r>
      <w:proofErr w:type="gramEnd"/>
      <w:r w:rsidR="0005607B" w:rsidRPr="00D53497">
        <w:t xml:space="preserve"> </w:t>
      </w:r>
      <w:r w:rsidR="0005607B">
        <w:t>indigenous and local knowledge</w:t>
      </w:r>
      <w:r w:rsidR="0005607B" w:rsidRPr="00D53497">
        <w:t xml:space="preserve"> holders </w:t>
      </w:r>
      <w:r w:rsidRPr="00D53497">
        <w:t xml:space="preserve">to be ‘informed’ before giving their consent. Definitions of indigenous peoples were also discussed. </w:t>
      </w:r>
    </w:p>
    <w:p w14:paraId="67C0C95F" w14:textId="77777777" w:rsidR="0091099F" w:rsidRPr="00D53497" w:rsidRDefault="0091099F"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In line with this guidance, the TSU on </w:t>
      </w:r>
      <w:r w:rsidR="0005607B">
        <w:t>indigenous and local knowledge</w:t>
      </w:r>
      <w:r w:rsidR="0005607B" w:rsidRPr="00D53497">
        <w:t xml:space="preserve"> </w:t>
      </w:r>
      <w:r w:rsidRPr="00D53497">
        <w:t xml:space="preserve">subsequently further analysed </w:t>
      </w:r>
      <w:r w:rsidR="0005607B" w:rsidRPr="00D53497">
        <w:t xml:space="preserve">the </w:t>
      </w:r>
      <w:r w:rsidR="0005607B">
        <w:t>indigenous and local knowledge</w:t>
      </w:r>
      <w:r w:rsidR="0005607B" w:rsidRPr="00D53497">
        <w:t xml:space="preserve"> </w:t>
      </w:r>
      <w:r w:rsidRPr="00D53497">
        <w:t xml:space="preserve">approach, and the comments of the task force. A review of other methodological documents produced by international bodies aiming to work respectfully and effectively with indigenous peoples was also carried out by the TSU. </w:t>
      </w:r>
    </w:p>
    <w:p w14:paraId="69FA3726" w14:textId="02A646C3" w:rsidR="0091099F" w:rsidRPr="00D53497" w:rsidRDefault="0091099F"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A comprehensive outline for the Methodological Guidance was subsequently drafted, </w:t>
      </w:r>
      <w:r>
        <w:t xml:space="preserve">discussed at the </w:t>
      </w:r>
      <w:r w:rsidR="00C24821">
        <w:t>10</w:t>
      </w:r>
      <w:r w:rsidR="00C24821" w:rsidRPr="00FE6DA7">
        <w:t>th</w:t>
      </w:r>
      <w:r w:rsidR="00C24821">
        <w:t xml:space="preserve"> meeting of the </w:t>
      </w:r>
      <w:r>
        <w:t>MEP</w:t>
      </w:r>
      <w:r w:rsidR="00C24821">
        <w:t xml:space="preserve"> (October 2017)</w:t>
      </w:r>
      <w:r w:rsidR="00180D5B">
        <w:t xml:space="preserve">, and </w:t>
      </w:r>
      <w:r>
        <w:t xml:space="preserve">shared with the </w:t>
      </w:r>
      <w:r w:rsidR="00C24821">
        <w:t>t</w:t>
      </w:r>
      <w:r>
        <w:t xml:space="preserve">ask </w:t>
      </w:r>
      <w:r w:rsidR="00C24821">
        <w:t>f</w:t>
      </w:r>
      <w:r>
        <w:t>orce for comments</w:t>
      </w:r>
      <w:r w:rsidR="00180D5B">
        <w:t xml:space="preserve">, and text was developed </w:t>
      </w:r>
      <w:r w:rsidR="005B024F">
        <w:t xml:space="preserve">for </w:t>
      </w:r>
      <w:r w:rsidR="00180D5B">
        <w:t>some of its sections</w:t>
      </w:r>
      <w:r>
        <w:t xml:space="preserve"> (</w:t>
      </w:r>
      <w:r w:rsidRPr="003270F4">
        <w:t>see A</w:t>
      </w:r>
      <w:r w:rsidR="009B7205" w:rsidRPr="003270F4">
        <w:t>ppendix 1</w:t>
      </w:r>
      <w:r w:rsidRPr="00FE6DA7">
        <w:t>).</w:t>
      </w:r>
      <w:r>
        <w:t xml:space="preserve"> The methodological </w:t>
      </w:r>
      <w:r>
        <w:lastRenderedPageBreak/>
        <w:t>guidance</w:t>
      </w:r>
      <w:r w:rsidRPr="00D53497">
        <w:t xml:space="preserve"> aim</w:t>
      </w:r>
      <w:r>
        <w:t>s</w:t>
      </w:r>
      <w:r w:rsidRPr="00D53497">
        <w:t xml:space="preserve"> to address all </w:t>
      </w:r>
      <w:r w:rsidR="00C24821">
        <w:t>four</w:t>
      </w:r>
      <w:r w:rsidR="00C24821" w:rsidRPr="00D53497">
        <w:t xml:space="preserve"> </w:t>
      </w:r>
      <w:r w:rsidRPr="00D53497">
        <w:t>phases of the Assessment process</w:t>
      </w:r>
      <w:r>
        <w:t>, as well as</w:t>
      </w:r>
      <w:r w:rsidRPr="00D53497">
        <w:t xml:space="preserve"> </w:t>
      </w:r>
      <w:r w:rsidR="00180D5B">
        <w:t xml:space="preserve">to propose </w:t>
      </w:r>
      <w:r>
        <w:t xml:space="preserve">ways to </w:t>
      </w:r>
      <w:r w:rsidRPr="00D53497">
        <w:t xml:space="preserve">work towards many of the aims of the other thematic areas of IPBES: </w:t>
      </w:r>
      <w:r w:rsidR="00C24821">
        <w:t>k</w:t>
      </w:r>
      <w:r w:rsidRPr="00D53497">
        <w:t xml:space="preserve">nowledge and </w:t>
      </w:r>
      <w:r w:rsidR="00C24821">
        <w:t>d</w:t>
      </w:r>
      <w:r w:rsidRPr="00D53497">
        <w:t xml:space="preserve">ata, </w:t>
      </w:r>
      <w:r w:rsidR="00C24821">
        <w:t>p</w:t>
      </w:r>
      <w:r w:rsidRPr="00D53497">
        <w:t xml:space="preserve">olicy </w:t>
      </w:r>
      <w:r w:rsidR="00C24821">
        <w:t>s</w:t>
      </w:r>
      <w:r w:rsidRPr="00D53497">
        <w:t xml:space="preserve">upport </w:t>
      </w:r>
      <w:r w:rsidR="00C24821">
        <w:t>t</w:t>
      </w:r>
      <w:r w:rsidRPr="00D53497">
        <w:t xml:space="preserve">ools and </w:t>
      </w:r>
      <w:r w:rsidR="00C24821">
        <w:t>m</w:t>
      </w:r>
      <w:r w:rsidRPr="00D53497">
        <w:t xml:space="preserve">ethodologies, and </w:t>
      </w:r>
      <w:r w:rsidR="00C24821">
        <w:t>c</w:t>
      </w:r>
      <w:r w:rsidRPr="00D53497">
        <w:t xml:space="preserve">apacity-building. </w:t>
      </w:r>
    </w:p>
    <w:p w14:paraId="3F228D63" w14:textId="2606824F" w:rsidR="0091099F" w:rsidRPr="00D53497" w:rsidRDefault="00FE6DA7" w:rsidP="00FE6DA7">
      <w:pPr>
        <w:pStyle w:val="CH1"/>
      </w:pPr>
      <w:r>
        <w:tab/>
        <w:t>C.</w:t>
      </w:r>
      <w:r>
        <w:tab/>
      </w:r>
      <w:r w:rsidR="0091099F" w:rsidRPr="00D53497">
        <w:t xml:space="preserve">Arrangements supporting the implementation of the </w:t>
      </w:r>
      <w:r w:rsidR="007B2377">
        <w:t>indigenous and local k</w:t>
      </w:r>
      <w:r w:rsidR="0091099F">
        <w:t>nowledge</w:t>
      </w:r>
      <w:r w:rsidR="0091099F" w:rsidRPr="00D53497">
        <w:t xml:space="preserve"> approach </w:t>
      </w:r>
    </w:p>
    <w:p w14:paraId="2B96EDFA" w14:textId="1FC47FE0" w:rsidR="0091099F" w:rsidRPr="00D53497" w:rsidRDefault="00246DDE" w:rsidP="00B77039">
      <w:pPr>
        <w:pStyle w:val="Normalnumber"/>
        <w:numPr>
          <w:ilvl w:val="0"/>
          <w:numId w:val="23"/>
        </w:numPr>
        <w:tabs>
          <w:tab w:val="clear" w:pos="1247"/>
          <w:tab w:val="clear" w:pos="1814"/>
          <w:tab w:val="clear" w:pos="2381"/>
          <w:tab w:val="clear" w:pos="2948"/>
          <w:tab w:val="clear" w:pos="3515"/>
          <w:tab w:val="left" w:pos="624"/>
        </w:tabs>
        <w:ind w:left="1247" w:firstLine="0"/>
      </w:pPr>
      <w:r>
        <w:t xml:space="preserve">The </w:t>
      </w:r>
      <w:r w:rsidR="007B2377">
        <w:t>participatory m</w:t>
      </w:r>
      <w:r w:rsidR="0091099F" w:rsidRPr="00D53497">
        <w:t xml:space="preserve">echanism on </w:t>
      </w:r>
      <w:r w:rsidR="007B2377">
        <w:t>indigenous and local k</w:t>
      </w:r>
      <w:r w:rsidR="0091099F">
        <w:t>nowledge</w:t>
      </w:r>
      <w:r w:rsidR="0091099F" w:rsidRPr="00CB2C3D">
        <w:t xml:space="preserve"> </w:t>
      </w:r>
      <w:r w:rsidR="0091099F">
        <w:t>is one of the main mechanisms</w:t>
      </w:r>
      <w:r w:rsidR="0091099F" w:rsidRPr="00D53497">
        <w:t xml:space="preserve"> supporting the implementation of </w:t>
      </w:r>
      <w:r w:rsidR="0005607B" w:rsidRPr="00D53497">
        <w:t xml:space="preserve">the </w:t>
      </w:r>
      <w:r w:rsidR="0005607B">
        <w:t>indigenous and local knowledge</w:t>
      </w:r>
      <w:r w:rsidR="0005607B" w:rsidRPr="00D53497">
        <w:t xml:space="preserve"> </w:t>
      </w:r>
      <w:r w:rsidR="0091099F" w:rsidRPr="00D53497">
        <w:t>approach</w:t>
      </w:r>
      <w:r w:rsidR="0091099F">
        <w:t>.</w:t>
      </w:r>
      <w:r>
        <w:t xml:space="preserve"> T</w:t>
      </w:r>
      <w:r w:rsidRPr="00D53497">
        <w:t xml:space="preserve">he </w:t>
      </w:r>
      <w:r>
        <w:t>Bureau and the MEP, at their 10</w:t>
      </w:r>
      <w:r w:rsidRPr="00A36261">
        <w:rPr>
          <w:vertAlign w:val="superscript"/>
        </w:rPr>
        <w:t>th</w:t>
      </w:r>
      <w:r>
        <w:t xml:space="preserve"> meeting</w:t>
      </w:r>
      <w:r w:rsidR="002356C5">
        <w:t>s</w:t>
      </w:r>
      <w:r>
        <w:t xml:space="preserve"> (October 2017) </w:t>
      </w:r>
      <w:r w:rsidR="00060A46" w:rsidRPr="005B024F">
        <w:t>considered</w:t>
      </w:r>
      <w:r w:rsidRPr="005B024F">
        <w:t xml:space="preserve"> a</w:t>
      </w:r>
      <w:r w:rsidR="00060A46" w:rsidRPr="005B024F">
        <w:t>n initial</w:t>
      </w:r>
      <w:r w:rsidRPr="005B024F">
        <w:t xml:space="preserve"> governance structure</w:t>
      </w:r>
      <w:r w:rsidR="00060A46" w:rsidRPr="005B024F">
        <w:t xml:space="preserve">, </w:t>
      </w:r>
      <w:r w:rsidR="002356C5" w:rsidRPr="005B024F">
        <w:t>reproduced</w:t>
      </w:r>
      <w:r w:rsidR="00060A46" w:rsidRPr="005B024F">
        <w:t xml:space="preserve"> in</w:t>
      </w:r>
      <w:r w:rsidR="002356C5" w:rsidRPr="005B024F">
        <w:t xml:space="preserve"> appendix II</w:t>
      </w:r>
      <w:r w:rsidR="00060A46" w:rsidRPr="005B024F">
        <w:t>,</w:t>
      </w:r>
      <w:r w:rsidRPr="005B024F">
        <w:t xml:space="preserve"> to implement the approach and a set of steps to establish it</w:t>
      </w:r>
      <w:r w:rsidR="0091099F" w:rsidRPr="005B024F">
        <w:t xml:space="preserve">. </w:t>
      </w:r>
      <w:r w:rsidR="008E57DE" w:rsidRPr="005B024F">
        <w:t>This gover</w:t>
      </w:r>
      <w:r w:rsidR="00060A46" w:rsidRPr="005B024F">
        <w:t>nance will be further developed and considered by MEP and Bureau in 2018</w:t>
      </w:r>
      <w:r w:rsidR="002356C5" w:rsidRPr="005B024F">
        <w:t>, and could form</w:t>
      </w:r>
      <w:r w:rsidR="00060A46" w:rsidRPr="005B024F">
        <w:t xml:space="preserve"> </w:t>
      </w:r>
      <w:r w:rsidR="008E57DE" w:rsidRPr="005B024F">
        <w:t xml:space="preserve">part of </w:t>
      </w:r>
      <w:r w:rsidR="00060A46" w:rsidRPr="005B024F">
        <w:t xml:space="preserve">the </w:t>
      </w:r>
      <w:r w:rsidR="002356C5" w:rsidRPr="005B024F">
        <w:t>consultations</w:t>
      </w:r>
      <w:r w:rsidR="00060A46" w:rsidRPr="005B024F">
        <w:t xml:space="preserve"> on possible </w:t>
      </w:r>
      <w:r w:rsidR="008E57DE" w:rsidRPr="005B024F">
        <w:t xml:space="preserve">institutional arrangements </w:t>
      </w:r>
      <w:r w:rsidR="002356C5" w:rsidRPr="005B024F">
        <w:t>for</w:t>
      </w:r>
      <w:r w:rsidR="008E57DE" w:rsidRPr="005B024F">
        <w:t xml:space="preserve"> the second work programme</w:t>
      </w:r>
      <w:r w:rsidR="002356C5" w:rsidRPr="005B024F">
        <w:t>,</w:t>
      </w:r>
      <w:r w:rsidR="002356C5">
        <w:t xml:space="preserve"> and would be presented, in this context, to the Plenary</w:t>
      </w:r>
      <w:r w:rsidR="008E57DE">
        <w:t>.</w:t>
      </w:r>
    </w:p>
    <w:p w14:paraId="58344F95" w14:textId="758EFD8E" w:rsidR="0091099F" w:rsidRDefault="0091099F"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The </w:t>
      </w:r>
      <w:r w:rsidR="002356C5" w:rsidRPr="00A74574">
        <w:t xml:space="preserve">proposed </w:t>
      </w:r>
      <w:r w:rsidR="00060A46" w:rsidRPr="00A74574">
        <w:t>initial</w:t>
      </w:r>
      <w:r w:rsidR="00246DDE" w:rsidRPr="005B024F">
        <w:t xml:space="preserve"> governance</w:t>
      </w:r>
      <w:r w:rsidR="00246DDE">
        <w:t xml:space="preserve"> </w:t>
      </w:r>
      <w:r w:rsidR="007B2377">
        <w:t>structure of the participatory m</w:t>
      </w:r>
      <w:r w:rsidRPr="00D53497">
        <w:t xml:space="preserve">echanism </w:t>
      </w:r>
      <w:r w:rsidR="00246DDE">
        <w:t xml:space="preserve">consists </w:t>
      </w:r>
      <w:r w:rsidR="0077282E">
        <w:t>of</w:t>
      </w:r>
      <w:r w:rsidR="00246DDE" w:rsidRPr="00D53497">
        <w:t xml:space="preserve"> </w:t>
      </w:r>
      <w:r w:rsidRPr="00D53497">
        <w:t xml:space="preserve">a </w:t>
      </w:r>
      <w:r w:rsidRPr="002A18DC">
        <w:t>“Facilitation, Management and Support</w:t>
      </w:r>
      <w:r w:rsidR="006936A8" w:rsidRPr="002A18DC">
        <w:t>”</w:t>
      </w:r>
      <w:r w:rsidR="00246DDE" w:rsidRPr="002A18DC">
        <w:t xml:space="preserve"> </w:t>
      </w:r>
      <w:r w:rsidRPr="002A18DC">
        <w:t>Group</w:t>
      </w:r>
      <w:r w:rsidR="00113876" w:rsidRPr="002A18DC">
        <w:t>, hereafter</w:t>
      </w:r>
      <w:r w:rsidR="00113876" w:rsidRPr="005B024F">
        <w:t xml:space="preserve"> called “the Group”,</w:t>
      </w:r>
      <w:r w:rsidRPr="00D53497">
        <w:t xml:space="preserve"> including 24 members as follows: </w:t>
      </w:r>
    </w:p>
    <w:p w14:paraId="69DDF712" w14:textId="6B27608C" w:rsidR="0091099F" w:rsidRPr="00D53497" w:rsidRDefault="0091099F" w:rsidP="00977C8B">
      <w:pPr>
        <w:pStyle w:val="Normalnumber"/>
        <w:numPr>
          <w:ilvl w:val="1"/>
          <w:numId w:val="9"/>
        </w:numPr>
        <w:tabs>
          <w:tab w:val="clear" w:pos="1247"/>
          <w:tab w:val="clear" w:pos="1814"/>
          <w:tab w:val="clear" w:pos="2381"/>
          <w:tab w:val="clear" w:pos="2948"/>
          <w:tab w:val="clear" w:pos="3515"/>
          <w:tab w:val="left" w:pos="624"/>
        </w:tabs>
      </w:pPr>
      <w:r w:rsidRPr="00D53497">
        <w:t xml:space="preserve">Seven IPLC representatives drawn from the seven IPLC regions: </w:t>
      </w:r>
      <w:r w:rsidR="00662346">
        <w:t>u</w:t>
      </w:r>
      <w:r w:rsidR="00CF12AA">
        <w:t>nder the UN </w:t>
      </w:r>
      <w:r w:rsidRPr="00D53497">
        <w:t>Permanent Forum on Indigenous Issues</w:t>
      </w:r>
      <w:r w:rsidR="00113876">
        <w:t>,</w:t>
      </w:r>
      <w:r w:rsidRPr="00D53497">
        <w:t xml:space="preserve"> the seven socio-cultural regional groupings of IPLCs are: Africa; Asia; Central and South America and the Caribbean; The Arctic; Eastern Europe, Russian Federation, Central Asia and Transcaucasia; North America; The Pacific; </w:t>
      </w:r>
    </w:p>
    <w:p w14:paraId="035C559E" w14:textId="78439BBD" w:rsidR="0091099F" w:rsidRDefault="0091099F" w:rsidP="00977C8B">
      <w:pPr>
        <w:pStyle w:val="Normalnumber"/>
        <w:numPr>
          <w:ilvl w:val="1"/>
          <w:numId w:val="9"/>
        </w:numPr>
        <w:tabs>
          <w:tab w:val="clear" w:pos="1247"/>
          <w:tab w:val="clear" w:pos="1814"/>
          <w:tab w:val="clear" w:pos="2381"/>
          <w:tab w:val="clear" w:pos="2948"/>
          <w:tab w:val="clear" w:pos="3515"/>
          <w:tab w:val="left" w:pos="624"/>
        </w:tabs>
      </w:pPr>
      <w:r w:rsidRPr="00D53497">
        <w:t>Five strategic partners</w:t>
      </w:r>
      <w:r w:rsidR="00246DDE">
        <w:t>,</w:t>
      </w:r>
      <w:r w:rsidRPr="00D53497">
        <w:t xml:space="preserve"> </w:t>
      </w:r>
      <w:r w:rsidR="00246DDE">
        <w:t xml:space="preserve">representing a larger set of </w:t>
      </w:r>
      <w:r w:rsidRPr="00D53497">
        <w:t>organizations with direct involvement with IPLCs and others with IPLC interests</w:t>
      </w:r>
      <w:r w:rsidR="00246DDE">
        <w:t xml:space="preserve">. These five partners would be </w:t>
      </w:r>
      <w:r w:rsidR="00246DDE" w:rsidRPr="00D53497">
        <w:t xml:space="preserve">represented by </w:t>
      </w:r>
      <w:r w:rsidR="00246DDE">
        <w:t>their respective</w:t>
      </w:r>
      <w:r w:rsidR="00246DDE" w:rsidRPr="00D53497">
        <w:t xml:space="preserve"> resource person</w:t>
      </w:r>
      <w:r w:rsidR="00246DDE">
        <w:t xml:space="preserve"> on the Group</w:t>
      </w:r>
      <w:r w:rsidRPr="00D53497">
        <w:t xml:space="preserve">; </w:t>
      </w:r>
    </w:p>
    <w:p w14:paraId="084D4D58" w14:textId="61D90A57" w:rsidR="0091099F" w:rsidRPr="00D53497" w:rsidRDefault="0091099F" w:rsidP="00977C8B">
      <w:pPr>
        <w:pStyle w:val="Normalnumber"/>
        <w:numPr>
          <w:ilvl w:val="1"/>
          <w:numId w:val="9"/>
        </w:numPr>
        <w:tabs>
          <w:tab w:val="clear" w:pos="1247"/>
          <w:tab w:val="clear" w:pos="1814"/>
          <w:tab w:val="clear" w:pos="2381"/>
          <w:tab w:val="clear" w:pos="2948"/>
          <w:tab w:val="clear" w:pos="3515"/>
          <w:tab w:val="left" w:pos="624"/>
        </w:tabs>
      </w:pPr>
      <w:r w:rsidRPr="00D53497">
        <w:t xml:space="preserve">Eight </w:t>
      </w:r>
      <w:r w:rsidR="0005607B">
        <w:t>indigenous and local knowledge</w:t>
      </w:r>
      <w:r w:rsidR="0005607B" w:rsidRPr="00D53497">
        <w:t xml:space="preserve"> </w:t>
      </w:r>
      <w:r w:rsidRPr="00D53497">
        <w:t xml:space="preserve">experts representing </w:t>
      </w:r>
      <w:r w:rsidR="00113876">
        <w:t>relevant</w:t>
      </w:r>
      <w:r w:rsidRPr="00D53497">
        <w:t xml:space="preserve"> expert groups and task forces within IPBES; and </w:t>
      </w:r>
    </w:p>
    <w:p w14:paraId="189CCC43" w14:textId="7268B744" w:rsidR="0091099F" w:rsidRPr="00D53497" w:rsidRDefault="0091099F" w:rsidP="00977C8B">
      <w:pPr>
        <w:pStyle w:val="Normalnumber"/>
        <w:numPr>
          <w:ilvl w:val="1"/>
          <w:numId w:val="9"/>
        </w:numPr>
        <w:tabs>
          <w:tab w:val="clear" w:pos="1247"/>
          <w:tab w:val="clear" w:pos="1814"/>
          <w:tab w:val="clear" w:pos="2381"/>
          <w:tab w:val="clear" w:pos="2948"/>
          <w:tab w:val="clear" w:pos="3515"/>
          <w:tab w:val="left" w:pos="624"/>
        </w:tabs>
      </w:pPr>
      <w:r w:rsidRPr="00D53497">
        <w:t>Two members of the Bureau and two members of the MEP</w:t>
      </w:r>
      <w:r w:rsidR="00113876">
        <w:t xml:space="preserve"> acting as co-chairs</w:t>
      </w:r>
      <w:r w:rsidRPr="00D53497">
        <w:t xml:space="preserve">. Technical support to the </w:t>
      </w:r>
      <w:r w:rsidR="00783E69">
        <w:t>G</w:t>
      </w:r>
      <w:r w:rsidRPr="00D53497">
        <w:t xml:space="preserve">roup </w:t>
      </w:r>
      <w:r w:rsidR="00113876">
        <w:t>would be</w:t>
      </w:r>
      <w:r w:rsidR="00113876" w:rsidRPr="00D53497">
        <w:t xml:space="preserve"> </w:t>
      </w:r>
      <w:r w:rsidRPr="00D53497">
        <w:t>provided by the secretariat</w:t>
      </w:r>
      <w:r w:rsidR="00113876">
        <w:t xml:space="preserve">, through its </w:t>
      </w:r>
      <w:r w:rsidRPr="00D53497">
        <w:t xml:space="preserve">TSU on </w:t>
      </w:r>
      <w:r w:rsidR="0005607B">
        <w:t>indigenous and local knowledge</w:t>
      </w:r>
      <w:r w:rsidRPr="00D53497">
        <w:t xml:space="preserve">. </w:t>
      </w:r>
    </w:p>
    <w:p w14:paraId="1F627400" w14:textId="72F8BFFB" w:rsidR="0091099F" w:rsidRDefault="0091099F"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To establish this “Facilitation, Management and Support” Group, </w:t>
      </w:r>
      <w:r>
        <w:t xml:space="preserve">the following process </w:t>
      </w:r>
      <w:r w:rsidR="00113876">
        <w:t>could be followed</w:t>
      </w:r>
      <w:r w:rsidRPr="00D53497">
        <w:t xml:space="preserve">: </w:t>
      </w:r>
    </w:p>
    <w:p w14:paraId="1F08EE08" w14:textId="0E4BF246" w:rsidR="0091099F" w:rsidRPr="00D53497" w:rsidRDefault="0091099F" w:rsidP="00977C8B">
      <w:pPr>
        <w:pStyle w:val="Normalnumber"/>
        <w:numPr>
          <w:ilvl w:val="1"/>
          <w:numId w:val="10"/>
        </w:numPr>
        <w:tabs>
          <w:tab w:val="clear" w:pos="1247"/>
          <w:tab w:val="clear" w:pos="1814"/>
          <w:tab w:val="clear" w:pos="2381"/>
          <w:tab w:val="clear" w:pos="2948"/>
          <w:tab w:val="clear" w:pos="3515"/>
          <w:tab w:val="left" w:pos="624"/>
        </w:tabs>
      </w:pPr>
      <w:r w:rsidRPr="00D53497">
        <w:t xml:space="preserve">The Chair of IPBES </w:t>
      </w:r>
      <w:r w:rsidR="00D37517">
        <w:t>would invite</w:t>
      </w:r>
      <w:r w:rsidR="00D37517" w:rsidRPr="00D53497">
        <w:t xml:space="preserve"> </w:t>
      </w:r>
      <w:r w:rsidRPr="00D53497">
        <w:t>the seven IPLC regions</w:t>
      </w:r>
      <w:r w:rsidR="006936A8">
        <w:t xml:space="preserve"> </w:t>
      </w:r>
      <w:r w:rsidRPr="00D53497">
        <w:t xml:space="preserve">to name </w:t>
      </w:r>
      <w:r w:rsidR="006936A8">
        <w:t>one</w:t>
      </w:r>
      <w:r w:rsidR="006936A8" w:rsidRPr="00D53497">
        <w:t xml:space="preserve"> representative</w:t>
      </w:r>
      <w:r w:rsidR="006936A8">
        <w:t xml:space="preserve"> each</w:t>
      </w:r>
      <w:r w:rsidRPr="00D53497">
        <w:t xml:space="preserve">, </w:t>
      </w:r>
      <w:r w:rsidR="008E57DE">
        <w:t xml:space="preserve">to serve </w:t>
      </w:r>
      <w:r w:rsidRPr="00D53497">
        <w:t xml:space="preserve">for a term of </w:t>
      </w:r>
      <w:r w:rsidR="00D37517">
        <w:t>three</w:t>
      </w:r>
      <w:r w:rsidRPr="00D53497">
        <w:t xml:space="preserve"> years</w:t>
      </w:r>
      <w:r w:rsidR="00783E69">
        <w:t xml:space="preserve">, </w:t>
      </w:r>
      <w:r w:rsidRPr="00D53497">
        <w:t xml:space="preserve">renewable once; </w:t>
      </w:r>
    </w:p>
    <w:p w14:paraId="34A06E11" w14:textId="4ED80482" w:rsidR="0091099F" w:rsidRPr="00D53497" w:rsidRDefault="0091099F" w:rsidP="00977C8B">
      <w:pPr>
        <w:pStyle w:val="Normalnumber"/>
        <w:numPr>
          <w:ilvl w:val="1"/>
          <w:numId w:val="10"/>
        </w:numPr>
        <w:tabs>
          <w:tab w:val="clear" w:pos="1247"/>
          <w:tab w:val="clear" w:pos="1814"/>
          <w:tab w:val="clear" w:pos="2381"/>
          <w:tab w:val="clear" w:pos="2948"/>
          <w:tab w:val="clear" w:pos="3515"/>
          <w:tab w:val="left" w:pos="624"/>
        </w:tabs>
      </w:pPr>
      <w:r w:rsidRPr="00D53497">
        <w:t>An open call for expression</w:t>
      </w:r>
      <w:r w:rsidR="0005607B">
        <w:t>s</w:t>
      </w:r>
      <w:r w:rsidRPr="00D53497">
        <w:t xml:space="preserve"> of interest for strategic partner organi</w:t>
      </w:r>
      <w:r w:rsidR="0005607B">
        <w:t>z</w:t>
      </w:r>
      <w:r w:rsidRPr="00D53497">
        <w:t xml:space="preserve">ations </w:t>
      </w:r>
      <w:r w:rsidR="00D37517">
        <w:t xml:space="preserve">would be </w:t>
      </w:r>
      <w:r w:rsidRPr="00D53497">
        <w:t xml:space="preserve">launched </w:t>
      </w:r>
      <w:r w:rsidR="00D37517">
        <w:t>and</w:t>
      </w:r>
      <w:r w:rsidRPr="00D53497">
        <w:t xml:space="preserve"> five organi</w:t>
      </w:r>
      <w:r w:rsidR="0005607B">
        <w:t>z</w:t>
      </w:r>
      <w:r w:rsidRPr="00D53497">
        <w:t xml:space="preserve">ations </w:t>
      </w:r>
      <w:r w:rsidR="00D37517">
        <w:t xml:space="preserve">would be selected by MEP and Bureau </w:t>
      </w:r>
      <w:r w:rsidRPr="00D53497">
        <w:t xml:space="preserve">to be represented on the </w:t>
      </w:r>
      <w:r w:rsidR="00783E69">
        <w:t>G</w:t>
      </w:r>
      <w:r w:rsidRPr="00D53497">
        <w:t xml:space="preserve">roup for a </w:t>
      </w:r>
      <w:r w:rsidR="00113876">
        <w:t xml:space="preserve">possible </w:t>
      </w:r>
      <w:r w:rsidRPr="00D53497">
        <w:t xml:space="preserve">term of </w:t>
      </w:r>
      <w:r w:rsidR="00D37517">
        <w:t>three</w:t>
      </w:r>
      <w:r w:rsidRPr="00D53497">
        <w:t xml:space="preserve"> years</w:t>
      </w:r>
      <w:r w:rsidR="00783E69">
        <w:t xml:space="preserve">, </w:t>
      </w:r>
      <w:r w:rsidRPr="00D53497">
        <w:t xml:space="preserve">renewable once; and </w:t>
      </w:r>
    </w:p>
    <w:p w14:paraId="09AB4EC2" w14:textId="214328A3" w:rsidR="0091099F" w:rsidRPr="00A74574" w:rsidRDefault="006936A8" w:rsidP="00977C8B">
      <w:pPr>
        <w:pStyle w:val="Normalnumber"/>
        <w:numPr>
          <w:ilvl w:val="1"/>
          <w:numId w:val="10"/>
        </w:numPr>
        <w:tabs>
          <w:tab w:val="clear" w:pos="1247"/>
          <w:tab w:val="clear" w:pos="1814"/>
          <w:tab w:val="clear" w:pos="2381"/>
          <w:tab w:val="clear" w:pos="2948"/>
          <w:tab w:val="clear" w:pos="3515"/>
          <w:tab w:val="left" w:pos="624"/>
        </w:tabs>
      </w:pPr>
      <w:r w:rsidRPr="005B024F">
        <w:t>A set of eight i</w:t>
      </w:r>
      <w:r w:rsidR="0091099F" w:rsidRPr="005B024F">
        <w:t xml:space="preserve">ndigenous </w:t>
      </w:r>
      <w:r w:rsidR="0005607B" w:rsidRPr="005B024F">
        <w:t xml:space="preserve">and local knowledge </w:t>
      </w:r>
      <w:r w:rsidR="0091099F" w:rsidRPr="005B024F">
        <w:t xml:space="preserve">experts </w:t>
      </w:r>
      <w:r w:rsidR="00D37517" w:rsidRPr="00A74574">
        <w:t xml:space="preserve">would </w:t>
      </w:r>
      <w:r w:rsidR="0091099F" w:rsidRPr="00A74574">
        <w:t xml:space="preserve">be </w:t>
      </w:r>
      <w:r w:rsidRPr="00A74574">
        <w:t>selected by MEP and Bureau</w:t>
      </w:r>
      <w:r w:rsidRPr="005B024F">
        <w:t xml:space="preserve"> </w:t>
      </w:r>
      <w:r w:rsidR="0091099F" w:rsidRPr="005B024F">
        <w:t xml:space="preserve">from ongoing assessments (from the </w:t>
      </w:r>
      <w:r w:rsidR="002712A1" w:rsidRPr="005B024F">
        <w:t xml:space="preserve">Global Assessment </w:t>
      </w:r>
      <w:r w:rsidR="0091099F" w:rsidRPr="005B024F">
        <w:t xml:space="preserve">and </w:t>
      </w:r>
      <w:r w:rsidRPr="005B024F">
        <w:t>any</w:t>
      </w:r>
      <w:r w:rsidR="0091099F" w:rsidRPr="005B024F">
        <w:t xml:space="preserve"> </w:t>
      </w:r>
      <w:r w:rsidR="0091099F" w:rsidRPr="00A74574">
        <w:t>assessments</w:t>
      </w:r>
      <w:r w:rsidR="00113876" w:rsidRPr="00A74574">
        <w:t xml:space="preserve"> launched subsequently</w:t>
      </w:r>
      <w:r w:rsidR="0091099F" w:rsidRPr="00A74574">
        <w:t xml:space="preserve">), task forces and possibly from other expert groups. </w:t>
      </w:r>
    </w:p>
    <w:p w14:paraId="6C9B895D" w14:textId="286D2033" w:rsidR="0091099F" w:rsidRPr="00D53497" w:rsidRDefault="0091099F" w:rsidP="00B77039">
      <w:pPr>
        <w:pStyle w:val="Normalnumber"/>
        <w:numPr>
          <w:ilvl w:val="0"/>
          <w:numId w:val="23"/>
        </w:numPr>
        <w:tabs>
          <w:tab w:val="clear" w:pos="1247"/>
          <w:tab w:val="clear" w:pos="1814"/>
          <w:tab w:val="clear" w:pos="2381"/>
          <w:tab w:val="clear" w:pos="2948"/>
          <w:tab w:val="clear" w:pos="3515"/>
          <w:tab w:val="left" w:pos="624"/>
        </w:tabs>
        <w:ind w:left="1247" w:firstLine="0"/>
      </w:pPr>
      <w:r w:rsidRPr="00D53497">
        <w:t xml:space="preserve">Once established, this </w:t>
      </w:r>
      <w:r w:rsidR="00783E69">
        <w:t>G</w:t>
      </w:r>
      <w:r w:rsidR="00783E69" w:rsidRPr="00D53497">
        <w:t xml:space="preserve">roup </w:t>
      </w:r>
      <w:r w:rsidR="00783E69">
        <w:t>w</w:t>
      </w:r>
      <w:r w:rsidR="00D37517">
        <w:t>ould</w:t>
      </w:r>
      <w:r w:rsidR="00783E69" w:rsidRPr="00D53497">
        <w:t xml:space="preserve"> </w:t>
      </w:r>
      <w:r w:rsidRPr="00D53497">
        <w:t xml:space="preserve">support the implementation of </w:t>
      </w:r>
      <w:r w:rsidR="002712A1" w:rsidRPr="00D53497">
        <w:t xml:space="preserve">the </w:t>
      </w:r>
      <w:r w:rsidR="002712A1">
        <w:t>indigenous and local knowledge</w:t>
      </w:r>
      <w:r w:rsidR="002712A1" w:rsidRPr="00D53497">
        <w:t xml:space="preserve"> approach</w:t>
      </w:r>
      <w:r w:rsidRPr="00D53497">
        <w:t xml:space="preserve">, providing strategic advice, supporting the work with strategic activities by the IPLCs and selected strategic partners, </w:t>
      </w:r>
      <w:r w:rsidR="00783E69">
        <w:t>and</w:t>
      </w:r>
      <w:r w:rsidRPr="00D53497">
        <w:t xml:space="preserve"> coordinating the strategic outreach to further </w:t>
      </w:r>
      <w:proofErr w:type="spellStart"/>
      <w:r w:rsidR="00A243C2" w:rsidRPr="00D53497">
        <w:t>catalyze</w:t>
      </w:r>
      <w:proofErr w:type="spellEnd"/>
      <w:r w:rsidRPr="00D53497">
        <w:t xml:space="preserve"> broader levels of engagements, mainly through open call</w:t>
      </w:r>
      <w:r w:rsidR="002712A1">
        <w:t>s</w:t>
      </w:r>
      <w:r w:rsidRPr="00D53497">
        <w:t xml:space="preserve"> </w:t>
      </w:r>
      <w:r w:rsidR="00783E69">
        <w:t>for</w:t>
      </w:r>
      <w:r w:rsidR="00783E69" w:rsidRPr="00D53497">
        <w:t xml:space="preserve"> </w:t>
      </w:r>
      <w:r w:rsidRPr="00D53497">
        <w:t xml:space="preserve">contributions to targeted activities. </w:t>
      </w:r>
    </w:p>
    <w:p w14:paraId="25F1B3CA" w14:textId="036FA42F" w:rsidR="0091099F" w:rsidRPr="00D53497" w:rsidRDefault="002356C5" w:rsidP="00B77039">
      <w:pPr>
        <w:pStyle w:val="Normalnumber"/>
        <w:numPr>
          <w:ilvl w:val="0"/>
          <w:numId w:val="23"/>
        </w:numPr>
        <w:tabs>
          <w:tab w:val="clear" w:pos="1247"/>
          <w:tab w:val="clear" w:pos="1814"/>
          <w:tab w:val="clear" w:pos="2381"/>
          <w:tab w:val="clear" w:pos="2948"/>
          <w:tab w:val="clear" w:pos="3515"/>
          <w:tab w:val="left" w:pos="624"/>
        </w:tabs>
        <w:ind w:left="1247" w:firstLine="0"/>
      </w:pPr>
      <w:r>
        <w:t xml:space="preserve">The consultations </w:t>
      </w:r>
      <w:r w:rsidR="00073760">
        <w:t xml:space="preserve">planned for 2018 </w:t>
      </w:r>
      <w:r>
        <w:t>on a second work programme may address whether adjustments are necessary to the focus and scope of the task forces established for the first work programme, including the task force on indigenous and local knowledge (see document IPBES/6/11 on the development of a second work programme)</w:t>
      </w:r>
      <w:r w:rsidR="007B2377">
        <w:t>.</w:t>
      </w:r>
      <w:r>
        <w:t xml:space="preserve"> T</w:t>
      </w:r>
      <w:r w:rsidR="0091099F" w:rsidRPr="00D53497">
        <w:t xml:space="preserve">he </w:t>
      </w:r>
      <w:r>
        <w:t xml:space="preserve">proposal for a </w:t>
      </w:r>
      <w:r w:rsidR="0091099F" w:rsidRPr="00D53497">
        <w:t xml:space="preserve">“Facilitation, Management and Support” </w:t>
      </w:r>
      <w:r w:rsidR="004F7183">
        <w:t>G</w:t>
      </w:r>
      <w:r w:rsidR="0091099F" w:rsidRPr="00D53497">
        <w:t xml:space="preserve">roup of the </w:t>
      </w:r>
      <w:r w:rsidR="00073760">
        <w:t>p</w:t>
      </w:r>
      <w:r w:rsidR="0091099F" w:rsidRPr="00D53497">
        <w:t xml:space="preserve">articipatory </w:t>
      </w:r>
      <w:r w:rsidR="00073760">
        <w:t>m</w:t>
      </w:r>
      <w:r w:rsidR="0091099F" w:rsidRPr="00D53497">
        <w:t xml:space="preserve">echanism </w:t>
      </w:r>
      <w:r w:rsidR="00113876">
        <w:t>c</w:t>
      </w:r>
      <w:r w:rsidR="0091099F" w:rsidRPr="00D53497">
        <w:t xml:space="preserve">ould </w:t>
      </w:r>
      <w:r w:rsidR="00073760">
        <w:t>be considered in this context and</w:t>
      </w:r>
      <w:r w:rsidR="004F7183">
        <w:t xml:space="preserve">, </w:t>
      </w:r>
      <w:r w:rsidR="00073760">
        <w:t>f</w:t>
      </w:r>
      <w:r w:rsidR="00113876">
        <w:t xml:space="preserve">ollowing further </w:t>
      </w:r>
      <w:r w:rsidR="00073760" w:rsidRPr="00A74574">
        <w:t>consideration by the</w:t>
      </w:r>
      <w:r w:rsidR="00113876" w:rsidRPr="00A74574">
        <w:t xml:space="preserve"> MEP and Bureau</w:t>
      </w:r>
      <w:r w:rsidR="00073760" w:rsidRPr="00A74574">
        <w:t>,</w:t>
      </w:r>
      <w:r w:rsidR="00113876" w:rsidRPr="00A74574">
        <w:t xml:space="preserve"> be submitted </w:t>
      </w:r>
      <w:r w:rsidR="00073760" w:rsidRPr="00A74574">
        <w:t>for consideration by</w:t>
      </w:r>
      <w:r w:rsidR="00F76E63" w:rsidRPr="00A74574">
        <w:t xml:space="preserve"> </w:t>
      </w:r>
      <w:r w:rsidR="00113876" w:rsidRPr="00A74574">
        <w:t>the</w:t>
      </w:r>
      <w:r w:rsidR="00F76E63" w:rsidRPr="00A74574">
        <w:t xml:space="preserve"> Plenary</w:t>
      </w:r>
      <w:r w:rsidR="00113876" w:rsidRPr="00A74574">
        <w:t xml:space="preserve">, in the context of </w:t>
      </w:r>
      <w:r w:rsidR="00073760" w:rsidRPr="00A74574">
        <w:t>institutional</w:t>
      </w:r>
      <w:r w:rsidR="00655BC8" w:rsidRPr="00A74574">
        <w:t xml:space="preserve"> arrangement</w:t>
      </w:r>
      <w:r w:rsidR="00073760" w:rsidRPr="00A74574">
        <w:t>s</w:t>
      </w:r>
      <w:r w:rsidR="00655BC8" w:rsidRPr="00A74574">
        <w:t xml:space="preserve"> </w:t>
      </w:r>
      <w:r w:rsidR="00073760" w:rsidRPr="00A74574">
        <w:t>for</w:t>
      </w:r>
      <w:r w:rsidR="00655BC8" w:rsidRPr="00A74574">
        <w:t xml:space="preserve"> the implementation of the second work programme</w:t>
      </w:r>
      <w:r w:rsidR="002712A1" w:rsidRPr="00A74574">
        <w:t>.</w:t>
      </w:r>
      <w:r w:rsidR="002712A1" w:rsidRPr="00D53497">
        <w:t xml:space="preserve"> </w:t>
      </w:r>
    </w:p>
    <w:p w14:paraId="0FF95FC6" w14:textId="77777777" w:rsidR="00100EF6" w:rsidRDefault="00100EF6">
      <w:pPr>
        <w:rPr>
          <w:rFonts w:eastAsia="Calibri"/>
          <w:b/>
          <w:bCs/>
          <w:sz w:val="28"/>
          <w:szCs w:val="22"/>
          <w:lang w:val="en-US"/>
        </w:rPr>
      </w:pPr>
      <w:r>
        <w:rPr>
          <w:rFonts w:eastAsia="Calibri"/>
          <w:b/>
          <w:bCs/>
          <w:sz w:val="28"/>
          <w:szCs w:val="22"/>
          <w:lang w:val="en-US"/>
        </w:rPr>
        <w:br w:type="page"/>
      </w:r>
    </w:p>
    <w:p w14:paraId="6CDBEA45" w14:textId="60A94ECA" w:rsidR="00813504" w:rsidRPr="00813504" w:rsidRDefault="00813504" w:rsidP="00FE6DA7">
      <w:pPr>
        <w:pStyle w:val="ZZAnxheader"/>
        <w:rPr>
          <w:rFonts w:eastAsia="Calibri"/>
        </w:rPr>
      </w:pPr>
      <w:r>
        <w:rPr>
          <w:rFonts w:eastAsia="Calibri"/>
        </w:rPr>
        <w:lastRenderedPageBreak/>
        <w:t>Appendix</w:t>
      </w:r>
      <w:r w:rsidR="00E35135">
        <w:rPr>
          <w:rFonts w:eastAsia="Calibri"/>
        </w:rPr>
        <w:t xml:space="preserve"> I</w:t>
      </w:r>
    </w:p>
    <w:p w14:paraId="4BB753E0" w14:textId="16B43F88" w:rsidR="009B7205" w:rsidRPr="00490FE1" w:rsidRDefault="009B7205" w:rsidP="00FE6DA7">
      <w:pPr>
        <w:pStyle w:val="ZZAnxtitle"/>
      </w:pPr>
      <w:r>
        <w:t xml:space="preserve">Outline of the methodological guidance for the IPBES </w:t>
      </w:r>
      <w:r w:rsidR="007B2377">
        <w:t>indigenous and local knowledge a</w:t>
      </w:r>
      <w:r>
        <w:t>pproach</w:t>
      </w:r>
    </w:p>
    <w:p w14:paraId="53198720" w14:textId="3FA4FCC2" w:rsidR="009B7205" w:rsidRPr="009B7205" w:rsidRDefault="00FE6DA7" w:rsidP="00FE6DA7">
      <w:pPr>
        <w:pStyle w:val="CH1"/>
      </w:pPr>
      <w:r>
        <w:tab/>
        <w:t>A.</w:t>
      </w:r>
      <w:r>
        <w:tab/>
      </w:r>
      <w:r w:rsidR="009B7205" w:rsidRPr="007C5267">
        <w:t xml:space="preserve">Introduction </w:t>
      </w:r>
    </w:p>
    <w:p w14:paraId="1561ACCC" w14:textId="77777777" w:rsidR="009B7205" w:rsidRPr="00851E67"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8F3BEE">
        <w:t xml:space="preserve">Background to additional methodological guidance </w:t>
      </w:r>
    </w:p>
    <w:p w14:paraId="5F2EBD3D" w14:textId="77777777" w:rsidR="009B7205" w:rsidRPr="009B7205" w:rsidRDefault="009B7205" w:rsidP="00FE6DA7">
      <w:pPr>
        <w:pStyle w:val="Normal-pool"/>
        <w:tabs>
          <w:tab w:val="clear" w:pos="1247"/>
          <w:tab w:val="clear" w:pos="1814"/>
          <w:tab w:val="clear" w:pos="2381"/>
          <w:tab w:val="clear" w:pos="2948"/>
          <w:tab w:val="clear" w:pos="3515"/>
          <w:tab w:val="left" w:pos="624"/>
        </w:tabs>
        <w:spacing w:after="120"/>
        <w:ind w:left="1247"/>
      </w:pPr>
      <w:r w:rsidRPr="009B7205">
        <w:t xml:space="preserve">Background to additional methodological guidance needed on how to engage with indigenous peoples and indigenous knowledge </w:t>
      </w:r>
    </w:p>
    <w:p w14:paraId="1F1EB0AB" w14:textId="77777777" w:rsidR="009B7205" w:rsidRPr="00851E67"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8F3BEE">
        <w:t xml:space="preserve">Key areas of focus </w:t>
      </w:r>
    </w:p>
    <w:p w14:paraId="776C4BFC" w14:textId="77777777" w:rsidR="009B7205" w:rsidRPr="009B7205" w:rsidRDefault="009B7205" w:rsidP="0000744F">
      <w:pPr>
        <w:pStyle w:val="Normal-pool"/>
        <w:tabs>
          <w:tab w:val="clear" w:pos="1247"/>
          <w:tab w:val="clear" w:pos="1814"/>
          <w:tab w:val="clear" w:pos="2381"/>
          <w:tab w:val="clear" w:pos="2948"/>
          <w:tab w:val="clear" w:pos="3515"/>
          <w:tab w:val="left" w:pos="624"/>
        </w:tabs>
        <w:spacing w:after="120"/>
        <w:ind w:left="1247"/>
      </w:pPr>
      <w:r w:rsidRPr="009B7205">
        <w:t xml:space="preserve">Brief introduction to key areas of focus, as specified in Decision IPBES-5/1: </w:t>
      </w:r>
    </w:p>
    <w:p w14:paraId="10AC07C6" w14:textId="220811F9" w:rsidR="009B7205" w:rsidRPr="009B7205" w:rsidRDefault="009B7205" w:rsidP="00977C8B">
      <w:pPr>
        <w:pStyle w:val="Normalnumber"/>
        <w:numPr>
          <w:ilvl w:val="1"/>
          <w:numId w:val="12"/>
        </w:numPr>
        <w:tabs>
          <w:tab w:val="clear" w:pos="1247"/>
          <w:tab w:val="clear" w:pos="1814"/>
          <w:tab w:val="clear" w:pos="2381"/>
          <w:tab w:val="clear" w:pos="2948"/>
          <w:tab w:val="clear" w:pos="3515"/>
          <w:tab w:val="left" w:pos="624"/>
        </w:tabs>
      </w:pPr>
      <w:r w:rsidRPr="009B7205">
        <w:t xml:space="preserve">Online surveys and web-based consultations </w:t>
      </w:r>
    </w:p>
    <w:p w14:paraId="32B2E8E8" w14:textId="77777777" w:rsidR="009B7205" w:rsidRPr="009B7205" w:rsidRDefault="009B7205" w:rsidP="00977C8B">
      <w:pPr>
        <w:pStyle w:val="Normalnumber"/>
        <w:numPr>
          <w:ilvl w:val="1"/>
          <w:numId w:val="12"/>
        </w:numPr>
        <w:tabs>
          <w:tab w:val="clear" w:pos="1247"/>
          <w:tab w:val="clear" w:pos="1814"/>
          <w:tab w:val="clear" w:pos="2381"/>
          <w:tab w:val="clear" w:pos="2948"/>
          <w:tab w:val="clear" w:pos="3515"/>
          <w:tab w:val="left" w:pos="624"/>
        </w:tabs>
      </w:pPr>
      <w:r w:rsidRPr="009B7205">
        <w:t xml:space="preserve">Face-to-face consultations with representative networks and organizations </w:t>
      </w:r>
    </w:p>
    <w:p w14:paraId="149DEC0B" w14:textId="77777777" w:rsidR="009B7205" w:rsidRPr="009B7205" w:rsidRDefault="009B7205" w:rsidP="00977C8B">
      <w:pPr>
        <w:pStyle w:val="Normalnumber"/>
        <w:numPr>
          <w:ilvl w:val="1"/>
          <w:numId w:val="12"/>
        </w:numPr>
        <w:tabs>
          <w:tab w:val="clear" w:pos="1247"/>
          <w:tab w:val="clear" w:pos="1814"/>
          <w:tab w:val="clear" w:pos="2381"/>
          <w:tab w:val="clear" w:pos="2948"/>
          <w:tab w:val="clear" w:pos="3515"/>
          <w:tab w:val="left" w:pos="624"/>
        </w:tabs>
      </w:pPr>
      <w:r w:rsidRPr="009B7205">
        <w:t xml:space="preserve">Specific and localized forms of consultations with ILK holders </w:t>
      </w:r>
    </w:p>
    <w:p w14:paraId="09751AB8" w14:textId="77777777" w:rsidR="009B7205" w:rsidRPr="009B7205" w:rsidRDefault="009B7205" w:rsidP="00977C8B">
      <w:pPr>
        <w:pStyle w:val="Normalnumber"/>
        <w:numPr>
          <w:ilvl w:val="1"/>
          <w:numId w:val="12"/>
        </w:numPr>
        <w:tabs>
          <w:tab w:val="clear" w:pos="1247"/>
          <w:tab w:val="clear" w:pos="1814"/>
          <w:tab w:val="clear" w:pos="2381"/>
          <w:tab w:val="clear" w:pos="2948"/>
          <w:tab w:val="clear" w:pos="3515"/>
          <w:tab w:val="left" w:pos="624"/>
        </w:tabs>
      </w:pPr>
      <w:r w:rsidRPr="009B7205">
        <w:t xml:space="preserve">Synthesis and analysis of ILK knowledge, information and data </w:t>
      </w:r>
    </w:p>
    <w:p w14:paraId="6C8ECB93" w14:textId="77777777" w:rsidR="00904D15" w:rsidRPr="008F3BEE" w:rsidRDefault="009B7205" w:rsidP="00977C8B">
      <w:pPr>
        <w:pStyle w:val="Normalnumber"/>
        <w:numPr>
          <w:ilvl w:val="1"/>
          <w:numId w:val="12"/>
        </w:numPr>
        <w:tabs>
          <w:tab w:val="clear" w:pos="1247"/>
          <w:tab w:val="clear" w:pos="1814"/>
          <w:tab w:val="clear" w:pos="2381"/>
          <w:tab w:val="clear" w:pos="2948"/>
          <w:tab w:val="clear" w:pos="3515"/>
          <w:tab w:val="left" w:pos="624"/>
        </w:tabs>
        <w:rPr>
          <w:b/>
          <w:bCs/>
        </w:rPr>
      </w:pPr>
      <w:r w:rsidRPr="009B7205">
        <w:t xml:space="preserve">Outreach and information sharing </w:t>
      </w:r>
    </w:p>
    <w:p w14:paraId="3D24B23A" w14:textId="08273586" w:rsidR="009B7205" w:rsidRPr="00904D15" w:rsidRDefault="0000744F" w:rsidP="00FE6DA7">
      <w:pPr>
        <w:pStyle w:val="CH1"/>
      </w:pPr>
      <w:r>
        <w:tab/>
        <w:t>B.</w:t>
      </w:r>
      <w:r>
        <w:tab/>
      </w:r>
      <w:r w:rsidR="007B2377">
        <w:t>Free prior and informed consent (</w:t>
      </w:r>
      <w:r w:rsidR="009B7205" w:rsidRPr="007C5267">
        <w:t>FPIC</w:t>
      </w:r>
      <w:r w:rsidR="007B2377">
        <w:t>) and best p</w:t>
      </w:r>
      <w:r w:rsidR="009B7205" w:rsidRPr="007C5267">
        <w:t xml:space="preserve">ractice </w:t>
      </w:r>
    </w:p>
    <w:p w14:paraId="43D61D3B" w14:textId="77777777" w:rsidR="009B7205" w:rsidRPr="00851E67" w:rsidRDefault="009B7205" w:rsidP="00977C8B">
      <w:pPr>
        <w:pStyle w:val="Normalnumber"/>
        <w:numPr>
          <w:ilvl w:val="0"/>
          <w:numId w:val="15"/>
        </w:numPr>
        <w:tabs>
          <w:tab w:val="clear" w:pos="1247"/>
          <w:tab w:val="clear" w:pos="1814"/>
          <w:tab w:val="clear" w:pos="2381"/>
          <w:tab w:val="clear" w:pos="2948"/>
          <w:tab w:val="clear" w:pos="3515"/>
          <w:tab w:val="left" w:pos="624"/>
        </w:tabs>
        <w:ind w:left="1247" w:firstLine="0"/>
      </w:pPr>
      <w:r w:rsidRPr="008F3BEE">
        <w:t xml:space="preserve">Background to FPIC </w:t>
      </w:r>
    </w:p>
    <w:p w14:paraId="082C4930" w14:textId="77777777" w:rsidR="009B7205" w:rsidRPr="009B7205" w:rsidRDefault="009B7205" w:rsidP="0000744F">
      <w:pPr>
        <w:pStyle w:val="Normal-pool"/>
        <w:tabs>
          <w:tab w:val="clear" w:pos="1247"/>
          <w:tab w:val="clear" w:pos="1814"/>
          <w:tab w:val="clear" w:pos="2381"/>
          <w:tab w:val="clear" w:pos="2948"/>
          <w:tab w:val="clear" w:pos="3515"/>
          <w:tab w:val="left" w:pos="624"/>
        </w:tabs>
        <w:spacing w:after="120"/>
        <w:ind w:left="1247"/>
      </w:pPr>
      <w:r w:rsidRPr="009B7205">
        <w:t xml:space="preserve">Definitions for free, prior, informed and consent, and brief history </w:t>
      </w:r>
    </w:p>
    <w:p w14:paraId="2600675E" w14:textId="77777777" w:rsidR="009B7205" w:rsidRPr="00851E67"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8F3BEE">
        <w:t xml:space="preserve">Elements of </w:t>
      </w:r>
      <w:r w:rsidR="002712A1" w:rsidRPr="002712A1">
        <w:t>effective consultation</w:t>
      </w:r>
      <w:r w:rsidR="002712A1">
        <w:t>s</w:t>
      </w:r>
      <w:r w:rsidR="002712A1" w:rsidRPr="002712A1">
        <w:t xml:space="preserve"> </w:t>
      </w:r>
      <w:r w:rsidRPr="008F3BEE">
        <w:t xml:space="preserve">with ILK Holders </w:t>
      </w:r>
    </w:p>
    <w:p w14:paraId="788A4C13" w14:textId="3E1D566D" w:rsidR="009B7205" w:rsidRPr="009B7205" w:rsidRDefault="009B7205" w:rsidP="00977C8B">
      <w:pPr>
        <w:pStyle w:val="Normalnumber"/>
        <w:numPr>
          <w:ilvl w:val="1"/>
          <w:numId w:val="13"/>
        </w:numPr>
        <w:tabs>
          <w:tab w:val="clear" w:pos="1247"/>
          <w:tab w:val="clear" w:pos="1814"/>
          <w:tab w:val="clear" w:pos="2381"/>
          <w:tab w:val="clear" w:pos="2948"/>
          <w:tab w:val="clear" w:pos="3515"/>
          <w:tab w:val="left" w:pos="624"/>
        </w:tabs>
      </w:pPr>
      <w:r w:rsidRPr="009B7205">
        <w:t xml:space="preserve">ILK holder rights within the process </w:t>
      </w:r>
    </w:p>
    <w:p w14:paraId="6C956751" w14:textId="5395ED84" w:rsidR="009B7205" w:rsidRPr="009B7205" w:rsidRDefault="009B7205" w:rsidP="00977C8B">
      <w:pPr>
        <w:pStyle w:val="Normalnumber"/>
        <w:numPr>
          <w:ilvl w:val="1"/>
          <w:numId w:val="13"/>
        </w:numPr>
        <w:tabs>
          <w:tab w:val="clear" w:pos="1247"/>
          <w:tab w:val="clear" w:pos="1814"/>
          <w:tab w:val="clear" w:pos="2381"/>
          <w:tab w:val="clear" w:pos="2948"/>
          <w:tab w:val="clear" w:pos="3515"/>
          <w:tab w:val="left" w:pos="624"/>
        </w:tabs>
      </w:pPr>
      <w:r w:rsidRPr="009B7205">
        <w:t xml:space="preserve">Considerations of time, effort, and budget </w:t>
      </w:r>
    </w:p>
    <w:p w14:paraId="3AA9765A" w14:textId="28FAF0CB" w:rsidR="009B7205" w:rsidRPr="00904D15" w:rsidRDefault="0000744F" w:rsidP="00FE6DA7">
      <w:pPr>
        <w:pStyle w:val="CH1"/>
      </w:pPr>
      <w:r>
        <w:tab/>
        <w:t>C.</w:t>
      </w:r>
      <w:r>
        <w:tab/>
      </w:r>
      <w:r w:rsidR="007B2377">
        <w:t>IPBES a</w:t>
      </w:r>
      <w:r w:rsidR="009B7205" w:rsidRPr="007C5267">
        <w:t xml:space="preserve">pproach and </w:t>
      </w:r>
      <w:r w:rsidR="007B2377">
        <w:t>free prior and informed consent (</w:t>
      </w:r>
      <w:r w:rsidR="009B7205" w:rsidRPr="007C5267">
        <w:t>FPIC</w:t>
      </w:r>
      <w:r w:rsidR="007B2377">
        <w:t>)</w:t>
      </w:r>
      <w:r w:rsidR="009B7205" w:rsidRPr="007C5267">
        <w:t xml:space="preserve"> </w:t>
      </w:r>
    </w:p>
    <w:p w14:paraId="122E3224" w14:textId="77777777" w:rsidR="009B7205" w:rsidRPr="009B7205" w:rsidRDefault="009B7205" w:rsidP="00977C8B">
      <w:pPr>
        <w:pStyle w:val="Normalnumber"/>
        <w:numPr>
          <w:ilvl w:val="0"/>
          <w:numId w:val="16"/>
        </w:numPr>
        <w:tabs>
          <w:tab w:val="clear" w:pos="1247"/>
          <w:tab w:val="clear" w:pos="1814"/>
          <w:tab w:val="clear" w:pos="2381"/>
          <w:tab w:val="clear" w:pos="2948"/>
          <w:tab w:val="clear" w:pos="3515"/>
          <w:tab w:val="left" w:pos="624"/>
        </w:tabs>
        <w:ind w:left="1247" w:firstLine="0"/>
      </w:pPr>
      <w:r w:rsidRPr="009B7205">
        <w:t xml:space="preserve">What ILK holders need to know for ‘informed’ consent </w:t>
      </w:r>
    </w:p>
    <w:p w14:paraId="11464195" w14:textId="77777777" w:rsidR="009B7205" w:rsidRPr="008F3BEE" w:rsidRDefault="009B7205" w:rsidP="0000744F">
      <w:pPr>
        <w:pStyle w:val="Normal-pool"/>
        <w:tabs>
          <w:tab w:val="clear" w:pos="1247"/>
          <w:tab w:val="clear" w:pos="1814"/>
          <w:tab w:val="clear" w:pos="2381"/>
          <w:tab w:val="clear" w:pos="2948"/>
          <w:tab w:val="clear" w:pos="3515"/>
          <w:tab w:val="left" w:pos="624"/>
        </w:tabs>
        <w:spacing w:after="120"/>
        <w:ind w:left="1247"/>
      </w:pPr>
      <w:r w:rsidRPr="008F3BEE">
        <w:t xml:space="preserve">Discussion of </w:t>
      </w:r>
      <w:proofErr w:type="gramStart"/>
      <w:r w:rsidRPr="008F3BEE">
        <w:t>all of</w:t>
      </w:r>
      <w:proofErr w:type="gramEnd"/>
      <w:r w:rsidRPr="008F3BEE">
        <w:t xml:space="preserve"> the aspects of IPBES that ILK holders should understand before ‘informed’ consent can be given, including aims, methods, and ILK holder rights </w:t>
      </w:r>
    </w:p>
    <w:p w14:paraId="4F4EB4F0" w14:textId="437AB387" w:rsidR="009B7205" w:rsidRPr="00904D15" w:rsidRDefault="0000744F" w:rsidP="00FE6DA7">
      <w:pPr>
        <w:pStyle w:val="CH1"/>
      </w:pPr>
      <w:r>
        <w:tab/>
        <w:t>D.</w:t>
      </w:r>
      <w:r>
        <w:tab/>
      </w:r>
      <w:r w:rsidR="007B2377">
        <w:t xml:space="preserve">Methodological guidance for the </w:t>
      </w:r>
      <w:r w:rsidR="0070146F">
        <w:t xml:space="preserve">IPBES </w:t>
      </w:r>
      <w:r w:rsidR="007B2377">
        <w:t>assessment</w:t>
      </w:r>
      <w:r w:rsidR="009B7205" w:rsidRPr="007C5267">
        <w:t>s</w:t>
      </w:r>
      <w:r w:rsidR="007B2377">
        <w:t>’ four p</w:t>
      </w:r>
      <w:r w:rsidR="009B7205" w:rsidRPr="007C5267">
        <w:t xml:space="preserve">hases </w:t>
      </w:r>
    </w:p>
    <w:p w14:paraId="198043CA" w14:textId="77777777" w:rsidR="009B7205" w:rsidRPr="00553A2D" w:rsidRDefault="009B7205" w:rsidP="00977C8B">
      <w:pPr>
        <w:pStyle w:val="Normalnumber"/>
        <w:numPr>
          <w:ilvl w:val="0"/>
          <w:numId w:val="17"/>
        </w:numPr>
        <w:tabs>
          <w:tab w:val="clear" w:pos="1247"/>
          <w:tab w:val="clear" w:pos="1814"/>
          <w:tab w:val="clear" w:pos="2381"/>
          <w:tab w:val="clear" w:pos="2948"/>
          <w:tab w:val="clear" w:pos="3515"/>
          <w:tab w:val="left" w:pos="624"/>
        </w:tabs>
        <w:ind w:left="1247" w:firstLine="0"/>
      </w:pPr>
      <w:r w:rsidRPr="008F3BEE">
        <w:t xml:space="preserve">Phase 1: Scoping </w:t>
      </w:r>
    </w:p>
    <w:p w14:paraId="68B565BC" w14:textId="77777777" w:rsidR="009B7205" w:rsidRPr="009B7205" w:rsidRDefault="009B7205" w:rsidP="00977C8B">
      <w:pPr>
        <w:pStyle w:val="Normalnumber"/>
        <w:numPr>
          <w:ilvl w:val="1"/>
          <w:numId w:val="14"/>
        </w:numPr>
        <w:tabs>
          <w:tab w:val="clear" w:pos="1247"/>
          <w:tab w:val="clear" w:pos="1814"/>
          <w:tab w:val="clear" w:pos="2381"/>
          <w:tab w:val="clear" w:pos="2948"/>
          <w:tab w:val="clear" w:pos="3515"/>
          <w:tab w:val="left" w:pos="624"/>
        </w:tabs>
      </w:pPr>
      <w:r w:rsidRPr="009B7205">
        <w:t xml:space="preserve">How to reach out to IPLC networks </w:t>
      </w:r>
    </w:p>
    <w:p w14:paraId="120CD6D5" w14:textId="77777777" w:rsidR="009B7205" w:rsidRPr="009B7205" w:rsidRDefault="009B7205" w:rsidP="00977C8B">
      <w:pPr>
        <w:pStyle w:val="Normalnumber"/>
        <w:numPr>
          <w:ilvl w:val="1"/>
          <w:numId w:val="14"/>
        </w:numPr>
        <w:tabs>
          <w:tab w:val="clear" w:pos="1247"/>
          <w:tab w:val="clear" w:pos="1814"/>
          <w:tab w:val="clear" w:pos="2381"/>
          <w:tab w:val="clear" w:pos="2948"/>
          <w:tab w:val="clear" w:pos="3515"/>
          <w:tab w:val="left" w:pos="624"/>
        </w:tabs>
      </w:pPr>
      <w:r w:rsidRPr="009B7205">
        <w:t xml:space="preserve">Selection and facilitation of indigenous participants </w:t>
      </w:r>
    </w:p>
    <w:p w14:paraId="119A74AF" w14:textId="77777777" w:rsidR="009B7205" w:rsidRPr="009B7205" w:rsidRDefault="009B7205" w:rsidP="00977C8B">
      <w:pPr>
        <w:pStyle w:val="Normalnumber"/>
        <w:numPr>
          <w:ilvl w:val="1"/>
          <w:numId w:val="14"/>
        </w:numPr>
        <w:tabs>
          <w:tab w:val="clear" w:pos="1247"/>
          <w:tab w:val="clear" w:pos="1814"/>
          <w:tab w:val="clear" w:pos="2381"/>
          <w:tab w:val="clear" w:pos="2948"/>
          <w:tab w:val="clear" w:pos="3515"/>
          <w:tab w:val="left" w:pos="624"/>
        </w:tabs>
      </w:pPr>
      <w:r w:rsidRPr="009B7205">
        <w:t xml:space="preserve">How to engage effectively with indigenous peoples during face-to-face dialogues </w:t>
      </w:r>
    </w:p>
    <w:p w14:paraId="6D7B261A" w14:textId="77777777" w:rsidR="009B7205" w:rsidRPr="009B7205" w:rsidRDefault="009B7205" w:rsidP="00977C8B">
      <w:pPr>
        <w:pStyle w:val="Normalnumber"/>
        <w:numPr>
          <w:ilvl w:val="1"/>
          <w:numId w:val="14"/>
        </w:numPr>
        <w:tabs>
          <w:tab w:val="clear" w:pos="1247"/>
          <w:tab w:val="clear" w:pos="1814"/>
          <w:tab w:val="clear" w:pos="2381"/>
          <w:tab w:val="clear" w:pos="2948"/>
          <w:tab w:val="clear" w:pos="3515"/>
          <w:tab w:val="left" w:pos="624"/>
        </w:tabs>
      </w:pPr>
      <w:r w:rsidRPr="009B7205">
        <w:t xml:space="preserve">Improving the chances of successful online review </w:t>
      </w:r>
    </w:p>
    <w:p w14:paraId="2871AD0E" w14:textId="77777777" w:rsidR="009B7205" w:rsidRPr="009B7205" w:rsidRDefault="009B7205" w:rsidP="00977C8B">
      <w:pPr>
        <w:pStyle w:val="Normalnumber"/>
        <w:numPr>
          <w:ilvl w:val="1"/>
          <w:numId w:val="14"/>
        </w:numPr>
        <w:tabs>
          <w:tab w:val="clear" w:pos="1247"/>
          <w:tab w:val="clear" w:pos="1814"/>
          <w:tab w:val="clear" w:pos="2381"/>
          <w:tab w:val="clear" w:pos="2948"/>
          <w:tab w:val="clear" w:pos="3515"/>
          <w:tab w:val="left" w:pos="624"/>
        </w:tabs>
      </w:pPr>
      <w:r w:rsidRPr="009B7205">
        <w:t xml:space="preserve">Developing indicators that reflect ILK holder concerns </w:t>
      </w:r>
    </w:p>
    <w:p w14:paraId="2C08C46F" w14:textId="77777777" w:rsidR="009B7205" w:rsidRPr="00553A2D"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8F3BEE">
        <w:t xml:space="preserve">Phase 2: Synthesizing </w:t>
      </w:r>
    </w:p>
    <w:p w14:paraId="6764A1B3" w14:textId="77777777" w:rsidR="009B7205" w:rsidRPr="009B7205" w:rsidRDefault="009B7205" w:rsidP="0000744F">
      <w:pPr>
        <w:pStyle w:val="Normal-pool"/>
        <w:tabs>
          <w:tab w:val="clear" w:pos="1247"/>
          <w:tab w:val="clear" w:pos="1814"/>
          <w:tab w:val="clear" w:pos="2381"/>
          <w:tab w:val="clear" w:pos="2948"/>
          <w:tab w:val="clear" w:pos="3515"/>
          <w:tab w:val="left" w:pos="624"/>
        </w:tabs>
        <w:spacing w:after="120"/>
        <w:ind w:left="1247"/>
      </w:pPr>
      <w:r w:rsidRPr="009B7205">
        <w:t>Meth</w:t>
      </w:r>
      <w:r>
        <w:t>ods and key considerations for:</w:t>
      </w:r>
    </w:p>
    <w:p w14:paraId="1A9C45E4" w14:textId="77777777" w:rsidR="009B7205" w:rsidRPr="009B7205" w:rsidRDefault="009B7205" w:rsidP="00977C8B">
      <w:pPr>
        <w:pStyle w:val="Normalnumber"/>
        <w:numPr>
          <w:ilvl w:val="0"/>
          <w:numId w:val="6"/>
        </w:numPr>
        <w:tabs>
          <w:tab w:val="num" w:pos="567"/>
        </w:tabs>
        <w:ind w:left="1247" w:firstLine="567"/>
      </w:pPr>
      <w:r w:rsidRPr="009B7205">
        <w:t xml:space="preserve">Developing a set of practices to help manage ILK evidence and data that will be collected in the assessments </w:t>
      </w:r>
    </w:p>
    <w:p w14:paraId="78320AF3" w14:textId="77777777" w:rsidR="009B7205" w:rsidRPr="009B7205" w:rsidRDefault="009B7205" w:rsidP="00977C8B">
      <w:pPr>
        <w:pStyle w:val="Normalnumber"/>
        <w:numPr>
          <w:ilvl w:val="0"/>
          <w:numId w:val="6"/>
        </w:numPr>
        <w:tabs>
          <w:tab w:val="num" w:pos="567"/>
        </w:tabs>
        <w:ind w:left="1247" w:firstLine="567"/>
      </w:pPr>
      <w:r w:rsidRPr="009B7205">
        <w:t xml:space="preserve">Working with existing written documents or data containing ILK, including data and cases from other IPBES assessments and related reports and meta-analysis and data from international research centres and institutions and relevant regional centres; </w:t>
      </w:r>
    </w:p>
    <w:p w14:paraId="32DB054A" w14:textId="77777777" w:rsidR="009B7205" w:rsidRPr="009B7205" w:rsidRDefault="009B7205" w:rsidP="00977C8B">
      <w:pPr>
        <w:pStyle w:val="Normalnumber"/>
        <w:numPr>
          <w:ilvl w:val="0"/>
          <w:numId w:val="6"/>
        </w:numPr>
        <w:tabs>
          <w:tab w:val="num" w:pos="567"/>
        </w:tabs>
        <w:ind w:left="1247" w:firstLine="567"/>
      </w:pPr>
      <w:r w:rsidRPr="009B7205">
        <w:lastRenderedPageBreak/>
        <w:t xml:space="preserve">Working with indigenous and local knowledge manifested in forms such as ritual, ceremonial, oral, dance, song and visual manifestations, including symbols, documentaries and artwork </w:t>
      </w:r>
    </w:p>
    <w:p w14:paraId="1766A8D9" w14:textId="77777777" w:rsidR="009B7205" w:rsidRPr="009B7205" w:rsidRDefault="009B7205" w:rsidP="00977C8B">
      <w:pPr>
        <w:pStyle w:val="Normalnumber"/>
        <w:numPr>
          <w:ilvl w:val="0"/>
          <w:numId w:val="6"/>
        </w:numPr>
        <w:tabs>
          <w:tab w:val="num" w:pos="567"/>
        </w:tabs>
        <w:ind w:left="1247" w:firstLine="567"/>
      </w:pPr>
      <w:r w:rsidRPr="009B7205">
        <w:t xml:space="preserve">Local dialogue workshops with ILK holders which aim to gather knowledge directly </w:t>
      </w:r>
    </w:p>
    <w:p w14:paraId="586852D0" w14:textId="77777777" w:rsidR="009B7205" w:rsidRPr="009B7205" w:rsidRDefault="009B7205" w:rsidP="00977C8B">
      <w:pPr>
        <w:pStyle w:val="Normalnumber"/>
        <w:numPr>
          <w:ilvl w:val="0"/>
          <w:numId w:val="6"/>
        </w:numPr>
        <w:tabs>
          <w:tab w:val="num" w:pos="567"/>
        </w:tabs>
        <w:ind w:left="1247" w:firstLine="567"/>
      </w:pPr>
      <w:r w:rsidRPr="009B7205">
        <w:t>Longer-term capacity building with I</w:t>
      </w:r>
      <w:r w:rsidR="000170C7">
        <w:t>LK</w:t>
      </w:r>
      <w:r w:rsidRPr="009B7205">
        <w:t xml:space="preserve"> holders to support regular community level monitoring and self-assessment schemes that address</w:t>
      </w:r>
      <w:r w:rsidR="000170C7">
        <w:t xml:space="preserve"> issues</w:t>
      </w:r>
      <w:r w:rsidRPr="009B7205">
        <w:t xml:space="preserve"> relevant </w:t>
      </w:r>
      <w:r w:rsidR="000170C7">
        <w:t xml:space="preserve">to </w:t>
      </w:r>
      <w:r w:rsidR="000170C7" w:rsidRPr="009B7205">
        <w:t xml:space="preserve">IPBES </w:t>
      </w:r>
    </w:p>
    <w:p w14:paraId="353DE86E" w14:textId="77777777" w:rsidR="009B7205" w:rsidRPr="00553A2D"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8F3BEE">
        <w:t xml:space="preserve">Phase 3: Reviewing </w:t>
      </w:r>
    </w:p>
    <w:p w14:paraId="230A88E6" w14:textId="77777777" w:rsidR="009B7205" w:rsidRPr="009B7205" w:rsidRDefault="009B7205" w:rsidP="0000744F">
      <w:pPr>
        <w:pStyle w:val="Normal-pool"/>
        <w:tabs>
          <w:tab w:val="clear" w:pos="1247"/>
          <w:tab w:val="clear" w:pos="1814"/>
          <w:tab w:val="clear" w:pos="2381"/>
          <w:tab w:val="clear" w:pos="2948"/>
          <w:tab w:val="clear" w:pos="3515"/>
          <w:tab w:val="left" w:pos="624"/>
        </w:tabs>
        <w:spacing w:after="120"/>
        <w:ind w:left="1247"/>
      </w:pPr>
      <w:r w:rsidRPr="009B7205">
        <w:t xml:space="preserve">Key methodological considerations for facilitating ILK holder participation in document reviews through web-based interactions and face-to-face dialogue meetings </w:t>
      </w:r>
    </w:p>
    <w:p w14:paraId="66329739" w14:textId="77777777" w:rsidR="009B7205" w:rsidRPr="00553A2D"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8F3BEE">
        <w:t xml:space="preserve">Phase 4: Knowledge sharing </w:t>
      </w:r>
    </w:p>
    <w:p w14:paraId="3DE06456" w14:textId="77777777" w:rsidR="00904D15" w:rsidRDefault="009B7205" w:rsidP="0000744F">
      <w:pPr>
        <w:pStyle w:val="Normal-pool"/>
        <w:tabs>
          <w:tab w:val="clear" w:pos="1247"/>
          <w:tab w:val="clear" w:pos="1814"/>
          <w:tab w:val="clear" w:pos="2381"/>
          <w:tab w:val="clear" w:pos="2948"/>
          <w:tab w:val="clear" w:pos="3515"/>
          <w:tab w:val="left" w:pos="624"/>
        </w:tabs>
        <w:spacing w:after="120"/>
        <w:ind w:left="1247"/>
      </w:pPr>
      <w:r w:rsidRPr="009B7205">
        <w:t xml:space="preserve">Methodological considerations </w:t>
      </w:r>
      <w:r w:rsidR="000170C7">
        <w:t>on</w:t>
      </w:r>
      <w:r w:rsidRPr="009B7205">
        <w:t xml:space="preserve"> how to share information with ILK holders and raise awareness of IPBES products and reports</w:t>
      </w:r>
      <w:r w:rsidR="00904D15">
        <w:t>.</w:t>
      </w:r>
    </w:p>
    <w:p w14:paraId="2051E61D" w14:textId="53D3EE61" w:rsidR="009B7205" w:rsidRPr="00904D15" w:rsidRDefault="0000744F" w:rsidP="00FE6DA7">
      <w:pPr>
        <w:pStyle w:val="CH1"/>
      </w:pPr>
      <w:r>
        <w:tab/>
        <w:t>E.</w:t>
      </w:r>
      <w:r>
        <w:tab/>
      </w:r>
      <w:r w:rsidR="007B2377">
        <w:t>Knowledge and d</w:t>
      </w:r>
      <w:r w:rsidR="009B7205" w:rsidRPr="007C5267">
        <w:t xml:space="preserve">ata </w:t>
      </w:r>
    </w:p>
    <w:p w14:paraId="00F5ACE6" w14:textId="77777777" w:rsidR="009B7205" w:rsidRPr="009B7205" w:rsidRDefault="009B7205" w:rsidP="0000744F">
      <w:pPr>
        <w:pStyle w:val="Normal-pool"/>
        <w:tabs>
          <w:tab w:val="clear" w:pos="1247"/>
          <w:tab w:val="clear" w:pos="1814"/>
          <w:tab w:val="clear" w:pos="2381"/>
          <w:tab w:val="clear" w:pos="2948"/>
          <w:tab w:val="clear" w:pos="3515"/>
          <w:tab w:val="left" w:pos="624"/>
        </w:tabs>
        <w:spacing w:after="120"/>
        <w:ind w:left="1247"/>
      </w:pPr>
      <w:r w:rsidRPr="009B7205">
        <w:t xml:space="preserve">Noting that the above methodological guidance will work towards the main aims of </w:t>
      </w:r>
      <w:r w:rsidR="000170C7" w:rsidRPr="009B7205">
        <w:t xml:space="preserve">knowledge and data </w:t>
      </w:r>
      <w:r w:rsidRPr="009B7205">
        <w:t xml:space="preserve">in relation to ILK: </w:t>
      </w:r>
    </w:p>
    <w:p w14:paraId="6BF6962B" w14:textId="77777777" w:rsidR="009B7205" w:rsidRPr="00904D15" w:rsidRDefault="009B7205" w:rsidP="00977C8B">
      <w:pPr>
        <w:pStyle w:val="Normalnumber"/>
        <w:numPr>
          <w:ilvl w:val="0"/>
          <w:numId w:val="18"/>
        </w:numPr>
        <w:tabs>
          <w:tab w:val="clear" w:pos="1247"/>
          <w:tab w:val="clear" w:pos="1814"/>
          <w:tab w:val="clear" w:pos="2381"/>
          <w:tab w:val="clear" w:pos="2948"/>
          <w:tab w:val="clear" w:pos="3515"/>
          <w:tab w:val="left" w:pos="624"/>
        </w:tabs>
        <w:ind w:left="1247" w:firstLine="0"/>
      </w:pPr>
      <w:r w:rsidRPr="0000744F">
        <w:rPr>
          <w:b/>
        </w:rPr>
        <w:t>How to identify ILK experts and manage evidence and data</w:t>
      </w:r>
      <w:r w:rsidR="00904D15" w:rsidRPr="0000744F">
        <w:rPr>
          <w:b/>
        </w:rPr>
        <w:t>:</w:t>
      </w:r>
      <w:r w:rsidRPr="008F3BEE">
        <w:t xml:space="preserve"> </w:t>
      </w:r>
      <w:r w:rsidRPr="00904D15">
        <w:t>Identify</w:t>
      </w:r>
      <w:r w:rsidR="000170C7">
        <w:t>;</w:t>
      </w:r>
      <w:r w:rsidRPr="00904D15">
        <w:t xml:space="preserve"> in coordination with indigenous and local knowledge holders, indigenous and local knowledge experts and experts on indigenous and local knowledge</w:t>
      </w:r>
      <w:r w:rsidR="000170C7">
        <w:t>;</w:t>
      </w:r>
      <w:r w:rsidRPr="00904D15">
        <w:t xml:space="preserve"> a set of practices to help manage evidence and data that will be collected in the assessments; </w:t>
      </w:r>
    </w:p>
    <w:p w14:paraId="6DEBECAD" w14:textId="77777777" w:rsidR="009B7205" w:rsidRPr="00904D15"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CA6DC1">
        <w:rPr>
          <w:b/>
        </w:rPr>
        <w:t xml:space="preserve">Access </w:t>
      </w:r>
      <w:r w:rsidR="000170C7">
        <w:rPr>
          <w:b/>
        </w:rPr>
        <w:t xml:space="preserve">to </w:t>
      </w:r>
      <w:r w:rsidRPr="00CA6DC1">
        <w:rPr>
          <w:b/>
        </w:rPr>
        <w:t xml:space="preserve">and management of </w:t>
      </w:r>
      <w:r w:rsidR="00904D15" w:rsidRPr="00CA6DC1">
        <w:rPr>
          <w:b/>
        </w:rPr>
        <w:t>available sources of ILK:</w:t>
      </w:r>
      <w:r w:rsidR="00904D15" w:rsidRPr="008F3BEE">
        <w:t xml:space="preserve"> </w:t>
      </w:r>
      <w:r w:rsidRPr="00904D15">
        <w:t>Facilitate, as appropriate, via the IPBES web-based infrastructure, the access</w:t>
      </w:r>
      <w:r w:rsidR="000170C7">
        <w:t xml:space="preserve"> to</w:t>
      </w:r>
      <w:r w:rsidRPr="00904D15">
        <w:t xml:space="preserve"> and management of available sources of indigenous and local knowledge, both for internal use in developing assessments and for decision makers and scholars drawing on the work of IPBES to support their own work, in line with relevant standards and conventions; </w:t>
      </w:r>
    </w:p>
    <w:p w14:paraId="0EE39460" w14:textId="77777777" w:rsidR="009B7205" w:rsidRPr="008F3BEE"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CA6DC1">
        <w:rPr>
          <w:b/>
        </w:rPr>
        <w:t>Mobilization of ILK collection</w:t>
      </w:r>
      <w:r w:rsidR="00904D15" w:rsidRPr="00CA6DC1">
        <w:rPr>
          <w:b/>
        </w:rPr>
        <w:t>:</w:t>
      </w:r>
      <w:r w:rsidRPr="008F3BEE">
        <w:t xml:space="preserve"> </w:t>
      </w:r>
      <w:r w:rsidRPr="00904D15">
        <w:t>Promote and catalyse the mobilization of indigenous and local knowledge, as appropriate, where such knowledge does not exist in readily available formats in ways that reflect the concepts of parallel validation or co-production processes, with the support of appropriate partners, focusing on gaps that emerge during each phase of an assessment.</w:t>
      </w:r>
      <w:r w:rsidRPr="008F3BEE">
        <w:t xml:space="preserve"> </w:t>
      </w:r>
    </w:p>
    <w:p w14:paraId="4BBFCD2A" w14:textId="77777777" w:rsidR="009B7205" w:rsidRDefault="009B7205" w:rsidP="00977C8B">
      <w:pPr>
        <w:pStyle w:val="Normalnumber"/>
        <w:numPr>
          <w:ilvl w:val="0"/>
          <w:numId w:val="11"/>
        </w:numPr>
        <w:tabs>
          <w:tab w:val="clear" w:pos="1247"/>
          <w:tab w:val="clear" w:pos="1814"/>
          <w:tab w:val="clear" w:pos="2381"/>
          <w:tab w:val="clear" w:pos="2948"/>
          <w:tab w:val="clear" w:pos="3515"/>
          <w:tab w:val="left" w:pos="624"/>
        </w:tabs>
        <w:ind w:left="1247" w:firstLine="0"/>
      </w:pPr>
      <w:r w:rsidRPr="00CA6DC1">
        <w:rPr>
          <w:b/>
        </w:rPr>
        <w:t xml:space="preserve">Developing </w:t>
      </w:r>
      <w:r w:rsidR="000170C7">
        <w:rPr>
          <w:b/>
        </w:rPr>
        <w:t>i</w:t>
      </w:r>
      <w:r w:rsidRPr="00CA6DC1">
        <w:rPr>
          <w:b/>
        </w:rPr>
        <w:t>ndicators, units of analysis and classifying units of analy</w:t>
      </w:r>
      <w:r w:rsidR="00904D15" w:rsidRPr="00CA6DC1">
        <w:rPr>
          <w:b/>
        </w:rPr>
        <w:t>sis and natures gifts to people:</w:t>
      </w:r>
      <w:r w:rsidR="00904D15" w:rsidRPr="008F3BEE">
        <w:t xml:space="preserve"> </w:t>
      </w:r>
      <w:proofErr w:type="gramStart"/>
      <w:r w:rsidRPr="00904D15">
        <w:t>Take into account</w:t>
      </w:r>
      <w:proofErr w:type="gramEnd"/>
      <w:r w:rsidRPr="00904D15">
        <w:t xml:space="preserve"> appropriately those aspects relevant to indigenous and local knowledge and indigenous peoples and local communities in the list of indicators, classifications of units of analysis and classification of nature’s contributions to people including ecosystem services and nature’s gifts. </w:t>
      </w:r>
    </w:p>
    <w:p w14:paraId="4E68A2C8" w14:textId="24FA522A" w:rsidR="009B7205" w:rsidRPr="00904D15" w:rsidRDefault="0000744F" w:rsidP="00FE6DA7">
      <w:pPr>
        <w:pStyle w:val="CH1"/>
      </w:pPr>
      <w:r>
        <w:tab/>
        <w:t>F.</w:t>
      </w:r>
      <w:r>
        <w:tab/>
      </w:r>
      <w:r w:rsidR="007B2377">
        <w:t>Policy support tools and m</w:t>
      </w:r>
      <w:r w:rsidR="009B7205" w:rsidRPr="007C5267">
        <w:t xml:space="preserve">ethodologies </w:t>
      </w:r>
    </w:p>
    <w:p w14:paraId="1F39ABAC" w14:textId="77777777" w:rsidR="009B7205" w:rsidRPr="009B7205" w:rsidRDefault="009B7205" w:rsidP="0000744F">
      <w:pPr>
        <w:pStyle w:val="Normal-pool"/>
        <w:tabs>
          <w:tab w:val="clear" w:pos="1247"/>
          <w:tab w:val="clear" w:pos="1814"/>
          <w:tab w:val="clear" w:pos="2381"/>
          <w:tab w:val="clear" w:pos="2948"/>
          <w:tab w:val="clear" w:pos="3515"/>
          <w:tab w:val="left" w:pos="624"/>
        </w:tabs>
        <w:spacing w:after="120"/>
        <w:ind w:left="1247"/>
      </w:pPr>
      <w:r w:rsidRPr="009B7205">
        <w:t xml:space="preserve">Noting that the above described methodological guidance will work towards the goals for Policy Support Tools and Methodologies: </w:t>
      </w:r>
    </w:p>
    <w:p w14:paraId="027BB73C" w14:textId="77777777" w:rsidR="009B7205" w:rsidRPr="001B2E5D" w:rsidRDefault="009B7205" w:rsidP="00977C8B">
      <w:pPr>
        <w:pStyle w:val="Normalnumber"/>
        <w:numPr>
          <w:ilvl w:val="0"/>
          <w:numId w:val="19"/>
        </w:numPr>
        <w:tabs>
          <w:tab w:val="clear" w:pos="1247"/>
          <w:tab w:val="clear" w:pos="1814"/>
          <w:tab w:val="clear" w:pos="2381"/>
          <w:tab w:val="clear" w:pos="2948"/>
          <w:tab w:val="clear" w:pos="3515"/>
          <w:tab w:val="left" w:pos="624"/>
        </w:tabs>
        <w:ind w:left="1247" w:firstLine="0"/>
      </w:pPr>
      <w:r w:rsidRPr="0000744F">
        <w:rPr>
          <w:b/>
        </w:rPr>
        <w:t>Develop tools and methods</w:t>
      </w:r>
      <w:r w:rsidR="00904D15" w:rsidRPr="0000744F">
        <w:rPr>
          <w:b/>
        </w:rPr>
        <w:t>:</w:t>
      </w:r>
      <w:r w:rsidRPr="008F3BEE">
        <w:t xml:space="preserve"> </w:t>
      </w:r>
      <w:r w:rsidRPr="001B2E5D">
        <w:t xml:space="preserve">Identify, describe and facilitate the use of relevant tools and methods for implementing the four phases of the proposed approach. Where such tools and methods still need to be developed, IPBES will promote and catalyse their development with appropriate partners; </w:t>
      </w:r>
    </w:p>
    <w:p w14:paraId="7D765FD9" w14:textId="1955C462" w:rsidR="00904D15" w:rsidRPr="0000744F" w:rsidRDefault="009B7205" w:rsidP="00977C8B">
      <w:pPr>
        <w:pStyle w:val="Normalnumber"/>
        <w:numPr>
          <w:ilvl w:val="0"/>
          <w:numId w:val="19"/>
        </w:numPr>
        <w:tabs>
          <w:tab w:val="clear" w:pos="1247"/>
          <w:tab w:val="clear" w:pos="1814"/>
          <w:tab w:val="clear" w:pos="2381"/>
          <w:tab w:val="clear" w:pos="2948"/>
          <w:tab w:val="clear" w:pos="3515"/>
          <w:tab w:val="left" w:pos="624"/>
        </w:tabs>
        <w:ind w:left="1247" w:firstLine="0"/>
      </w:pPr>
      <w:r w:rsidRPr="0000744F">
        <w:rPr>
          <w:b/>
        </w:rPr>
        <w:t>Policy responses, decision-making processes</w:t>
      </w:r>
      <w:r w:rsidR="00904D15" w:rsidRPr="0000744F">
        <w:rPr>
          <w:b/>
        </w:rPr>
        <w:t>:</w:t>
      </w:r>
      <w:r w:rsidRPr="008F3BEE">
        <w:t xml:space="preserve"> </w:t>
      </w:r>
      <w:r w:rsidRPr="00CA6DC1">
        <w:t xml:space="preserve">Ensure that policy responses, decision-making instruments and processes relevant to indigenous and local knowledge and indigenous peoples and local communities are reflected in IPBES assessments. </w:t>
      </w:r>
    </w:p>
    <w:p w14:paraId="41481153" w14:textId="141125C8" w:rsidR="009B7205" w:rsidRPr="00904D15" w:rsidRDefault="0000744F" w:rsidP="00FE6DA7">
      <w:pPr>
        <w:pStyle w:val="CH1"/>
      </w:pPr>
      <w:r>
        <w:tab/>
        <w:t>G.</w:t>
      </w:r>
      <w:r>
        <w:tab/>
      </w:r>
      <w:r w:rsidR="009B7205" w:rsidRPr="007C5267">
        <w:t xml:space="preserve">Capacity-building </w:t>
      </w:r>
    </w:p>
    <w:p w14:paraId="04CD82FC" w14:textId="77777777" w:rsidR="009B7205" w:rsidRPr="009B7205" w:rsidRDefault="009B7205" w:rsidP="0000744F">
      <w:pPr>
        <w:pStyle w:val="Normal-pool"/>
        <w:tabs>
          <w:tab w:val="clear" w:pos="1247"/>
          <w:tab w:val="clear" w:pos="1814"/>
          <w:tab w:val="clear" w:pos="2381"/>
          <w:tab w:val="clear" w:pos="2948"/>
          <w:tab w:val="clear" w:pos="3515"/>
          <w:tab w:val="left" w:pos="624"/>
        </w:tabs>
        <w:spacing w:after="120"/>
        <w:ind w:left="1247"/>
      </w:pPr>
      <w:r w:rsidRPr="009B7205">
        <w:t xml:space="preserve">Noting that the above described methodological guidance will work towards the IPBES goals for </w:t>
      </w:r>
      <w:r w:rsidR="000170C7">
        <w:t>c</w:t>
      </w:r>
      <w:r w:rsidRPr="009B7205">
        <w:t xml:space="preserve">apacity-building: </w:t>
      </w:r>
    </w:p>
    <w:p w14:paraId="5B26AB40" w14:textId="77777777" w:rsidR="009B7205" w:rsidRPr="00CA6DC1" w:rsidRDefault="009B7205" w:rsidP="00977C8B">
      <w:pPr>
        <w:pStyle w:val="Normalnumber"/>
        <w:numPr>
          <w:ilvl w:val="0"/>
          <w:numId w:val="20"/>
        </w:numPr>
        <w:tabs>
          <w:tab w:val="clear" w:pos="1247"/>
          <w:tab w:val="clear" w:pos="1814"/>
          <w:tab w:val="clear" w:pos="2381"/>
          <w:tab w:val="clear" w:pos="2948"/>
          <w:tab w:val="clear" w:pos="3515"/>
          <w:tab w:val="left" w:pos="624"/>
        </w:tabs>
        <w:ind w:left="1247" w:firstLine="0"/>
      </w:pPr>
      <w:r w:rsidRPr="0000744F">
        <w:rPr>
          <w:b/>
        </w:rPr>
        <w:t>Identify</w:t>
      </w:r>
      <w:r w:rsidR="00904D15" w:rsidRPr="0000744F">
        <w:rPr>
          <w:b/>
        </w:rPr>
        <w:t>, prioritize and build capacity:</w:t>
      </w:r>
      <w:r w:rsidR="00904D15" w:rsidRPr="008F3BEE">
        <w:t xml:space="preserve"> </w:t>
      </w:r>
      <w:r w:rsidRPr="00CA6DC1">
        <w:t xml:space="preserve">Identify, prioritize and build capacity critical to its implementation, within the means available, </w:t>
      </w:r>
      <w:proofErr w:type="spellStart"/>
      <w:r w:rsidRPr="00CA6DC1">
        <w:t>through</w:t>
      </w:r>
      <w:proofErr w:type="spellEnd"/>
      <w:r w:rsidRPr="00CA6DC1">
        <w:t xml:space="preserve">, for example, training workshops and webinars on the approaches to and procedures for recognizing and working with indigenous and local knowledge in assessments or participation in the fellowship programme; and </w:t>
      </w:r>
    </w:p>
    <w:p w14:paraId="7584AECF" w14:textId="77777777" w:rsidR="009B7205" w:rsidRPr="00CA6DC1" w:rsidRDefault="009B7205" w:rsidP="00977C8B">
      <w:pPr>
        <w:pStyle w:val="Normalnumber"/>
        <w:numPr>
          <w:ilvl w:val="0"/>
          <w:numId w:val="19"/>
        </w:numPr>
        <w:tabs>
          <w:tab w:val="clear" w:pos="1247"/>
          <w:tab w:val="clear" w:pos="1814"/>
          <w:tab w:val="clear" w:pos="2381"/>
          <w:tab w:val="clear" w:pos="2948"/>
          <w:tab w:val="clear" w:pos="3515"/>
          <w:tab w:val="left" w:pos="624"/>
        </w:tabs>
        <w:ind w:left="1247" w:firstLine="0"/>
      </w:pPr>
      <w:r w:rsidRPr="00CA6DC1">
        <w:rPr>
          <w:b/>
        </w:rPr>
        <w:lastRenderedPageBreak/>
        <w:t>Promote and cataly</w:t>
      </w:r>
      <w:r w:rsidR="00904D15" w:rsidRPr="00CA6DC1">
        <w:rPr>
          <w:b/>
        </w:rPr>
        <w:t>se capacity building activities:</w:t>
      </w:r>
      <w:r w:rsidR="00904D15" w:rsidRPr="008F3BEE">
        <w:t xml:space="preserve"> </w:t>
      </w:r>
      <w:r w:rsidRPr="00CA6DC1">
        <w:t>Promote and catalyse the undertaking of capacity-building activities in support of broader capacity-building needs involving, among other mechanisms, strategic partnerships where such needs go beyond the means of IPBES. In this context, the participatory mechanism could strengthen the ability of indigenous peoples and local communities to take part in, contribute to</w:t>
      </w:r>
      <w:r w:rsidR="000170C7">
        <w:t>,</w:t>
      </w:r>
      <w:r w:rsidRPr="00CA6DC1">
        <w:t xml:space="preserve"> and benefit from IPBES deliverables.</w:t>
      </w:r>
    </w:p>
    <w:p w14:paraId="7E331F00" w14:textId="77777777" w:rsidR="009B7205" w:rsidRDefault="009B7205" w:rsidP="00E846DE">
      <w:pPr>
        <w:ind w:left="1276"/>
        <w:rPr>
          <w:b/>
          <w:bCs/>
          <w:sz w:val="28"/>
          <w:szCs w:val="28"/>
        </w:rPr>
      </w:pPr>
      <w:r>
        <w:rPr>
          <w:b/>
          <w:bCs/>
          <w:sz w:val="28"/>
          <w:szCs w:val="28"/>
        </w:rPr>
        <w:br w:type="page"/>
      </w:r>
    </w:p>
    <w:p w14:paraId="0A39411C" w14:textId="63A16842" w:rsidR="003A0E31" w:rsidRPr="00813504" w:rsidRDefault="00E35135" w:rsidP="0000744F">
      <w:pPr>
        <w:pStyle w:val="ZZAnxheader"/>
        <w:rPr>
          <w:rFonts w:eastAsia="Calibri"/>
        </w:rPr>
      </w:pPr>
      <w:r>
        <w:rPr>
          <w:rFonts w:eastAsia="Calibri"/>
        </w:rPr>
        <w:lastRenderedPageBreak/>
        <w:t>Appendix II</w:t>
      </w:r>
    </w:p>
    <w:p w14:paraId="51837742" w14:textId="6E342FF6" w:rsidR="003A0E31" w:rsidRPr="00CF6E3F" w:rsidRDefault="007B2377" w:rsidP="0000744F">
      <w:pPr>
        <w:pStyle w:val="ZZAnxtitle"/>
      </w:pPr>
      <w:r>
        <w:t>Arrangements establishing the participatory m</w:t>
      </w:r>
      <w:r w:rsidR="003A0E31" w:rsidRPr="009B7205">
        <w:t>echanism</w:t>
      </w:r>
    </w:p>
    <w:p w14:paraId="3B82FFA2" w14:textId="67B8807A" w:rsidR="00D85E9A" w:rsidRPr="009B7205" w:rsidRDefault="00F76E63" w:rsidP="00977C8B">
      <w:pPr>
        <w:pStyle w:val="Normalnumber"/>
        <w:numPr>
          <w:ilvl w:val="0"/>
          <w:numId w:val="21"/>
        </w:numPr>
        <w:tabs>
          <w:tab w:val="clear" w:pos="1247"/>
          <w:tab w:val="clear" w:pos="1814"/>
          <w:tab w:val="clear" w:pos="2381"/>
          <w:tab w:val="clear" w:pos="2948"/>
          <w:tab w:val="clear" w:pos="3515"/>
          <w:tab w:val="left" w:pos="624"/>
        </w:tabs>
        <w:ind w:left="1247" w:firstLine="0"/>
      </w:pPr>
      <w:r>
        <w:t xml:space="preserve">The following </w:t>
      </w:r>
      <w:r w:rsidR="00D9287D">
        <w:t>arrangements</w:t>
      </w:r>
      <w:r>
        <w:t xml:space="preserve"> </w:t>
      </w:r>
      <w:r w:rsidR="00D37517">
        <w:t>were considered</w:t>
      </w:r>
      <w:r>
        <w:t xml:space="preserve"> by Bureau and MEP</w:t>
      </w:r>
      <w:r w:rsidR="00D85E9A" w:rsidRPr="009B7205">
        <w:t xml:space="preserve"> </w:t>
      </w:r>
      <w:r>
        <w:t>at their 10</w:t>
      </w:r>
      <w:r w:rsidRPr="0000744F">
        <w:rPr>
          <w:vertAlign w:val="superscript"/>
        </w:rPr>
        <w:t>th</w:t>
      </w:r>
      <w:r>
        <w:t xml:space="preserve"> meetings (October 2017)</w:t>
      </w:r>
      <w:r w:rsidR="00D37517">
        <w:t>, and will be further developed in 2018</w:t>
      </w:r>
      <w:r>
        <w:t xml:space="preserve">. </w:t>
      </w:r>
    </w:p>
    <w:p w14:paraId="2B95CFD5" w14:textId="2D1624CC" w:rsidR="00A50F23" w:rsidRDefault="00D85E9A" w:rsidP="00977C8B">
      <w:pPr>
        <w:pStyle w:val="Normalnumber"/>
        <w:numPr>
          <w:ilvl w:val="0"/>
          <w:numId w:val="21"/>
        </w:numPr>
        <w:tabs>
          <w:tab w:val="clear" w:pos="1247"/>
          <w:tab w:val="clear" w:pos="1814"/>
          <w:tab w:val="clear" w:pos="2381"/>
          <w:tab w:val="clear" w:pos="2948"/>
          <w:tab w:val="clear" w:pos="3515"/>
          <w:tab w:val="left" w:pos="624"/>
        </w:tabs>
        <w:ind w:left="1247" w:firstLine="0"/>
      </w:pPr>
      <w:r w:rsidRPr="009B7205">
        <w:t xml:space="preserve">The </w:t>
      </w:r>
      <w:r w:rsidR="00D9287D">
        <w:t xml:space="preserve">following </w:t>
      </w:r>
      <w:r w:rsidR="00F2098D">
        <w:t>objectives of</w:t>
      </w:r>
      <w:r w:rsidR="007B2377">
        <w:t xml:space="preserve"> the participatory m</w:t>
      </w:r>
      <w:r w:rsidRPr="009B7205">
        <w:t>echanism derive from the agreed ILK approach (decision IPBES-5/1, section III</w:t>
      </w:r>
      <w:r w:rsidR="005A21D3">
        <w:t>,</w:t>
      </w:r>
      <w:r w:rsidRPr="009B7205">
        <w:t xml:space="preserve"> and annex II</w:t>
      </w:r>
      <w:r w:rsidR="005A21D3">
        <w:t xml:space="preserve"> to the decision</w:t>
      </w:r>
      <w:r w:rsidRPr="009B7205">
        <w:t xml:space="preserve">) and include, inter alia, the following: </w:t>
      </w:r>
    </w:p>
    <w:p w14:paraId="2D52DA06" w14:textId="77777777"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 xml:space="preserve">support the IPBES work programme by linking with strategic partners to build capacity of indigenous peoples and local communities to engage in IPBES; </w:t>
      </w:r>
    </w:p>
    <w:p w14:paraId="5E82E222" w14:textId="77777777"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 xml:space="preserve">mobilize indigenous and local knowledge in formats accessible to IPBES; </w:t>
      </w:r>
    </w:p>
    <w:p w14:paraId="5E2A16E7" w14:textId="77777777"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 xml:space="preserve">ensure processes are in place for giving back to indigenous peoples and local communities through sharing knowledge and insights gained through assessments; </w:t>
      </w:r>
    </w:p>
    <w:p w14:paraId="0FBD92FB" w14:textId="77777777"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 xml:space="preserve">promote dialogue with various networks, relevant experts and policymakers to allow participation in all four phases of the assessment process, including both web-based consultations and dialogue workshops; </w:t>
      </w:r>
    </w:p>
    <w:p w14:paraId="76BC72B5" w14:textId="77777777"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 xml:space="preserve">assist in development of policy support tools and methodologies which have special reference and/or significance to IPLCs; </w:t>
      </w:r>
    </w:p>
    <w:p w14:paraId="36898D8E" w14:textId="77777777"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 xml:space="preserve">create opportunities for shared learning through dedicated discussion forums on the web-based platform and/or face-to face meeting as appropriate. </w:t>
      </w:r>
    </w:p>
    <w:p w14:paraId="5608478B" w14:textId="121B6103" w:rsidR="00494995" w:rsidRPr="009B7205" w:rsidRDefault="00D85E9A" w:rsidP="00977C8B">
      <w:pPr>
        <w:pStyle w:val="Normalnumber"/>
        <w:numPr>
          <w:ilvl w:val="0"/>
          <w:numId w:val="21"/>
        </w:numPr>
        <w:tabs>
          <w:tab w:val="clear" w:pos="1247"/>
          <w:tab w:val="clear" w:pos="1814"/>
          <w:tab w:val="clear" w:pos="2381"/>
          <w:tab w:val="clear" w:pos="2948"/>
          <w:tab w:val="clear" w:pos="3515"/>
          <w:tab w:val="left" w:pos="624"/>
        </w:tabs>
        <w:ind w:left="1247" w:firstLine="0"/>
      </w:pPr>
      <w:r w:rsidRPr="009B7205">
        <w:t>To faci</w:t>
      </w:r>
      <w:r w:rsidR="007B2377">
        <w:t>litate, manage and support the participatory m</w:t>
      </w:r>
      <w:r w:rsidRPr="009B7205">
        <w:t>echanism</w:t>
      </w:r>
      <w:r w:rsidRPr="00904D15">
        <w:rPr>
          <w:b/>
          <w:bCs/>
        </w:rPr>
        <w:t xml:space="preserve">, </w:t>
      </w:r>
      <w:r w:rsidRPr="009B7205">
        <w:t>a “Facilitation, Management and Support” Group (</w:t>
      </w:r>
      <w:r w:rsidRPr="0048473C">
        <w:t xml:space="preserve">see </w:t>
      </w:r>
      <w:r w:rsidR="0048473C" w:rsidRPr="0048473C">
        <w:t>F</w:t>
      </w:r>
      <w:r w:rsidRPr="0048473C">
        <w:t xml:space="preserve">igure </w:t>
      </w:r>
      <w:r w:rsidR="0048473C" w:rsidRPr="0048473C">
        <w:t>1</w:t>
      </w:r>
      <w:r w:rsidRPr="009B7205">
        <w:t xml:space="preserve">) </w:t>
      </w:r>
      <w:r w:rsidR="00F76E63">
        <w:t>w</w:t>
      </w:r>
      <w:r w:rsidR="00D37517">
        <w:t>ould</w:t>
      </w:r>
      <w:r w:rsidR="00F76E63">
        <w:t xml:space="preserve"> be established, </w:t>
      </w:r>
      <w:r w:rsidRPr="009B7205">
        <w:t xml:space="preserve">including: </w:t>
      </w:r>
    </w:p>
    <w:p w14:paraId="16AD79DD" w14:textId="5F77BCE1"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 xml:space="preserve">seven IPLC representatives drawn from the seven IPLC regions: </w:t>
      </w:r>
      <w:r w:rsidR="00113876">
        <w:t>u</w:t>
      </w:r>
      <w:r w:rsidRPr="009B7205">
        <w:t>nder the UN Permanent Forum on Indigenous Issues the seven socio-cultural regional groupings of IPLCs are: Africa; Asia; Central and South America and the Caribbean; The Arctic; Eastern Europe, Russian Federation, Central Asia and Transcaucasia; North America; The Pacific</w:t>
      </w:r>
      <w:r w:rsidR="008F3BEE">
        <w:t>;</w:t>
      </w:r>
      <w:r w:rsidRPr="009B7205">
        <w:t xml:space="preserve"> </w:t>
      </w:r>
    </w:p>
    <w:p w14:paraId="1828C903" w14:textId="750F7856"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five strategic partners represented by a resource person:</w:t>
      </w:r>
      <w:r w:rsidR="00904D15" w:rsidRPr="009B7205">
        <w:t xml:space="preserve"> </w:t>
      </w:r>
      <w:r w:rsidRPr="009B7205">
        <w:t xml:space="preserve">organizations with direct involvement with IPLCs and others with IPLC interests; and </w:t>
      </w:r>
    </w:p>
    <w:p w14:paraId="6FB434A1" w14:textId="0A9839D3" w:rsidR="00D85E9A" w:rsidRPr="009B7205" w:rsidRDefault="00D85E9A" w:rsidP="00977C8B">
      <w:pPr>
        <w:pStyle w:val="Normalnumber"/>
        <w:numPr>
          <w:ilvl w:val="1"/>
          <w:numId w:val="21"/>
        </w:numPr>
        <w:tabs>
          <w:tab w:val="clear" w:pos="1247"/>
          <w:tab w:val="clear" w:pos="1814"/>
          <w:tab w:val="clear" w:pos="2381"/>
          <w:tab w:val="clear" w:pos="2948"/>
          <w:tab w:val="clear" w:pos="3515"/>
          <w:tab w:val="left" w:pos="624"/>
        </w:tabs>
        <w:ind w:left="1247" w:firstLine="624"/>
      </w:pPr>
      <w:r w:rsidRPr="009B7205">
        <w:t xml:space="preserve">twelve ILK experts representing </w:t>
      </w:r>
      <w:r w:rsidR="00113876">
        <w:t>relevant</w:t>
      </w:r>
      <w:r w:rsidRPr="009B7205">
        <w:t xml:space="preserve"> expert groups and task forces within IPBES, as well as representatives of the Bureau, MEP and </w:t>
      </w:r>
      <w:r w:rsidR="00113876">
        <w:t xml:space="preserve">of </w:t>
      </w:r>
      <w:r w:rsidRPr="009B7205">
        <w:t xml:space="preserve">the secretariat (including its TSU). </w:t>
      </w:r>
    </w:p>
    <w:p w14:paraId="03EBDB92" w14:textId="77777777" w:rsidR="00494995" w:rsidRPr="009B7205" w:rsidRDefault="008904FE" w:rsidP="008904FE">
      <w:pPr>
        <w:pStyle w:val="Default"/>
        <w:jc w:val="center"/>
        <w:rPr>
          <w:rFonts w:ascii="Times New Roman" w:hAnsi="Times New Roman" w:cs="Times New Roman"/>
          <w:color w:val="auto"/>
          <w:sz w:val="20"/>
          <w:szCs w:val="20"/>
        </w:rPr>
      </w:pPr>
      <w:r>
        <w:rPr>
          <w:rFonts w:ascii="Times New Roman" w:hAnsi="Times New Roman" w:cs="Times New Roman"/>
          <w:noProof/>
          <w:color w:val="auto"/>
          <w:sz w:val="20"/>
          <w:szCs w:val="20"/>
          <w:lang w:val="en-GB" w:eastAsia="en-GB"/>
        </w:rPr>
        <w:drawing>
          <wp:inline distT="0" distB="0" distL="0" distR="0" wp14:anchorId="1BD0095A" wp14:editId="1703929F">
            <wp:extent cx="350520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 PartM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20342" cy="2704031"/>
                    </a:xfrm>
                    <a:prstGeom prst="rect">
                      <a:avLst/>
                    </a:prstGeom>
                  </pic:spPr>
                </pic:pic>
              </a:graphicData>
            </a:graphic>
          </wp:inline>
        </w:drawing>
      </w:r>
    </w:p>
    <w:p w14:paraId="0A5325EB" w14:textId="4E6772BB" w:rsidR="00D85E9A" w:rsidRPr="00F76E63" w:rsidRDefault="00D85E9A" w:rsidP="00977C8B">
      <w:pPr>
        <w:pStyle w:val="Normalnumber"/>
        <w:tabs>
          <w:tab w:val="clear" w:pos="1247"/>
          <w:tab w:val="clear" w:pos="1814"/>
          <w:tab w:val="clear" w:pos="2381"/>
          <w:tab w:val="clear" w:pos="2948"/>
          <w:tab w:val="clear" w:pos="3515"/>
          <w:tab w:val="left" w:pos="624"/>
        </w:tabs>
        <w:ind w:left="1871"/>
        <w:rPr>
          <w:i/>
          <w:iCs/>
        </w:rPr>
      </w:pPr>
      <w:r w:rsidRPr="00A74574">
        <w:rPr>
          <w:bCs/>
          <w:i/>
          <w:iCs/>
        </w:rPr>
        <w:t>Figure 1</w:t>
      </w:r>
      <w:r w:rsidRPr="00F76E63">
        <w:rPr>
          <w:i/>
          <w:iCs/>
        </w:rPr>
        <w:t xml:space="preserve">: </w:t>
      </w:r>
      <w:r w:rsidR="00F76E63" w:rsidRPr="00A74574">
        <w:rPr>
          <w:bCs/>
          <w:i/>
          <w:iCs/>
        </w:rPr>
        <w:t>S</w:t>
      </w:r>
      <w:r w:rsidRPr="00A74574">
        <w:rPr>
          <w:bCs/>
          <w:i/>
          <w:iCs/>
        </w:rPr>
        <w:t xml:space="preserve">tructure of the </w:t>
      </w:r>
      <w:r w:rsidR="00D37517">
        <w:rPr>
          <w:bCs/>
          <w:i/>
          <w:iCs/>
        </w:rPr>
        <w:t xml:space="preserve">proposed </w:t>
      </w:r>
      <w:r w:rsidR="00113876">
        <w:rPr>
          <w:bCs/>
          <w:i/>
          <w:iCs/>
        </w:rPr>
        <w:t>“</w:t>
      </w:r>
      <w:r w:rsidR="00F76E63" w:rsidRPr="00A74574">
        <w:rPr>
          <w:i/>
        </w:rPr>
        <w:t>Facilitation, Management and Support</w:t>
      </w:r>
      <w:r w:rsidR="00F76E63" w:rsidRPr="00A74574">
        <w:rPr>
          <w:bCs/>
          <w:i/>
          <w:iCs/>
        </w:rPr>
        <w:t xml:space="preserve"> </w:t>
      </w:r>
      <w:r w:rsidR="005841C9">
        <w:rPr>
          <w:bCs/>
          <w:i/>
          <w:iCs/>
        </w:rPr>
        <w:t>Group</w:t>
      </w:r>
      <w:r w:rsidR="00113876">
        <w:rPr>
          <w:bCs/>
          <w:i/>
          <w:iCs/>
        </w:rPr>
        <w:t>”</w:t>
      </w:r>
      <w:r w:rsidR="005841C9">
        <w:rPr>
          <w:bCs/>
          <w:i/>
          <w:iCs/>
        </w:rPr>
        <w:t xml:space="preserve"> </w:t>
      </w:r>
      <w:r w:rsidR="00F76E63" w:rsidRPr="00A74574">
        <w:rPr>
          <w:bCs/>
          <w:i/>
          <w:iCs/>
        </w:rPr>
        <w:t xml:space="preserve">governing the </w:t>
      </w:r>
      <w:r w:rsidR="007B2377">
        <w:rPr>
          <w:bCs/>
          <w:i/>
          <w:iCs/>
        </w:rPr>
        <w:t xml:space="preserve">participatory </w:t>
      </w:r>
      <w:r w:rsidR="007B2377" w:rsidRPr="00375CFA">
        <w:t>m</w:t>
      </w:r>
      <w:r w:rsidRPr="00375CFA">
        <w:t>echanism</w:t>
      </w:r>
      <w:r w:rsidRPr="00F76E63">
        <w:rPr>
          <w:i/>
          <w:iCs/>
        </w:rPr>
        <w:t>; the arrows indicate joint activities such as dialogue workshops, knowledge mobilization, capacity building and shared learning, in support of and/or drawing from IPBES assessment</w:t>
      </w:r>
      <w:r w:rsidR="005841C9">
        <w:rPr>
          <w:i/>
          <w:iCs/>
        </w:rPr>
        <w:t>s</w:t>
      </w:r>
      <w:r w:rsidRPr="00F76E63">
        <w:rPr>
          <w:i/>
          <w:iCs/>
        </w:rPr>
        <w:t xml:space="preserve"> and other products</w:t>
      </w:r>
      <w:r w:rsidR="005841C9">
        <w:rPr>
          <w:i/>
          <w:iCs/>
        </w:rPr>
        <w:t xml:space="preserve"> (</w:t>
      </w:r>
      <w:r w:rsidRPr="00F76E63">
        <w:rPr>
          <w:i/>
          <w:iCs/>
        </w:rPr>
        <w:t>e.g. policy support tools</w:t>
      </w:r>
      <w:r w:rsidR="005841C9">
        <w:rPr>
          <w:i/>
          <w:iCs/>
        </w:rPr>
        <w:t>)</w:t>
      </w:r>
      <w:r w:rsidRPr="00F76E63">
        <w:rPr>
          <w:i/>
          <w:iCs/>
        </w:rPr>
        <w:t xml:space="preserve">. </w:t>
      </w:r>
    </w:p>
    <w:p w14:paraId="2E9D2004" w14:textId="1DED78B8" w:rsidR="00A50F23" w:rsidRDefault="00D85E9A" w:rsidP="00977C8B">
      <w:pPr>
        <w:pStyle w:val="Normalnumber"/>
        <w:keepNext/>
        <w:keepLines/>
        <w:numPr>
          <w:ilvl w:val="0"/>
          <w:numId w:val="21"/>
        </w:numPr>
        <w:tabs>
          <w:tab w:val="clear" w:pos="1247"/>
          <w:tab w:val="clear" w:pos="1814"/>
          <w:tab w:val="clear" w:pos="2381"/>
          <w:tab w:val="clear" w:pos="2948"/>
          <w:tab w:val="clear" w:pos="3515"/>
          <w:tab w:val="left" w:pos="624"/>
        </w:tabs>
        <w:spacing w:after="100"/>
        <w:ind w:left="1247" w:firstLine="0"/>
      </w:pPr>
      <w:r w:rsidRPr="009B7205">
        <w:lastRenderedPageBreak/>
        <w:t xml:space="preserve">To establish this “Facilitation, Management and Support” Group, it is suggested that: </w:t>
      </w:r>
    </w:p>
    <w:p w14:paraId="5CE213AA" w14:textId="21817966" w:rsidR="00D85E9A" w:rsidRPr="009B7205" w:rsidRDefault="00D85E9A" w:rsidP="00977C8B">
      <w:pPr>
        <w:pStyle w:val="Normalnumber"/>
        <w:keepNext/>
        <w:keepLines/>
        <w:numPr>
          <w:ilvl w:val="1"/>
          <w:numId w:val="21"/>
        </w:numPr>
        <w:tabs>
          <w:tab w:val="clear" w:pos="1247"/>
          <w:tab w:val="clear" w:pos="1814"/>
          <w:tab w:val="clear" w:pos="2381"/>
          <w:tab w:val="clear" w:pos="2948"/>
          <w:tab w:val="clear" w:pos="3515"/>
          <w:tab w:val="left" w:pos="624"/>
        </w:tabs>
        <w:spacing w:after="100"/>
        <w:ind w:left="1247" w:firstLine="624"/>
      </w:pPr>
      <w:r w:rsidRPr="009B7205">
        <w:t xml:space="preserve">The Chair of IPBES invite the seven IPLC regions to name seven representatives, one from each of their regions for a term of a suggested length of 3 years (renewable once); </w:t>
      </w:r>
    </w:p>
    <w:p w14:paraId="68195545" w14:textId="122193C7" w:rsidR="00A50F23" w:rsidRDefault="00D85E9A" w:rsidP="00977C8B">
      <w:pPr>
        <w:pStyle w:val="Normalnumber"/>
        <w:numPr>
          <w:ilvl w:val="1"/>
          <w:numId w:val="21"/>
        </w:numPr>
        <w:tabs>
          <w:tab w:val="clear" w:pos="1247"/>
          <w:tab w:val="clear" w:pos="1814"/>
          <w:tab w:val="clear" w:pos="2381"/>
          <w:tab w:val="clear" w:pos="2948"/>
          <w:tab w:val="clear" w:pos="3515"/>
          <w:tab w:val="left" w:pos="624"/>
        </w:tabs>
        <w:spacing w:after="100"/>
        <w:ind w:left="1247" w:firstLine="624"/>
      </w:pPr>
      <w:r w:rsidRPr="009B7205">
        <w:t>An open call for interest of expressi</w:t>
      </w:r>
      <w:r w:rsidR="002A18DC">
        <w:t>on for strategic partner organiz</w:t>
      </w:r>
      <w:r w:rsidRPr="009B7205">
        <w:t xml:space="preserve">ations </w:t>
      </w:r>
      <w:r w:rsidR="00D84C1E">
        <w:t>be</w:t>
      </w:r>
      <w:r w:rsidR="00D84C1E" w:rsidRPr="009B7205">
        <w:t xml:space="preserve"> </w:t>
      </w:r>
      <w:r w:rsidRPr="009B7205">
        <w:t>launched and MEP and Bureau</w:t>
      </w:r>
      <w:r w:rsidR="002A18DC">
        <w:t xml:space="preserve"> select five appropriate organiz</w:t>
      </w:r>
      <w:r w:rsidRPr="009B7205">
        <w:t xml:space="preserve">ations </w:t>
      </w:r>
      <w:r w:rsidR="00D84C1E">
        <w:t xml:space="preserve">as representatives of this larger set of </w:t>
      </w:r>
      <w:r w:rsidR="002A18DC">
        <w:t>organiz</w:t>
      </w:r>
      <w:r w:rsidR="00D84C1E">
        <w:t>ations</w:t>
      </w:r>
      <w:r w:rsidRPr="009B7205">
        <w:t xml:space="preserve"> for a term of a suggested length of 3 years (renewable once); and </w:t>
      </w:r>
    </w:p>
    <w:p w14:paraId="2EE92337" w14:textId="3016833A" w:rsidR="00A50F23" w:rsidRDefault="00D85E9A" w:rsidP="00977C8B">
      <w:pPr>
        <w:pStyle w:val="Normalnumber"/>
        <w:numPr>
          <w:ilvl w:val="1"/>
          <w:numId w:val="21"/>
        </w:numPr>
        <w:tabs>
          <w:tab w:val="clear" w:pos="1247"/>
          <w:tab w:val="clear" w:pos="1814"/>
          <w:tab w:val="clear" w:pos="2381"/>
          <w:tab w:val="clear" w:pos="2948"/>
          <w:tab w:val="clear" w:pos="3515"/>
          <w:tab w:val="left" w:pos="624"/>
        </w:tabs>
        <w:spacing w:after="100"/>
        <w:ind w:left="1247" w:firstLine="624"/>
      </w:pPr>
      <w:r w:rsidRPr="009B7205">
        <w:t xml:space="preserve">The ILK experts </w:t>
      </w:r>
      <w:r w:rsidR="00D84C1E">
        <w:t>be</w:t>
      </w:r>
      <w:r w:rsidR="00D84C1E" w:rsidRPr="009B7205">
        <w:t xml:space="preserve"> </w:t>
      </w:r>
      <w:r w:rsidRPr="009B7205">
        <w:t xml:space="preserve">drawn from ongoing assessments (from the global assessment and possibly </w:t>
      </w:r>
      <w:r w:rsidR="00113876">
        <w:t>other subsequently</w:t>
      </w:r>
      <w:r w:rsidRPr="009B7205">
        <w:t xml:space="preserve"> launched assessments), the task forces (capacity building, ILK and knowledge and data) and possibly from other expert groups</w:t>
      </w:r>
      <w:r w:rsidR="00A50F23">
        <w:t>.</w:t>
      </w:r>
    </w:p>
    <w:p w14:paraId="40F8C514" w14:textId="4D2B9850" w:rsidR="00494995" w:rsidRPr="009B7205" w:rsidRDefault="00494995" w:rsidP="00977C8B">
      <w:pPr>
        <w:pStyle w:val="Normalnumber"/>
        <w:numPr>
          <w:ilvl w:val="0"/>
          <w:numId w:val="21"/>
        </w:numPr>
        <w:tabs>
          <w:tab w:val="clear" w:pos="1247"/>
          <w:tab w:val="clear" w:pos="1814"/>
          <w:tab w:val="clear" w:pos="2381"/>
          <w:tab w:val="clear" w:pos="2948"/>
          <w:tab w:val="clear" w:pos="3515"/>
          <w:tab w:val="left" w:pos="624"/>
        </w:tabs>
        <w:spacing w:after="100"/>
        <w:ind w:left="1247" w:firstLine="0"/>
      </w:pPr>
      <w:r w:rsidRPr="009B7205">
        <w:t xml:space="preserve">The “Facilitation, Management and Support” Group </w:t>
      </w:r>
      <w:r w:rsidR="00D84C1E">
        <w:t>would be</w:t>
      </w:r>
      <w:r w:rsidR="00D84C1E" w:rsidRPr="009B7205">
        <w:t xml:space="preserve"> </w:t>
      </w:r>
      <w:r w:rsidR="00D84C1E">
        <w:t>chaired by two members each of</w:t>
      </w:r>
      <w:r w:rsidRPr="009B7205">
        <w:t xml:space="preserve"> the MEP and Bureau. Technical support to the group </w:t>
      </w:r>
      <w:r w:rsidR="00D84C1E">
        <w:t>would continue to be</w:t>
      </w:r>
      <w:r w:rsidR="00D84C1E" w:rsidRPr="009B7205">
        <w:t xml:space="preserve"> </w:t>
      </w:r>
      <w:r w:rsidRPr="009B7205">
        <w:t xml:space="preserve">provided by the secretariat (and its TSU on ILK). </w:t>
      </w:r>
    </w:p>
    <w:p w14:paraId="22AD70C6" w14:textId="63C43958" w:rsidR="00494995" w:rsidRPr="009B7205" w:rsidRDefault="00494995" w:rsidP="00977C8B">
      <w:pPr>
        <w:pStyle w:val="Normalnumber"/>
        <w:numPr>
          <w:ilvl w:val="0"/>
          <w:numId w:val="21"/>
        </w:numPr>
        <w:tabs>
          <w:tab w:val="clear" w:pos="1247"/>
          <w:tab w:val="clear" w:pos="1814"/>
          <w:tab w:val="clear" w:pos="2381"/>
          <w:tab w:val="clear" w:pos="2948"/>
          <w:tab w:val="clear" w:pos="3515"/>
          <w:tab w:val="left" w:pos="624"/>
        </w:tabs>
        <w:spacing w:after="100"/>
        <w:ind w:left="1247" w:firstLine="0"/>
      </w:pPr>
      <w:r w:rsidRPr="009B7205">
        <w:t>Once established, this group would support implement</w:t>
      </w:r>
      <w:r w:rsidR="00785D4E">
        <w:t>ation of</w:t>
      </w:r>
      <w:r w:rsidRPr="009B7205">
        <w:t xml:space="preserve"> the ILK approach, providing strategic advice, supporting the work with strategic activities by the IPLCs and selected strategic partners, as well as coordinating the strategic outreach to further </w:t>
      </w:r>
      <w:proofErr w:type="spellStart"/>
      <w:r w:rsidRPr="009B7205">
        <w:t>cataly</w:t>
      </w:r>
      <w:r w:rsidR="002A18DC">
        <w:t>z</w:t>
      </w:r>
      <w:r w:rsidRPr="009B7205">
        <w:t>e</w:t>
      </w:r>
      <w:proofErr w:type="spellEnd"/>
      <w:r w:rsidRPr="009B7205">
        <w:t xml:space="preserve"> broader levels of engagements, mainly through open call to contributions to targeted activities. </w:t>
      </w:r>
    </w:p>
    <w:p w14:paraId="1EF29B58" w14:textId="1CE5A790" w:rsidR="00A50F23" w:rsidRDefault="00D9287D" w:rsidP="00977C8B">
      <w:pPr>
        <w:pStyle w:val="Normalnumber"/>
        <w:numPr>
          <w:ilvl w:val="0"/>
          <w:numId w:val="21"/>
        </w:numPr>
        <w:tabs>
          <w:tab w:val="clear" w:pos="1247"/>
          <w:tab w:val="clear" w:pos="1814"/>
          <w:tab w:val="clear" w:pos="2381"/>
          <w:tab w:val="clear" w:pos="2948"/>
          <w:tab w:val="clear" w:pos="3515"/>
          <w:tab w:val="left" w:pos="624"/>
        </w:tabs>
        <w:spacing w:after="100"/>
        <w:ind w:left="1247" w:firstLine="0"/>
      </w:pPr>
      <w:r>
        <w:t>C</w:t>
      </w:r>
      <w:r w:rsidR="00494995" w:rsidRPr="009B7205">
        <w:t xml:space="preserve">ollaborative activities </w:t>
      </w:r>
      <w:r w:rsidRPr="009B7205">
        <w:t>w</w:t>
      </w:r>
      <w:r w:rsidR="00D84C1E">
        <w:t>ould</w:t>
      </w:r>
      <w:r>
        <w:t xml:space="preserve"> be</w:t>
      </w:r>
      <w:r w:rsidRPr="009B7205">
        <w:t xml:space="preserve"> </w:t>
      </w:r>
      <w:r w:rsidR="00214879">
        <w:t xml:space="preserve">further </w:t>
      </w:r>
      <w:r>
        <w:t>defined</w:t>
      </w:r>
      <w:r w:rsidRPr="009B7205">
        <w:t xml:space="preserve"> </w:t>
      </w:r>
      <w:r>
        <w:t>for</w:t>
      </w:r>
      <w:r w:rsidRPr="009B7205">
        <w:t xml:space="preserve"> </w:t>
      </w:r>
      <w:r w:rsidR="00494995" w:rsidRPr="009B7205">
        <w:t xml:space="preserve">the </w:t>
      </w:r>
      <w:r>
        <w:t xml:space="preserve">four </w:t>
      </w:r>
      <w:r w:rsidR="00494995" w:rsidRPr="009B7205">
        <w:t xml:space="preserve">phases of </w:t>
      </w:r>
      <w:r>
        <w:t xml:space="preserve">any assessment cycle to </w:t>
      </w:r>
      <w:r w:rsidR="00494995" w:rsidRPr="009B7205">
        <w:t>implement the ILK approach</w:t>
      </w:r>
      <w:r>
        <w:t>, as follows:</w:t>
      </w:r>
      <w:r w:rsidR="00494995" w:rsidRPr="009B7205">
        <w:t xml:space="preserve"> </w:t>
      </w:r>
    </w:p>
    <w:p w14:paraId="5C696B52" w14:textId="77777777" w:rsidR="00A50F23" w:rsidRDefault="00D85E9A" w:rsidP="00977C8B">
      <w:pPr>
        <w:pStyle w:val="Normalnumber"/>
        <w:numPr>
          <w:ilvl w:val="1"/>
          <w:numId w:val="21"/>
        </w:numPr>
        <w:tabs>
          <w:tab w:val="clear" w:pos="1247"/>
          <w:tab w:val="clear" w:pos="1814"/>
          <w:tab w:val="clear" w:pos="2381"/>
          <w:tab w:val="clear" w:pos="2948"/>
          <w:tab w:val="clear" w:pos="3515"/>
          <w:tab w:val="left" w:pos="624"/>
        </w:tabs>
        <w:spacing w:after="100"/>
        <w:ind w:left="1247" w:firstLine="624"/>
      </w:pPr>
      <w:r w:rsidRPr="009B7205">
        <w:t xml:space="preserve">Phase 1 – Scoping: </w:t>
      </w:r>
      <w:bookmarkStart w:id="0" w:name="_GoBack"/>
      <w:bookmarkEnd w:id="0"/>
    </w:p>
    <w:p w14:paraId="53471A74" w14:textId="77777777" w:rsidR="00D85E9A" w:rsidRPr="009B7205" w:rsidRDefault="00D85E9A" w:rsidP="00977C8B">
      <w:pPr>
        <w:pStyle w:val="Normalnumber"/>
        <w:numPr>
          <w:ilvl w:val="2"/>
          <w:numId w:val="21"/>
        </w:numPr>
        <w:tabs>
          <w:tab w:val="clear" w:pos="1247"/>
          <w:tab w:val="clear" w:pos="1814"/>
          <w:tab w:val="clear" w:pos="2381"/>
          <w:tab w:val="clear" w:pos="2948"/>
          <w:tab w:val="clear" w:pos="3515"/>
          <w:tab w:val="left" w:pos="624"/>
        </w:tabs>
        <w:spacing w:after="100"/>
        <w:ind w:left="3062" w:hanging="567"/>
      </w:pPr>
      <w:r w:rsidRPr="009B7205">
        <w:t xml:space="preserve">Building capacity on IPBES processes and the value of getting engaged; </w:t>
      </w:r>
    </w:p>
    <w:p w14:paraId="69CEC308" w14:textId="77777777" w:rsidR="00D85E9A" w:rsidRPr="009B7205" w:rsidRDefault="00D85E9A" w:rsidP="00977C8B">
      <w:pPr>
        <w:pStyle w:val="Normalnumber"/>
        <w:numPr>
          <w:ilvl w:val="2"/>
          <w:numId w:val="21"/>
        </w:numPr>
        <w:tabs>
          <w:tab w:val="clear" w:pos="1247"/>
          <w:tab w:val="clear" w:pos="1814"/>
          <w:tab w:val="clear" w:pos="2381"/>
          <w:tab w:val="clear" w:pos="2948"/>
          <w:tab w:val="clear" w:pos="3515"/>
          <w:tab w:val="left" w:pos="624"/>
        </w:tabs>
        <w:spacing w:after="100"/>
        <w:ind w:left="3062" w:hanging="567"/>
      </w:pPr>
      <w:r w:rsidRPr="009B7205">
        <w:t xml:space="preserve">Promoting nominations of ILK experts to IPBES call for nomination for the scoping expert group; </w:t>
      </w:r>
    </w:p>
    <w:p w14:paraId="3C1D0384" w14:textId="77777777" w:rsidR="00D85E9A" w:rsidRPr="009B7205" w:rsidRDefault="00D85E9A" w:rsidP="00977C8B">
      <w:pPr>
        <w:pStyle w:val="Normalnumber"/>
        <w:numPr>
          <w:ilvl w:val="2"/>
          <w:numId w:val="21"/>
        </w:numPr>
        <w:tabs>
          <w:tab w:val="clear" w:pos="1247"/>
          <w:tab w:val="clear" w:pos="1814"/>
          <w:tab w:val="clear" w:pos="2381"/>
          <w:tab w:val="clear" w:pos="2948"/>
          <w:tab w:val="clear" w:pos="3515"/>
          <w:tab w:val="left" w:pos="624"/>
        </w:tabs>
        <w:spacing w:after="100"/>
        <w:ind w:left="3062" w:hanging="567"/>
      </w:pPr>
      <w:r w:rsidRPr="009B7205">
        <w:t xml:space="preserve">Supporting the face-to-face dialogue meeting scoping the assessment by reaching out to IPLC networks to get input to scoping; </w:t>
      </w:r>
    </w:p>
    <w:p w14:paraId="401CB13A" w14:textId="77777777" w:rsidR="00D85E9A" w:rsidRPr="009B7205" w:rsidRDefault="00D85E9A" w:rsidP="00977C8B">
      <w:pPr>
        <w:pStyle w:val="Normalnumber"/>
        <w:numPr>
          <w:ilvl w:val="2"/>
          <w:numId w:val="21"/>
        </w:numPr>
        <w:tabs>
          <w:tab w:val="clear" w:pos="1247"/>
          <w:tab w:val="clear" w:pos="1814"/>
          <w:tab w:val="clear" w:pos="2381"/>
          <w:tab w:val="clear" w:pos="2948"/>
          <w:tab w:val="clear" w:pos="3515"/>
          <w:tab w:val="left" w:pos="624"/>
        </w:tabs>
        <w:spacing w:after="100"/>
        <w:ind w:left="3062" w:hanging="567"/>
      </w:pPr>
      <w:r w:rsidRPr="009B7205">
        <w:t xml:space="preserve">Supporting the online review of the scoping document by amplifying its reach, including through group reviews among IPLCs and strategic partners; </w:t>
      </w:r>
    </w:p>
    <w:p w14:paraId="357CBC4E" w14:textId="77777777" w:rsidR="00A50F23" w:rsidRDefault="00D85E9A" w:rsidP="00977C8B">
      <w:pPr>
        <w:pStyle w:val="Normalnumber"/>
        <w:numPr>
          <w:ilvl w:val="1"/>
          <w:numId w:val="21"/>
        </w:numPr>
        <w:tabs>
          <w:tab w:val="clear" w:pos="1247"/>
          <w:tab w:val="clear" w:pos="1814"/>
          <w:tab w:val="clear" w:pos="2381"/>
          <w:tab w:val="clear" w:pos="2948"/>
          <w:tab w:val="clear" w:pos="3515"/>
          <w:tab w:val="left" w:pos="624"/>
        </w:tabs>
        <w:spacing w:after="100"/>
        <w:ind w:left="1247" w:firstLine="624"/>
      </w:pPr>
      <w:r w:rsidRPr="009B7205">
        <w:t xml:space="preserve">Phase 2 – Mobilization of data and information: </w:t>
      </w:r>
    </w:p>
    <w:p w14:paraId="0D50CB17" w14:textId="77777777" w:rsidR="00D85E9A" w:rsidRPr="009B7205" w:rsidRDefault="00D85E9A" w:rsidP="00977C8B">
      <w:pPr>
        <w:pStyle w:val="Normalnumber"/>
        <w:numPr>
          <w:ilvl w:val="2"/>
          <w:numId w:val="21"/>
        </w:numPr>
        <w:tabs>
          <w:tab w:val="clear" w:pos="1247"/>
          <w:tab w:val="clear" w:pos="1814"/>
          <w:tab w:val="clear" w:pos="2381"/>
          <w:tab w:val="clear" w:pos="2948"/>
          <w:tab w:val="clear" w:pos="3515"/>
          <w:tab w:val="left" w:pos="624"/>
        </w:tabs>
        <w:spacing w:after="80"/>
        <w:ind w:left="3062" w:hanging="567"/>
      </w:pPr>
      <w:r w:rsidRPr="009B7205">
        <w:t xml:space="preserve">Building capacity on IPBES processes and the value of getting engaged; </w:t>
      </w:r>
    </w:p>
    <w:p w14:paraId="6F8BE128" w14:textId="77777777" w:rsidR="00D85E9A" w:rsidRPr="009B7205" w:rsidRDefault="00D85E9A" w:rsidP="00977C8B">
      <w:pPr>
        <w:pStyle w:val="Normalnumber"/>
        <w:numPr>
          <w:ilvl w:val="2"/>
          <w:numId w:val="21"/>
        </w:numPr>
        <w:tabs>
          <w:tab w:val="clear" w:pos="1247"/>
          <w:tab w:val="clear" w:pos="1814"/>
          <w:tab w:val="clear" w:pos="2381"/>
          <w:tab w:val="clear" w:pos="2948"/>
          <w:tab w:val="clear" w:pos="3515"/>
          <w:tab w:val="left" w:pos="624"/>
        </w:tabs>
        <w:spacing w:after="80"/>
        <w:ind w:left="3062" w:hanging="567"/>
      </w:pPr>
      <w:r w:rsidRPr="009B7205">
        <w:t xml:space="preserve">Promoting nominations of ILK experts to IPBES call for nomination for the assessment expert group; </w:t>
      </w:r>
    </w:p>
    <w:p w14:paraId="0054C6DF" w14:textId="77777777" w:rsidR="00375CFA" w:rsidRDefault="00D85E9A" w:rsidP="00977C8B">
      <w:pPr>
        <w:pStyle w:val="Normalnumber"/>
        <w:numPr>
          <w:ilvl w:val="2"/>
          <w:numId w:val="21"/>
        </w:numPr>
        <w:tabs>
          <w:tab w:val="clear" w:pos="1247"/>
          <w:tab w:val="clear" w:pos="1814"/>
          <w:tab w:val="clear" w:pos="2381"/>
          <w:tab w:val="clear" w:pos="2948"/>
          <w:tab w:val="clear" w:pos="3515"/>
          <w:tab w:val="left" w:pos="624"/>
        </w:tabs>
        <w:spacing w:after="80"/>
        <w:ind w:left="3062" w:hanging="567"/>
      </w:pPr>
      <w:r w:rsidRPr="009B7205">
        <w:t xml:space="preserve">Supporting the call for contributions to gather evidence in response </w:t>
      </w:r>
      <w:r w:rsidR="00511C19">
        <w:t>to</w:t>
      </w:r>
      <w:r w:rsidRPr="009B7205">
        <w:t xml:space="preserve"> the questions elaborated during the scoping phase by: </w:t>
      </w:r>
    </w:p>
    <w:p w14:paraId="7B0D348B" w14:textId="69CB22C9" w:rsidR="00D85E9A" w:rsidRPr="009B7205" w:rsidRDefault="00D85E9A" w:rsidP="00977C8B">
      <w:pPr>
        <w:pStyle w:val="Normalnumber"/>
        <w:numPr>
          <w:ilvl w:val="3"/>
          <w:numId w:val="21"/>
        </w:numPr>
        <w:tabs>
          <w:tab w:val="clear" w:pos="1814"/>
          <w:tab w:val="clear" w:pos="2381"/>
          <w:tab w:val="clear" w:pos="2948"/>
          <w:tab w:val="clear" w:pos="3515"/>
          <w:tab w:val="left" w:pos="624"/>
          <w:tab w:val="left" w:pos="1871"/>
          <w:tab w:val="left" w:pos="2495"/>
        </w:tabs>
        <w:spacing w:after="80"/>
        <w:ind w:left="3686" w:hanging="567"/>
      </w:pPr>
      <w:r w:rsidRPr="009B7205">
        <w:t>Mobilizing knowledge that is available to partners</w:t>
      </w:r>
      <w:r w:rsidR="00511C19">
        <w:t>,</w:t>
      </w:r>
      <w:r w:rsidRPr="009B7205">
        <w:t xml:space="preserve"> organi</w:t>
      </w:r>
      <w:r w:rsidR="00511C19">
        <w:t>z</w:t>
      </w:r>
      <w:r w:rsidRPr="009B7205">
        <w:t xml:space="preserve">ations and networks of the participatory mechanism; </w:t>
      </w:r>
    </w:p>
    <w:p w14:paraId="44A5A1B2" w14:textId="45DF8D14" w:rsidR="00983576" w:rsidRDefault="00D85E9A" w:rsidP="00977C8B">
      <w:pPr>
        <w:pStyle w:val="Normalnumber"/>
        <w:numPr>
          <w:ilvl w:val="3"/>
          <w:numId w:val="21"/>
        </w:numPr>
        <w:tabs>
          <w:tab w:val="clear" w:pos="1814"/>
          <w:tab w:val="clear" w:pos="2381"/>
          <w:tab w:val="clear" w:pos="2948"/>
          <w:tab w:val="clear" w:pos="3515"/>
          <w:tab w:val="left" w:pos="624"/>
          <w:tab w:val="num" w:pos="1134"/>
          <w:tab w:val="left" w:pos="1871"/>
          <w:tab w:val="left" w:pos="2495"/>
        </w:tabs>
        <w:spacing w:after="80"/>
        <w:ind w:left="3686" w:hanging="567"/>
      </w:pPr>
      <w:r w:rsidRPr="00A50F23">
        <w:t>Where such knowledge is not available: Support</w:t>
      </w:r>
      <w:r w:rsidR="00214879">
        <w:t>ing</w:t>
      </w:r>
      <w:r w:rsidRPr="00A50F23">
        <w:t xml:space="preserve"> the mobilization of knowledge from IPLCs 1) short-term by facilitating local dialogue workshops </w:t>
      </w:r>
      <w:r w:rsidR="00494995" w:rsidRPr="00A50F23">
        <w:t xml:space="preserve">gathering knowledge, and 2) longer-term by building capacity and supporting regular community level monitoring and </w:t>
      </w:r>
      <w:r w:rsidR="00CF12AA">
        <w:br/>
      </w:r>
      <w:r w:rsidR="00494995" w:rsidRPr="00A50F23">
        <w:t xml:space="preserve">self-assessment schemes that address </w:t>
      </w:r>
      <w:r w:rsidR="00511C19">
        <w:t xml:space="preserve">issues </w:t>
      </w:r>
      <w:r w:rsidR="00494995" w:rsidRPr="00A50F23">
        <w:t>relevant</w:t>
      </w:r>
      <w:r w:rsidR="00511C19">
        <w:t xml:space="preserve"> to IPBES</w:t>
      </w:r>
      <w:r w:rsidR="00494995" w:rsidRPr="00A50F23">
        <w:t xml:space="preserve">; </w:t>
      </w:r>
    </w:p>
    <w:p w14:paraId="21390468" w14:textId="6239859C" w:rsidR="00494995" w:rsidRPr="00983576" w:rsidRDefault="00494995" w:rsidP="00977C8B">
      <w:pPr>
        <w:pStyle w:val="Normalnumber"/>
        <w:numPr>
          <w:ilvl w:val="1"/>
          <w:numId w:val="21"/>
        </w:numPr>
        <w:tabs>
          <w:tab w:val="clear" w:pos="1247"/>
          <w:tab w:val="clear" w:pos="1814"/>
          <w:tab w:val="clear" w:pos="2381"/>
          <w:tab w:val="clear" w:pos="2948"/>
          <w:tab w:val="clear" w:pos="3515"/>
          <w:tab w:val="left" w:pos="624"/>
        </w:tabs>
        <w:spacing w:after="100"/>
        <w:ind w:left="1247" w:firstLine="624"/>
      </w:pPr>
      <w:r w:rsidRPr="00983576">
        <w:t xml:space="preserve">Phase 3 – Engagement in reviews: </w:t>
      </w:r>
    </w:p>
    <w:p w14:paraId="236ABBFC" w14:textId="1A8CD28D" w:rsidR="00494995" w:rsidRPr="008F3BEE" w:rsidRDefault="007B2377" w:rsidP="00977C8B">
      <w:pPr>
        <w:pStyle w:val="Normalnumber"/>
        <w:numPr>
          <w:ilvl w:val="2"/>
          <w:numId w:val="21"/>
        </w:numPr>
        <w:tabs>
          <w:tab w:val="clear" w:pos="1247"/>
          <w:tab w:val="clear" w:pos="1814"/>
          <w:tab w:val="clear" w:pos="2381"/>
          <w:tab w:val="clear" w:pos="2948"/>
          <w:tab w:val="clear" w:pos="3515"/>
          <w:tab w:val="left" w:pos="624"/>
        </w:tabs>
        <w:spacing w:after="80"/>
        <w:ind w:left="3062" w:hanging="567"/>
      </w:pPr>
      <w:r>
        <w:t>Facilitating group reviews of f</w:t>
      </w:r>
      <w:r w:rsidR="00A74574">
        <w:t>irs</w:t>
      </w:r>
      <w:r>
        <w:t>t order drafts, second order drafts, and summaries for p</w:t>
      </w:r>
      <w:r w:rsidR="00A74574">
        <w:t xml:space="preserve">olicymakers </w:t>
      </w:r>
      <w:r w:rsidR="00494995" w:rsidRPr="008F3BEE">
        <w:t xml:space="preserve">in support of the regular web-based review phases of the assessments; </w:t>
      </w:r>
    </w:p>
    <w:p w14:paraId="1DEDD78E" w14:textId="72070A4B" w:rsidR="00494995" w:rsidRPr="002A18DC" w:rsidRDefault="00494995" w:rsidP="00977C8B">
      <w:pPr>
        <w:pStyle w:val="Normalnumber"/>
        <w:numPr>
          <w:ilvl w:val="2"/>
          <w:numId w:val="21"/>
        </w:numPr>
        <w:tabs>
          <w:tab w:val="clear" w:pos="1247"/>
          <w:tab w:val="clear" w:pos="1814"/>
          <w:tab w:val="clear" w:pos="2381"/>
          <w:tab w:val="clear" w:pos="2948"/>
          <w:tab w:val="clear" w:pos="3515"/>
          <w:tab w:val="left" w:pos="624"/>
        </w:tabs>
        <w:spacing w:after="80"/>
        <w:ind w:left="3062" w:hanging="567"/>
      </w:pPr>
      <w:r w:rsidRPr="008F3BEE">
        <w:t>Supporting face-to-face dialogue meetings aimed at in-depth reviews of specific issues of interest to the assessment by reaching out to IPLC networks to get input</w:t>
      </w:r>
      <w:r w:rsidR="00511C19">
        <w:t>s</w:t>
      </w:r>
      <w:r w:rsidRPr="008F3BEE">
        <w:t xml:space="preserve"> to in-depth review </w:t>
      </w:r>
    </w:p>
    <w:p w14:paraId="48732A71" w14:textId="782EC3FA" w:rsidR="00494995" w:rsidRPr="009B7205" w:rsidRDefault="00494995" w:rsidP="00977C8B">
      <w:pPr>
        <w:pStyle w:val="Normalnumber"/>
        <w:numPr>
          <w:ilvl w:val="1"/>
          <w:numId w:val="21"/>
        </w:numPr>
        <w:tabs>
          <w:tab w:val="clear" w:pos="1247"/>
          <w:tab w:val="clear" w:pos="1814"/>
          <w:tab w:val="clear" w:pos="2381"/>
          <w:tab w:val="clear" w:pos="2948"/>
          <w:tab w:val="clear" w:pos="3515"/>
          <w:tab w:val="left" w:pos="624"/>
        </w:tabs>
        <w:spacing w:after="100"/>
        <w:ind w:left="1247" w:firstLine="624"/>
      </w:pPr>
      <w:r w:rsidRPr="009B7205">
        <w:t>Phase 4 – Sharing knowledge and insights:</w:t>
      </w:r>
    </w:p>
    <w:p w14:paraId="61C678BC" w14:textId="1AEE0B12" w:rsidR="002A18DC" w:rsidRPr="002A18DC" w:rsidRDefault="00494995" w:rsidP="00977C8B">
      <w:pPr>
        <w:pStyle w:val="Normalnumber"/>
        <w:numPr>
          <w:ilvl w:val="2"/>
          <w:numId w:val="21"/>
        </w:numPr>
        <w:tabs>
          <w:tab w:val="clear" w:pos="1247"/>
          <w:tab w:val="clear" w:pos="1814"/>
          <w:tab w:val="clear" w:pos="2381"/>
          <w:tab w:val="clear" w:pos="2948"/>
          <w:tab w:val="clear" w:pos="3515"/>
          <w:tab w:val="left" w:pos="624"/>
        </w:tabs>
        <w:spacing w:after="80"/>
        <w:ind w:left="3062" w:hanging="567"/>
      </w:pPr>
      <w:r w:rsidRPr="008F3BEE">
        <w:t>supporting sharing knowledge and insights gained through an assessment, e.g. by developing IPLC-appropriate educational material, undertaking capacity building works</w:t>
      </w:r>
      <w:r w:rsidR="002A18DC">
        <w:t>hops, training trainers, organiz</w:t>
      </w:r>
      <w:r w:rsidRPr="008F3BEE">
        <w:t xml:space="preserve">ing discussions </w:t>
      </w:r>
      <w:r w:rsidR="006803D3">
        <w:br/>
      </w:r>
      <w:r w:rsidRPr="008F3BEE">
        <w:t xml:space="preserve">(face to face / e-learning), etc. </w:t>
      </w:r>
    </w:p>
    <w:p w14:paraId="690E9620" w14:textId="1C7D0597" w:rsidR="00D85E9A" w:rsidRPr="00977C8B" w:rsidRDefault="00214879" w:rsidP="00977C8B">
      <w:pPr>
        <w:pStyle w:val="Normalnumber"/>
        <w:numPr>
          <w:ilvl w:val="0"/>
          <w:numId w:val="21"/>
        </w:numPr>
        <w:tabs>
          <w:tab w:val="clear" w:pos="1247"/>
          <w:tab w:val="clear" w:pos="1814"/>
          <w:tab w:val="clear" w:pos="2381"/>
          <w:tab w:val="clear" w:pos="2948"/>
          <w:tab w:val="clear" w:pos="3515"/>
          <w:tab w:val="left" w:pos="624"/>
        </w:tabs>
        <w:spacing w:after="100"/>
        <w:ind w:left="1276" w:firstLine="0"/>
      </w:pPr>
      <w:r w:rsidRPr="00977C8B">
        <w:t>A</w:t>
      </w:r>
      <w:r w:rsidR="00494995" w:rsidRPr="00977C8B">
        <w:t>n ILK web portal w</w:t>
      </w:r>
      <w:r w:rsidR="00DA4789" w:rsidRPr="00977C8B">
        <w:t>ould</w:t>
      </w:r>
      <w:r w:rsidR="00494995" w:rsidRPr="00977C8B">
        <w:t xml:space="preserve"> be developed</w:t>
      </w:r>
      <w:r w:rsidRPr="00977C8B">
        <w:t xml:space="preserve"> in support of the participatory mechanism</w:t>
      </w:r>
      <w:r w:rsidR="00494995" w:rsidRPr="00977C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900"/>
        <w:gridCol w:w="1899"/>
        <w:gridCol w:w="1899"/>
        <w:gridCol w:w="1899"/>
      </w:tblGrid>
      <w:tr w:rsidR="00CA490C" w:rsidRPr="00977C8B" w14:paraId="2FB992FC" w14:textId="77777777" w:rsidTr="00977C8B">
        <w:trPr>
          <w:trHeight w:val="119"/>
        </w:trPr>
        <w:tc>
          <w:tcPr>
            <w:tcW w:w="1964" w:type="dxa"/>
          </w:tcPr>
          <w:p w14:paraId="36CD0949" w14:textId="77777777" w:rsidR="00CA490C" w:rsidRPr="00977C8B" w:rsidRDefault="00CA490C" w:rsidP="00977C8B">
            <w:pPr>
              <w:pStyle w:val="Normal-pool"/>
              <w:rPr>
                <w:sz w:val="2"/>
                <w:szCs w:val="2"/>
              </w:rPr>
            </w:pPr>
          </w:p>
        </w:tc>
        <w:tc>
          <w:tcPr>
            <w:tcW w:w="1964" w:type="dxa"/>
          </w:tcPr>
          <w:p w14:paraId="72E9FDBF" w14:textId="77777777" w:rsidR="00CA490C" w:rsidRPr="00977C8B" w:rsidRDefault="00CA490C" w:rsidP="00977C8B">
            <w:pPr>
              <w:pStyle w:val="Normal-pool"/>
              <w:rPr>
                <w:sz w:val="2"/>
                <w:szCs w:val="2"/>
              </w:rPr>
            </w:pPr>
          </w:p>
        </w:tc>
        <w:tc>
          <w:tcPr>
            <w:tcW w:w="1964" w:type="dxa"/>
            <w:tcBorders>
              <w:bottom w:val="single" w:sz="4" w:space="0" w:color="auto"/>
            </w:tcBorders>
          </w:tcPr>
          <w:p w14:paraId="15B88C7D" w14:textId="77777777" w:rsidR="00CA490C" w:rsidRPr="00977C8B" w:rsidRDefault="00CA490C" w:rsidP="00977C8B">
            <w:pPr>
              <w:pStyle w:val="Normal-pool"/>
              <w:rPr>
                <w:sz w:val="2"/>
                <w:szCs w:val="2"/>
              </w:rPr>
            </w:pPr>
          </w:p>
        </w:tc>
        <w:tc>
          <w:tcPr>
            <w:tcW w:w="1964" w:type="dxa"/>
          </w:tcPr>
          <w:p w14:paraId="63F253E0" w14:textId="77777777" w:rsidR="00CA490C" w:rsidRPr="00977C8B" w:rsidRDefault="00CA490C" w:rsidP="00977C8B">
            <w:pPr>
              <w:pStyle w:val="Normal-pool"/>
              <w:rPr>
                <w:sz w:val="2"/>
                <w:szCs w:val="2"/>
              </w:rPr>
            </w:pPr>
          </w:p>
        </w:tc>
        <w:tc>
          <w:tcPr>
            <w:tcW w:w="1964" w:type="dxa"/>
          </w:tcPr>
          <w:p w14:paraId="6288A89E" w14:textId="77777777" w:rsidR="00CA490C" w:rsidRPr="00977C8B" w:rsidRDefault="00CA490C" w:rsidP="00977C8B">
            <w:pPr>
              <w:pStyle w:val="Normal-pool"/>
              <w:rPr>
                <w:sz w:val="2"/>
                <w:szCs w:val="2"/>
              </w:rPr>
            </w:pPr>
          </w:p>
        </w:tc>
      </w:tr>
    </w:tbl>
    <w:p w14:paraId="05236947" w14:textId="77777777" w:rsidR="005B0DDF" w:rsidRPr="00977C8B" w:rsidRDefault="005B0DDF" w:rsidP="00977C8B">
      <w:pPr>
        <w:pStyle w:val="Normal-pool"/>
        <w:rPr>
          <w:sz w:val="6"/>
          <w:szCs w:val="6"/>
        </w:rPr>
      </w:pPr>
    </w:p>
    <w:sectPr w:rsidR="005B0DDF" w:rsidRPr="00977C8B" w:rsidSect="00977C8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AB73" w14:textId="77777777" w:rsidR="00476D8F" w:rsidRDefault="00476D8F">
      <w:r>
        <w:separator/>
      </w:r>
    </w:p>
    <w:p w14:paraId="6D631F8F" w14:textId="77777777" w:rsidR="00476D8F" w:rsidRDefault="00476D8F"/>
  </w:endnote>
  <w:endnote w:type="continuationSeparator" w:id="0">
    <w:p w14:paraId="432947BA" w14:textId="77777777" w:rsidR="00476D8F" w:rsidRDefault="00476D8F">
      <w:r>
        <w:continuationSeparator/>
      </w:r>
    </w:p>
    <w:p w14:paraId="21B18995" w14:textId="77777777" w:rsidR="00476D8F" w:rsidRDefault="00476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64EC" w14:textId="5C73CDC8" w:rsidR="006F5B20" w:rsidRPr="00FE6DA7" w:rsidRDefault="00306442" w:rsidP="00306442">
    <w:pPr>
      <w:pStyle w:val="Footer"/>
    </w:pPr>
    <w:r w:rsidRPr="00FE6DA7">
      <w:rPr>
        <w:rStyle w:val="PageNumber"/>
      </w:rPr>
      <w:fldChar w:fldCharType="begin"/>
    </w:r>
    <w:r w:rsidRPr="00FE6DA7">
      <w:rPr>
        <w:rStyle w:val="PageNumber"/>
      </w:rPr>
      <w:instrText xml:space="preserve"> PAGE </w:instrText>
    </w:r>
    <w:r w:rsidRPr="00FE6DA7">
      <w:rPr>
        <w:rStyle w:val="PageNumber"/>
      </w:rPr>
      <w:fldChar w:fldCharType="separate"/>
    </w:r>
    <w:r w:rsidR="006803D3">
      <w:rPr>
        <w:rStyle w:val="PageNumber"/>
        <w:noProof/>
      </w:rPr>
      <w:t>8</w:t>
    </w:r>
    <w:r w:rsidRPr="00FE6DA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ADB3" w14:textId="5D46FC26" w:rsidR="006F5B20" w:rsidRPr="00977C8B" w:rsidRDefault="007F445A" w:rsidP="00FE6DA7">
    <w:pPr>
      <w:pStyle w:val="Footer"/>
      <w:jc w:val="right"/>
    </w:pPr>
    <w:r w:rsidRPr="00977C8B">
      <w:rPr>
        <w:rStyle w:val="PageNumber"/>
      </w:rPr>
      <w:fldChar w:fldCharType="begin"/>
    </w:r>
    <w:r w:rsidRPr="00977C8B">
      <w:rPr>
        <w:rStyle w:val="PageNumber"/>
      </w:rPr>
      <w:instrText xml:space="preserve"> PAGE </w:instrText>
    </w:r>
    <w:r w:rsidRPr="00977C8B">
      <w:rPr>
        <w:rStyle w:val="PageNumber"/>
      </w:rPr>
      <w:fldChar w:fldCharType="separate"/>
    </w:r>
    <w:r w:rsidR="006803D3">
      <w:rPr>
        <w:rStyle w:val="PageNumber"/>
        <w:noProof/>
      </w:rPr>
      <w:t>7</w:t>
    </w:r>
    <w:r w:rsidRPr="00977C8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1021" w14:textId="18EBA1D4" w:rsidR="007F445A" w:rsidRPr="00FE6DA7" w:rsidRDefault="00CF12AA">
    <w:pPr>
      <w:pStyle w:val="Footer"/>
      <w:rPr>
        <w:sz w:val="20"/>
      </w:rPr>
    </w:pPr>
    <w:r>
      <w:rPr>
        <w:sz w:val="20"/>
      </w:rPr>
      <w:t>K1800105</w:t>
    </w:r>
    <w:r>
      <w:rPr>
        <w:sz w:val="20"/>
      </w:rPr>
      <w:tab/>
      <w:t>23</w:t>
    </w:r>
    <w:r w:rsidR="00FE6DA7" w:rsidRPr="00FE6DA7">
      <w:rPr>
        <w:sz w:val="20"/>
      </w:rP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F1D2" w14:textId="77777777" w:rsidR="00476D8F" w:rsidRDefault="00476D8F" w:rsidP="00CF12AA">
      <w:pPr>
        <w:spacing w:before="60"/>
        <w:ind w:left="624"/>
      </w:pPr>
      <w:r>
        <w:separator/>
      </w:r>
    </w:p>
  </w:footnote>
  <w:footnote w:type="continuationSeparator" w:id="0">
    <w:p w14:paraId="0F1EC286" w14:textId="77777777" w:rsidR="00476D8F" w:rsidRDefault="00476D8F">
      <w:r>
        <w:continuationSeparator/>
      </w:r>
    </w:p>
    <w:p w14:paraId="2A195749" w14:textId="77777777" w:rsidR="00476D8F" w:rsidRDefault="00476D8F"/>
  </w:footnote>
  <w:footnote w:id="1">
    <w:p w14:paraId="1DE8B747" w14:textId="77777777" w:rsidR="00705DB6" w:rsidRPr="00FE6DA7" w:rsidRDefault="00705DB6">
      <w:pPr>
        <w:pStyle w:val="FootnoteText"/>
        <w:rPr>
          <w:szCs w:val="18"/>
          <w:lang w:val="en-US"/>
        </w:rPr>
      </w:pPr>
      <w:r w:rsidRPr="00FE6DA7">
        <w:rPr>
          <w:rStyle w:val="FootnoteReference"/>
          <w:sz w:val="18"/>
          <w:vertAlign w:val="baseline"/>
        </w:rPr>
        <w:t>*</w:t>
      </w:r>
      <w:r w:rsidRPr="00FE6DA7">
        <w:rPr>
          <w:szCs w:val="18"/>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7602" w14:textId="49E485A1" w:rsidR="006F5B20" w:rsidRPr="00FE6DA7" w:rsidRDefault="00FE6DA7" w:rsidP="00FE6DA7">
    <w:pPr>
      <w:pStyle w:val="Header-pool"/>
    </w:pPr>
    <w:r w:rsidRPr="00FE6DA7">
      <w:t>IPBES</w:t>
    </w:r>
    <w:r>
      <w:t>/6</w:t>
    </w:r>
    <w:r w:rsidRPr="00EA5E72">
      <w:t>/</w:t>
    </w:r>
    <w:r>
      <w:t>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BC5A" w14:textId="77777777" w:rsidR="00FE6DA7" w:rsidRPr="00FE6DA7" w:rsidRDefault="00FE6DA7" w:rsidP="00977C8B">
    <w:pPr>
      <w:pStyle w:val="Header-pool"/>
      <w:jc w:val="right"/>
    </w:pPr>
    <w:r w:rsidRPr="00FE6DA7">
      <w:t>IPBES</w:t>
    </w:r>
    <w:r>
      <w:t>/6</w:t>
    </w:r>
    <w:r w:rsidRPr="00EA5E72">
      <w:t>/</w:t>
    </w:r>
    <w:r>
      <w:t>INF/13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5FF8" w14:textId="77777777" w:rsidR="007F445A" w:rsidRDefault="007F445A"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776"/>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0344C85"/>
    <w:multiLevelType w:val="multilevel"/>
    <w:tmpl w:val="3A7274A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71113A7"/>
    <w:multiLevelType w:val="multilevel"/>
    <w:tmpl w:val="48241D10"/>
    <w:numStyleLink w:val="Normallist"/>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B78707A"/>
    <w:multiLevelType w:val="multilevel"/>
    <w:tmpl w:val="3A7274A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56B2973"/>
    <w:multiLevelType w:val="hybridMultilevel"/>
    <w:tmpl w:val="686A04BE"/>
    <w:lvl w:ilvl="0" w:tplc="1C66DF94">
      <w:start w:val="1"/>
      <w:numFmt w:val="lowerLetter"/>
      <w:lvlText w:val="(%1)"/>
      <w:lvlJc w:val="left"/>
      <w:pPr>
        <w:ind w:left="1996" w:hanging="360"/>
      </w:pPr>
      <w:rPr>
        <w:rFont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50034572"/>
    <w:multiLevelType w:val="multilevel"/>
    <w:tmpl w:val="3A7274A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518A6DC9"/>
    <w:multiLevelType w:val="hybridMultilevel"/>
    <w:tmpl w:val="62048CF4"/>
    <w:lvl w:ilvl="0" w:tplc="FF62DD54">
      <w:start w:val="1"/>
      <w:numFmt w:val="decimal"/>
      <w:lvlText w:val="%1."/>
      <w:lvlJc w:val="left"/>
      <w:pPr>
        <w:ind w:left="720" w:hanging="360"/>
      </w:pPr>
    </w:lvl>
    <w:lvl w:ilvl="1" w:tplc="2C507ED0">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1308915E">
      <w:start w:val="1"/>
      <w:numFmt w:val="lowerLetter"/>
      <w:lvlText w:val="%4."/>
      <w:lvlJc w:val="left"/>
      <w:pPr>
        <w:ind w:left="2880" w:hanging="360"/>
      </w:pPr>
      <w:rPr>
        <w:rFonts w:ascii="Times New Roman" w:eastAsia="Times New Roman"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685F4051"/>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7283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7FCD29FB"/>
    <w:multiLevelType w:val="hybridMultilevel"/>
    <w:tmpl w:val="62048CF4"/>
    <w:lvl w:ilvl="0" w:tplc="FF62DD54">
      <w:start w:val="1"/>
      <w:numFmt w:val="decimal"/>
      <w:lvlText w:val="%1."/>
      <w:lvlJc w:val="left"/>
      <w:pPr>
        <w:ind w:left="720" w:hanging="360"/>
      </w:pPr>
    </w:lvl>
    <w:lvl w:ilvl="1" w:tplc="2C507ED0">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1308915E">
      <w:start w:val="1"/>
      <w:numFmt w:val="lowerLetter"/>
      <w:lvlText w:val="%4."/>
      <w:lvlJc w:val="left"/>
      <w:pPr>
        <w:ind w:left="2880" w:hanging="360"/>
      </w:pPr>
      <w:rPr>
        <w:rFonts w:ascii="Times New Roman" w:eastAsia="Times New Roman"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lvlOverride w:ilvl="0">
      <w:lvl w:ilvl="0">
        <w:start w:val="1"/>
        <w:numFmt w:val="decimal"/>
        <w:lvlText w:val="%1."/>
        <w:lvlJc w:val="left"/>
        <w:pPr>
          <w:tabs>
            <w:tab w:val="num" w:pos="567"/>
          </w:tabs>
          <w:ind w:left="1247"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1"/>
  </w:num>
  <w:num w:numId="6">
    <w:abstractNumId w:val="5"/>
  </w:num>
  <w:num w:numId="7">
    <w:abstractNumId w:val="8"/>
    <w:lvlOverride w:ilvl="0">
      <w:startOverride w:val="1"/>
    </w:lvlOverride>
  </w:num>
  <w:num w:numId="8">
    <w:abstractNumId w:val="10"/>
  </w:num>
  <w:num w:numId="9">
    <w:abstractNumId w:val="0"/>
  </w:num>
  <w:num w:numId="10">
    <w:abstractNumId w:val="12"/>
  </w:num>
  <w:num w:numId="11">
    <w:abstractNumId w:val="8"/>
    <w:lvlOverride w:ilvl="0">
      <w:startOverride w:val="1"/>
    </w:lvlOverride>
  </w:num>
  <w:num w:numId="12">
    <w:abstractNumId w:val="1"/>
  </w:num>
  <w:num w:numId="13">
    <w:abstractNumId w:val="4"/>
  </w:num>
  <w:num w:numId="14">
    <w:abstractNumId w:val="7"/>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04747"/>
    <w:rsid w:val="0000744F"/>
    <w:rsid w:val="000149E6"/>
    <w:rsid w:val="000170C7"/>
    <w:rsid w:val="00023E32"/>
    <w:rsid w:val="000247B0"/>
    <w:rsid w:val="00026997"/>
    <w:rsid w:val="00032DB5"/>
    <w:rsid w:val="00033E0B"/>
    <w:rsid w:val="00035EDE"/>
    <w:rsid w:val="000440BA"/>
    <w:rsid w:val="00045080"/>
    <w:rsid w:val="000458EE"/>
    <w:rsid w:val="0004779A"/>
    <w:rsid w:val="000509B4"/>
    <w:rsid w:val="00055BA7"/>
    <w:rsid w:val="0005607B"/>
    <w:rsid w:val="00060A46"/>
    <w:rsid w:val="00062885"/>
    <w:rsid w:val="00064C34"/>
    <w:rsid w:val="00071886"/>
    <w:rsid w:val="000718D5"/>
    <w:rsid w:val="00072509"/>
    <w:rsid w:val="000730DB"/>
    <w:rsid w:val="00073760"/>
    <w:rsid w:val="000742BC"/>
    <w:rsid w:val="00080F2F"/>
    <w:rsid w:val="00081E43"/>
    <w:rsid w:val="00082A0C"/>
    <w:rsid w:val="00084EE0"/>
    <w:rsid w:val="000917E8"/>
    <w:rsid w:val="000921BF"/>
    <w:rsid w:val="00094221"/>
    <w:rsid w:val="0009640C"/>
    <w:rsid w:val="000A782C"/>
    <w:rsid w:val="000B1C30"/>
    <w:rsid w:val="000B59B2"/>
    <w:rsid w:val="000C665C"/>
    <w:rsid w:val="000D33C0"/>
    <w:rsid w:val="000D523B"/>
    <w:rsid w:val="000E067F"/>
    <w:rsid w:val="000E13EF"/>
    <w:rsid w:val="000E439B"/>
    <w:rsid w:val="000E53DF"/>
    <w:rsid w:val="000F3B6C"/>
    <w:rsid w:val="00100602"/>
    <w:rsid w:val="00100EF6"/>
    <w:rsid w:val="00102111"/>
    <w:rsid w:val="00113876"/>
    <w:rsid w:val="001159BB"/>
    <w:rsid w:val="001202E3"/>
    <w:rsid w:val="00121708"/>
    <w:rsid w:val="0012562E"/>
    <w:rsid w:val="0013059D"/>
    <w:rsid w:val="0013398F"/>
    <w:rsid w:val="0013648B"/>
    <w:rsid w:val="00137580"/>
    <w:rsid w:val="00141A55"/>
    <w:rsid w:val="00151424"/>
    <w:rsid w:val="001554A3"/>
    <w:rsid w:val="00156281"/>
    <w:rsid w:val="00161DDB"/>
    <w:rsid w:val="0016362C"/>
    <w:rsid w:val="00163FFC"/>
    <w:rsid w:val="00166FFD"/>
    <w:rsid w:val="001673CF"/>
    <w:rsid w:val="00170D4D"/>
    <w:rsid w:val="00180D5B"/>
    <w:rsid w:val="001811FA"/>
    <w:rsid w:val="00181BC9"/>
    <w:rsid w:val="00181EC8"/>
    <w:rsid w:val="00182AEE"/>
    <w:rsid w:val="00184349"/>
    <w:rsid w:val="00187A5D"/>
    <w:rsid w:val="0019268D"/>
    <w:rsid w:val="001A64B7"/>
    <w:rsid w:val="001B08F0"/>
    <w:rsid w:val="001B1617"/>
    <w:rsid w:val="001B2E5D"/>
    <w:rsid w:val="001B3588"/>
    <w:rsid w:val="001C74C3"/>
    <w:rsid w:val="001D3874"/>
    <w:rsid w:val="001D4810"/>
    <w:rsid w:val="001D48BC"/>
    <w:rsid w:val="001D7CAE"/>
    <w:rsid w:val="001D7E75"/>
    <w:rsid w:val="001E56D2"/>
    <w:rsid w:val="001E7D56"/>
    <w:rsid w:val="001F034F"/>
    <w:rsid w:val="001F742E"/>
    <w:rsid w:val="001F75DE"/>
    <w:rsid w:val="001F765B"/>
    <w:rsid w:val="00200D58"/>
    <w:rsid w:val="002013BE"/>
    <w:rsid w:val="002063A4"/>
    <w:rsid w:val="00206C86"/>
    <w:rsid w:val="002101CD"/>
    <w:rsid w:val="0021145B"/>
    <w:rsid w:val="00214879"/>
    <w:rsid w:val="00221AE7"/>
    <w:rsid w:val="00234B58"/>
    <w:rsid w:val="002356C5"/>
    <w:rsid w:val="002463AF"/>
    <w:rsid w:val="002464B8"/>
    <w:rsid w:val="00246DDE"/>
    <w:rsid w:val="00247707"/>
    <w:rsid w:val="00250609"/>
    <w:rsid w:val="00250F52"/>
    <w:rsid w:val="00253901"/>
    <w:rsid w:val="002545F6"/>
    <w:rsid w:val="0025559C"/>
    <w:rsid w:val="00260FC4"/>
    <w:rsid w:val="002620CD"/>
    <w:rsid w:val="002712A1"/>
    <w:rsid w:val="002726CF"/>
    <w:rsid w:val="002773E9"/>
    <w:rsid w:val="00280F1E"/>
    <w:rsid w:val="00286740"/>
    <w:rsid w:val="00287E60"/>
    <w:rsid w:val="002929D8"/>
    <w:rsid w:val="002A18DC"/>
    <w:rsid w:val="002A237D"/>
    <w:rsid w:val="002A2754"/>
    <w:rsid w:val="002A4C53"/>
    <w:rsid w:val="002A564F"/>
    <w:rsid w:val="002A6A11"/>
    <w:rsid w:val="002B035E"/>
    <w:rsid w:val="002B0737"/>
    <w:rsid w:val="002B56EA"/>
    <w:rsid w:val="002C145D"/>
    <w:rsid w:val="002C2C3E"/>
    <w:rsid w:val="002C3453"/>
    <w:rsid w:val="002C4813"/>
    <w:rsid w:val="002C533E"/>
    <w:rsid w:val="002C7132"/>
    <w:rsid w:val="002D027F"/>
    <w:rsid w:val="002D146C"/>
    <w:rsid w:val="002D3D4C"/>
    <w:rsid w:val="002D7B60"/>
    <w:rsid w:val="002E0D90"/>
    <w:rsid w:val="002F1F0E"/>
    <w:rsid w:val="002F4761"/>
    <w:rsid w:val="002F5B0F"/>
    <w:rsid w:val="002F6698"/>
    <w:rsid w:val="003056C1"/>
    <w:rsid w:val="00306442"/>
    <w:rsid w:val="00306B12"/>
    <w:rsid w:val="003124FF"/>
    <w:rsid w:val="0031413F"/>
    <w:rsid w:val="00320BDB"/>
    <w:rsid w:val="003270F4"/>
    <w:rsid w:val="003364FF"/>
    <w:rsid w:val="00336901"/>
    <w:rsid w:val="00337F63"/>
    <w:rsid w:val="00341F94"/>
    <w:rsid w:val="003446B5"/>
    <w:rsid w:val="0034548C"/>
    <w:rsid w:val="003503B6"/>
    <w:rsid w:val="00352F00"/>
    <w:rsid w:val="00355EA9"/>
    <w:rsid w:val="00375CFA"/>
    <w:rsid w:val="00377EB9"/>
    <w:rsid w:val="00385963"/>
    <w:rsid w:val="00394E92"/>
    <w:rsid w:val="00395462"/>
    <w:rsid w:val="00396257"/>
    <w:rsid w:val="00397909"/>
    <w:rsid w:val="00397EB8"/>
    <w:rsid w:val="003A0E31"/>
    <w:rsid w:val="003A4FD0"/>
    <w:rsid w:val="003A69D1"/>
    <w:rsid w:val="003A6EF9"/>
    <w:rsid w:val="003B0C0D"/>
    <w:rsid w:val="003B1545"/>
    <w:rsid w:val="003B32FC"/>
    <w:rsid w:val="003B41D2"/>
    <w:rsid w:val="003B7A70"/>
    <w:rsid w:val="003C05C9"/>
    <w:rsid w:val="003C1CA7"/>
    <w:rsid w:val="003C409D"/>
    <w:rsid w:val="003C4EFB"/>
    <w:rsid w:val="003C670D"/>
    <w:rsid w:val="003D2B36"/>
    <w:rsid w:val="003E05E6"/>
    <w:rsid w:val="003E09A0"/>
    <w:rsid w:val="003E395B"/>
    <w:rsid w:val="003E7728"/>
    <w:rsid w:val="003F0E85"/>
    <w:rsid w:val="00400EFD"/>
    <w:rsid w:val="00404648"/>
    <w:rsid w:val="00404965"/>
    <w:rsid w:val="00410C55"/>
    <w:rsid w:val="00417725"/>
    <w:rsid w:val="004225D1"/>
    <w:rsid w:val="00425C06"/>
    <w:rsid w:val="00437F26"/>
    <w:rsid w:val="00446EF6"/>
    <w:rsid w:val="00447EF3"/>
    <w:rsid w:val="00450542"/>
    <w:rsid w:val="004510AC"/>
    <w:rsid w:val="00454769"/>
    <w:rsid w:val="00455A59"/>
    <w:rsid w:val="00456B79"/>
    <w:rsid w:val="0046429E"/>
    <w:rsid w:val="00466498"/>
    <w:rsid w:val="00466991"/>
    <w:rsid w:val="0047064C"/>
    <w:rsid w:val="00471DFA"/>
    <w:rsid w:val="00476D8F"/>
    <w:rsid w:val="00476E7F"/>
    <w:rsid w:val="004827F3"/>
    <w:rsid w:val="0048473C"/>
    <w:rsid w:val="00493E19"/>
    <w:rsid w:val="00494455"/>
    <w:rsid w:val="00494995"/>
    <w:rsid w:val="00495289"/>
    <w:rsid w:val="00496EFB"/>
    <w:rsid w:val="004A1438"/>
    <w:rsid w:val="004A36DE"/>
    <w:rsid w:val="004A44B2"/>
    <w:rsid w:val="004A4744"/>
    <w:rsid w:val="004B5666"/>
    <w:rsid w:val="004C5C96"/>
    <w:rsid w:val="004D06A4"/>
    <w:rsid w:val="004D568A"/>
    <w:rsid w:val="004D6638"/>
    <w:rsid w:val="004D7681"/>
    <w:rsid w:val="004E6336"/>
    <w:rsid w:val="004F1A81"/>
    <w:rsid w:val="004F2D0E"/>
    <w:rsid w:val="004F7183"/>
    <w:rsid w:val="0050619E"/>
    <w:rsid w:val="00507F32"/>
    <w:rsid w:val="00511C19"/>
    <w:rsid w:val="0051335F"/>
    <w:rsid w:val="005160EC"/>
    <w:rsid w:val="005218D9"/>
    <w:rsid w:val="005269C4"/>
    <w:rsid w:val="005341C5"/>
    <w:rsid w:val="00535BDA"/>
    <w:rsid w:val="00536186"/>
    <w:rsid w:val="00537EC1"/>
    <w:rsid w:val="00543454"/>
    <w:rsid w:val="005453ED"/>
    <w:rsid w:val="0055008F"/>
    <w:rsid w:val="00550273"/>
    <w:rsid w:val="00550DF7"/>
    <w:rsid w:val="00553A2D"/>
    <w:rsid w:val="005628E3"/>
    <w:rsid w:val="00565DCE"/>
    <w:rsid w:val="0057037E"/>
    <w:rsid w:val="00571461"/>
    <w:rsid w:val="00571ED8"/>
    <w:rsid w:val="0057315F"/>
    <w:rsid w:val="00573200"/>
    <w:rsid w:val="00574792"/>
    <w:rsid w:val="00574E93"/>
    <w:rsid w:val="005750B4"/>
    <w:rsid w:val="005841C9"/>
    <w:rsid w:val="00584B14"/>
    <w:rsid w:val="0058611F"/>
    <w:rsid w:val="0058768E"/>
    <w:rsid w:val="005A1B2D"/>
    <w:rsid w:val="005A21D3"/>
    <w:rsid w:val="005A59FE"/>
    <w:rsid w:val="005B024F"/>
    <w:rsid w:val="005B0DDF"/>
    <w:rsid w:val="005B2932"/>
    <w:rsid w:val="005B584B"/>
    <w:rsid w:val="005C00D1"/>
    <w:rsid w:val="005C67C8"/>
    <w:rsid w:val="005D0249"/>
    <w:rsid w:val="005D4E57"/>
    <w:rsid w:val="005F05FD"/>
    <w:rsid w:val="005F100C"/>
    <w:rsid w:val="005F1648"/>
    <w:rsid w:val="005F7986"/>
    <w:rsid w:val="005F7B75"/>
    <w:rsid w:val="00607ABA"/>
    <w:rsid w:val="0061054B"/>
    <w:rsid w:val="006119BC"/>
    <w:rsid w:val="006122EA"/>
    <w:rsid w:val="0061660A"/>
    <w:rsid w:val="00616944"/>
    <w:rsid w:val="00620F1E"/>
    <w:rsid w:val="00621F9B"/>
    <w:rsid w:val="006231AF"/>
    <w:rsid w:val="00623998"/>
    <w:rsid w:val="006252F5"/>
    <w:rsid w:val="006303B4"/>
    <w:rsid w:val="00635396"/>
    <w:rsid w:val="006370DB"/>
    <w:rsid w:val="00637CE4"/>
    <w:rsid w:val="00641396"/>
    <w:rsid w:val="00641703"/>
    <w:rsid w:val="006421CF"/>
    <w:rsid w:val="006431A6"/>
    <w:rsid w:val="006459F6"/>
    <w:rsid w:val="006474E9"/>
    <w:rsid w:val="006501AD"/>
    <w:rsid w:val="0065086E"/>
    <w:rsid w:val="00651BFA"/>
    <w:rsid w:val="00655BC8"/>
    <w:rsid w:val="00662346"/>
    <w:rsid w:val="00666622"/>
    <w:rsid w:val="00667141"/>
    <w:rsid w:val="006803D3"/>
    <w:rsid w:val="006848C8"/>
    <w:rsid w:val="00686FD9"/>
    <w:rsid w:val="00692E2A"/>
    <w:rsid w:val="006936A8"/>
    <w:rsid w:val="00693A63"/>
    <w:rsid w:val="006A077A"/>
    <w:rsid w:val="006A6838"/>
    <w:rsid w:val="006A76F2"/>
    <w:rsid w:val="006B3B53"/>
    <w:rsid w:val="006C3C12"/>
    <w:rsid w:val="006C740F"/>
    <w:rsid w:val="006D3683"/>
    <w:rsid w:val="006D7EFB"/>
    <w:rsid w:val="006E2D3B"/>
    <w:rsid w:val="006E3441"/>
    <w:rsid w:val="006E6722"/>
    <w:rsid w:val="006F5B20"/>
    <w:rsid w:val="006F7C94"/>
    <w:rsid w:val="00700A0F"/>
    <w:rsid w:val="0070146F"/>
    <w:rsid w:val="007027B9"/>
    <w:rsid w:val="00705DB6"/>
    <w:rsid w:val="00705F05"/>
    <w:rsid w:val="00714C5E"/>
    <w:rsid w:val="00715E88"/>
    <w:rsid w:val="007166DD"/>
    <w:rsid w:val="00722341"/>
    <w:rsid w:val="0072504C"/>
    <w:rsid w:val="00734CAA"/>
    <w:rsid w:val="00745F24"/>
    <w:rsid w:val="00750CB2"/>
    <w:rsid w:val="007532F9"/>
    <w:rsid w:val="00754B14"/>
    <w:rsid w:val="00757581"/>
    <w:rsid w:val="00757CA2"/>
    <w:rsid w:val="0076107C"/>
    <w:rsid w:val="007641FB"/>
    <w:rsid w:val="0077008E"/>
    <w:rsid w:val="0077282E"/>
    <w:rsid w:val="007737A8"/>
    <w:rsid w:val="00783E69"/>
    <w:rsid w:val="00785D4E"/>
    <w:rsid w:val="007964D9"/>
    <w:rsid w:val="007A5746"/>
    <w:rsid w:val="007A5C12"/>
    <w:rsid w:val="007A5E20"/>
    <w:rsid w:val="007B2377"/>
    <w:rsid w:val="007B3217"/>
    <w:rsid w:val="007C2541"/>
    <w:rsid w:val="007C5267"/>
    <w:rsid w:val="007D5D6C"/>
    <w:rsid w:val="007D7245"/>
    <w:rsid w:val="007E003F"/>
    <w:rsid w:val="007E520A"/>
    <w:rsid w:val="007F154E"/>
    <w:rsid w:val="007F215A"/>
    <w:rsid w:val="007F445A"/>
    <w:rsid w:val="007F5CC3"/>
    <w:rsid w:val="007F72D1"/>
    <w:rsid w:val="008015FF"/>
    <w:rsid w:val="008019EB"/>
    <w:rsid w:val="00802A47"/>
    <w:rsid w:val="00804B9B"/>
    <w:rsid w:val="00805E39"/>
    <w:rsid w:val="00811D49"/>
    <w:rsid w:val="00813504"/>
    <w:rsid w:val="008141B7"/>
    <w:rsid w:val="00815D26"/>
    <w:rsid w:val="00830E26"/>
    <w:rsid w:val="0083580A"/>
    <w:rsid w:val="008400EB"/>
    <w:rsid w:val="008429B3"/>
    <w:rsid w:val="00843576"/>
    <w:rsid w:val="00843B64"/>
    <w:rsid w:val="00844E8B"/>
    <w:rsid w:val="00851E67"/>
    <w:rsid w:val="00854EB8"/>
    <w:rsid w:val="008556AE"/>
    <w:rsid w:val="0086543F"/>
    <w:rsid w:val="00867BFF"/>
    <w:rsid w:val="008739BA"/>
    <w:rsid w:val="00876818"/>
    <w:rsid w:val="00880504"/>
    <w:rsid w:val="00883559"/>
    <w:rsid w:val="0088480A"/>
    <w:rsid w:val="008904FE"/>
    <w:rsid w:val="00891B46"/>
    <w:rsid w:val="008926EC"/>
    <w:rsid w:val="008947F5"/>
    <w:rsid w:val="008957DD"/>
    <w:rsid w:val="00897D98"/>
    <w:rsid w:val="008A1781"/>
    <w:rsid w:val="008A2426"/>
    <w:rsid w:val="008A3722"/>
    <w:rsid w:val="008A3DE0"/>
    <w:rsid w:val="008A6562"/>
    <w:rsid w:val="008A6DF2"/>
    <w:rsid w:val="008B65AE"/>
    <w:rsid w:val="008B6614"/>
    <w:rsid w:val="008B79B4"/>
    <w:rsid w:val="008C005A"/>
    <w:rsid w:val="008C17EC"/>
    <w:rsid w:val="008C56E6"/>
    <w:rsid w:val="008C6727"/>
    <w:rsid w:val="008D0E23"/>
    <w:rsid w:val="008D37C3"/>
    <w:rsid w:val="008D6BA0"/>
    <w:rsid w:val="008D7C99"/>
    <w:rsid w:val="008E0AD6"/>
    <w:rsid w:val="008E0FCB"/>
    <w:rsid w:val="008E57DE"/>
    <w:rsid w:val="008F1ECC"/>
    <w:rsid w:val="008F3BEE"/>
    <w:rsid w:val="008F5894"/>
    <w:rsid w:val="008F5E39"/>
    <w:rsid w:val="008F648E"/>
    <w:rsid w:val="00901521"/>
    <w:rsid w:val="00904D15"/>
    <w:rsid w:val="0091099F"/>
    <w:rsid w:val="00911AB0"/>
    <w:rsid w:val="00914084"/>
    <w:rsid w:val="0092178C"/>
    <w:rsid w:val="009278BC"/>
    <w:rsid w:val="00934E2C"/>
    <w:rsid w:val="00940DCC"/>
    <w:rsid w:val="0094179A"/>
    <w:rsid w:val="00943BDB"/>
    <w:rsid w:val="0094459E"/>
    <w:rsid w:val="00944DBC"/>
    <w:rsid w:val="00944E0F"/>
    <w:rsid w:val="00950977"/>
    <w:rsid w:val="00951A7B"/>
    <w:rsid w:val="009527C5"/>
    <w:rsid w:val="00952E29"/>
    <w:rsid w:val="0095574F"/>
    <w:rsid w:val="00955D20"/>
    <w:rsid w:val="009564A6"/>
    <w:rsid w:val="00962B5E"/>
    <w:rsid w:val="00963208"/>
    <w:rsid w:val="00977C8B"/>
    <w:rsid w:val="0098071E"/>
    <w:rsid w:val="00983576"/>
    <w:rsid w:val="00983EE2"/>
    <w:rsid w:val="0098413D"/>
    <w:rsid w:val="00986F26"/>
    <w:rsid w:val="0098795B"/>
    <w:rsid w:val="009A2923"/>
    <w:rsid w:val="009A4ACC"/>
    <w:rsid w:val="009A6528"/>
    <w:rsid w:val="009B4A0F"/>
    <w:rsid w:val="009B7205"/>
    <w:rsid w:val="009C1324"/>
    <w:rsid w:val="009C2890"/>
    <w:rsid w:val="009C6D94"/>
    <w:rsid w:val="009D0B63"/>
    <w:rsid w:val="009D3F3B"/>
    <w:rsid w:val="009D59AB"/>
    <w:rsid w:val="009E6DF7"/>
    <w:rsid w:val="00A1348D"/>
    <w:rsid w:val="00A14A1D"/>
    <w:rsid w:val="00A17BA5"/>
    <w:rsid w:val="00A232EE"/>
    <w:rsid w:val="00A243C2"/>
    <w:rsid w:val="00A25358"/>
    <w:rsid w:val="00A41B84"/>
    <w:rsid w:val="00A42891"/>
    <w:rsid w:val="00A439AF"/>
    <w:rsid w:val="00A44411"/>
    <w:rsid w:val="00A46727"/>
    <w:rsid w:val="00A469FA"/>
    <w:rsid w:val="00A50E45"/>
    <w:rsid w:val="00A50F23"/>
    <w:rsid w:val="00A510BB"/>
    <w:rsid w:val="00A55740"/>
    <w:rsid w:val="00A55B01"/>
    <w:rsid w:val="00A56B5B"/>
    <w:rsid w:val="00A64EE6"/>
    <w:rsid w:val="00A657DD"/>
    <w:rsid w:val="00A659F9"/>
    <w:rsid w:val="00A666A6"/>
    <w:rsid w:val="00A6689A"/>
    <w:rsid w:val="00A676CB"/>
    <w:rsid w:val="00A70434"/>
    <w:rsid w:val="00A74574"/>
    <w:rsid w:val="00A7486A"/>
    <w:rsid w:val="00A80611"/>
    <w:rsid w:val="00A81CD8"/>
    <w:rsid w:val="00A861C0"/>
    <w:rsid w:val="00A91A56"/>
    <w:rsid w:val="00A92AB4"/>
    <w:rsid w:val="00A93A1D"/>
    <w:rsid w:val="00A9783E"/>
    <w:rsid w:val="00AA31A3"/>
    <w:rsid w:val="00AA3A0E"/>
    <w:rsid w:val="00AA4E66"/>
    <w:rsid w:val="00AB2918"/>
    <w:rsid w:val="00AB5340"/>
    <w:rsid w:val="00AC43A1"/>
    <w:rsid w:val="00AC7790"/>
    <w:rsid w:val="00AC7C96"/>
    <w:rsid w:val="00AD07F8"/>
    <w:rsid w:val="00AD5244"/>
    <w:rsid w:val="00AD7C9B"/>
    <w:rsid w:val="00AE237D"/>
    <w:rsid w:val="00AE5B98"/>
    <w:rsid w:val="00AE78E0"/>
    <w:rsid w:val="00AE7DFE"/>
    <w:rsid w:val="00AF34B1"/>
    <w:rsid w:val="00AF7249"/>
    <w:rsid w:val="00AF7C07"/>
    <w:rsid w:val="00B02DB7"/>
    <w:rsid w:val="00B04D46"/>
    <w:rsid w:val="00B13586"/>
    <w:rsid w:val="00B15CF7"/>
    <w:rsid w:val="00B17933"/>
    <w:rsid w:val="00B22A15"/>
    <w:rsid w:val="00B25B1B"/>
    <w:rsid w:val="00B275BB"/>
    <w:rsid w:val="00B34BBF"/>
    <w:rsid w:val="00B405B7"/>
    <w:rsid w:val="00B425E5"/>
    <w:rsid w:val="00B4262C"/>
    <w:rsid w:val="00B43F8A"/>
    <w:rsid w:val="00B46490"/>
    <w:rsid w:val="00B5042E"/>
    <w:rsid w:val="00B516EB"/>
    <w:rsid w:val="00B66901"/>
    <w:rsid w:val="00B71E6D"/>
    <w:rsid w:val="00B72070"/>
    <w:rsid w:val="00B77039"/>
    <w:rsid w:val="00B771A3"/>
    <w:rsid w:val="00B779E1"/>
    <w:rsid w:val="00B822DD"/>
    <w:rsid w:val="00B82774"/>
    <w:rsid w:val="00B84371"/>
    <w:rsid w:val="00B84486"/>
    <w:rsid w:val="00B85A41"/>
    <w:rsid w:val="00B87967"/>
    <w:rsid w:val="00B96BF7"/>
    <w:rsid w:val="00BA1A67"/>
    <w:rsid w:val="00BA2D85"/>
    <w:rsid w:val="00BB15DE"/>
    <w:rsid w:val="00BB28A6"/>
    <w:rsid w:val="00BB44A6"/>
    <w:rsid w:val="00BB5833"/>
    <w:rsid w:val="00BB7851"/>
    <w:rsid w:val="00BC093D"/>
    <w:rsid w:val="00BD1287"/>
    <w:rsid w:val="00BE2356"/>
    <w:rsid w:val="00BF1300"/>
    <w:rsid w:val="00BF3DE7"/>
    <w:rsid w:val="00BF41EA"/>
    <w:rsid w:val="00BF78CA"/>
    <w:rsid w:val="00BF7A7C"/>
    <w:rsid w:val="00BF7E4E"/>
    <w:rsid w:val="00C0058D"/>
    <w:rsid w:val="00C02585"/>
    <w:rsid w:val="00C1633D"/>
    <w:rsid w:val="00C24821"/>
    <w:rsid w:val="00C30C63"/>
    <w:rsid w:val="00C3419C"/>
    <w:rsid w:val="00C3753D"/>
    <w:rsid w:val="00C41236"/>
    <w:rsid w:val="00C47B77"/>
    <w:rsid w:val="00C51F45"/>
    <w:rsid w:val="00C549DA"/>
    <w:rsid w:val="00C558DA"/>
    <w:rsid w:val="00C55B3A"/>
    <w:rsid w:val="00C57664"/>
    <w:rsid w:val="00C644FB"/>
    <w:rsid w:val="00C67678"/>
    <w:rsid w:val="00C719C6"/>
    <w:rsid w:val="00C725DC"/>
    <w:rsid w:val="00C84759"/>
    <w:rsid w:val="00C90FDD"/>
    <w:rsid w:val="00C913CC"/>
    <w:rsid w:val="00C93203"/>
    <w:rsid w:val="00C93A3A"/>
    <w:rsid w:val="00C956B3"/>
    <w:rsid w:val="00C95831"/>
    <w:rsid w:val="00C961BB"/>
    <w:rsid w:val="00CA0B1F"/>
    <w:rsid w:val="00CA2CB5"/>
    <w:rsid w:val="00CA3FEB"/>
    <w:rsid w:val="00CA490C"/>
    <w:rsid w:val="00CA5494"/>
    <w:rsid w:val="00CA6C7F"/>
    <w:rsid w:val="00CA6DC1"/>
    <w:rsid w:val="00CB1404"/>
    <w:rsid w:val="00CB2C3D"/>
    <w:rsid w:val="00CB5521"/>
    <w:rsid w:val="00CC10A6"/>
    <w:rsid w:val="00CC2354"/>
    <w:rsid w:val="00CD2A97"/>
    <w:rsid w:val="00CD3D68"/>
    <w:rsid w:val="00CD7044"/>
    <w:rsid w:val="00CE0197"/>
    <w:rsid w:val="00CE2264"/>
    <w:rsid w:val="00CE229D"/>
    <w:rsid w:val="00CE2A2D"/>
    <w:rsid w:val="00CE524C"/>
    <w:rsid w:val="00CE5FCF"/>
    <w:rsid w:val="00CF12AA"/>
    <w:rsid w:val="00CF141F"/>
    <w:rsid w:val="00CF1A24"/>
    <w:rsid w:val="00CF4777"/>
    <w:rsid w:val="00CF7C54"/>
    <w:rsid w:val="00D02075"/>
    <w:rsid w:val="00D023AA"/>
    <w:rsid w:val="00D1252B"/>
    <w:rsid w:val="00D12B2C"/>
    <w:rsid w:val="00D15118"/>
    <w:rsid w:val="00D169AF"/>
    <w:rsid w:val="00D22513"/>
    <w:rsid w:val="00D25249"/>
    <w:rsid w:val="00D25F71"/>
    <w:rsid w:val="00D34988"/>
    <w:rsid w:val="00D35D20"/>
    <w:rsid w:val="00D37517"/>
    <w:rsid w:val="00D44172"/>
    <w:rsid w:val="00D46C05"/>
    <w:rsid w:val="00D50E8C"/>
    <w:rsid w:val="00D51E4A"/>
    <w:rsid w:val="00D53497"/>
    <w:rsid w:val="00D539B7"/>
    <w:rsid w:val="00D629E0"/>
    <w:rsid w:val="00D63B8C"/>
    <w:rsid w:val="00D65FD5"/>
    <w:rsid w:val="00D71D25"/>
    <w:rsid w:val="00D72AE3"/>
    <w:rsid w:val="00D739CC"/>
    <w:rsid w:val="00D77876"/>
    <w:rsid w:val="00D8093D"/>
    <w:rsid w:val="00D80A9A"/>
    <w:rsid w:val="00D8108C"/>
    <w:rsid w:val="00D82D20"/>
    <w:rsid w:val="00D842AE"/>
    <w:rsid w:val="00D84C1E"/>
    <w:rsid w:val="00D85E9A"/>
    <w:rsid w:val="00D868F9"/>
    <w:rsid w:val="00D9211C"/>
    <w:rsid w:val="00D9287D"/>
    <w:rsid w:val="00D92DE0"/>
    <w:rsid w:val="00D93A0F"/>
    <w:rsid w:val="00D956AE"/>
    <w:rsid w:val="00D96369"/>
    <w:rsid w:val="00D97F1C"/>
    <w:rsid w:val="00DA1BCA"/>
    <w:rsid w:val="00DA400B"/>
    <w:rsid w:val="00DA4789"/>
    <w:rsid w:val="00DA527D"/>
    <w:rsid w:val="00DB1194"/>
    <w:rsid w:val="00DB5948"/>
    <w:rsid w:val="00DC1277"/>
    <w:rsid w:val="00DC14BD"/>
    <w:rsid w:val="00DC357C"/>
    <w:rsid w:val="00DC46FF"/>
    <w:rsid w:val="00DC53CD"/>
    <w:rsid w:val="00DD1207"/>
    <w:rsid w:val="00DD1A4F"/>
    <w:rsid w:val="00DD226E"/>
    <w:rsid w:val="00DD276A"/>
    <w:rsid w:val="00DD7C2C"/>
    <w:rsid w:val="00DE7A06"/>
    <w:rsid w:val="00DF33F6"/>
    <w:rsid w:val="00DF59F6"/>
    <w:rsid w:val="00E01CC6"/>
    <w:rsid w:val="00E03F3B"/>
    <w:rsid w:val="00E04301"/>
    <w:rsid w:val="00E06389"/>
    <w:rsid w:val="00E06797"/>
    <w:rsid w:val="00E07216"/>
    <w:rsid w:val="00E10FB7"/>
    <w:rsid w:val="00E110C8"/>
    <w:rsid w:val="00E1511C"/>
    <w:rsid w:val="00E17BD4"/>
    <w:rsid w:val="00E215B0"/>
    <w:rsid w:val="00E21C83"/>
    <w:rsid w:val="00E2657C"/>
    <w:rsid w:val="00E302D9"/>
    <w:rsid w:val="00E35135"/>
    <w:rsid w:val="00E41FB3"/>
    <w:rsid w:val="00E4438D"/>
    <w:rsid w:val="00E45435"/>
    <w:rsid w:val="00E4612E"/>
    <w:rsid w:val="00E46D9A"/>
    <w:rsid w:val="00E47CC4"/>
    <w:rsid w:val="00E529FB"/>
    <w:rsid w:val="00E52B71"/>
    <w:rsid w:val="00E53139"/>
    <w:rsid w:val="00E565FF"/>
    <w:rsid w:val="00E56947"/>
    <w:rsid w:val="00E579BD"/>
    <w:rsid w:val="00E61362"/>
    <w:rsid w:val="00E65388"/>
    <w:rsid w:val="00E730F5"/>
    <w:rsid w:val="00E76253"/>
    <w:rsid w:val="00E81947"/>
    <w:rsid w:val="00E846DE"/>
    <w:rsid w:val="00E85B7D"/>
    <w:rsid w:val="00E9121B"/>
    <w:rsid w:val="00E92B5F"/>
    <w:rsid w:val="00EA0B53"/>
    <w:rsid w:val="00EA0F3E"/>
    <w:rsid w:val="00EA1B1C"/>
    <w:rsid w:val="00EA1C2C"/>
    <w:rsid w:val="00EA39E5"/>
    <w:rsid w:val="00EA5E5C"/>
    <w:rsid w:val="00EB1B8B"/>
    <w:rsid w:val="00EC3047"/>
    <w:rsid w:val="00EC3219"/>
    <w:rsid w:val="00EC388E"/>
    <w:rsid w:val="00EC5A46"/>
    <w:rsid w:val="00EC63E2"/>
    <w:rsid w:val="00EC6548"/>
    <w:rsid w:val="00EF22B3"/>
    <w:rsid w:val="00EF2844"/>
    <w:rsid w:val="00F044F7"/>
    <w:rsid w:val="00F064C1"/>
    <w:rsid w:val="00F113DA"/>
    <w:rsid w:val="00F12540"/>
    <w:rsid w:val="00F17586"/>
    <w:rsid w:val="00F2098D"/>
    <w:rsid w:val="00F22D44"/>
    <w:rsid w:val="00F239BE"/>
    <w:rsid w:val="00F31539"/>
    <w:rsid w:val="00F32F67"/>
    <w:rsid w:val="00F366DE"/>
    <w:rsid w:val="00F37DC8"/>
    <w:rsid w:val="00F41127"/>
    <w:rsid w:val="00F42017"/>
    <w:rsid w:val="00F47CD5"/>
    <w:rsid w:val="00F5341A"/>
    <w:rsid w:val="00F650C3"/>
    <w:rsid w:val="00F701AE"/>
    <w:rsid w:val="00F71407"/>
    <w:rsid w:val="00F716AD"/>
    <w:rsid w:val="00F7540A"/>
    <w:rsid w:val="00F76E63"/>
    <w:rsid w:val="00F8091E"/>
    <w:rsid w:val="00F83F10"/>
    <w:rsid w:val="00F8577F"/>
    <w:rsid w:val="00F8615C"/>
    <w:rsid w:val="00F86FDB"/>
    <w:rsid w:val="00F9516F"/>
    <w:rsid w:val="00F9521B"/>
    <w:rsid w:val="00FA13F7"/>
    <w:rsid w:val="00FA380A"/>
    <w:rsid w:val="00FA7174"/>
    <w:rsid w:val="00FB254A"/>
    <w:rsid w:val="00FB6C90"/>
    <w:rsid w:val="00FC47C2"/>
    <w:rsid w:val="00FC7CFD"/>
    <w:rsid w:val="00FD3EE8"/>
    <w:rsid w:val="00FD534F"/>
    <w:rsid w:val="00FD5860"/>
    <w:rsid w:val="00FE352D"/>
    <w:rsid w:val="00FE6DA7"/>
    <w:rsid w:val="00FE7D62"/>
    <w:rsid w:val="00FF11E9"/>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3A1C0"/>
  <w15:docId w15:val="{76173205-5752-4BD3-92D5-166DF8BA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tabs>
        <w:tab w:val="left" w:pos="1247"/>
        <w:tab w:val="left" w:pos="1814"/>
      </w:tabs>
      <w:spacing w:before="240" w:after="120"/>
      <w:outlineLvl w:val="0"/>
    </w:pPr>
    <w:rPr>
      <w:b/>
      <w:sz w:val="28"/>
    </w:rPr>
  </w:style>
  <w:style w:type="paragraph" w:styleId="Heading2">
    <w:name w:val="heading 2"/>
    <w:basedOn w:val="Normal"/>
    <w:next w:val="Normalnumber"/>
    <w:link w:val="Heading2Char"/>
    <w:qFormat/>
    <w:rsid w:val="003124FF"/>
    <w:pPr>
      <w:keepNext/>
      <w:spacing w:before="240" w:after="12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ListParagraph">
    <w:name w:val="List Paragraph"/>
    <w:basedOn w:val="Normal"/>
    <w:uiPriority w:val="34"/>
    <w:rsid w:val="00494995"/>
    <w:pPr>
      <w:ind w:left="720"/>
      <w:contextualSpacing/>
    </w:pPr>
  </w:style>
  <w:style w:type="paragraph" w:styleId="Revision">
    <w:name w:val="Revision"/>
    <w:hidden/>
    <w:uiPriority w:val="99"/>
    <w:semiHidden/>
    <w:rsid w:val="008C17EC"/>
    <w:rPr>
      <w:rFonts w:eastAsia="MS Mincho"/>
      <w:lang w:val="en-GB"/>
    </w:rPr>
  </w:style>
  <w:style w:type="paragraph" w:customStyle="1" w:styleId="ZZAnxheader">
    <w:name w:val="ZZ_Anx_header"/>
    <w:basedOn w:val="Normal"/>
    <w:rsid w:val="00FE6DA7"/>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Header-pool">
    <w:name w:val="Header-pool"/>
    <w:basedOn w:val="Normal-pool"/>
    <w:next w:val="Normal-pool"/>
    <w:rsid w:val="00FE6DA7"/>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517846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6237113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3996055">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85A7-04E5-4A45-B2D4-6199A8D3862F}">
  <ds:schemaRefs>
    <ds:schemaRef ds:uri="http://purl.org/dc/terms/"/>
    <ds:schemaRef ds:uri="http://schemas.microsoft.com/office/infopath/2007/PartnerControls"/>
    <ds:schemaRef ds:uri="http://purl.org/dc/dcmitype/"/>
    <ds:schemaRef ds:uri="http://schemas.openxmlformats.org/package/2006/metadata/core-properties"/>
    <ds:schemaRef ds:uri="699a0643-be3a-4930-aa07-4f5905529aa4"/>
    <ds:schemaRef ds:uri="9a8f22b8-05ea-4936-a963-5334b0fbdd5f"/>
    <ds:schemaRef ds:uri="http://purl.org/dc/elements/1.1/"/>
    <ds:schemaRef ds:uri="http://schemas.microsoft.com/office/2006/documentManagement/types"/>
    <ds:schemaRef ds:uri="d4f199e1-8ff6-4421-800c-b60412eeab1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E3CDD992-7AB7-4FBF-A4D7-C7D48B6D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Template_Working_Documents.dotx</Template>
  <TotalTime>5</TotalTime>
  <Pages>9</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Cynthia Mwanza</cp:lastModifiedBy>
  <cp:revision>4</cp:revision>
  <cp:lastPrinted>2018-01-23T13:23:00Z</cp:lastPrinted>
  <dcterms:created xsi:type="dcterms:W3CDTF">2018-01-23T13:17:00Z</dcterms:created>
  <dcterms:modified xsi:type="dcterms:W3CDTF">2018-01-23T13:24:00Z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