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7843C0" w:rsidRPr="00BD7721" w14:paraId="65BFBACA" w14:textId="77777777" w:rsidTr="00891BFE">
        <w:trPr>
          <w:trHeight w:val="850"/>
        </w:trPr>
        <w:tc>
          <w:tcPr>
            <w:tcW w:w="1559" w:type="dxa"/>
            <w:shd w:val="clear" w:color="auto" w:fill="auto"/>
          </w:tcPr>
          <w:p w14:paraId="1AAD72AC" w14:textId="717501F4" w:rsidR="007843C0" w:rsidRPr="00BD7721" w:rsidRDefault="007843C0" w:rsidP="00891BFE">
            <w:pPr>
              <w:pStyle w:val="AUnitedNations"/>
              <w:rPr>
                <w:lang w:val="en-GB"/>
              </w:rPr>
            </w:pPr>
            <w:r w:rsidRPr="00BD7721">
              <w:rPr>
                <w:lang w:val="en-GB"/>
              </w:rPr>
              <w:t xml:space="preserve">UNITED </w:t>
            </w:r>
            <w:r w:rsidRPr="00BD7721">
              <w:rPr>
                <w:lang w:val="en-GB"/>
              </w:rPr>
              <w:br/>
              <w:t>NATIONS</w:t>
            </w:r>
          </w:p>
        </w:tc>
        <w:tc>
          <w:tcPr>
            <w:tcW w:w="6520" w:type="dxa"/>
            <w:shd w:val="clear" w:color="auto" w:fill="auto"/>
          </w:tcPr>
          <w:p w14:paraId="0B14E83C" w14:textId="0B3BF4D1" w:rsidR="007843C0" w:rsidRPr="00BD7721" w:rsidRDefault="007843C0" w:rsidP="00891BFE">
            <w:pPr>
              <w:pStyle w:val="Normal-pool"/>
              <w:rPr>
                <w:lang w:val="en-GB"/>
              </w:rPr>
            </w:pPr>
            <w:r w:rsidRPr="00BD7721">
              <w:rPr>
                <w:noProof/>
                <w:lang w:val="en-GB"/>
              </w:rPr>
              <w:drawing>
                <wp:anchor distT="0" distB="0" distL="114300" distR="114300" simplePos="0" relativeHeight="251658240" behindDoc="0" locked="0" layoutInCell="1" allowOverlap="1" wp14:anchorId="162BADD3" wp14:editId="31A72C46">
                  <wp:simplePos x="0" y="0"/>
                  <wp:positionH relativeFrom="column">
                    <wp:posOffset>1964</wp:posOffset>
                  </wp:positionH>
                  <wp:positionV relativeFrom="paragraph">
                    <wp:posOffset>180</wp:posOffset>
                  </wp:positionV>
                  <wp:extent cx="4003040" cy="405130"/>
                  <wp:effectExtent l="0" t="0" r="0" b="0"/>
                  <wp:wrapNone/>
                  <wp:docPr id="1424593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9355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3C1DFEAB" w14:textId="77777777" w:rsidR="007843C0" w:rsidRPr="00BD7721" w:rsidRDefault="007843C0" w:rsidP="00891BFE">
            <w:pPr>
              <w:pStyle w:val="Normal-pool"/>
              <w:rPr>
                <w:lang w:val="en-GB"/>
              </w:rPr>
            </w:pPr>
          </w:p>
        </w:tc>
      </w:tr>
    </w:tbl>
    <w:p w14:paraId="431EE0C4" w14:textId="77777777" w:rsidR="00DE6E55" w:rsidRPr="00BD7721" w:rsidRDefault="00DE6E55" w:rsidP="007843C0">
      <w:pPr>
        <w:pStyle w:val="ASpacer"/>
        <w:rPr>
          <w:lang w:val="en-GB"/>
        </w:rPr>
      </w:pPr>
    </w:p>
    <w:tbl>
      <w:tblPr>
        <w:tblW w:w="9496" w:type="dxa"/>
        <w:tblLook w:val="0000" w:firstRow="0" w:lastRow="0" w:firstColumn="0" w:lastColumn="0" w:noHBand="0" w:noVBand="0"/>
      </w:tblPr>
      <w:tblGrid>
        <w:gridCol w:w="6945"/>
        <w:gridCol w:w="2551"/>
      </w:tblGrid>
      <w:tr w:rsidR="007843C0" w:rsidRPr="00BD7721" w14:paraId="613B0EAC" w14:textId="77777777" w:rsidTr="00891BFE">
        <w:trPr>
          <w:trHeight w:val="340"/>
        </w:trPr>
        <w:tc>
          <w:tcPr>
            <w:tcW w:w="3657" w:type="pct"/>
            <w:shd w:val="clear" w:color="auto" w:fill="auto"/>
            <w:vAlign w:val="bottom"/>
          </w:tcPr>
          <w:p w14:paraId="4C7D4B5A" w14:textId="77777777" w:rsidR="007843C0" w:rsidRPr="00BD7721" w:rsidRDefault="007843C0" w:rsidP="00891BFE">
            <w:pPr>
              <w:pStyle w:val="Normal-pool"/>
              <w:rPr>
                <w:lang w:val="en-GB"/>
              </w:rPr>
            </w:pPr>
          </w:p>
        </w:tc>
        <w:tc>
          <w:tcPr>
            <w:tcW w:w="1343" w:type="pct"/>
            <w:shd w:val="clear" w:color="auto" w:fill="auto"/>
            <w:noWrap/>
            <w:vAlign w:val="bottom"/>
          </w:tcPr>
          <w:p w14:paraId="7DC09C59" w14:textId="30072E57" w:rsidR="007843C0" w:rsidRPr="00BD7721" w:rsidRDefault="007843C0" w:rsidP="00891BFE">
            <w:pPr>
              <w:pStyle w:val="ASymbol"/>
            </w:pPr>
            <w:r w:rsidRPr="00BD7721">
              <w:rPr>
                <w:b/>
                <w:sz w:val="28"/>
              </w:rPr>
              <w:t>IPBES</w:t>
            </w:r>
            <w:r w:rsidRPr="00BD7721">
              <w:t>/</w:t>
            </w:r>
            <w:bookmarkStart w:id="0" w:name="Symbol1A"/>
            <w:r w:rsidRPr="00BD7721">
              <w:t>10</w:t>
            </w:r>
            <w:bookmarkStart w:id="1" w:name="Symbol1B"/>
            <w:bookmarkEnd w:id="0"/>
            <w:r w:rsidR="006A4A78" w:rsidRPr="00BD7721">
              <w:t>/</w:t>
            </w:r>
            <w:r w:rsidR="00D44EA6">
              <w:t>12</w:t>
            </w:r>
            <w:bookmarkEnd w:id="1"/>
          </w:p>
        </w:tc>
      </w:tr>
    </w:tbl>
    <w:p w14:paraId="71A9FAE8" w14:textId="77777777" w:rsidR="007843C0" w:rsidRPr="00BD7721" w:rsidRDefault="007843C0" w:rsidP="007843C0">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843C0" w:rsidRPr="00BD7721" w14:paraId="7E873462" w14:textId="77777777" w:rsidTr="00891BFE">
        <w:trPr>
          <w:trHeight w:val="2098"/>
        </w:trPr>
        <w:tc>
          <w:tcPr>
            <w:tcW w:w="2126" w:type="dxa"/>
            <w:shd w:val="clear" w:color="auto" w:fill="auto"/>
          </w:tcPr>
          <w:p w14:paraId="7EC0AEB3" w14:textId="78C37802" w:rsidR="007843C0" w:rsidRPr="00BD7721" w:rsidRDefault="007843C0" w:rsidP="00891BFE">
            <w:pPr>
              <w:pStyle w:val="ALogo"/>
              <w:rPr>
                <w:lang w:val="en-GB"/>
              </w:rPr>
            </w:pPr>
            <w:r w:rsidRPr="00BD7721">
              <w:rPr>
                <w:noProof/>
                <w:lang w:val="en-GB"/>
              </w:rPr>
              <w:drawing>
                <wp:inline distT="0" distB="0" distL="0" distR="0" wp14:anchorId="7DDFCB60" wp14:editId="067982C3">
                  <wp:extent cx="1116610" cy="518644"/>
                  <wp:effectExtent l="0" t="0" r="7620" b="0"/>
                  <wp:docPr id="367791137" name="Picture 2"/>
                  <wp:cNvGraphicFramePr/>
                  <a:graphic xmlns:a="http://schemas.openxmlformats.org/drawingml/2006/main">
                    <a:graphicData uri="http://schemas.openxmlformats.org/drawingml/2006/picture">
                      <pic:pic xmlns:pic="http://schemas.openxmlformats.org/drawingml/2006/picture">
                        <pic:nvPicPr>
                          <pic:cNvPr id="367791137"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BD7721">
              <w:rPr>
                <w:lang w:val="en-GB"/>
              </w:rPr>
              <w:t xml:space="preserve"> </w:t>
            </w:r>
          </w:p>
          <w:p w14:paraId="455A738E" w14:textId="6F828F4F" w:rsidR="007843C0" w:rsidRPr="00BD7721" w:rsidRDefault="007843C0" w:rsidP="00891BFE">
            <w:pPr>
              <w:pStyle w:val="ALogo"/>
              <w:rPr>
                <w:lang w:val="en-GB"/>
              </w:rPr>
            </w:pPr>
          </w:p>
        </w:tc>
        <w:tc>
          <w:tcPr>
            <w:tcW w:w="4819" w:type="dxa"/>
            <w:shd w:val="clear" w:color="auto" w:fill="auto"/>
          </w:tcPr>
          <w:p w14:paraId="3A0FD758" w14:textId="1D212C01" w:rsidR="007843C0" w:rsidRPr="00BD7721" w:rsidRDefault="007843C0" w:rsidP="00891BFE">
            <w:pPr>
              <w:pStyle w:val="AConvName"/>
              <w:rPr>
                <w:lang w:val="en-GB"/>
              </w:rPr>
            </w:pPr>
            <w:r w:rsidRPr="00BD7721">
              <w:rPr>
                <w:lang w:val="en-GB"/>
              </w:rPr>
              <w:t xml:space="preserve">Intergovernmental Science-Policy </w:t>
            </w:r>
            <w:r w:rsidRPr="00BD7721">
              <w:rPr>
                <w:lang w:val="en-GB"/>
              </w:rPr>
              <w:br/>
              <w:t xml:space="preserve">Platform on Biodiversity and </w:t>
            </w:r>
            <w:r w:rsidRPr="00BD7721">
              <w:rPr>
                <w:lang w:val="en-GB"/>
              </w:rPr>
              <w:br/>
              <w:t>Ecosystem Services</w:t>
            </w:r>
          </w:p>
        </w:tc>
        <w:tc>
          <w:tcPr>
            <w:tcW w:w="2551" w:type="dxa"/>
            <w:shd w:val="clear" w:color="auto" w:fill="auto"/>
          </w:tcPr>
          <w:p w14:paraId="76AD9CE0" w14:textId="66C42518" w:rsidR="007843C0" w:rsidRPr="00BD7721" w:rsidRDefault="007843C0" w:rsidP="00891BFE">
            <w:pPr>
              <w:pStyle w:val="AText"/>
              <w:rPr>
                <w:lang w:val="en-GB"/>
              </w:rPr>
            </w:pPr>
            <w:r w:rsidRPr="00BD7721">
              <w:rPr>
                <w:lang w:val="en-GB"/>
              </w:rPr>
              <w:t xml:space="preserve">Distr.: </w:t>
            </w:r>
            <w:r w:rsidR="002A0A91" w:rsidRPr="00BD7721">
              <w:rPr>
                <w:lang w:val="en-GB"/>
              </w:rPr>
              <w:t xml:space="preserve">General </w:t>
            </w:r>
          </w:p>
          <w:p w14:paraId="1B9E0C5E" w14:textId="1791F04B" w:rsidR="007843C0" w:rsidRPr="00BD7721" w:rsidRDefault="002A0A91" w:rsidP="00891BFE">
            <w:pPr>
              <w:pStyle w:val="AText0"/>
              <w:rPr>
                <w:lang w:val="en-GB"/>
              </w:rPr>
            </w:pPr>
            <w:bookmarkStart w:id="2" w:name="DistributionDate"/>
            <w:r w:rsidRPr="00BD7721">
              <w:rPr>
                <w:lang w:val="en-GB"/>
              </w:rPr>
              <w:t>5 September</w:t>
            </w:r>
            <w:r w:rsidR="005265B4" w:rsidRPr="00BD7721">
              <w:rPr>
                <w:lang w:val="en-GB"/>
              </w:rPr>
              <w:t xml:space="preserve"> 2023</w:t>
            </w:r>
            <w:bookmarkEnd w:id="2"/>
            <w:r w:rsidR="007843C0" w:rsidRPr="00BD7721">
              <w:rPr>
                <w:lang w:val="en-GB"/>
              </w:rPr>
              <w:t xml:space="preserve"> </w:t>
            </w:r>
          </w:p>
          <w:p w14:paraId="0CC50CC2" w14:textId="6D42CE2F" w:rsidR="007843C0" w:rsidRPr="00BD7721" w:rsidRDefault="002A0A91" w:rsidP="00891BFE">
            <w:pPr>
              <w:pStyle w:val="AText"/>
              <w:rPr>
                <w:lang w:val="en-GB"/>
              </w:rPr>
            </w:pPr>
            <w:r w:rsidRPr="00BD7721">
              <w:rPr>
                <w:lang w:val="en-GB"/>
              </w:rPr>
              <w:t>Original: English</w:t>
            </w:r>
          </w:p>
        </w:tc>
      </w:tr>
    </w:tbl>
    <w:p w14:paraId="22820288" w14:textId="77777777" w:rsidR="007843C0" w:rsidRPr="00BD7721" w:rsidRDefault="007843C0" w:rsidP="007843C0">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7843C0" w:rsidRPr="00BD7721" w14:paraId="5C0169F0" w14:textId="77777777" w:rsidTr="00891BFE">
        <w:trPr>
          <w:trHeight w:val="57"/>
        </w:trPr>
        <w:tc>
          <w:tcPr>
            <w:tcW w:w="4734" w:type="dxa"/>
            <w:shd w:val="clear" w:color="auto" w:fill="auto"/>
          </w:tcPr>
          <w:p w14:paraId="59434CB8" w14:textId="77777777" w:rsidR="001968BB" w:rsidRPr="00BD7721" w:rsidRDefault="007843C0" w:rsidP="00891BFE">
            <w:pPr>
              <w:pStyle w:val="AATitle"/>
              <w:rPr>
                <w:lang w:val="en-GB"/>
              </w:rPr>
            </w:pPr>
            <w:bookmarkStart w:id="3" w:name="CorNot1Text"/>
            <w:r w:rsidRPr="00BD7721">
              <w:rPr>
                <w:lang w:val="en-GB"/>
              </w:rPr>
              <w:t xml:space="preserve">Plenary of the Intergovernmental Science-Policy </w:t>
            </w:r>
            <w:r w:rsidRPr="00BD7721">
              <w:rPr>
                <w:lang w:val="en-GB"/>
              </w:rPr>
              <w:br/>
              <w:t>Platform on Biodiversity and Ecosystem Services</w:t>
            </w:r>
          </w:p>
          <w:p w14:paraId="04165B44" w14:textId="05E30504" w:rsidR="007843C0" w:rsidRPr="00BD7721" w:rsidRDefault="007843C0" w:rsidP="00891BFE">
            <w:pPr>
              <w:pStyle w:val="AATitle"/>
              <w:rPr>
                <w:lang w:val="en-GB"/>
              </w:rPr>
            </w:pPr>
            <w:r w:rsidRPr="00BD7721">
              <w:rPr>
                <w:lang w:val="en-GB"/>
              </w:rPr>
              <w:t>Tenth session</w:t>
            </w:r>
            <w:bookmarkEnd w:id="3"/>
            <w:r w:rsidRPr="00BD7721">
              <w:rPr>
                <w:lang w:val="en-GB"/>
              </w:rPr>
              <w:t xml:space="preserve"> </w:t>
            </w:r>
          </w:p>
          <w:p w14:paraId="5781F5E2" w14:textId="1A9C84F3" w:rsidR="007843C0" w:rsidRPr="00BD7721" w:rsidRDefault="007843C0" w:rsidP="00891BFE">
            <w:pPr>
              <w:pStyle w:val="AATitle1"/>
              <w:rPr>
                <w:lang w:val="en-GB"/>
              </w:rPr>
            </w:pPr>
            <w:bookmarkStart w:id="4" w:name="CorNot1VenueDate"/>
            <w:r w:rsidRPr="00BD7721">
              <w:rPr>
                <w:lang w:val="en-GB"/>
              </w:rPr>
              <w:t>Bonn, Germany, 28 August–2 September 2023</w:t>
            </w:r>
            <w:bookmarkEnd w:id="4"/>
            <w:r w:rsidRPr="00BD7721">
              <w:rPr>
                <w:lang w:val="en-GB"/>
              </w:rPr>
              <w:t xml:space="preserve"> </w:t>
            </w:r>
          </w:p>
        </w:tc>
        <w:tc>
          <w:tcPr>
            <w:tcW w:w="4762" w:type="dxa"/>
            <w:shd w:val="clear" w:color="auto" w:fill="auto"/>
          </w:tcPr>
          <w:p w14:paraId="2FC2B75E" w14:textId="77777777" w:rsidR="007843C0" w:rsidRPr="00BD7721" w:rsidRDefault="007843C0" w:rsidP="00891BFE">
            <w:pPr>
              <w:pStyle w:val="Normal-pool"/>
              <w:rPr>
                <w:lang w:val="en-GB"/>
              </w:rPr>
            </w:pPr>
          </w:p>
        </w:tc>
      </w:tr>
    </w:tbl>
    <w:p w14:paraId="69C1BDB0" w14:textId="36ECCF5F" w:rsidR="005265B4" w:rsidRPr="00BD7721" w:rsidRDefault="002A0A91" w:rsidP="005861DF">
      <w:pPr>
        <w:pStyle w:val="BBTitle"/>
        <w:rPr>
          <w:lang w:val="en-GB"/>
        </w:rPr>
      </w:pPr>
      <w:r w:rsidRPr="00BD7721">
        <w:rPr>
          <w:lang w:val="en-GB"/>
        </w:rPr>
        <w:t>R</w:t>
      </w:r>
      <w:r w:rsidR="005265B4" w:rsidRPr="00BD7721">
        <w:rPr>
          <w:lang w:val="en-GB"/>
        </w:rPr>
        <w:t>eport of the Plenary of the Intergovernmental Science</w:t>
      </w:r>
      <w:r w:rsidR="005265B4" w:rsidRPr="00BD7721">
        <w:rPr>
          <w:lang w:val="en-GB"/>
        </w:rPr>
        <w:noBreakHyphen/>
        <w:t>Policy Platform on Biodiversity and Ecosystem Services on the work of its tenth session</w:t>
      </w:r>
    </w:p>
    <w:p w14:paraId="0A5560E8" w14:textId="14D6D23D" w:rsidR="005265B4" w:rsidRPr="00BD7721" w:rsidRDefault="005265B4" w:rsidP="005265B4">
      <w:pPr>
        <w:pStyle w:val="CH1"/>
        <w:rPr>
          <w:lang w:val="en-GB"/>
        </w:rPr>
      </w:pPr>
      <w:bookmarkStart w:id="5" w:name="_Hlk66723497"/>
      <w:r w:rsidRPr="00BD7721">
        <w:rPr>
          <w:lang w:val="en-GB"/>
        </w:rPr>
        <w:tab/>
        <w:t>I.</w:t>
      </w:r>
      <w:r w:rsidRPr="00BD7721">
        <w:rPr>
          <w:lang w:val="en-GB"/>
        </w:rPr>
        <w:tab/>
        <w:t>Opening of the session</w:t>
      </w:r>
    </w:p>
    <w:p w14:paraId="1E056B73" w14:textId="6A3E9695" w:rsidR="00596CA0" w:rsidRPr="00BD7721" w:rsidRDefault="00596CA0" w:rsidP="00547D6F">
      <w:pPr>
        <w:pStyle w:val="Normalnumber"/>
        <w:rPr>
          <w:lang w:val="en-GB"/>
        </w:rPr>
      </w:pPr>
      <w:r w:rsidRPr="00BD7721">
        <w:rPr>
          <w:lang w:val="en-GB"/>
        </w:rPr>
        <w:t>The tenth session of the Plenary of the Intergovernmental Science-Policy Platform on Biodiversity and Ecosystem Services (IPBES) was held at the World Conference Centre Bonn, Germany, from 28 August to 2 September 2023.</w:t>
      </w:r>
    </w:p>
    <w:p w14:paraId="50F7D84B" w14:textId="77777777" w:rsidR="00596CA0" w:rsidRPr="00BD7721" w:rsidRDefault="00596CA0" w:rsidP="00547D6F">
      <w:pPr>
        <w:pStyle w:val="Normalnumber"/>
        <w:rPr>
          <w:lang w:val="en-GB"/>
        </w:rPr>
      </w:pPr>
      <w:r w:rsidRPr="00BD7721">
        <w:rPr>
          <w:lang w:val="en-GB"/>
        </w:rPr>
        <w:t>Following a musical performance, the session was opened at 10 a.m. by the Chair of IPBES, Ana María Hernández Salgar, who welcomed participants.</w:t>
      </w:r>
    </w:p>
    <w:p w14:paraId="4F3193F4" w14:textId="18203ED3" w:rsidR="00596CA0" w:rsidRPr="00BD7721" w:rsidRDefault="00596CA0" w:rsidP="00547D6F">
      <w:pPr>
        <w:pStyle w:val="Normalnumber"/>
        <w:rPr>
          <w:lang w:val="en-GB"/>
        </w:rPr>
      </w:pPr>
      <w:r w:rsidRPr="00BD7721">
        <w:rPr>
          <w:lang w:val="en-GB"/>
        </w:rPr>
        <w:t>Opening statements were delivered by Anne</w:t>
      </w:r>
      <w:r w:rsidR="004212A9" w:rsidRPr="00BD7721">
        <w:rPr>
          <w:lang w:val="en-GB"/>
        </w:rPr>
        <w:t xml:space="preserve"> </w:t>
      </w:r>
      <w:r w:rsidRPr="00BD7721">
        <w:rPr>
          <w:lang w:val="en-GB"/>
        </w:rPr>
        <w:t>Larigauderie, IPBES Executive Secretary; Kyle</w:t>
      </w:r>
      <w:r w:rsidR="00DE23B2">
        <w:rPr>
          <w:lang w:val="en-GB"/>
        </w:rPr>
        <w:t> </w:t>
      </w:r>
      <w:r w:rsidRPr="00BD7721">
        <w:rPr>
          <w:lang w:val="en-GB"/>
        </w:rPr>
        <w:t xml:space="preserve">Powys Whyte, Science Envoy for Indigenous Knowledge, United States of America; Bettina Hoffmann, Parliamentary State Secretary at the Federal Ministry for the Environment, Nature Conservation, Nuclear Safety and Consumer Protection, Germany; Hans </w:t>
      </w:r>
      <w:proofErr w:type="spellStart"/>
      <w:r w:rsidRPr="00BD7721">
        <w:rPr>
          <w:lang w:val="en-GB"/>
        </w:rPr>
        <w:t>Thurstrup</w:t>
      </w:r>
      <w:proofErr w:type="spellEnd"/>
      <w:r w:rsidRPr="00BD7721">
        <w:rPr>
          <w:lang w:val="en-GB"/>
        </w:rPr>
        <w:t>, Chief of the Networking Section of the Man and the Biosphere Programme of the United Nations Educational, Scientific and Cultural Organization (UNESCO), speaking on behalf of the four United Nations organizations supporting IPBES, namely the Food and Agriculture Organization of the United Nations (FAO), the United Nations Development Programme (UNDP), the United Nations Environment Programme (UNEP) and UNESCO; and the Chair of IPBES.</w:t>
      </w:r>
    </w:p>
    <w:p w14:paraId="3C05E842" w14:textId="160F3FF4" w:rsidR="00596CA0" w:rsidRPr="00BD7721" w:rsidRDefault="00596CA0" w:rsidP="00547D6F">
      <w:pPr>
        <w:pStyle w:val="Normalnumber"/>
        <w:rPr>
          <w:lang w:val="en-GB"/>
        </w:rPr>
      </w:pPr>
      <w:r w:rsidRPr="00BD7721">
        <w:rPr>
          <w:lang w:val="en-GB"/>
        </w:rPr>
        <w:t xml:space="preserve">In her statement, Ms. Larigauderie, welcoming participants to the tenth session of the Plenary, recalled developments since the ninth session, including the adoption of the Kunming-Montreal Global Biodiversity Framework by the Conference of the Parties to the Convention on Biological Diversity, at its fifteenth meeting, in December 2022. IPBES had been a crucial source of knowledge for the new Framework and would also be instrumental in informing its implementation. Requests by the Conference of the Parties for new work from IPBES would be considered at the present meeting, together with requests from IPBES members and input and suggestions from stakeholders. In addition, the two assessment reports approved at the ninth session of the Plenary, on the diverse values and valuation of nature and on the sustainable use of wild species, had already begun to inform policymaking. For example, the Conference of the Parties to the Convention on the International Trade of Endangered Species of Wild Fauna and Flora was considering the latter assessment, and, at its twentieth meeting, in 2025, would formally consider recommendations based thereon. Similarly, the Subsidiary Body on Scientific, Technical and Technological Advice of the Convention on Biological Diversity, at its twenty-fifth meeting, </w:t>
      </w:r>
      <w:r w:rsidR="00593671" w:rsidRPr="00BD7721">
        <w:rPr>
          <w:lang w:val="en-GB"/>
        </w:rPr>
        <w:t xml:space="preserve">would </w:t>
      </w:r>
      <w:r w:rsidRPr="00BD7721">
        <w:rPr>
          <w:lang w:val="en-GB"/>
        </w:rPr>
        <w:t xml:space="preserve">prepare </w:t>
      </w:r>
      <w:r w:rsidR="00B2431F" w:rsidRPr="00BD7721">
        <w:rPr>
          <w:lang w:val="en-GB"/>
        </w:rPr>
        <w:t xml:space="preserve">recommendations </w:t>
      </w:r>
      <w:r w:rsidRPr="00BD7721">
        <w:rPr>
          <w:lang w:val="en-GB"/>
        </w:rPr>
        <w:t xml:space="preserve">for consideration </w:t>
      </w:r>
      <w:r w:rsidR="00B2431F" w:rsidRPr="00BD7721">
        <w:rPr>
          <w:lang w:val="en-GB"/>
        </w:rPr>
        <w:t xml:space="preserve">by </w:t>
      </w:r>
      <w:r w:rsidRPr="00BD7721">
        <w:rPr>
          <w:lang w:val="en-GB"/>
        </w:rPr>
        <w:t>the Conference of the Parties, at its sixteenth meeting, regarding the use of the two reports as well as the report on invasive alien species that would be considered at the present meeting. Furthermore, since the ninth session, IPBES had been awarded, jointly with the Intergovernmental Panel on Climate Change, the 2022 Gulbenkian Prize for Humanity for its work on biodiversity and climate change. It had also welcomed 4 new members, bringing the total number of members to 143.</w:t>
      </w:r>
    </w:p>
    <w:p w14:paraId="49AC060A" w14:textId="05D8B84A" w:rsidR="00596CA0" w:rsidRPr="00BD7721" w:rsidRDefault="00596CA0" w:rsidP="00547D6F">
      <w:pPr>
        <w:pStyle w:val="Normalnumber"/>
        <w:rPr>
          <w:lang w:val="en-GB"/>
        </w:rPr>
      </w:pPr>
      <w:r w:rsidRPr="00BD7721">
        <w:rPr>
          <w:lang w:val="en-GB"/>
        </w:rPr>
        <w:lastRenderedPageBreak/>
        <w:t xml:space="preserve">In closing, Ms. Larigauderie thanked everyone who had contributed to IPBES since the previous session and all those participating in the present session. She expressed her gratitude to the children and youth choir from Bonn, and their conductor, Ekaterina </w:t>
      </w:r>
      <w:proofErr w:type="spellStart"/>
      <w:r w:rsidRPr="00BD7721">
        <w:rPr>
          <w:lang w:val="en-GB"/>
        </w:rPr>
        <w:t>Klewitz</w:t>
      </w:r>
      <w:proofErr w:type="spellEnd"/>
      <w:r w:rsidRPr="00BD7721">
        <w:rPr>
          <w:lang w:val="en-GB"/>
        </w:rPr>
        <w:t>, for their musical performance, the Government of the United States for hosting the session and the Government of Germany for its continuous support in hosting the IPBES secretariat. She wished participants a successful meeting.</w:t>
      </w:r>
    </w:p>
    <w:p w14:paraId="67709435" w14:textId="77777777" w:rsidR="00596CA0" w:rsidRPr="00BD7721" w:rsidRDefault="00596CA0" w:rsidP="00547D6F">
      <w:pPr>
        <w:pStyle w:val="Normalnumber"/>
        <w:rPr>
          <w:lang w:val="en-GB"/>
        </w:rPr>
      </w:pPr>
      <w:r w:rsidRPr="00BD7721">
        <w:rPr>
          <w:lang w:val="en-GB"/>
        </w:rPr>
        <w:t>In his statement, Mr. Powys Whyte explained that he was a citizen of the United States, the host country of the tenth session, and an enrolled member of the Citizen Potawatomi Nation, an Indigenous Peoples with a long tradition of environmental conservation. Tribal nations such as his had cultivated their communities’ rigorous Indigenous and local knowledge systems, including robust institutions of peer and community review, methods for archiving and communicating knowledge and strategies for using Indigenous and local knowledge to inform governance and policy. They had created natural</w:t>
      </w:r>
      <w:r w:rsidRPr="00BD7721">
        <w:rPr>
          <w:lang w:val="en-GB"/>
        </w:rPr>
        <w:noBreakHyphen/>
        <w:t>resource and environmental departments that hired staff members with scientific credentials. Those staff members performed scientific research subject to scientific standards, using scientifically justifiable conservation and climate-change adaptation techniques, published papers in scientific journals and found ways to support students from their communities in attaining scientific degrees. It was imperative for Indigenous Peoples and local communities to be able to mainstream those knowledge systems. Doing so went beyond mere consultation or inclusion of Indigenous Peoples in the processes of others or responding to calls for contributions or materials. To achieve such mainstreaming, it was necessary to bolster the education and research organizations that cultivated young Indigenous scientists, to foster Indigenous Peoples’ forms of peer review, to shore up stewardship programmes and environmental departments managed by Indigenous Peoples and to elevate Indigenous Peoples to be considered as regional actors and leaders in conservation movements and programmes.</w:t>
      </w:r>
    </w:p>
    <w:p w14:paraId="64F2A8A4" w14:textId="0971805D" w:rsidR="00596CA0" w:rsidRPr="00BD7721" w:rsidRDefault="00596CA0" w:rsidP="00547D6F">
      <w:pPr>
        <w:pStyle w:val="Normalnumber"/>
        <w:rPr>
          <w:lang w:val="en-GB"/>
        </w:rPr>
      </w:pPr>
      <w:r w:rsidRPr="00BD7721">
        <w:rPr>
          <w:lang w:val="en-GB"/>
        </w:rPr>
        <w:t xml:space="preserve">Mr. Powys Whyte outlined numerous reports and guidance on the matter issued regularly by his Government, including the report entitled “Status of Tribes and Climate Change”, which described numerous projects and programmes led by Indigenous Peoples that dealt with the same issues as IPBES, such as pollinators and invasive species; the </w:t>
      </w:r>
      <w:r w:rsidR="005855DC" w:rsidRPr="00BD7721">
        <w:rPr>
          <w:lang w:val="en-GB"/>
        </w:rPr>
        <w:t>“</w:t>
      </w:r>
      <w:r w:rsidRPr="00BD7721">
        <w:rPr>
          <w:lang w:val="en-GB"/>
        </w:rPr>
        <w:t xml:space="preserve">Guidance for </w:t>
      </w:r>
      <w:r w:rsidR="005855DC" w:rsidRPr="00BD7721">
        <w:rPr>
          <w:lang w:val="en-GB"/>
        </w:rPr>
        <w:t>federal departments and agencies on</w:t>
      </w:r>
      <w:r w:rsidRPr="00BD7721">
        <w:rPr>
          <w:lang w:val="en-GB"/>
        </w:rPr>
        <w:t xml:space="preserve"> Indigenous </w:t>
      </w:r>
      <w:r w:rsidR="005855DC" w:rsidRPr="00BD7721">
        <w:rPr>
          <w:lang w:val="en-GB"/>
        </w:rPr>
        <w:t>k</w:t>
      </w:r>
      <w:r w:rsidRPr="00BD7721">
        <w:rPr>
          <w:lang w:val="en-GB"/>
        </w:rPr>
        <w:t>nowledge,</w:t>
      </w:r>
      <w:r w:rsidR="005855DC" w:rsidRPr="00BD7721">
        <w:rPr>
          <w:lang w:val="en-GB"/>
        </w:rPr>
        <w:t>”</w:t>
      </w:r>
      <w:r w:rsidRPr="00BD7721">
        <w:rPr>
          <w:lang w:val="en-GB"/>
        </w:rPr>
        <w:t xml:space="preserve"> which emphasized the institutionalization of Indigenous knowledge across diverse aspects of federal work, including research and rule-making; and the United States National Climate Assessment that, since 2000, had included a chapter on tribes and Indigenous Peoples that was produced by a team of authors comprising mainly Indigenous scientists and knowledge holders. For years, tribal environmental stewardship had operated on tight budgets and had had to depend on grassroots and community efforts. The Government of the United States had, however, pledged unprecedented financial means and policies that would support tribal nations’ conservation, energy, environmental protection and climate-change adaptation programmes.</w:t>
      </w:r>
    </w:p>
    <w:p w14:paraId="4C3C914A" w14:textId="3CE9C866" w:rsidR="00596CA0" w:rsidRPr="00BD7721" w:rsidRDefault="00596CA0" w:rsidP="00547D6F">
      <w:pPr>
        <w:pStyle w:val="Normalnumber"/>
        <w:rPr>
          <w:lang w:val="en-GB"/>
        </w:rPr>
      </w:pPr>
      <w:r w:rsidRPr="00BD7721">
        <w:rPr>
          <w:lang w:val="en-GB"/>
        </w:rPr>
        <w:t xml:space="preserve">In closing, he said that the State Department of the United States would host two </w:t>
      </w:r>
      <w:r w:rsidR="009F656F" w:rsidRPr="00BD7721">
        <w:rPr>
          <w:lang w:val="en-GB"/>
        </w:rPr>
        <w:t>discussion</w:t>
      </w:r>
      <w:r w:rsidR="001339EE" w:rsidRPr="00BD7721">
        <w:rPr>
          <w:lang w:val="en-GB"/>
        </w:rPr>
        <w:t xml:space="preserve"> sessions on Indigenous and local knowledge </w:t>
      </w:r>
      <w:r w:rsidRPr="00BD7721">
        <w:rPr>
          <w:lang w:val="en-GB"/>
        </w:rPr>
        <w:t xml:space="preserve">at the present session with the aim of exchanging ideas about how IPBES could </w:t>
      </w:r>
      <w:r w:rsidR="00593671" w:rsidRPr="00BD7721">
        <w:rPr>
          <w:lang w:val="en-GB"/>
        </w:rPr>
        <w:t xml:space="preserve">improve on its current </w:t>
      </w:r>
      <w:proofErr w:type="gramStart"/>
      <w:r w:rsidR="00593671" w:rsidRPr="00BD7721">
        <w:rPr>
          <w:lang w:val="en-GB"/>
        </w:rPr>
        <w:t>approach</w:t>
      </w:r>
      <w:r w:rsidRPr="00BD7721">
        <w:rPr>
          <w:lang w:val="en-GB"/>
        </w:rPr>
        <w:t xml:space="preserve">, </w:t>
      </w:r>
      <w:r w:rsidR="00593671" w:rsidRPr="00BD7721">
        <w:rPr>
          <w:lang w:val="en-GB"/>
        </w:rPr>
        <w:t>and</w:t>
      </w:r>
      <w:proofErr w:type="gramEnd"/>
      <w:r w:rsidR="00593671" w:rsidRPr="00BD7721">
        <w:rPr>
          <w:lang w:val="en-GB"/>
        </w:rPr>
        <w:t xml:space="preserve"> increase</w:t>
      </w:r>
      <w:r w:rsidRPr="00BD7721">
        <w:rPr>
          <w:lang w:val="en-GB"/>
        </w:rPr>
        <w:t xml:space="preserve"> the </w:t>
      </w:r>
      <w:r w:rsidR="00593671" w:rsidRPr="00BD7721">
        <w:rPr>
          <w:lang w:val="en-GB"/>
        </w:rPr>
        <w:t xml:space="preserve">participation </w:t>
      </w:r>
      <w:r w:rsidRPr="00BD7721">
        <w:rPr>
          <w:lang w:val="en-GB"/>
        </w:rPr>
        <w:t xml:space="preserve">in IPBES of diverse Indigenous Peoples with enduring leadership responsibilities in order to </w:t>
      </w:r>
      <w:r w:rsidR="00B2431F" w:rsidRPr="00BD7721">
        <w:rPr>
          <w:lang w:val="en-GB"/>
        </w:rPr>
        <w:t xml:space="preserve">further </w:t>
      </w:r>
      <w:r w:rsidRPr="00BD7721">
        <w:rPr>
          <w:lang w:val="en-GB"/>
        </w:rPr>
        <w:t xml:space="preserve">weave into the </w:t>
      </w:r>
      <w:r w:rsidR="00FD0081" w:rsidRPr="00BD7721">
        <w:rPr>
          <w:lang w:val="en-GB"/>
        </w:rPr>
        <w:t>P</w:t>
      </w:r>
      <w:r w:rsidRPr="00BD7721">
        <w:rPr>
          <w:lang w:val="en-GB"/>
        </w:rPr>
        <w:t>latform Indigenous values, methods and processes.</w:t>
      </w:r>
    </w:p>
    <w:p w14:paraId="4A9EAB6F" w14:textId="711D0A1D" w:rsidR="00596CA0" w:rsidRPr="00BD7721" w:rsidRDefault="00596CA0" w:rsidP="00547D6F">
      <w:pPr>
        <w:pStyle w:val="Normalnumber"/>
        <w:rPr>
          <w:lang w:val="en-GB"/>
        </w:rPr>
      </w:pPr>
      <w:r w:rsidRPr="00BD7721">
        <w:rPr>
          <w:lang w:val="en-GB"/>
        </w:rPr>
        <w:t>In her opening statement, Ms. Hoffman welcomed participants to Bonn. Referring to the adoption of the Kunming-Montreal Global Biodiversity Framework as an important milestone for biodiversity protection, she said that the findings of IPBES had been key in securing the adoption of the Framework. The Framework addressed the main drivers of biodiversity loss identified in the 2019 Global Assessment Report on Biodiversity and Ecosystem Services. One of those main drivers was invasive alien species, a topic that the Plenary would consider at the present session. Prevention and management were crucial for combating their adverse impacts as recognized by Regulation No.</w:t>
      </w:r>
      <w:r w:rsidR="004212A9" w:rsidRPr="00BD7721">
        <w:rPr>
          <w:lang w:val="en-GB"/>
        </w:rPr>
        <w:t xml:space="preserve"> </w:t>
      </w:r>
      <w:r w:rsidRPr="00BD7721">
        <w:rPr>
          <w:lang w:val="en-GB"/>
        </w:rPr>
        <w:t>1143/2014 of the European Parliament and of the Council on the prevention and management of the introduction and spread of invasive alien species. Germany supported implementation of the Regulation by conducting research projects, drawing up recommendations for the management of widely spread invasive alien species and organizing conferences to foster cross-sectoral exchange. Nevertheless, a global approach was needed to prevent and control invasive alien species and minimize their impact. The summary for policymakers of the thematic assessment of invasive alien species and their control would provide an important and scientifically sound basis for policy decisions.</w:t>
      </w:r>
    </w:p>
    <w:p w14:paraId="44239C36" w14:textId="77777777" w:rsidR="00596CA0" w:rsidRPr="00BD7721" w:rsidRDefault="00596CA0" w:rsidP="00547D6F">
      <w:pPr>
        <w:pStyle w:val="Normalnumber"/>
        <w:rPr>
          <w:lang w:val="en-GB"/>
        </w:rPr>
      </w:pPr>
      <w:r w:rsidRPr="00BD7721">
        <w:rPr>
          <w:lang w:val="en-GB"/>
        </w:rPr>
        <w:t>Highlighting the biodiversity-related work of the Government of Germany, she said that Germany was in the process of updating its National Biodiversity Strategy and was active at the global level too. Through the International Climate Initiative, which supported projects on biodiversity conservation, climate action and adaptation to climate change in partner countries, it had supported over 350 biodiversity-related projects with more than €1.6 billion since 2008. As of 2025, Germany would increase its financing of biodiversity-related action to €1.5 billion annually.</w:t>
      </w:r>
    </w:p>
    <w:p w14:paraId="252CAA1F" w14:textId="62151F8C" w:rsidR="00596CA0" w:rsidRPr="00BD7721" w:rsidRDefault="00596CA0" w:rsidP="00547D6F">
      <w:pPr>
        <w:pStyle w:val="Normalnumber"/>
        <w:rPr>
          <w:lang w:val="en-GB"/>
        </w:rPr>
      </w:pPr>
      <w:r w:rsidRPr="00BD7721">
        <w:rPr>
          <w:lang w:val="en-GB"/>
        </w:rPr>
        <w:t xml:space="preserve">In his statement, Mr. </w:t>
      </w:r>
      <w:proofErr w:type="spellStart"/>
      <w:r w:rsidRPr="00BD7721">
        <w:rPr>
          <w:lang w:val="en-GB"/>
        </w:rPr>
        <w:t>Thurstrup</w:t>
      </w:r>
      <w:proofErr w:type="spellEnd"/>
      <w:r w:rsidRPr="00BD7721">
        <w:rPr>
          <w:lang w:val="en-GB"/>
        </w:rPr>
        <w:t xml:space="preserve"> said that the period since the ninth session of the Plenary had been highly significant for nature, with the adoption of the landmark Kunming-Montreal Global Biodiversity Framework, the negotiation of which had been supported by the four United Nations partners and informed by IPBES assessments. The United Nations partners were providing support to parties in their implementation of the Framework, including by leading global efforts to develop indicators to monitor the implementation of the </w:t>
      </w:r>
      <w:r w:rsidR="007B616C" w:rsidRPr="00BD7721">
        <w:rPr>
          <w:lang w:val="en-GB"/>
        </w:rPr>
        <w:t>F</w:t>
      </w:r>
      <w:r w:rsidRPr="00BD7721">
        <w:rPr>
          <w:lang w:val="en-GB"/>
        </w:rPr>
        <w:t xml:space="preserve">ramework. The four partners welcomed the new IPBES assessment </w:t>
      </w:r>
      <w:r w:rsidR="005839F5" w:rsidRPr="00BD7721">
        <w:rPr>
          <w:lang w:val="en-GB"/>
        </w:rPr>
        <w:t xml:space="preserve">of </w:t>
      </w:r>
      <w:r w:rsidRPr="00BD7721">
        <w:rPr>
          <w:lang w:val="en-GB"/>
        </w:rPr>
        <w:t>invasive alien species, the findings of which would prove crucial for many of their activities.</w:t>
      </w:r>
    </w:p>
    <w:p w14:paraId="3D872D52" w14:textId="4676D880" w:rsidR="00596CA0" w:rsidRPr="00BD7721" w:rsidRDefault="00596CA0" w:rsidP="00547D6F">
      <w:pPr>
        <w:pStyle w:val="Normalnumber"/>
        <w:rPr>
          <w:lang w:val="en-GB"/>
        </w:rPr>
      </w:pPr>
      <w:r w:rsidRPr="00BD7721">
        <w:rPr>
          <w:lang w:val="en-GB"/>
        </w:rPr>
        <w:t>The partners reaffirmed their commitment to supporting IPBES and its mission. FAO provided authors and data for IPBES assessments, produced key publications and provided free access to 22</w:t>
      </w:r>
      <w:r w:rsidR="004212A9" w:rsidRPr="00BD7721">
        <w:rPr>
          <w:lang w:val="en-GB"/>
        </w:rPr>
        <w:t xml:space="preserve"> </w:t>
      </w:r>
      <w:r w:rsidRPr="00BD7721">
        <w:rPr>
          <w:lang w:val="en-GB"/>
        </w:rPr>
        <w:t xml:space="preserve">major databases, including the FAOSTAT database. UNDP supported the </w:t>
      </w:r>
      <w:r w:rsidR="00B2431F" w:rsidRPr="00BD7721">
        <w:rPr>
          <w:lang w:val="en-GB"/>
        </w:rPr>
        <w:t xml:space="preserve">work of the </w:t>
      </w:r>
      <w:r w:rsidRPr="00BD7721">
        <w:rPr>
          <w:lang w:val="en-GB"/>
        </w:rPr>
        <w:t>IPBES capacity</w:t>
      </w:r>
      <w:r w:rsidR="004212A9" w:rsidRPr="00BD7721">
        <w:rPr>
          <w:lang w:val="en-GB"/>
        </w:rPr>
        <w:noBreakHyphen/>
      </w:r>
      <w:r w:rsidRPr="00BD7721">
        <w:rPr>
          <w:lang w:val="en-GB"/>
        </w:rPr>
        <w:t>building task force and, in close collaboration with partners globally, would continue to manage the Biodiversity and Ecosystem Services Network to support the uptake of IPBES assessments and other guiding tools. UNEP was proud to host the secretariat of IPBES and to provide technical support through the World Conservation Monitoring Centre. Through its National Ecosystem Assessment Initiative, the Centre, in collaboration with UNDP and UNESCO, supported States in undertaking national ecosystem assessments based on the IPBES conceptual framework and assessment process and in developing national science</w:t>
      </w:r>
      <w:r w:rsidRPr="00BD7721">
        <w:rPr>
          <w:lang w:val="en-GB"/>
        </w:rPr>
        <w:noBreakHyphen/>
        <w:t xml:space="preserve">policy platforms. UNESCO was committed to the safeguarding of the world’s interlinked cultural and natural heritage, through mechanisms such as the Man and the Biosphere programme and the Convention Concerning the Protection of the World Cultural and Natural Heritage World Heritage Convention. The UNESCO Local and Indigenous Knowledge Systems (LINKS) programme hosted the IPBES technical support unit on Indigenous and local knowledge, which </w:t>
      </w:r>
      <w:r w:rsidR="005839F5" w:rsidRPr="00BD7721">
        <w:rPr>
          <w:lang w:val="en-GB"/>
        </w:rPr>
        <w:t>provided support to the</w:t>
      </w:r>
      <w:r w:rsidRPr="00BD7721">
        <w:rPr>
          <w:lang w:val="en-GB"/>
        </w:rPr>
        <w:t xml:space="preserve"> IPBES task force</w:t>
      </w:r>
      <w:r w:rsidR="005839F5" w:rsidRPr="00BD7721">
        <w:rPr>
          <w:lang w:val="en-GB"/>
        </w:rPr>
        <w:t xml:space="preserve"> on Indigenous and local knowledge, and</w:t>
      </w:r>
      <w:r w:rsidRPr="00BD7721">
        <w:rPr>
          <w:lang w:val="en-GB"/>
        </w:rPr>
        <w:t xml:space="preserve"> to authors in their work with Indigenous and local knowledge for IPBES assessments. The four United Nations partners undertook to enhance their efforts to provide free and open access online resources and databases to support Governments in their commitments to biodiversity and to aid IPBES assessments.</w:t>
      </w:r>
    </w:p>
    <w:p w14:paraId="05E27643" w14:textId="77777777" w:rsidR="00596CA0" w:rsidRPr="00BD7721" w:rsidRDefault="00596CA0" w:rsidP="00547D6F">
      <w:pPr>
        <w:pStyle w:val="Normalnumber"/>
        <w:rPr>
          <w:lang w:val="en-GB"/>
        </w:rPr>
      </w:pPr>
      <w:r w:rsidRPr="00BD7721">
        <w:rPr>
          <w:lang w:val="en-GB"/>
        </w:rPr>
        <w:t>Ms. Hernandez Salgar began her opening statement with a quote from John Muir, Scottish</w:t>
      </w:r>
      <w:r w:rsidRPr="00BD7721">
        <w:rPr>
          <w:lang w:val="en-GB"/>
        </w:rPr>
        <w:noBreakHyphen/>
        <w:t>American naturalist and co</w:t>
      </w:r>
      <w:r w:rsidRPr="00BD7721">
        <w:rPr>
          <w:lang w:val="en-GB"/>
        </w:rPr>
        <w:noBreakHyphen/>
        <w:t xml:space="preserve">founder of the environmental organization the Sierra Club, who had said, “In every walk with nature, one receives far more than one seeks.” Drawing a parallel with her time as Chair of IPBES since 2019, she said that she had received much joy, friendship and support from the whole IPBES community and was proud to be part of its many successes. Looking to the tenth session, she recalled that invasive alien species had been clearly identified, in the IPBES Global Assessment Report on Biodiversity and Ecosystem Services as one of the five most important direct drivers of biodiversity loss. As a result, Governments, but also the media and the public, would be eager to receive the new IPBES assessment report on invasive alien species and their control as it would help to inform the implementation of the new Kunming-Montreal Global Biodiversity Framework. At the present session, the Plenary would also consider new topics proposed for inclusion in the IPBES rolling work programme up to 2030, which would also be key for the implementation of the Framework, and the mandate and terms of reference of the IPBES task forces and their important work on building capacity, strengthening knowledge foundations and supporting policy. Referring to the vital work that would be undertaken in relation to the IPBES financial and budgetary arrangements, she thanked all those who had contributed financially to the work of IPBES and underscored the importance of sustained financial contributions to ensure the continuation of its valuable work. She welcomed the four new IPBES members, expressing the hope that the remaining observer States would follow suit, moving IPBES even closer to universal membership. </w:t>
      </w:r>
    </w:p>
    <w:p w14:paraId="70D5BEE0" w14:textId="4E75414A" w:rsidR="00E95083" w:rsidRPr="00BD7721" w:rsidRDefault="00596CA0" w:rsidP="00547D6F">
      <w:pPr>
        <w:pStyle w:val="Normalnumber"/>
        <w:rPr>
          <w:lang w:val="en-GB"/>
        </w:rPr>
      </w:pPr>
      <w:r w:rsidRPr="00BD7721">
        <w:rPr>
          <w:lang w:val="en-GB"/>
        </w:rPr>
        <w:t xml:space="preserve">In closing, she thanked the Government of the United States for hosting the tenth session, the Government of Germany for its warm hospitality, and the Bureau, the Multidisciplinary Expert Panel, the secretariat, the technical support units and all the participants for making the tenth session possible. </w:t>
      </w:r>
    </w:p>
    <w:p w14:paraId="087364E0" w14:textId="1BE74C7C" w:rsidR="005265B4" w:rsidRPr="00BD7721" w:rsidRDefault="005265B4" w:rsidP="005265B4">
      <w:pPr>
        <w:pStyle w:val="CH1"/>
        <w:rPr>
          <w:lang w:val="en-GB"/>
        </w:rPr>
      </w:pPr>
      <w:r w:rsidRPr="00BD7721">
        <w:rPr>
          <w:lang w:val="en-GB"/>
        </w:rPr>
        <w:tab/>
        <w:t>II.</w:t>
      </w:r>
      <w:r w:rsidRPr="00BD7721">
        <w:rPr>
          <w:lang w:val="en-GB"/>
        </w:rPr>
        <w:tab/>
        <w:t>Organizational matters</w:t>
      </w:r>
    </w:p>
    <w:p w14:paraId="4DF18884" w14:textId="0BCA2193" w:rsidR="005265B4" w:rsidRPr="00BD7721" w:rsidRDefault="00E95083" w:rsidP="00E95083">
      <w:pPr>
        <w:pStyle w:val="CH2"/>
        <w:rPr>
          <w:lang w:val="en-GB"/>
        </w:rPr>
      </w:pPr>
      <w:r w:rsidRPr="00BD7721">
        <w:rPr>
          <w:lang w:val="en-GB"/>
        </w:rPr>
        <w:tab/>
        <w:t>A.</w:t>
      </w:r>
      <w:r w:rsidRPr="00BD7721">
        <w:rPr>
          <w:lang w:val="en-GB"/>
        </w:rPr>
        <w:tab/>
      </w:r>
      <w:r w:rsidR="005265B4" w:rsidRPr="00BD7721">
        <w:rPr>
          <w:lang w:val="en-GB"/>
        </w:rPr>
        <w:t>Adoption of the agenda and organization of work</w:t>
      </w:r>
    </w:p>
    <w:p w14:paraId="60A39059" w14:textId="77777777" w:rsidR="00D32A9A" w:rsidRPr="00BD7721" w:rsidRDefault="00D32A9A" w:rsidP="005B6E76">
      <w:pPr>
        <w:pStyle w:val="Normalnumber"/>
        <w:rPr>
          <w:lang w:val="en-GB"/>
        </w:rPr>
      </w:pPr>
      <w:r w:rsidRPr="00BD7721">
        <w:rPr>
          <w:lang w:val="en-GB"/>
        </w:rPr>
        <w:t>The Plenary adopted the following agenda on the basis of the provisional agenda (IPBES/10/1):</w:t>
      </w:r>
    </w:p>
    <w:p w14:paraId="1FE6F09C"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1.</w:t>
      </w:r>
      <w:r w:rsidRPr="00BD7721">
        <w:rPr>
          <w:lang w:val="en-GB"/>
        </w:rPr>
        <w:tab/>
        <w:t>Opening of the session.</w:t>
      </w:r>
    </w:p>
    <w:p w14:paraId="79A955C1"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2.</w:t>
      </w:r>
      <w:r w:rsidRPr="00BD7721">
        <w:rPr>
          <w:lang w:val="en-GB"/>
        </w:rPr>
        <w:tab/>
        <w:t>Organizational matters:</w:t>
      </w:r>
    </w:p>
    <w:p w14:paraId="704BB915"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3119" w:hanging="624"/>
        <w:rPr>
          <w:lang w:val="en-GB"/>
        </w:rPr>
      </w:pPr>
      <w:r w:rsidRPr="00BD7721">
        <w:rPr>
          <w:lang w:val="en-GB"/>
        </w:rPr>
        <w:t>(a)</w:t>
      </w:r>
      <w:r w:rsidRPr="00BD7721">
        <w:rPr>
          <w:lang w:val="en-GB"/>
        </w:rPr>
        <w:tab/>
        <w:t xml:space="preserve">Adoption of the agenda and organization of </w:t>
      </w:r>
      <w:proofErr w:type="gramStart"/>
      <w:r w:rsidRPr="00BD7721">
        <w:rPr>
          <w:lang w:val="en-GB"/>
        </w:rPr>
        <w:t>work;</w:t>
      </w:r>
      <w:proofErr w:type="gramEnd"/>
    </w:p>
    <w:p w14:paraId="24085118"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3119" w:hanging="624"/>
        <w:rPr>
          <w:lang w:val="en-GB"/>
        </w:rPr>
      </w:pPr>
      <w:r w:rsidRPr="00BD7721">
        <w:rPr>
          <w:lang w:val="en-GB"/>
        </w:rPr>
        <w:t>(b)</w:t>
      </w:r>
      <w:r w:rsidRPr="00BD7721">
        <w:rPr>
          <w:lang w:val="en-GB"/>
        </w:rPr>
        <w:tab/>
        <w:t xml:space="preserve">Status of the membership of the </w:t>
      </w:r>
      <w:proofErr w:type="gramStart"/>
      <w:r w:rsidRPr="00BD7721">
        <w:rPr>
          <w:lang w:val="en-GB"/>
        </w:rPr>
        <w:t>Platform;</w:t>
      </w:r>
      <w:proofErr w:type="gramEnd"/>
      <w:r w:rsidRPr="00BD7721">
        <w:rPr>
          <w:lang w:val="en-GB"/>
        </w:rPr>
        <w:t xml:space="preserve"> </w:t>
      </w:r>
    </w:p>
    <w:p w14:paraId="6E1BBFF0"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3119" w:hanging="624"/>
        <w:rPr>
          <w:lang w:val="en-GB"/>
        </w:rPr>
      </w:pPr>
      <w:r w:rsidRPr="00BD7721">
        <w:rPr>
          <w:lang w:val="en-GB"/>
        </w:rPr>
        <w:t>(c)</w:t>
      </w:r>
      <w:r w:rsidRPr="00BD7721">
        <w:rPr>
          <w:lang w:val="en-GB"/>
        </w:rPr>
        <w:tab/>
        <w:t>Election of officers.</w:t>
      </w:r>
    </w:p>
    <w:p w14:paraId="399F3933"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3.</w:t>
      </w:r>
      <w:r w:rsidRPr="00BD7721">
        <w:rPr>
          <w:lang w:val="en-GB"/>
        </w:rPr>
        <w:tab/>
        <w:t>Admission of observers.</w:t>
      </w:r>
    </w:p>
    <w:p w14:paraId="2C62194B"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4.</w:t>
      </w:r>
      <w:r w:rsidRPr="00BD7721">
        <w:rPr>
          <w:lang w:val="en-GB"/>
        </w:rPr>
        <w:tab/>
        <w:t>Credentials of representatives.</w:t>
      </w:r>
    </w:p>
    <w:p w14:paraId="4A711BD3"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5.</w:t>
      </w:r>
      <w:r w:rsidRPr="00BD7721">
        <w:rPr>
          <w:lang w:val="en-GB"/>
        </w:rPr>
        <w:tab/>
        <w:t>Report of the Executive Secretary on progress in the implementation of the rolling work programme up to 2030.</w:t>
      </w:r>
    </w:p>
    <w:p w14:paraId="704555BA"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6.</w:t>
      </w:r>
      <w:r w:rsidRPr="00BD7721">
        <w:rPr>
          <w:lang w:val="en-GB"/>
        </w:rPr>
        <w:tab/>
        <w:t>Financial and budgetary arrangements for the Platform.</w:t>
      </w:r>
    </w:p>
    <w:p w14:paraId="2EF6A5E0"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7.</w:t>
      </w:r>
      <w:r w:rsidRPr="00BD7721">
        <w:rPr>
          <w:lang w:val="en-GB"/>
        </w:rPr>
        <w:tab/>
        <w:t>Assessing knowledge:</w:t>
      </w:r>
    </w:p>
    <w:p w14:paraId="47464C08"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3119" w:hanging="624"/>
        <w:rPr>
          <w:lang w:val="en-GB"/>
        </w:rPr>
      </w:pPr>
      <w:r w:rsidRPr="00BD7721">
        <w:rPr>
          <w:lang w:val="en-GB"/>
        </w:rPr>
        <w:t>(a)</w:t>
      </w:r>
      <w:r w:rsidRPr="00BD7721">
        <w:rPr>
          <w:lang w:val="en-GB"/>
        </w:rPr>
        <w:tab/>
        <w:t xml:space="preserve">Thematic assessment of invasive alien </w:t>
      </w:r>
      <w:proofErr w:type="gramStart"/>
      <w:r w:rsidRPr="00BD7721">
        <w:rPr>
          <w:lang w:val="en-GB"/>
        </w:rPr>
        <w:t>species;</w:t>
      </w:r>
      <w:proofErr w:type="gramEnd"/>
      <w:r w:rsidRPr="00BD7721">
        <w:rPr>
          <w:lang w:val="en-GB"/>
        </w:rPr>
        <w:t xml:space="preserve"> </w:t>
      </w:r>
    </w:p>
    <w:p w14:paraId="6EDF9796"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3119" w:hanging="624"/>
        <w:rPr>
          <w:lang w:val="en-GB"/>
        </w:rPr>
      </w:pPr>
      <w:r w:rsidRPr="00BD7721">
        <w:rPr>
          <w:lang w:val="en-GB"/>
        </w:rPr>
        <w:t>(b)</w:t>
      </w:r>
      <w:r w:rsidRPr="00BD7721">
        <w:rPr>
          <w:lang w:val="en-GB"/>
        </w:rPr>
        <w:tab/>
        <w:t>Engagement with the Intergovernmental Panel on Climate Change.</w:t>
      </w:r>
    </w:p>
    <w:p w14:paraId="12C736AD"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8.</w:t>
      </w:r>
      <w:r w:rsidRPr="00BD7721">
        <w:rPr>
          <w:lang w:val="en-GB"/>
        </w:rPr>
        <w:tab/>
        <w:t>Building capacity, strengthening knowledge foundations and supporting policy.</w:t>
      </w:r>
    </w:p>
    <w:p w14:paraId="7F8954F3"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9.</w:t>
      </w:r>
      <w:r w:rsidRPr="00BD7721">
        <w:rPr>
          <w:lang w:val="en-GB"/>
        </w:rPr>
        <w:tab/>
        <w:t>Improving the effectiveness of the Platform.</w:t>
      </w:r>
    </w:p>
    <w:p w14:paraId="528CE0C4"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10.</w:t>
      </w:r>
      <w:r w:rsidRPr="00BD7721">
        <w:rPr>
          <w:lang w:val="en-GB"/>
        </w:rPr>
        <w:tab/>
        <w:t>Requests, input and suggestions for additional elements of the rolling work programme of the Platform up to 2030.</w:t>
      </w:r>
    </w:p>
    <w:p w14:paraId="0197AE07"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11.</w:t>
      </w:r>
      <w:r w:rsidRPr="00BD7721">
        <w:rPr>
          <w:lang w:val="en-GB"/>
        </w:rPr>
        <w:tab/>
        <w:t>Organization of the Plenary; dates and venues of future sessions of the Plenary.</w:t>
      </w:r>
    </w:p>
    <w:p w14:paraId="32FBE875"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12.</w:t>
      </w:r>
      <w:r w:rsidRPr="00BD7721">
        <w:rPr>
          <w:lang w:val="en-GB"/>
        </w:rPr>
        <w:tab/>
        <w:t>Institutional arrangements: United Nations collaborative partnership arrangement for the work of the Platform and its secretariat.</w:t>
      </w:r>
    </w:p>
    <w:p w14:paraId="0511A6E7"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13.</w:t>
      </w:r>
      <w:r w:rsidRPr="00BD7721">
        <w:rPr>
          <w:lang w:val="en-GB"/>
        </w:rPr>
        <w:tab/>
        <w:t>Adoption of the decisions and the report of the session.</w:t>
      </w:r>
    </w:p>
    <w:p w14:paraId="113C9518" w14:textId="77777777" w:rsidR="00E95083" w:rsidRPr="00BD7721" w:rsidRDefault="00E95083" w:rsidP="00E95083">
      <w:pPr>
        <w:pStyle w:val="Normal-pool"/>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14.</w:t>
      </w:r>
      <w:r w:rsidRPr="00BD7721">
        <w:rPr>
          <w:lang w:val="en-GB"/>
        </w:rPr>
        <w:tab/>
        <w:t>Closure of the session.</w:t>
      </w:r>
    </w:p>
    <w:p w14:paraId="65876F0E" w14:textId="46682385" w:rsidR="00E72993" w:rsidRPr="00BD7721" w:rsidRDefault="00E72993" w:rsidP="005B6E76">
      <w:pPr>
        <w:pStyle w:val="Normalnumber"/>
        <w:rPr>
          <w:lang w:val="en-GB"/>
        </w:rPr>
      </w:pPr>
      <w:r w:rsidRPr="00BD7721">
        <w:rPr>
          <w:lang w:val="en-GB"/>
        </w:rPr>
        <w:t xml:space="preserve">The Plenary agreed to follow the organization of work set out in annex I to document IPBES/10/1/Add.1. </w:t>
      </w:r>
    </w:p>
    <w:p w14:paraId="64286260" w14:textId="7B4BD918" w:rsidR="00384F23" w:rsidRPr="00BD7721" w:rsidRDefault="00384F23" w:rsidP="005B6E76">
      <w:pPr>
        <w:pStyle w:val="Normalnumber"/>
        <w:rPr>
          <w:lang w:val="en-GB"/>
        </w:rPr>
      </w:pPr>
      <w:r w:rsidRPr="00BD7721">
        <w:rPr>
          <w:lang w:val="en-GB"/>
        </w:rPr>
        <w:t xml:space="preserve">The Plenary agreed to establish two working groups. Working </w:t>
      </w:r>
      <w:proofErr w:type="gramStart"/>
      <w:r w:rsidRPr="00BD7721">
        <w:rPr>
          <w:lang w:val="en-GB"/>
        </w:rPr>
        <w:t>group</w:t>
      </w:r>
      <w:proofErr w:type="gramEnd"/>
      <w:r w:rsidRPr="00BD7721">
        <w:rPr>
          <w:lang w:val="en-GB"/>
        </w:rPr>
        <w:t xml:space="preserve"> I would consider agenda item 7 (a), on the thematic assessment of invasive alien species. The objective of working group I would be to consider in detail the summary for policymakers based on the chapters of the assessment, with a view to having the summary for policymakers approved by the Plenary, and the chapters of the assessment accepted, without further discussion. Working group II would consider item 7 (b), on engagement with the Intergovernmental Panel on Climate Change; item 8, on building capacity, strengthening knowledge foundations and supporting policy; item 9, on improving the effectiveness of the Platform; and item 10, on requests, input and suggestions for additional elements of the rolling work programme of the Platform up to 2030. </w:t>
      </w:r>
    </w:p>
    <w:p w14:paraId="0599F889" w14:textId="77777777" w:rsidR="00E95083" w:rsidRPr="00BD7721" w:rsidRDefault="005265B4" w:rsidP="00E95083">
      <w:pPr>
        <w:pStyle w:val="CH2"/>
        <w:rPr>
          <w:lang w:val="en-GB"/>
        </w:rPr>
      </w:pPr>
      <w:r w:rsidRPr="00BD7721">
        <w:rPr>
          <w:lang w:val="en-GB"/>
        </w:rPr>
        <w:tab/>
        <w:t>B.</w:t>
      </w:r>
      <w:r w:rsidRPr="00BD7721">
        <w:rPr>
          <w:lang w:val="en-GB"/>
        </w:rPr>
        <w:tab/>
        <w:t>Status of the membership of the Platform</w:t>
      </w:r>
    </w:p>
    <w:p w14:paraId="54CFC392" w14:textId="03DC7B03" w:rsidR="0005782D" w:rsidRPr="00BD7721" w:rsidRDefault="0005782D" w:rsidP="005B6E76">
      <w:pPr>
        <w:pStyle w:val="Normalnumber"/>
        <w:rPr>
          <w:lang w:val="en-GB"/>
        </w:rPr>
      </w:pPr>
      <w:r w:rsidRPr="00BD7721">
        <w:rPr>
          <w:lang w:val="en-GB"/>
        </w:rPr>
        <w:t xml:space="preserve">The Chair reported that Guinea, Namibia, Oman and Palau had joined IPBES since the ninth session of the Plenary. IPBES thus had the following 143 members: Afghanistan, Albania, Algeria, Andorra, Antigua and Barbuda, Argentina, Armenia, Australia, Austria, Azerbaijan, Bahrain, Bangladesh, Belarus, Belgium, Benin, Bhutan, Bolivia (Plurinational State of), Bosnia and Herzegovina, Botswana, Brazil, Bulgaria, Burkina Faso, Burundi, Cambodia, Cameroon, Canada, Central African Republic, Chad, Chile, China, Colombia, Comoros, Congo, Cook Islands, Costa Rica, Côte d’Ivoire, Croatia, Cuba, Czechia, Democratic Republic of the Congo, Denmark, Dominican Republic, Ecuador, Egypt, El Salvador, Estonia, </w:t>
      </w:r>
      <w:r w:rsidR="00A16692" w:rsidRPr="00BD7721">
        <w:rPr>
          <w:lang w:val="en-GB"/>
        </w:rPr>
        <w:t xml:space="preserve">Eswatini, </w:t>
      </w:r>
      <w:r w:rsidRPr="00BD7721">
        <w:rPr>
          <w:lang w:val="en-GB"/>
        </w:rPr>
        <w:t xml:space="preserve">Ethiopia, Fiji, Finland, France, Gabon, Georgia, Germany, Ghana, Greece, Grenada, Guatemala, Guinea, Guinea-Bissau, Guyana, Honduras, Hungary, India, Indonesia, Iran (Islamic Republic of), Iraq, Ireland, Israel, Italy, Japan, Jordan, Kenya, Kyrgyzstan, Latvia, Liberia, Libya, Lithuania, Luxembourg, Madagascar, Malawi, Malaysia, Maldives, Mali, Mauritania, Mexico, Monaco, Montenegro, Morocco, Myanmar, Namibia, Nepal, Netherlands (Kingdom of the), New Zealand, Nicaragua, Niger, Nigeria, North Macedonia, Norway, Oman, Pakistan, Palau, Panama, Paraguay, Peru, Philippines, Portugal, Republic of Korea, Republic of Moldova, Romania, Russian Federation, Saint Kitts and Nevis, Saint Lucia, Saudi Arabia, Senegal, Serbia, Sierra Leone, Slovakia, South Africa, Spain, Sri Lanka, Sudan, Suriname, Swaziland, Sweden, Switzerland, Tajikistan, Thailand, Togo, Trinidad and Tobago, Tunisia, </w:t>
      </w:r>
      <w:proofErr w:type="spellStart"/>
      <w:r w:rsidRPr="00BD7721">
        <w:rPr>
          <w:lang w:val="en-GB"/>
        </w:rPr>
        <w:t>Türkiye</w:t>
      </w:r>
      <w:proofErr w:type="spellEnd"/>
      <w:r w:rsidRPr="00BD7721">
        <w:rPr>
          <w:lang w:val="en-GB"/>
        </w:rPr>
        <w:t>, Uganda, United Arab Emirates, United Kingdom of Great Britain and Northern Ireland, United Republic of Tanzania, United States of America, Uruguay, Uzbekistan, Viet Nam, Yemen, Zambia, and Zimbabwe.</w:t>
      </w:r>
    </w:p>
    <w:p w14:paraId="4B0E55DF" w14:textId="2B88712A" w:rsidR="005265B4" w:rsidRPr="00BD7721" w:rsidRDefault="005265B4" w:rsidP="005265B4">
      <w:pPr>
        <w:pStyle w:val="CH2"/>
        <w:rPr>
          <w:lang w:val="en-GB"/>
        </w:rPr>
      </w:pPr>
      <w:r w:rsidRPr="00BD7721">
        <w:rPr>
          <w:lang w:val="en-GB"/>
        </w:rPr>
        <w:tab/>
        <w:t>C.</w:t>
      </w:r>
      <w:r w:rsidRPr="00BD7721">
        <w:rPr>
          <w:lang w:val="en-GB"/>
        </w:rPr>
        <w:tab/>
        <w:t>Election of officers</w:t>
      </w:r>
    </w:p>
    <w:p w14:paraId="6F89ABD1" w14:textId="77777777" w:rsidR="0005782D" w:rsidRPr="00BD7721" w:rsidRDefault="0005782D" w:rsidP="005B6E76">
      <w:pPr>
        <w:pStyle w:val="Normalnumber"/>
        <w:rPr>
          <w:lang w:val="en-GB"/>
        </w:rPr>
      </w:pPr>
      <w:r w:rsidRPr="00BD7721">
        <w:rPr>
          <w:lang w:val="en-GB"/>
        </w:rPr>
        <w:t>Introducing the item, the Chair recalled that, at its seventh session, held in Paris from 29 April to 4 May 2019, the Plenary had elected 10 members to the Bureau for a three-year term in accordance with paragraph 3 of rule 15 of the rules of procedure. At its eighth session, in decision IPBES-8/2, the Plenary had decided, notwithstanding rule 15 of the rules of procedure, that the term of office of the current members of the Bureau would extend until the end of the tenth session of the Plenary, at which their successors would be elected.</w:t>
      </w:r>
    </w:p>
    <w:p w14:paraId="59D32EFA" w14:textId="5885745D" w:rsidR="0005782D" w:rsidRPr="00BD7721" w:rsidRDefault="0005782D" w:rsidP="005B6E76">
      <w:pPr>
        <w:pStyle w:val="Normalnumber"/>
        <w:rPr>
          <w:lang w:val="en-GB"/>
        </w:rPr>
      </w:pPr>
      <w:r w:rsidRPr="00BD7721">
        <w:rPr>
          <w:lang w:val="en-GB"/>
        </w:rPr>
        <w:t>The Chair also recalled that, in line with rule 22 of the rules of procedure, the secretariat had invited members of IPBES to submit to the secretariat written nominations with accompanying curricula vitae of nominees to the Bureau by 28 April 2023. The list of candidates for the Bureau was set out in document IPBES/10/INF/2/Rev.1. Further information was available in a note by the secretariat on the election of officers (IPBES/10/2) and an information document on procedures for the elections (IPBES/10/INF/22). All the nominees, with one exception, had submitted conflict of interest forms in accordance with rule 3, paragraph 1, of the implementation procedures of the conflict</w:t>
      </w:r>
      <w:r w:rsidR="00A972DE" w:rsidRPr="00BD7721">
        <w:rPr>
          <w:lang w:val="en-GB"/>
        </w:rPr>
        <w:noBreakHyphen/>
      </w:r>
      <w:r w:rsidRPr="00BD7721">
        <w:rPr>
          <w:lang w:val="en-GB"/>
        </w:rPr>
        <w:t>of</w:t>
      </w:r>
      <w:r w:rsidR="00A972DE" w:rsidRPr="00BD7721">
        <w:rPr>
          <w:lang w:val="en-GB"/>
        </w:rPr>
        <w:noBreakHyphen/>
      </w:r>
      <w:r w:rsidRPr="00BD7721">
        <w:rPr>
          <w:lang w:val="en-GB"/>
        </w:rPr>
        <w:t xml:space="preserve">interest policy, as set out in annex II to decision IPBES-3/3. The Committee on Conflicts of Interest had reviewed the submissions and had determined that none of the nominees submitting conflict of interest forms had a conflict of interest. </w:t>
      </w:r>
    </w:p>
    <w:p w14:paraId="0B531002" w14:textId="152104B7" w:rsidR="008326DA" w:rsidRPr="00BD7721" w:rsidRDefault="007B616C" w:rsidP="005B6E76">
      <w:pPr>
        <w:pStyle w:val="Normalnumber"/>
        <w:rPr>
          <w:lang w:val="en-GB"/>
        </w:rPr>
      </w:pPr>
      <w:r w:rsidRPr="00BD7721">
        <w:rPr>
          <w:lang w:val="en-GB"/>
        </w:rPr>
        <w:t>T</w:t>
      </w:r>
      <w:r w:rsidR="008326DA" w:rsidRPr="00BD7721">
        <w:rPr>
          <w:lang w:val="en-GB"/>
        </w:rPr>
        <w:t xml:space="preserve">he Plenary elected the following members of the Bureau: </w:t>
      </w:r>
    </w:p>
    <w:p w14:paraId="0464E61A" w14:textId="77777777" w:rsidR="008326DA" w:rsidRPr="00BD7721" w:rsidRDefault="008326DA" w:rsidP="006A4A78">
      <w:pPr>
        <w:pStyle w:val="NormalNonumber"/>
        <w:ind w:firstLine="624"/>
        <w:rPr>
          <w:i/>
          <w:iCs/>
          <w:lang w:val="en-GB"/>
        </w:rPr>
      </w:pPr>
      <w:r w:rsidRPr="00BD7721">
        <w:rPr>
          <w:i/>
          <w:iCs/>
          <w:lang w:val="en-GB"/>
        </w:rPr>
        <w:t xml:space="preserve">From African States: </w:t>
      </w:r>
    </w:p>
    <w:p w14:paraId="2DDC183D" w14:textId="77777777" w:rsidR="008326DA" w:rsidRPr="00BD7721" w:rsidRDefault="008326DA" w:rsidP="006A4A78">
      <w:pPr>
        <w:pStyle w:val="NormalNonumber"/>
        <w:ind w:left="1871" w:firstLine="624"/>
        <w:rPr>
          <w:lang w:val="en-GB"/>
        </w:rPr>
      </w:pPr>
      <w:r w:rsidRPr="00BD7721">
        <w:rPr>
          <w:lang w:val="en-GB"/>
        </w:rPr>
        <w:t>Chair: David Obura (Kenya)</w:t>
      </w:r>
    </w:p>
    <w:p w14:paraId="6F9A96C0" w14:textId="77777777" w:rsidR="008326DA" w:rsidRPr="00BD7721" w:rsidRDefault="008326DA" w:rsidP="006A4A78">
      <w:pPr>
        <w:pStyle w:val="NormalNonumber"/>
        <w:ind w:left="1871" w:firstLine="624"/>
        <w:rPr>
          <w:lang w:val="en-GB"/>
        </w:rPr>
      </w:pPr>
      <w:r w:rsidRPr="00BD7721">
        <w:rPr>
          <w:lang w:val="en-GB"/>
        </w:rPr>
        <w:t xml:space="preserve">Bureau member: </w:t>
      </w:r>
      <w:proofErr w:type="spellStart"/>
      <w:r w:rsidRPr="00BD7721">
        <w:rPr>
          <w:lang w:val="en-GB"/>
        </w:rPr>
        <w:t>Sebsebe</w:t>
      </w:r>
      <w:proofErr w:type="spellEnd"/>
      <w:r w:rsidRPr="00BD7721">
        <w:rPr>
          <w:lang w:val="en-GB"/>
        </w:rPr>
        <w:t xml:space="preserve"> </w:t>
      </w:r>
      <w:proofErr w:type="spellStart"/>
      <w:r w:rsidRPr="00BD7721">
        <w:rPr>
          <w:lang w:val="en-GB"/>
        </w:rPr>
        <w:t>Demissew</w:t>
      </w:r>
      <w:proofErr w:type="spellEnd"/>
      <w:r w:rsidRPr="00BD7721">
        <w:rPr>
          <w:lang w:val="en-GB"/>
        </w:rPr>
        <w:t xml:space="preserve"> (Ethiopia)</w:t>
      </w:r>
    </w:p>
    <w:p w14:paraId="1896459A" w14:textId="2EBE924F" w:rsidR="008326DA" w:rsidRPr="00BD7721" w:rsidRDefault="008326DA" w:rsidP="006A4A78">
      <w:pPr>
        <w:pStyle w:val="NormalNonumber"/>
        <w:ind w:left="1871" w:firstLine="624"/>
        <w:rPr>
          <w:lang w:val="en-GB"/>
        </w:rPr>
      </w:pPr>
      <w:r w:rsidRPr="00BD7721">
        <w:rPr>
          <w:lang w:val="en-GB"/>
        </w:rPr>
        <w:t xml:space="preserve">Alternates: Flora </w:t>
      </w:r>
      <w:proofErr w:type="spellStart"/>
      <w:r w:rsidRPr="00BD7721">
        <w:rPr>
          <w:lang w:val="en-GB"/>
        </w:rPr>
        <w:t>Mohlago</w:t>
      </w:r>
      <w:proofErr w:type="spellEnd"/>
      <w:r w:rsidRPr="00BD7721">
        <w:rPr>
          <w:lang w:val="en-GB"/>
        </w:rPr>
        <w:t xml:space="preserve"> </w:t>
      </w:r>
      <w:proofErr w:type="spellStart"/>
      <w:r w:rsidRPr="00BD7721">
        <w:rPr>
          <w:lang w:val="en-GB"/>
        </w:rPr>
        <w:t>Mokgohloa</w:t>
      </w:r>
      <w:proofErr w:type="spellEnd"/>
      <w:r w:rsidRPr="00BD7721">
        <w:rPr>
          <w:lang w:val="en-GB"/>
        </w:rPr>
        <w:t xml:space="preserve"> (South Africa), Asia Mohamed (Sudan)</w:t>
      </w:r>
    </w:p>
    <w:p w14:paraId="051704EC" w14:textId="77777777" w:rsidR="008326DA" w:rsidRPr="00BD7721" w:rsidRDefault="008326DA" w:rsidP="006A4A78">
      <w:pPr>
        <w:pStyle w:val="NormalNonumber"/>
        <w:spacing w:before="240"/>
        <w:ind w:firstLine="624"/>
        <w:rPr>
          <w:i/>
          <w:iCs/>
          <w:lang w:val="en-GB"/>
        </w:rPr>
      </w:pPr>
      <w:r w:rsidRPr="00BD7721">
        <w:rPr>
          <w:i/>
          <w:iCs/>
          <w:lang w:val="en-GB"/>
        </w:rPr>
        <w:t xml:space="preserve">From Asian-Pacific States: </w:t>
      </w:r>
    </w:p>
    <w:p w14:paraId="5F247DB7" w14:textId="77777777" w:rsidR="008326DA" w:rsidRPr="00BD7721" w:rsidRDefault="008326DA" w:rsidP="006A4A78">
      <w:pPr>
        <w:pStyle w:val="NormalNonumber"/>
        <w:ind w:left="1871" w:firstLine="624"/>
        <w:rPr>
          <w:lang w:val="en-GB"/>
        </w:rPr>
      </w:pPr>
      <w:r w:rsidRPr="00BD7721">
        <w:rPr>
          <w:lang w:val="en-GB"/>
        </w:rPr>
        <w:t>Vice-Chair: Bishwa Nath Oli (Nepal)</w:t>
      </w:r>
    </w:p>
    <w:p w14:paraId="15F7C739" w14:textId="77777777" w:rsidR="008326DA" w:rsidRPr="00BD7721" w:rsidRDefault="008326DA" w:rsidP="006A4A78">
      <w:pPr>
        <w:pStyle w:val="NormalNonumber"/>
        <w:ind w:left="1871" w:firstLine="624"/>
        <w:rPr>
          <w:lang w:val="en-GB"/>
        </w:rPr>
      </w:pPr>
      <w:r w:rsidRPr="00BD7721">
        <w:rPr>
          <w:lang w:val="en-GB"/>
        </w:rPr>
        <w:t xml:space="preserve">Bureau member: </w:t>
      </w:r>
      <w:proofErr w:type="spellStart"/>
      <w:r w:rsidRPr="00BD7721">
        <w:rPr>
          <w:lang w:val="en-GB"/>
        </w:rPr>
        <w:t>Yongyut</w:t>
      </w:r>
      <w:proofErr w:type="spellEnd"/>
      <w:r w:rsidRPr="00BD7721">
        <w:rPr>
          <w:lang w:val="en-GB"/>
        </w:rPr>
        <w:t xml:space="preserve"> </w:t>
      </w:r>
      <w:proofErr w:type="spellStart"/>
      <w:r w:rsidRPr="00BD7721">
        <w:rPr>
          <w:lang w:val="en-GB"/>
        </w:rPr>
        <w:t>Trisurat</w:t>
      </w:r>
      <w:proofErr w:type="spellEnd"/>
      <w:r w:rsidRPr="00BD7721">
        <w:rPr>
          <w:lang w:val="en-GB"/>
        </w:rPr>
        <w:t xml:space="preserve"> (Thailand)</w:t>
      </w:r>
    </w:p>
    <w:p w14:paraId="5DA2A534" w14:textId="69031FDE" w:rsidR="008326DA" w:rsidRPr="00BD7721" w:rsidRDefault="008326DA" w:rsidP="006A4A78">
      <w:pPr>
        <w:pStyle w:val="NormalNonumber"/>
        <w:ind w:left="1871" w:firstLine="624"/>
        <w:rPr>
          <w:lang w:val="en-GB"/>
        </w:rPr>
      </w:pPr>
      <w:r w:rsidRPr="00BD7721">
        <w:rPr>
          <w:lang w:val="en-GB"/>
        </w:rPr>
        <w:t xml:space="preserve">Alternates: </w:t>
      </w:r>
      <w:proofErr w:type="spellStart"/>
      <w:r w:rsidRPr="00BD7721">
        <w:rPr>
          <w:lang w:val="en-GB"/>
        </w:rPr>
        <w:t>Chirra</w:t>
      </w:r>
      <w:proofErr w:type="spellEnd"/>
      <w:r w:rsidRPr="00BD7721">
        <w:rPr>
          <w:lang w:val="en-GB"/>
        </w:rPr>
        <w:t xml:space="preserve"> </w:t>
      </w:r>
      <w:proofErr w:type="spellStart"/>
      <w:r w:rsidRPr="00BD7721">
        <w:rPr>
          <w:lang w:val="en-GB"/>
        </w:rPr>
        <w:t>Achalender</w:t>
      </w:r>
      <w:proofErr w:type="spellEnd"/>
      <w:r w:rsidRPr="00BD7721">
        <w:rPr>
          <w:lang w:val="en-GB"/>
        </w:rPr>
        <w:t xml:space="preserve"> Reddy (India), </w:t>
      </w:r>
      <w:proofErr w:type="spellStart"/>
      <w:r w:rsidRPr="00BD7721">
        <w:rPr>
          <w:lang w:val="en-GB"/>
        </w:rPr>
        <w:t>Sevvandi</w:t>
      </w:r>
      <w:proofErr w:type="spellEnd"/>
      <w:r w:rsidRPr="00BD7721">
        <w:rPr>
          <w:lang w:val="en-GB"/>
        </w:rPr>
        <w:t xml:space="preserve"> Jayakody (Sri Lanka)</w:t>
      </w:r>
    </w:p>
    <w:p w14:paraId="43A8B161" w14:textId="77777777" w:rsidR="008326DA" w:rsidRPr="00BD7721" w:rsidRDefault="008326DA" w:rsidP="006A4A78">
      <w:pPr>
        <w:pStyle w:val="NormalNonumber"/>
        <w:spacing w:before="240"/>
        <w:ind w:firstLine="624"/>
        <w:rPr>
          <w:i/>
          <w:iCs/>
          <w:lang w:val="en-GB"/>
        </w:rPr>
      </w:pPr>
      <w:r w:rsidRPr="00BD7721">
        <w:rPr>
          <w:i/>
          <w:iCs/>
          <w:lang w:val="en-GB"/>
        </w:rPr>
        <w:t xml:space="preserve">From Eastern European States: </w:t>
      </w:r>
    </w:p>
    <w:p w14:paraId="39A9A8E3" w14:textId="77777777" w:rsidR="008326DA" w:rsidRPr="00BD7721" w:rsidRDefault="008326DA" w:rsidP="006A4A78">
      <w:pPr>
        <w:pStyle w:val="NormalNonumber"/>
        <w:ind w:left="1871" w:firstLine="624"/>
        <w:rPr>
          <w:lang w:val="en-GB"/>
        </w:rPr>
      </w:pPr>
      <w:r w:rsidRPr="00BD7721">
        <w:rPr>
          <w:lang w:val="en-GB"/>
        </w:rPr>
        <w:t>Vice-Chair: Hamid Custovic (Bosnia and Herzegovina)</w:t>
      </w:r>
    </w:p>
    <w:p w14:paraId="3CC0CD5A" w14:textId="77777777" w:rsidR="008326DA" w:rsidRPr="00BD7721" w:rsidRDefault="008326DA" w:rsidP="006A4A78">
      <w:pPr>
        <w:pStyle w:val="NormalNonumber"/>
        <w:ind w:left="1871" w:firstLine="624"/>
        <w:rPr>
          <w:lang w:val="en-GB"/>
        </w:rPr>
      </w:pPr>
      <w:r w:rsidRPr="00BD7721">
        <w:rPr>
          <w:lang w:val="en-GB"/>
        </w:rPr>
        <w:t>Bureau member: Erik Grigoryan (Armenia)</w:t>
      </w:r>
    </w:p>
    <w:p w14:paraId="4B92DB13" w14:textId="77777777" w:rsidR="008326DA" w:rsidRPr="00BD7721" w:rsidRDefault="008326DA" w:rsidP="006A4A78">
      <w:pPr>
        <w:pStyle w:val="NormalNonumber"/>
        <w:ind w:left="1871" w:firstLine="624"/>
        <w:rPr>
          <w:lang w:val="en-GB"/>
        </w:rPr>
      </w:pPr>
      <w:r w:rsidRPr="00BD7721">
        <w:rPr>
          <w:lang w:val="en-GB"/>
        </w:rPr>
        <w:t xml:space="preserve">Alternates: Eliška </w:t>
      </w:r>
      <w:proofErr w:type="spellStart"/>
      <w:r w:rsidRPr="00BD7721">
        <w:rPr>
          <w:lang w:val="en-GB"/>
        </w:rPr>
        <w:t>Rolfová</w:t>
      </w:r>
      <w:proofErr w:type="spellEnd"/>
      <w:r w:rsidRPr="00BD7721">
        <w:rPr>
          <w:lang w:val="en-GB"/>
        </w:rPr>
        <w:t xml:space="preserve"> (Czechia), Günay </w:t>
      </w:r>
      <w:proofErr w:type="spellStart"/>
      <w:r w:rsidRPr="00BD7721">
        <w:rPr>
          <w:lang w:val="en-GB"/>
        </w:rPr>
        <w:t>Erpul</w:t>
      </w:r>
      <w:proofErr w:type="spellEnd"/>
      <w:r w:rsidRPr="00BD7721">
        <w:rPr>
          <w:lang w:val="en-GB"/>
        </w:rPr>
        <w:t xml:space="preserve"> (Türkiye)</w:t>
      </w:r>
    </w:p>
    <w:p w14:paraId="69E4579A" w14:textId="77777777" w:rsidR="008326DA" w:rsidRPr="00BD7721" w:rsidRDefault="008326DA" w:rsidP="006A4A78">
      <w:pPr>
        <w:pStyle w:val="NormalNonumber"/>
        <w:spacing w:before="240"/>
        <w:ind w:firstLine="624"/>
        <w:rPr>
          <w:i/>
          <w:iCs/>
          <w:lang w:val="en-GB"/>
        </w:rPr>
      </w:pPr>
      <w:r w:rsidRPr="00BD7721">
        <w:rPr>
          <w:i/>
          <w:iCs/>
          <w:lang w:val="en-GB"/>
        </w:rPr>
        <w:t xml:space="preserve">From Latin American and Caribbean States: </w:t>
      </w:r>
    </w:p>
    <w:p w14:paraId="78019080" w14:textId="77777777" w:rsidR="008326DA" w:rsidRPr="00BD7721" w:rsidRDefault="008326DA" w:rsidP="006A4A78">
      <w:pPr>
        <w:pStyle w:val="NormalNonumber"/>
        <w:ind w:left="1871" w:firstLine="624"/>
        <w:rPr>
          <w:lang w:val="en-GB"/>
        </w:rPr>
      </w:pPr>
      <w:r w:rsidRPr="00BD7721">
        <w:rPr>
          <w:lang w:val="en-GB"/>
        </w:rPr>
        <w:t>Vice-Chair: Floyd Homer (Trinidad and Tobago)</w:t>
      </w:r>
    </w:p>
    <w:p w14:paraId="6F116B5E" w14:textId="77777777" w:rsidR="008326DA" w:rsidRPr="00BD7721" w:rsidRDefault="008326DA" w:rsidP="006A4A78">
      <w:pPr>
        <w:pStyle w:val="NormalNonumber"/>
        <w:ind w:left="1871" w:firstLine="624"/>
        <w:rPr>
          <w:lang w:val="en-GB"/>
        </w:rPr>
      </w:pPr>
      <w:r w:rsidRPr="00BD7721">
        <w:rPr>
          <w:lang w:val="en-GB"/>
        </w:rPr>
        <w:t>Bureau member: Bernal Herrera (Costa Rica)</w:t>
      </w:r>
    </w:p>
    <w:p w14:paraId="263DCA91" w14:textId="77777777" w:rsidR="008326DA" w:rsidRPr="00BD7721" w:rsidRDefault="008326DA" w:rsidP="006A4A78">
      <w:pPr>
        <w:pStyle w:val="NormalNonumber"/>
        <w:spacing w:before="240"/>
        <w:ind w:firstLine="624"/>
        <w:rPr>
          <w:i/>
          <w:iCs/>
          <w:lang w:val="en-GB"/>
        </w:rPr>
      </w:pPr>
      <w:r w:rsidRPr="00BD7721">
        <w:rPr>
          <w:i/>
          <w:iCs/>
          <w:lang w:val="en-GB"/>
        </w:rPr>
        <w:t xml:space="preserve">From Western European and other States: </w:t>
      </w:r>
    </w:p>
    <w:p w14:paraId="2B90D88C" w14:textId="77777777" w:rsidR="008326DA" w:rsidRPr="00BD7721" w:rsidRDefault="008326DA" w:rsidP="006A4A78">
      <w:pPr>
        <w:pStyle w:val="NormalNonumber"/>
        <w:ind w:left="1871" w:firstLine="624"/>
        <w:rPr>
          <w:lang w:val="en-GB"/>
        </w:rPr>
      </w:pPr>
      <w:r w:rsidRPr="00BD7721">
        <w:rPr>
          <w:lang w:val="en-GB"/>
        </w:rPr>
        <w:t>Vice-Chair: Douglas Beard (United States of America)</w:t>
      </w:r>
    </w:p>
    <w:p w14:paraId="6ED02B5A" w14:textId="77777777" w:rsidR="008326DA" w:rsidRPr="00891BFE" w:rsidRDefault="008326DA" w:rsidP="006A4A78">
      <w:pPr>
        <w:pStyle w:val="NormalNonumber"/>
        <w:ind w:left="1871" w:firstLine="624"/>
        <w:rPr>
          <w:lang w:val="fr-FR"/>
        </w:rPr>
      </w:pPr>
      <w:r w:rsidRPr="00891BFE">
        <w:rPr>
          <w:lang w:val="fr-FR"/>
        </w:rPr>
        <w:t xml:space="preserve">Bureau </w:t>
      </w:r>
      <w:proofErr w:type="spellStart"/>
      <w:r w:rsidRPr="00891BFE">
        <w:rPr>
          <w:lang w:val="fr-FR"/>
        </w:rPr>
        <w:t>member</w:t>
      </w:r>
      <w:proofErr w:type="spellEnd"/>
      <w:r w:rsidRPr="00891BFE">
        <w:rPr>
          <w:lang w:val="fr-FR"/>
        </w:rPr>
        <w:t xml:space="preserve">: Eva </w:t>
      </w:r>
      <w:proofErr w:type="spellStart"/>
      <w:r w:rsidRPr="00891BFE">
        <w:rPr>
          <w:lang w:val="fr-FR"/>
        </w:rPr>
        <w:t>Primmer</w:t>
      </w:r>
      <w:proofErr w:type="spellEnd"/>
      <w:r w:rsidRPr="00891BFE">
        <w:rPr>
          <w:lang w:val="fr-FR"/>
        </w:rPr>
        <w:t xml:space="preserve"> (</w:t>
      </w:r>
      <w:proofErr w:type="spellStart"/>
      <w:r w:rsidRPr="00891BFE">
        <w:rPr>
          <w:lang w:val="fr-FR"/>
        </w:rPr>
        <w:t>Finland</w:t>
      </w:r>
      <w:proofErr w:type="spellEnd"/>
      <w:r w:rsidRPr="00891BFE">
        <w:rPr>
          <w:lang w:val="fr-FR"/>
        </w:rPr>
        <w:t>)</w:t>
      </w:r>
    </w:p>
    <w:p w14:paraId="431C1A40" w14:textId="77777777" w:rsidR="008326DA" w:rsidRPr="00BD7721" w:rsidRDefault="008326DA" w:rsidP="006A4A78">
      <w:pPr>
        <w:pStyle w:val="NormalNonumber"/>
        <w:ind w:left="1871" w:firstLine="624"/>
        <w:rPr>
          <w:lang w:val="en-GB"/>
        </w:rPr>
      </w:pPr>
      <w:r w:rsidRPr="00BD7721">
        <w:rPr>
          <w:lang w:val="en-GB"/>
        </w:rPr>
        <w:t>Alternates: Janina Heim (Germany), Sebastian Koenig (Switzerland)</w:t>
      </w:r>
    </w:p>
    <w:p w14:paraId="1C0F08BD" w14:textId="77777777" w:rsidR="008326DA" w:rsidRPr="00BD7721" w:rsidRDefault="008326DA" w:rsidP="005B6E76">
      <w:pPr>
        <w:pStyle w:val="Normalnumber"/>
        <w:rPr>
          <w:lang w:val="en-GB"/>
        </w:rPr>
      </w:pPr>
      <w:r w:rsidRPr="00BD7721">
        <w:rPr>
          <w:lang w:val="en-GB"/>
        </w:rPr>
        <w:t>The newly elected members would commence their term upon the closure of the current session and would serve for three intersessional periods, until the election of their successors at the thirteenth session of the Platform.</w:t>
      </w:r>
    </w:p>
    <w:p w14:paraId="2ABA6D8F" w14:textId="77777777" w:rsidR="008326DA" w:rsidRPr="00BD7721" w:rsidRDefault="008326DA" w:rsidP="005B6E76">
      <w:pPr>
        <w:pStyle w:val="Normalnumber"/>
        <w:rPr>
          <w:lang w:val="en-GB"/>
        </w:rPr>
      </w:pPr>
      <w:r w:rsidRPr="00BD7721">
        <w:rPr>
          <w:lang w:val="en-GB"/>
        </w:rPr>
        <w:t>Mr. Obura delivered a statement in his role as newly elected Chair.</w:t>
      </w:r>
    </w:p>
    <w:p w14:paraId="00013BA9" w14:textId="15F75E7C" w:rsidR="005265B4" w:rsidRPr="00BD7721" w:rsidRDefault="005265B4" w:rsidP="005265B4">
      <w:pPr>
        <w:pStyle w:val="CH1"/>
        <w:rPr>
          <w:lang w:val="en-GB"/>
        </w:rPr>
      </w:pPr>
      <w:r w:rsidRPr="00BD7721">
        <w:rPr>
          <w:lang w:val="en-GB"/>
        </w:rPr>
        <w:tab/>
        <w:t>III.</w:t>
      </w:r>
      <w:r w:rsidRPr="00BD7721">
        <w:rPr>
          <w:lang w:val="en-GB"/>
        </w:rPr>
        <w:tab/>
        <w:t>Admission of observers</w:t>
      </w:r>
    </w:p>
    <w:p w14:paraId="2643BFD2" w14:textId="480BCA90" w:rsidR="0005782D" w:rsidRPr="00BD7721" w:rsidRDefault="0005782D" w:rsidP="005B6E76">
      <w:pPr>
        <w:pStyle w:val="Normalnumber"/>
        <w:rPr>
          <w:lang w:val="en-GB"/>
        </w:rPr>
      </w:pPr>
      <w:r w:rsidRPr="00BD7721">
        <w:rPr>
          <w:lang w:val="en-GB"/>
        </w:rPr>
        <w:t>Introducing the item, the Chair recalled that, at its ninth session, the Plenary had decided that the interim procedure for the admission of observers to sessions of the Plenary, as described in paragraph 22 of the report of the first session of the Plenary (IPBES/1/12) and applied at its second to ninth sessions, would be applied at its tenth session. In accordance with that interim procedure, the observers admitted to the previous sessions of the Plenary, as listed in part I of the annex to document IPBES/10/INF/3, were among those admitted to the current session. Part</w:t>
      </w:r>
      <w:r w:rsidR="00126162" w:rsidRPr="00BD7721">
        <w:rPr>
          <w:lang w:val="en-GB"/>
        </w:rPr>
        <w:t xml:space="preserve"> </w:t>
      </w:r>
      <w:r w:rsidRPr="00BD7721">
        <w:rPr>
          <w:lang w:val="en-GB"/>
        </w:rPr>
        <w:t xml:space="preserve">II of that annex contained a list of 42 organizations recommended by the Bureau for admission as new observers to the current session of the Plenary, while part III contained a list of 21 applications not recommended. The Plenary agreed to welcome the new observers, as recommended by the Bureau, to the tenth session of the Plenary. </w:t>
      </w:r>
    </w:p>
    <w:p w14:paraId="6610F4F9" w14:textId="77777777" w:rsidR="0005782D" w:rsidRPr="00BD7721" w:rsidRDefault="0005782D" w:rsidP="005B6E76">
      <w:pPr>
        <w:pStyle w:val="Normalnumber"/>
        <w:rPr>
          <w:lang w:val="en-GB"/>
        </w:rPr>
      </w:pPr>
      <w:r w:rsidRPr="00BD7721">
        <w:rPr>
          <w:lang w:val="en-GB"/>
        </w:rPr>
        <w:t xml:space="preserve">The Chair also recalled that, at previous sessions of the Plenary, diverging opinions had been expressed regarding the procedure for the admission of observers, as contained in paragraphs 14 to 17 of the draft policy and procedures for the admission of observers set out in the annex to document IPBES/10/3. </w:t>
      </w:r>
    </w:p>
    <w:p w14:paraId="19CF01FE" w14:textId="1FBD6AFF" w:rsidR="0005782D" w:rsidRPr="00BD7721" w:rsidRDefault="0005782D" w:rsidP="005B6E76">
      <w:pPr>
        <w:pStyle w:val="Normalnumber"/>
        <w:rPr>
          <w:lang w:val="en-GB"/>
        </w:rPr>
      </w:pPr>
      <w:r w:rsidRPr="00BD7721">
        <w:rPr>
          <w:lang w:val="en-GB"/>
        </w:rPr>
        <w:t xml:space="preserve">As positions on the matter had not changed, the Plenary decided that the Plenary, at its </w:t>
      </w:r>
      <w:r w:rsidR="005839F5" w:rsidRPr="00BD7721">
        <w:rPr>
          <w:lang w:val="en-GB"/>
        </w:rPr>
        <w:t xml:space="preserve">eleventh </w:t>
      </w:r>
      <w:r w:rsidRPr="00BD7721">
        <w:rPr>
          <w:lang w:val="en-GB"/>
        </w:rPr>
        <w:t xml:space="preserve">session, would continue to use the interim procedure for the admission of observers to sessions of the Plenary, as described in paragraph 22 of the report of the first session of the Plenary (IPBES/1/12) and applied at its second to tenth sessions, on the understanding that observers admitted to its </w:t>
      </w:r>
      <w:r w:rsidR="005839F5" w:rsidRPr="00BD7721">
        <w:rPr>
          <w:lang w:val="en-GB"/>
        </w:rPr>
        <w:t xml:space="preserve">first to tenth sessions would be among those admitted to its </w:t>
      </w:r>
      <w:r w:rsidRPr="00BD7721">
        <w:rPr>
          <w:lang w:val="en-GB"/>
        </w:rPr>
        <w:t xml:space="preserve">eleventh session. </w:t>
      </w:r>
    </w:p>
    <w:p w14:paraId="4A5A683C" w14:textId="77E013C2" w:rsidR="005265B4" w:rsidRPr="00BD7721" w:rsidRDefault="005265B4" w:rsidP="005265B4">
      <w:pPr>
        <w:pStyle w:val="CH1"/>
        <w:rPr>
          <w:lang w:val="en-GB"/>
        </w:rPr>
      </w:pPr>
      <w:r w:rsidRPr="00BD7721">
        <w:rPr>
          <w:lang w:val="en-GB"/>
        </w:rPr>
        <w:tab/>
        <w:t>IV.</w:t>
      </w:r>
      <w:r w:rsidRPr="00BD7721">
        <w:rPr>
          <w:lang w:val="en-GB"/>
        </w:rPr>
        <w:tab/>
        <w:t>Credentials of representatives</w:t>
      </w:r>
    </w:p>
    <w:p w14:paraId="28D423C3" w14:textId="77777777" w:rsidR="00CB6C0B" w:rsidRPr="00BD7721" w:rsidRDefault="00CB6C0B" w:rsidP="00CB6C0B">
      <w:pPr>
        <w:pStyle w:val="Normalnumber"/>
        <w:rPr>
          <w:lang w:val="en-GB"/>
        </w:rPr>
      </w:pPr>
      <w:r w:rsidRPr="00BD7721">
        <w:rPr>
          <w:lang w:val="en-GB"/>
        </w:rPr>
        <w:t xml:space="preserve">The Bureau, with the assistance of the secretariat, examined the credentials of the representatives of IPBES members submitted in accordance with rule 13 of the rules of procedure. </w:t>
      </w:r>
    </w:p>
    <w:p w14:paraId="4D913B1C" w14:textId="178FAA68" w:rsidR="00F96A1D" w:rsidRPr="00BD7721" w:rsidRDefault="00CB6C0B" w:rsidP="00CB6C0B">
      <w:pPr>
        <w:pStyle w:val="Normalnumber"/>
        <w:rPr>
          <w:lang w:val="en-GB"/>
        </w:rPr>
      </w:pPr>
      <w:r w:rsidRPr="00BD7721">
        <w:rPr>
          <w:lang w:val="en-GB"/>
        </w:rPr>
        <w:t>The Legal Adviser reported that the Bureau had found that the following 77 members of the Platform had submitted to the secretariat, in accordance with rule 12 of the rules of procedure, original credentials signed by the Head of State or Government or the Minister for Foreign Affairs, consistent with each country’s policy and law, and that those credentials were in good order: Antigua and Barbuda, Argentina, Armenia, Australia, Austria, Bangladesh, Belgium, Bhutan, Bosnia and Herzegovina, Brazil, Bulgaria, Burundi, Cameroon, Canada, Chile, China, Colombia, Costa Rica, Croatia, Cuba, Democratic Republic of the Congo, Denmark, Dominican Republic, Ecuador, Estonia, Ethiopia, Finland, France, Georgia, Germany, Ghana, Grenada, Guatemala, Guinea Bissau, Hungary, India, Ireland, Israel, Italy, Japan, Lithuania, Luxembourg, Madagascar, Malawi, Malaysia, Maldives, Mauritania, Mexico, Monaco, Morocco, Nepal, Netherlands (Kingdom of the), New Zealand, North</w:t>
      </w:r>
      <w:r w:rsidR="00EC70CA" w:rsidRPr="00BD7721">
        <w:rPr>
          <w:lang w:val="en-GB"/>
        </w:rPr>
        <w:t> </w:t>
      </w:r>
      <w:r w:rsidRPr="00BD7721">
        <w:rPr>
          <w:lang w:val="en-GB"/>
        </w:rPr>
        <w:t>Macedonia, Norway, Oman, Paraguay, Peru, Portugal, Republic of Korea, Republic of Moldova, Saint Lucia, Serbia, Slovakia, South Africa, Spain, Sri Lanka, Sweden, Switzerland, Thailand, Togo, Trinidad and Tobago, Tunisia, United Kingdom of Great Britain and Northern</w:t>
      </w:r>
      <w:r w:rsidR="00EC70CA" w:rsidRPr="00BD7721">
        <w:rPr>
          <w:lang w:val="en-GB"/>
        </w:rPr>
        <w:t> </w:t>
      </w:r>
      <w:r w:rsidRPr="00BD7721">
        <w:rPr>
          <w:lang w:val="en-GB"/>
        </w:rPr>
        <w:t xml:space="preserve">Ireland, United States of America, Uruguay, Zambia. </w:t>
      </w:r>
    </w:p>
    <w:p w14:paraId="6D6CB273" w14:textId="2C9F7120" w:rsidR="00CB6C0B" w:rsidRPr="00BD7721" w:rsidRDefault="00CB6C0B" w:rsidP="00CB6C0B">
      <w:pPr>
        <w:pStyle w:val="Normalnumber"/>
        <w:rPr>
          <w:lang w:val="en-GB"/>
        </w:rPr>
      </w:pPr>
      <w:r w:rsidRPr="00BD7721">
        <w:rPr>
          <w:lang w:val="en-GB"/>
        </w:rPr>
        <w:t>The following 41 members had submitted copies of credentials issued by the Head of State or Government or the Ministry of Foreign Affairs, or other forms of official communication: Algeria, Benin, Bolivia (Plurinational State of), Botswana, Burkina Faso, Cambodia, Central African Republic, Chad, Comoros, Cook Islands, Côte d’Ivoire, Czechia, Egypt, Fiji, Gabon, Guinea, Indonesia, Iran</w:t>
      </w:r>
      <w:r w:rsidR="005A4922" w:rsidRPr="00BD7721">
        <w:rPr>
          <w:lang w:val="en-GB"/>
        </w:rPr>
        <w:t> </w:t>
      </w:r>
      <w:r w:rsidRPr="00BD7721">
        <w:rPr>
          <w:lang w:val="en-GB"/>
        </w:rPr>
        <w:t>(Islamic Republic of), Kenya, Latvia, Liberia, Libya, Namibia, Nicaragua, Niger, Nigeria, Pakistan, Philippines, Romania, Russian Federation, Saudi Arabia, Senegal, Sudan, Suriname, Türkiye, Uganda, United Arab Emirates, United Republic of Tanzania, Venezuela (Bolivarian Republic of), Yemen, Zimbabwe.</w:t>
      </w:r>
    </w:p>
    <w:p w14:paraId="66B22262" w14:textId="266933AD" w:rsidR="00CB6C0B" w:rsidRPr="00BD7721" w:rsidRDefault="00CB6C0B" w:rsidP="00847232">
      <w:pPr>
        <w:pStyle w:val="Normalnumber"/>
        <w:numPr>
          <w:ilvl w:val="0"/>
          <w:numId w:val="1"/>
        </w:numPr>
        <w:ind w:left="1247"/>
        <w:rPr>
          <w:lang w:val="en-GB"/>
        </w:rPr>
      </w:pPr>
      <w:r w:rsidRPr="00BD7721">
        <w:rPr>
          <w:lang w:val="en-GB"/>
        </w:rPr>
        <w:t>The Plenary approved the report of the Bureau on credentials.</w:t>
      </w:r>
    </w:p>
    <w:p w14:paraId="095D953A" w14:textId="12A0BA41" w:rsidR="005265B4" w:rsidRPr="00BD7721" w:rsidRDefault="005265B4" w:rsidP="005265B4">
      <w:pPr>
        <w:pStyle w:val="CH1"/>
        <w:rPr>
          <w:lang w:val="en-GB"/>
        </w:rPr>
      </w:pPr>
      <w:r w:rsidRPr="00BD7721">
        <w:rPr>
          <w:lang w:val="en-GB"/>
        </w:rPr>
        <w:tab/>
        <w:t>V.</w:t>
      </w:r>
      <w:r w:rsidRPr="00BD7721">
        <w:rPr>
          <w:lang w:val="en-GB"/>
        </w:rPr>
        <w:tab/>
        <w:t>Report of the Executive Secretary on progress in the implementation of the rolling work programme up to 2030</w:t>
      </w:r>
    </w:p>
    <w:p w14:paraId="42C18C1F" w14:textId="60E09F2B" w:rsidR="0005782D" w:rsidRPr="00BD7721" w:rsidRDefault="0005782D" w:rsidP="005B6E76">
      <w:pPr>
        <w:pStyle w:val="Normalnumber"/>
        <w:rPr>
          <w:lang w:val="en-GB"/>
        </w:rPr>
      </w:pPr>
      <w:r w:rsidRPr="00BD7721">
        <w:rPr>
          <w:lang w:val="en-GB"/>
        </w:rPr>
        <w:t>Introducing the item, the Chair recalled that, in its decision IPBES-7/1, the Plenary had adopted the rolling work programme of IPBES for the period up to 2030. In its decision IPBES-9/1, it had requested the Executive Secretary to provide a report on progress in the implementation of the work programme to the Plenary at its tenth session. Pursuant to paragraph 2 of section I of decision IPBES</w:t>
      </w:r>
      <w:r w:rsidRPr="00BD7721">
        <w:rPr>
          <w:lang w:val="en-GB"/>
        </w:rPr>
        <w:noBreakHyphen/>
        <w:t xml:space="preserve">9/1, on the implementation of the work programme of the Platform up to 2030, the Executive Secretary, in consultation with the Multidisciplinary Expert Panel and the Bureau, had developed for consideration by the Plenary a report on progress in the implementation of the rolling work programme up to 2030 (IPBES/10/4). Additional information was set out in documents IPBES/10/INF/4 </w:t>
      </w:r>
      <w:r w:rsidR="00F45721" w:rsidRPr="00BD7721">
        <w:rPr>
          <w:lang w:val="en-GB"/>
        </w:rPr>
        <w:t xml:space="preserve">on </w:t>
      </w:r>
      <w:r w:rsidRPr="00BD7721">
        <w:rPr>
          <w:lang w:val="en-GB"/>
        </w:rPr>
        <w:t xml:space="preserve">the institutional arrangements established for the provision of technical support for the implementation of the work programme; IPBES/10/INF/5 on </w:t>
      </w:r>
      <w:r w:rsidR="00F45721" w:rsidRPr="00BD7721">
        <w:rPr>
          <w:lang w:val="en-GB"/>
        </w:rPr>
        <w:t xml:space="preserve">the </w:t>
      </w:r>
      <w:r w:rsidRPr="00BD7721">
        <w:rPr>
          <w:lang w:val="en-GB"/>
        </w:rPr>
        <w:t xml:space="preserve">process followed for the preparation of the thematic assessment of invasive alien species and their control; IPBES/10/INF/6 </w:t>
      </w:r>
      <w:r w:rsidR="005A7C7D" w:rsidRPr="00BD7721">
        <w:rPr>
          <w:lang w:val="en-GB"/>
        </w:rPr>
        <w:t xml:space="preserve">on </w:t>
      </w:r>
      <w:r w:rsidRPr="00BD7721">
        <w:rPr>
          <w:lang w:val="en-GB"/>
        </w:rPr>
        <w:t xml:space="preserve">progress in the preparation of the thematic assessment of the interlinkages among biodiversity, water, food and health (nexus assessment), the thematic assessment of the underlying causes of biodiversity loss and the determinants of transformative change and options for achieving the 2050 Vision for Biodiversity (transformative change assessment) and the methodological assessment of the impact and dependence of business on biodiversity and nature’s contribution to people (business and biodiversity assessment); IPBES/10/INF/8 </w:t>
      </w:r>
      <w:r w:rsidR="002722A8" w:rsidRPr="00BD7721">
        <w:rPr>
          <w:lang w:val="en-GB"/>
        </w:rPr>
        <w:t>on</w:t>
      </w:r>
      <w:r w:rsidR="005A7C7D" w:rsidRPr="00BD7721">
        <w:rPr>
          <w:lang w:val="en-GB"/>
        </w:rPr>
        <w:t xml:space="preserve"> </w:t>
      </w:r>
      <w:r w:rsidRPr="00BD7721">
        <w:rPr>
          <w:lang w:val="en-GB"/>
        </w:rPr>
        <w:t xml:space="preserve">the guide on the production of assessments; IPBES/10/INF/9 on work related to building capacity; IPBES/10/INF/10 </w:t>
      </w:r>
      <w:r w:rsidR="005A7C7D" w:rsidRPr="00BD7721">
        <w:rPr>
          <w:lang w:val="en-GB"/>
        </w:rPr>
        <w:t>on</w:t>
      </w:r>
      <w:r w:rsidRPr="00BD7721">
        <w:rPr>
          <w:lang w:val="en-GB"/>
        </w:rPr>
        <w:t xml:space="preserve"> enhanced recognition of and work with indigenous and local knowledge systems; IPBES/10/INF/11 </w:t>
      </w:r>
      <w:r w:rsidR="005A7C7D" w:rsidRPr="00BD7721">
        <w:rPr>
          <w:lang w:val="en-GB"/>
        </w:rPr>
        <w:t xml:space="preserve">on </w:t>
      </w:r>
      <w:r w:rsidRPr="00BD7721">
        <w:rPr>
          <w:lang w:val="en-GB"/>
        </w:rPr>
        <w:t xml:space="preserve">advanced work on knowledge and data; IPBES/10/INF/12 </w:t>
      </w:r>
      <w:r w:rsidR="005A7C7D" w:rsidRPr="00BD7721">
        <w:rPr>
          <w:lang w:val="en-GB"/>
        </w:rPr>
        <w:t xml:space="preserve">on </w:t>
      </w:r>
      <w:r w:rsidRPr="00BD7721">
        <w:rPr>
          <w:lang w:val="en-GB"/>
        </w:rPr>
        <w:t xml:space="preserve">advanced work on policy instruments, policy support tools and methodologies; IPBES/10/INF/13 </w:t>
      </w:r>
      <w:r w:rsidR="005A7C7D" w:rsidRPr="00BD7721">
        <w:rPr>
          <w:lang w:val="en-GB"/>
        </w:rPr>
        <w:t xml:space="preserve">on </w:t>
      </w:r>
      <w:r w:rsidRPr="00BD7721">
        <w:rPr>
          <w:lang w:val="en-GB"/>
        </w:rPr>
        <w:t xml:space="preserve">advanced work on scenarios and models of biodiversity and ecosystem functions and services; IPBES/10/INF/14 </w:t>
      </w:r>
      <w:r w:rsidR="005A7C7D" w:rsidRPr="00BD7721">
        <w:rPr>
          <w:lang w:val="en-GB"/>
        </w:rPr>
        <w:t>on</w:t>
      </w:r>
      <w:r w:rsidRPr="00BD7721">
        <w:rPr>
          <w:lang w:val="en-GB"/>
        </w:rPr>
        <w:t xml:space="preserve"> strengthened communication; and IPBES/10/INF/15 </w:t>
      </w:r>
      <w:r w:rsidR="005A7C7D" w:rsidRPr="00BD7721">
        <w:rPr>
          <w:lang w:val="en-GB"/>
        </w:rPr>
        <w:t xml:space="preserve">on </w:t>
      </w:r>
      <w:r w:rsidRPr="00BD7721">
        <w:rPr>
          <w:lang w:val="en-GB"/>
        </w:rPr>
        <w:t xml:space="preserve">strengthened engagement of stakeholders. </w:t>
      </w:r>
    </w:p>
    <w:p w14:paraId="4DAF6E10" w14:textId="69E1A8B8" w:rsidR="0005782D" w:rsidRPr="00BD7721" w:rsidRDefault="0005782D" w:rsidP="005B6E76">
      <w:pPr>
        <w:pStyle w:val="Normalnumber"/>
        <w:rPr>
          <w:lang w:val="en-GB"/>
        </w:rPr>
      </w:pPr>
      <w:r w:rsidRPr="00BD7721">
        <w:rPr>
          <w:lang w:val="en-GB"/>
        </w:rPr>
        <w:t>The Executive Secretary presented her report on progress in the implementation of the rolling work programme up to 2030 according to its six objectives, with the secretariat outlining communication activities. The Executive Secretary also gave a brief overview of the staffing situation within the secretariat and the implementation of the conflict</w:t>
      </w:r>
      <w:r w:rsidR="005A7C7D" w:rsidRPr="00BD7721">
        <w:rPr>
          <w:lang w:val="en-GB"/>
        </w:rPr>
        <w:t>-</w:t>
      </w:r>
      <w:r w:rsidRPr="00BD7721">
        <w:rPr>
          <w:lang w:val="en-GB"/>
        </w:rPr>
        <w:t>of</w:t>
      </w:r>
      <w:r w:rsidR="005A7C7D" w:rsidRPr="00BD7721">
        <w:rPr>
          <w:lang w:val="en-GB"/>
        </w:rPr>
        <w:t>-</w:t>
      </w:r>
      <w:r w:rsidRPr="00BD7721">
        <w:rPr>
          <w:lang w:val="en-GB"/>
        </w:rPr>
        <w:t>interest policy.</w:t>
      </w:r>
    </w:p>
    <w:p w14:paraId="480898D3" w14:textId="6EB275F1" w:rsidR="0005782D" w:rsidRPr="00BD7721" w:rsidRDefault="0005782D" w:rsidP="005B6E76">
      <w:pPr>
        <w:pStyle w:val="Normalnumber"/>
        <w:rPr>
          <w:lang w:val="en-GB"/>
        </w:rPr>
      </w:pPr>
      <w:r w:rsidRPr="00BD7721">
        <w:rPr>
          <w:lang w:val="en-GB"/>
        </w:rPr>
        <w:t>Co-chairs of the nexus, transformative change, and business and biodiversity assessments gave presentations on the development and implementation of those assessments. Each presentation provided information on context and scope of the assessment; the team involved in work on the assessment; progress made thus far, and next steps; and the timeline for completion of the assessment and consideration by Plenary.</w:t>
      </w:r>
    </w:p>
    <w:p w14:paraId="608500AC" w14:textId="77777777" w:rsidR="0005782D" w:rsidRPr="00BD7721" w:rsidRDefault="0005782D" w:rsidP="005B6E76">
      <w:pPr>
        <w:pStyle w:val="Normalnumber"/>
        <w:rPr>
          <w:lang w:val="en-GB"/>
        </w:rPr>
      </w:pPr>
      <w:r w:rsidRPr="00BD7721">
        <w:rPr>
          <w:lang w:val="en-GB"/>
        </w:rPr>
        <w:t xml:space="preserve">The Plenary took note of the information provided and welcomed the work undertaken. </w:t>
      </w:r>
    </w:p>
    <w:p w14:paraId="663281B9" w14:textId="75CEC853" w:rsidR="005265B4" w:rsidRPr="00BD7721" w:rsidRDefault="005265B4" w:rsidP="005265B4">
      <w:pPr>
        <w:pStyle w:val="CH1"/>
        <w:rPr>
          <w:lang w:val="en-GB"/>
        </w:rPr>
      </w:pPr>
      <w:r w:rsidRPr="00BD7721">
        <w:rPr>
          <w:lang w:val="en-GB"/>
        </w:rPr>
        <w:tab/>
        <w:t>VI.</w:t>
      </w:r>
      <w:r w:rsidRPr="00BD7721">
        <w:rPr>
          <w:lang w:val="en-GB"/>
        </w:rPr>
        <w:tab/>
        <w:t>Financial and budgetary arrangements for the Platform</w:t>
      </w:r>
    </w:p>
    <w:p w14:paraId="0D2C6827" w14:textId="0F0115EC" w:rsidR="00D32A9A" w:rsidRPr="00BD7721" w:rsidRDefault="00D32A9A" w:rsidP="00D32A9A">
      <w:pPr>
        <w:pStyle w:val="Normalnumber"/>
        <w:rPr>
          <w:lang w:val="en-GB"/>
        </w:rPr>
      </w:pPr>
      <w:r w:rsidRPr="00BD7721">
        <w:rPr>
          <w:color w:val="000000"/>
          <w:lang w:val="en-GB"/>
        </w:rPr>
        <w:t xml:space="preserve">The Executive Secretary provided an overview of the financial and budgetary arrangements for the </w:t>
      </w:r>
      <w:r w:rsidRPr="00BD7721">
        <w:rPr>
          <w:lang w:val="en-GB"/>
        </w:rPr>
        <w:t>Platform</w:t>
      </w:r>
      <w:r w:rsidRPr="00BD7721">
        <w:rPr>
          <w:color w:val="000000"/>
          <w:lang w:val="en-GB"/>
        </w:rPr>
        <w:t xml:space="preserve"> as set out in a note by the secretariat on the matter (IPBES/10/5) and a note </w:t>
      </w:r>
      <w:r w:rsidR="005A7C7D" w:rsidRPr="00BD7721">
        <w:rPr>
          <w:color w:val="000000"/>
          <w:lang w:val="en-GB"/>
        </w:rPr>
        <w:t xml:space="preserve">by the secretariat </w:t>
      </w:r>
      <w:r w:rsidRPr="00BD7721">
        <w:rPr>
          <w:color w:val="000000"/>
          <w:lang w:val="en-GB"/>
        </w:rPr>
        <w:t>on the detailed cost of the implementation of the work programme (IPBES/10/INF/18)</w:t>
      </w:r>
      <w:r w:rsidRPr="00BD7721">
        <w:rPr>
          <w:lang w:val="en-GB"/>
        </w:rPr>
        <w:t xml:space="preserve">. Additional contributions had been received since the documents had been issued, from </w:t>
      </w:r>
      <w:r w:rsidR="009D0F1B" w:rsidRPr="00BD7721">
        <w:rPr>
          <w:lang w:val="en-GB"/>
        </w:rPr>
        <w:t xml:space="preserve">10 Governments and </w:t>
      </w:r>
      <w:r w:rsidR="00D7582F" w:rsidRPr="00BD7721">
        <w:rPr>
          <w:color w:val="000000"/>
          <w:lang w:val="en-GB"/>
        </w:rPr>
        <w:t>1</w:t>
      </w:r>
      <w:r w:rsidR="009D0F1B" w:rsidRPr="00BD7721">
        <w:rPr>
          <w:color w:val="000000"/>
          <w:lang w:val="en-GB"/>
        </w:rPr>
        <w:t xml:space="preserve"> private sector donor</w:t>
      </w:r>
      <w:r w:rsidRPr="00BD7721">
        <w:rPr>
          <w:lang w:val="en-GB"/>
        </w:rPr>
        <w:t xml:space="preserve">. </w:t>
      </w:r>
    </w:p>
    <w:p w14:paraId="7BA45656" w14:textId="77777777" w:rsidR="00D32A9A" w:rsidRPr="00BD7721" w:rsidRDefault="00D32A9A" w:rsidP="00D32A9A">
      <w:pPr>
        <w:pStyle w:val="Normalnumber"/>
        <w:rPr>
          <w:lang w:val="en-GB"/>
        </w:rPr>
      </w:pPr>
      <w:r w:rsidRPr="00BD7721">
        <w:rPr>
          <w:color w:val="000000"/>
          <w:lang w:val="en-GB"/>
        </w:rPr>
        <w:t xml:space="preserve">The Chair expressed appreciation to countries and private sector donors that had contributed to the trust fund </w:t>
      </w:r>
      <w:r w:rsidRPr="00BD7721">
        <w:rPr>
          <w:lang w:val="en-GB"/>
        </w:rPr>
        <w:t>of</w:t>
      </w:r>
      <w:r w:rsidRPr="00BD7721">
        <w:rPr>
          <w:color w:val="000000"/>
          <w:lang w:val="en-GB"/>
        </w:rPr>
        <w:t xml:space="preserve"> the Platform and the countries and organizations that had provided in-kind or other support to IPBES, as well as to the many experts around the world who had devoted their time, free of charge, to the work of the Platform. Noting that there was nevertheless a need for further national </w:t>
      </w:r>
      <w:r w:rsidRPr="00BD7721">
        <w:rPr>
          <w:lang w:val="en-GB"/>
        </w:rPr>
        <w:t>funding</w:t>
      </w:r>
      <w:r w:rsidRPr="00BD7721">
        <w:rPr>
          <w:color w:val="000000"/>
          <w:lang w:val="en-GB"/>
        </w:rPr>
        <w:t xml:space="preserve"> for 2023 and subsequent years, she invited additional pledges to the trust fund</w:t>
      </w:r>
      <w:r w:rsidRPr="00BD7721">
        <w:rPr>
          <w:lang w:val="en-GB"/>
        </w:rPr>
        <w:t xml:space="preserve">. </w:t>
      </w:r>
    </w:p>
    <w:p w14:paraId="6A912DF5" w14:textId="5EEB2DF5" w:rsidR="00D32A9A" w:rsidRPr="00BD7721" w:rsidRDefault="00D32A9A" w:rsidP="00D32A9A">
      <w:pPr>
        <w:pStyle w:val="Normalnumber"/>
        <w:rPr>
          <w:lang w:val="en-GB"/>
        </w:rPr>
      </w:pPr>
      <w:r w:rsidRPr="00BD7721">
        <w:rPr>
          <w:lang w:val="en-GB"/>
        </w:rPr>
        <w:t xml:space="preserve">In response, a number of representatives provided information on their countries’ contributions. </w:t>
      </w:r>
      <w:r w:rsidRPr="00BD7721">
        <w:rPr>
          <w:rFonts w:cs="Arial"/>
          <w:kern w:val="2"/>
          <w:szCs w:val="28"/>
          <w:lang w:val="en-GB" w:eastAsia="ja-JP"/>
        </w:rPr>
        <w:t xml:space="preserve">The representative of the </w:t>
      </w:r>
      <w:r w:rsidRPr="00BD7721">
        <w:rPr>
          <w:lang w:val="en-GB"/>
        </w:rPr>
        <w:t>United</w:t>
      </w:r>
      <w:r w:rsidRPr="00BD7721">
        <w:rPr>
          <w:rFonts w:cs="Arial"/>
          <w:kern w:val="2"/>
          <w:szCs w:val="28"/>
          <w:lang w:val="en-GB" w:eastAsia="ja-JP"/>
        </w:rPr>
        <w:t xml:space="preserve"> States recalled that her </w:t>
      </w:r>
      <w:proofErr w:type="gramStart"/>
      <w:r w:rsidRPr="00BD7721">
        <w:rPr>
          <w:rFonts w:cs="Arial"/>
          <w:kern w:val="2"/>
          <w:szCs w:val="28"/>
          <w:lang w:val="en-GB" w:eastAsia="ja-JP"/>
        </w:rPr>
        <w:t>Government</w:t>
      </w:r>
      <w:proofErr w:type="gramEnd"/>
      <w:r w:rsidRPr="00BD7721">
        <w:rPr>
          <w:rFonts w:cs="Arial"/>
          <w:kern w:val="2"/>
          <w:szCs w:val="28"/>
          <w:lang w:val="en-GB" w:eastAsia="ja-JP"/>
        </w:rPr>
        <w:t xml:space="preserve"> had pledged to contribute $1.</w:t>
      </w:r>
      <w:r w:rsidR="009D0F1B" w:rsidRPr="00BD7721">
        <w:rPr>
          <w:rFonts w:cs="Arial"/>
          <w:kern w:val="2"/>
          <w:szCs w:val="28"/>
          <w:lang w:val="en-GB" w:eastAsia="ja-JP"/>
        </w:rPr>
        <w:t xml:space="preserve">2 </w:t>
      </w:r>
      <w:r w:rsidRPr="00BD7721">
        <w:rPr>
          <w:rFonts w:cs="Arial"/>
          <w:kern w:val="2"/>
          <w:szCs w:val="28"/>
          <w:lang w:val="en-GB" w:eastAsia="ja-JP"/>
        </w:rPr>
        <w:t xml:space="preserve">million for 2023 and the representative of the European Union reiterated its pledge of </w:t>
      </w:r>
      <w:r w:rsidRPr="00BD7721">
        <w:rPr>
          <w:kern w:val="2"/>
          <w:szCs w:val="28"/>
          <w:lang w:val="en-GB" w:eastAsia="ja-JP"/>
        </w:rPr>
        <w:t>€</w:t>
      </w:r>
      <w:r w:rsidR="00D7582F" w:rsidRPr="00BD7721">
        <w:rPr>
          <w:rFonts w:cs="Arial"/>
          <w:kern w:val="2"/>
          <w:szCs w:val="28"/>
          <w:lang w:val="en-GB" w:eastAsia="ja-JP"/>
        </w:rPr>
        <w:t>1</w:t>
      </w:r>
      <w:r w:rsidR="00FE3DBE" w:rsidRPr="00BD7721">
        <w:rPr>
          <w:rFonts w:cs="Arial"/>
          <w:kern w:val="2"/>
          <w:szCs w:val="28"/>
          <w:lang w:val="en-GB" w:eastAsia="ja-JP"/>
        </w:rPr>
        <w:t xml:space="preserve"> million</w:t>
      </w:r>
      <w:r w:rsidRPr="00BD7721">
        <w:rPr>
          <w:rFonts w:cs="Arial"/>
          <w:kern w:val="2"/>
          <w:szCs w:val="28"/>
          <w:lang w:val="en-GB" w:eastAsia="ja-JP"/>
        </w:rPr>
        <w:t xml:space="preserve"> </w:t>
      </w:r>
      <w:r w:rsidR="006B7D92" w:rsidRPr="00BD7721">
        <w:rPr>
          <w:lang w:val="en-GB"/>
        </w:rPr>
        <w:t>annually</w:t>
      </w:r>
      <w:r w:rsidR="006B7D92" w:rsidRPr="00BD7721">
        <w:rPr>
          <w:rFonts w:cs="Arial"/>
          <w:kern w:val="2"/>
          <w:szCs w:val="28"/>
          <w:lang w:val="en-GB" w:eastAsia="ja-JP"/>
        </w:rPr>
        <w:t xml:space="preserve"> </w:t>
      </w:r>
      <w:r w:rsidRPr="00BD7721">
        <w:rPr>
          <w:rFonts w:cs="Arial"/>
          <w:kern w:val="2"/>
          <w:szCs w:val="28"/>
          <w:lang w:val="en-GB" w:eastAsia="ja-JP"/>
        </w:rPr>
        <w:t>for the years 2023</w:t>
      </w:r>
      <w:r w:rsidR="00FE3DBE" w:rsidRPr="00BD7721">
        <w:rPr>
          <w:rFonts w:cs="Arial"/>
          <w:kern w:val="2"/>
          <w:szCs w:val="28"/>
          <w:lang w:val="en-GB" w:eastAsia="ja-JP"/>
        </w:rPr>
        <w:t xml:space="preserve"> to </w:t>
      </w:r>
      <w:r w:rsidRPr="00BD7721">
        <w:rPr>
          <w:rFonts w:cs="Arial"/>
          <w:kern w:val="2"/>
          <w:szCs w:val="28"/>
          <w:lang w:val="en-GB" w:eastAsia="ja-JP"/>
        </w:rPr>
        <w:t>202</w:t>
      </w:r>
      <w:r w:rsidR="00FE3DBE" w:rsidRPr="00BD7721">
        <w:rPr>
          <w:rFonts w:cs="Arial"/>
          <w:kern w:val="2"/>
          <w:szCs w:val="28"/>
          <w:lang w:val="en-GB" w:eastAsia="ja-JP"/>
        </w:rPr>
        <w:t>8</w:t>
      </w:r>
      <w:r w:rsidRPr="00BD7721">
        <w:rPr>
          <w:rFonts w:cs="Arial"/>
          <w:kern w:val="2"/>
          <w:szCs w:val="28"/>
          <w:lang w:val="en-GB" w:eastAsia="ja-JP"/>
        </w:rPr>
        <w:t>. T</w:t>
      </w:r>
      <w:r w:rsidRPr="00BD7721">
        <w:rPr>
          <w:lang w:val="en-GB"/>
        </w:rPr>
        <w:t xml:space="preserve">he representative of Japan said that his </w:t>
      </w:r>
      <w:proofErr w:type="gramStart"/>
      <w:r w:rsidRPr="00BD7721">
        <w:rPr>
          <w:lang w:val="en-GB"/>
        </w:rPr>
        <w:t>Government</w:t>
      </w:r>
      <w:proofErr w:type="gramEnd"/>
      <w:r w:rsidRPr="00BD7721">
        <w:rPr>
          <w:lang w:val="en-GB"/>
        </w:rPr>
        <w:t xml:space="preserve"> was particularly supportive of activities that supported the implementation of the Kunming-Montreal Global Biodiversity Framework and planned to contribute $</w:t>
      </w:r>
      <w:r w:rsidRPr="00BD7721">
        <w:rPr>
          <w:rFonts w:cs="Arial"/>
          <w:kern w:val="2"/>
          <w:szCs w:val="28"/>
          <w:lang w:val="en-GB" w:eastAsia="ja-JP"/>
        </w:rPr>
        <w:t xml:space="preserve">189,814 for 2024. The representative of the United Kingdom, recalling that his </w:t>
      </w:r>
      <w:proofErr w:type="gramStart"/>
      <w:r w:rsidRPr="00BD7721">
        <w:rPr>
          <w:rFonts w:cs="Arial"/>
          <w:kern w:val="2"/>
          <w:szCs w:val="28"/>
          <w:lang w:val="en-GB" w:eastAsia="ja-JP"/>
        </w:rPr>
        <w:t>Government</w:t>
      </w:r>
      <w:proofErr w:type="gramEnd"/>
      <w:r w:rsidRPr="00BD7721">
        <w:rPr>
          <w:rFonts w:cs="Arial"/>
          <w:kern w:val="2"/>
          <w:szCs w:val="28"/>
          <w:lang w:val="en-GB" w:eastAsia="ja-JP"/>
        </w:rPr>
        <w:t xml:space="preserve"> had already pledged £300,000 for 2024, announced a further pledge of £300,000 for 2025, pointing out that it was on top of the £100,000 contributed annually to the functioning of the technical support unit for the business and biodiversity assessment. The representative of Switzerland said that his </w:t>
      </w:r>
      <w:proofErr w:type="gramStart"/>
      <w:r w:rsidRPr="00BD7721">
        <w:rPr>
          <w:rFonts w:cs="Arial"/>
          <w:kern w:val="2"/>
          <w:szCs w:val="28"/>
          <w:lang w:val="en-GB" w:eastAsia="ja-JP"/>
        </w:rPr>
        <w:t>Government</w:t>
      </w:r>
      <w:proofErr w:type="gramEnd"/>
      <w:r w:rsidRPr="00BD7721">
        <w:rPr>
          <w:rFonts w:cs="Arial"/>
          <w:kern w:val="2"/>
          <w:szCs w:val="28"/>
          <w:lang w:val="en-GB" w:eastAsia="ja-JP"/>
        </w:rPr>
        <w:t xml:space="preserve"> would continue to apply the United Nations scale of assessment, and would thus contribute approximately 100,000 Swiss francs to the trust fund in the current year. The representative of South Africa said that her country had hosted the second </w:t>
      </w:r>
      <w:bookmarkStart w:id="6" w:name="_Hlk144118190"/>
      <w:r w:rsidRPr="00BD7721">
        <w:rPr>
          <w:rFonts w:cs="Arial"/>
          <w:kern w:val="2"/>
          <w:szCs w:val="28"/>
          <w:lang w:val="en-GB" w:eastAsia="ja-JP"/>
        </w:rPr>
        <w:t>author meeting for the nexus assessment, in March 2023, and requested that its in-kind contribution in that regard be reflected in the</w:t>
      </w:r>
      <w:r w:rsidR="00FE3DBE" w:rsidRPr="00BD7721">
        <w:rPr>
          <w:rFonts w:cs="Arial"/>
          <w:kern w:val="2"/>
          <w:szCs w:val="28"/>
          <w:lang w:val="en-GB" w:eastAsia="ja-JP"/>
        </w:rPr>
        <w:t xml:space="preserve"> table of in-kind contributions received in 2023.</w:t>
      </w:r>
      <w:bookmarkEnd w:id="6"/>
      <w:r w:rsidRPr="00BD7721">
        <w:rPr>
          <w:rFonts w:cs="Arial"/>
          <w:kern w:val="2"/>
          <w:szCs w:val="28"/>
          <w:lang w:val="en-GB" w:eastAsia="ja-JP"/>
        </w:rPr>
        <w:t xml:space="preserve"> </w:t>
      </w:r>
    </w:p>
    <w:p w14:paraId="5E9CEEA3" w14:textId="5DFDAEF6" w:rsidR="00D32A9A" w:rsidRPr="00BD7721" w:rsidRDefault="00D32A9A" w:rsidP="00D32A9A">
      <w:pPr>
        <w:pStyle w:val="Normalnumber"/>
        <w:rPr>
          <w:color w:val="000000"/>
          <w:lang w:val="en-GB"/>
        </w:rPr>
      </w:pPr>
      <w:r w:rsidRPr="00BD7721">
        <w:rPr>
          <w:color w:val="000000"/>
          <w:lang w:val="en-GB"/>
        </w:rPr>
        <w:t xml:space="preserve">A number of those who spoke took the opportunity to also offer more general comments on the financial and </w:t>
      </w:r>
      <w:r w:rsidRPr="00BD7721">
        <w:rPr>
          <w:lang w:val="en-GB"/>
        </w:rPr>
        <w:t>budgetary</w:t>
      </w:r>
      <w:r w:rsidRPr="00BD7721">
        <w:rPr>
          <w:color w:val="000000"/>
          <w:lang w:val="en-GB"/>
        </w:rPr>
        <w:t xml:space="preserve"> arrangements. One commended the secretariat for making</w:t>
      </w:r>
      <w:r w:rsidRPr="00BD7721">
        <w:rPr>
          <w:rFonts w:cs="Arial"/>
          <w:kern w:val="2"/>
          <w:szCs w:val="28"/>
          <w:lang w:val="en-GB" w:eastAsia="ja-JP"/>
        </w:rPr>
        <w:t xml:space="preserve"> extensive efforts to raise additional funds from Governments, United Nations bodies, the Global Environment Facility and the private sector, in line with the strategy outlined at the fifth session of the Plenary. </w:t>
      </w:r>
      <w:r w:rsidRPr="00BD7721">
        <w:rPr>
          <w:color w:val="000000"/>
          <w:lang w:val="en-GB"/>
        </w:rPr>
        <w:t>Several others, including one speaking on behalf of a group of countries, nevertheless called on members and the secretariat to broaden the donor base for the Platform. One noted that despite the growing number of members overall, only a small number contributed, almost all of them from the same region. He</w:t>
      </w:r>
      <w:r w:rsidR="00EC70CA" w:rsidRPr="00BD7721">
        <w:rPr>
          <w:color w:val="000000"/>
          <w:lang w:val="en-GB"/>
        </w:rPr>
        <w:t> </w:t>
      </w:r>
      <w:r w:rsidRPr="00BD7721">
        <w:rPr>
          <w:color w:val="000000"/>
          <w:lang w:val="en-GB"/>
        </w:rPr>
        <w:t xml:space="preserve">concurred with the representative speaking on behalf of a group of countries that even small contributions from a broader base of donors would demonstrate that </w:t>
      </w:r>
      <w:r w:rsidRPr="00BD7721">
        <w:rPr>
          <w:rFonts w:cs="Arial"/>
          <w:kern w:val="2"/>
          <w:szCs w:val="28"/>
          <w:lang w:val="en-GB" w:eastAsia="ja-JP"/>
        </w:rPr>
        <w:t>IPBES was a common undertaking and enhance the ownership of the Platform, although he suggested</w:t>
      </w:r>
      <w:r w:rsidRPr="00BD7721">
        <w:rPr>
          <w:color w:val="000000"/>
          <w:lang w:val="en-GB"/>
        </w:rPr>
        <w:t xml:space="preserve"> that the United Nations scale of assessment was a good tool for determining an appropriate level of support</w:t>
      </w:r>
      <w:r w:rsidRPr="00BD7721">
        <w:rPr>
          <w:rFonts w:cs="Arial"/>
          <w:kern w:val="2"/>
          <w:szCs w:val="28"/>
          <w:lang w:val="en-GB" w:eastAsia="ja-JP"/>
        </w:rPr>
        <w:t xml:space="preserve">. </w:t>
      </w:r>
    </w:p>
    <w:p w14:paraId="457BCCDD" w14:textId="44BA4D13" w:rsidR="00D32A9A" w:rsidRPr="00BD7721" w:rsidRDefault="00D32A9A" w:rsidP="00D32A9A">
      <w:pPr>
        <w:pStyle w:val="Normalnumber"/>
        <w:rPr>
          <w:color w:val="000000"/>
          <w:lang w:val="en-GB"/>
        </w:rPr>
      </w:pPr>
      <w:r w:rsidRPr="00BD7721">
        <w:rPr>
          <w:color w:val="000000"/>
          <w:lang w:val="en-GB"/>
        </w:rPr>
        <w:t xml:space="preserve">Several representatives also spoke about the need for the Platform to operate in a sustainable manner, noting the small projected balance at the end of 2025 and the reliance on projected savings. One cautioned that annual commitments should remain aligned with reliable income sources, as recommended following the review of IPBES at the conclusion of its first work programme. </w:t>
      </w:r>
      <w:r w:rsidRPr="00BD7721">
        <w:rPr>
          <w:color w:val="000000" w:themeColor="text1"/>
          <w:lang w:val="en-GB"/>
        </w:rPr>
        <w:t>That comment was echoed by another representative, who</w:t>
      </w:r>
      <w:r w:rsidRPr="00BD7721">
        <w:rPr>
          <w:color w:val="000000"/>
          <w:lang w:val="en-GB"/>
        </w:rPr>
        <w:t xml:space="preserve"> acknowledged the demands on the Platform’s financial and human resources and advised the secretariat to e</w:t>
      </w:r>
      <w:r w:rsidRPr="00BD7721">
        <w:rPr>
          <w:rFonts w:cs="Arial"/>
          <w:kern w:val="2"/>
          <w:szCs w:val="28"/>
          <w:lang w:val="en-GB" w:eastAsia="ja-JP"/>
        </w:rPr>
        <w:t xml:space="preserve">nsure that the budget and </w:t>
      </w:r>
      <w:r w:rsidRPr="00BD7721">
        <w:rPr>
          <w:rFonts w:cs="Arial"/>
          <w:szCs w:val="28"/>
          <w:lang w:val="en-GB" w:eastAsia="ja-JP"/>
        </w:rPr>
        <w:t>work programme</w:t>
      </w:r>
      <w:r w:rsidRPr="00BD7721">
        <w:rPr>
          <w:rFonts w:cs="Arial"/>
          <w:kern w:val="2"/>
          <w:szCs w:val="28"/>
          <w:lang w:val="en-GB" w:eastAsia="ja-JP"/>
        </w:rPr>
        <w:t xml:space="preserve"> continue to realistically reflect the existing resources. The same representative commended the secretariat’s persistent efforts to secure cost savings, particularly through the organization of </w:t>
      </w:r>
      <w:r w:rsidR="00B2431F" w:rsidRPr="00BD7721">
        <w:rPr>
          <w:rFonts w:cs="Arial"/>
          <w:kern w:val="2"/>
          <w:szCs w:val="28"/>
          <w:lang w:val="en-GB" w:eastAsia="ja-JP"/>
        </w:rPr>
        <w:t xml:space="preserve">online </w:t>
      </w:r>
      <w:r w:rsidRPr="00BD7721">
        <w:rPr>
          <w:rFonts w:cs="Arial"/>
          <w:kern w:val="2"/>
          <w:szCs w:val="28"/>
          <w:lang w:val="en-GB" w:eastAsia="ja-JP"/>
        </w:rPr>
        <w:t>meetings and the present hybrid plenary session, which also had the advantage of enabling broader participation, and encouraged the secretariat to pursue its efforts in that regard.</w:t>
      </w:r>
      <w:r w:rsidRPr="00BD7721">
        <w:rPr>
          <w:color w:val="000000"/>
          <w:lang w:val="en-GB"/>
        </w:rPr>
        <w:t xml:space="preserve"> </w:t>
      </w:r>
    </w:p>
    <w:p w14:paraId="396F1879" w14:textId="14F3C4A5" w:rsidR="00D32A9A" w:rsidRPr="00BD7721" w:rsidRDefault="00D32A9A" w:rsidP="00D32A9A">
      <w:pPr>
        <w:pStyle w:val="Normalnumber"/>
        <w:rPr>
          <w:color w:val="000000"/>
          <w:lang w:val="en-GB"/>
        </w:rPr>
      </w:pPr>
      <w:r w:rsidRPr="00BD7721">
        <w:rPr>
          <w:color w:val="000000"/>
          <w:lang w:val="en-GB"/>
        </w:rPr>
        <w:t xml:space="preserve">The Plenary </w:t>
      </w:r>
      <w:r w:rsidRPr="00BD7721">
        <w:rPr>
          <w:lang w:val="en-GB"/>
        </w:rPr>
        <w:t>established</w:t>
      </w:r>
      <w:r w:rsidRPr="00BD7721">
        <w:rPr>
          <w:color w:val="000000"/>
          <w:lang w:val="en-GB"/>
        </w:rPr>
        <w:t xml:space="preserve"> a contact group on budget, co-chaired by </w:t>
      </w:r>
      <w:r w:rsidRPr="00BD7721">
        <w:rPr>
          <w:lang w:val="en-GB"/>
        </w:rPr>
        <w:t>Hamid Custovic (Bosnia</w:t>
      </w:r>
      <w:r w:rsidR="00126162" w:rsidRPr="00BD7721">
        <w:rPr>
          <w:lang w:val="en-GB"/>
        </w:rPr>
        <w:t xml:space="preserve"> </w:t>
      </w:r>
      <w:r w:rsidRPr="00BD7721">
        <w:rPr>
          <w:lang w:val="en-GB"/>
        </w:rPr>
        <w:t>and Herzegovina) and Spencer Thomas (Grenada)</w:t>
      </w:r>
      <w:r w:rsidRPr="00BD7721">
        <w:rPr>
          <w:color w:val="000000"/>
          <w:lang w:val="en-GB"/>
        </w:rPr>
        <w:t xml:space="preserve">, to further consider the financial and budgetary arrangements </w:t>
      </w:r>
      <w:r w:rsidRPr="00BD7721">
        <w:rPr>
          <w:lang w:val="en-GB"/>
        </w:rPr>
        <w:t>for</w:t>
      </w:r>
      <w:r w:rsidRPr="00BD7721">
        <w:rPr>
          <w:color w:val="000000"/>
          <w:lang w:val="en-GB"/>
        </w:rPr>
        <w:t xml:space="preserve"> the Platform.</w:t>
      </w:r>
    </w:p>
    <w:p w14:paraId="5CE293FC" w14:textId="77777777" w:rsidR="008326DA" w:rsidRPr="00BD7721" w:rsidRDefault="008326DA" w:rsidP="005B6E76">
      <w:pPr>
        <w:pStyle w:val="Normalnumber"/>
        <w:rPr>
          <w:lang w:val="en-GB"/>
        </w:rPr>
      </w:pPr>
      <w:r w:rsidRPr="00BD7721">
        <w:rPr>
          <w:lang w:val="en-GB"/>
        </w:rPr>
        <w:t>Following the work of the contact group on budget, the co-chair reported that the group had reached consensus on all the matters under discussion.</w:t>
      </w:r>
    </w:p>
    <w:p w14:paraId="7B541C82" w14:textId="77777777" w:rsidR="008326DA" w:rsidRPr="00BD7721" w:rsidRDefault="008326DA" w:rsidP="005B6E76">
      <w:pPr>
        <w:pStyle w:val="Normalnumber"/>
        <w:rPr>
          <w:lang w:val="en-GB"/>
        </w:rPr>
      </w:pPr>
      <w:r w:rsidRPr="00BD7721">
        <w:rPr>
          <w:lang w:val="en-GB"/>
        </w:rPr>
        <w:t>Subsequently, the Plenary considered a draft decision on the matter (IPBES/10/L.5). The Executive Secretary, introducing the draft decision on financial and budgetary arrangements set out in document IPBES/10/L.5, noted that paragraphs 10, 11 and 12 of the draft decision referred to the budgets for 2023, 2024 and 2025, which were contained in tables 6, 7 and 8, respectively, and which reflected the agreement reached in the budget group as presented by the rapporteur of the group.</w:t>
      </w:r>
    </w:p>
    <w:p w14:paraId="64D6B1FE" w14:textId="39C5DB58" w:rsidR="008326DA" w:rsidRPr="00BD7721" w:rsidRDefault="008326DA" w:rsidP="005B6E76">
      <w:pPr>
        <w:pStyle w:val="Normalnumber"/>
        <w:rPr>
          <w:rFonts w:eastAsia="SimSun"/>
          <w:lang w:val="en-GB"/>
        </w:rPr>
      </w:pPr>
      <w:r w:rsidRPr="00BD7721">
        <w:rPr>
          <w:lang w:val="en-GB"/>
        </w:rPr>
        <w:t>The Plenary adopted decision IPBES-10/3 on financial and budgetary arrangements. The decision is set out in the annex to the present report.</w:t>
      </w:r>
    </w:p>
    <w:p w14:paraId="3AA78421" w14:textId="1A88121C" w:rsidR="005265B4" w:rsidRPr="00BD7721" w:rsidRDefault="005265B4" w:rsidP="005265B4">
      <w:pPr>
        <w:pStyle w:val="CH1"/>
        <w:rPr>
          <w:lang w:val="en-GB"/>
        </w:rPr>
      </w:pPr>
      <w:r w:rsidRPr="00BD7721">
        <w:rPr>
          <w:lang w:val="en-GB"/>
        </w:rPr>
        <w:tab/>
        <w:t>VII.</w:t>
      </w:r>
      <w:r w:rsidRPr="00BD7721">
        <w:rPr>
          <w:lang w:val="en-GB"/>
        </w:rPr>
        <w:tab/>
        <w:t>Assessing knowledge</w:t>
      </w:r>
    </w:p>
    <w:p w14:paraId="4784AB5F" w14:textId="306D9D18" w:rsidR="005265B4" w:rsidRPr="00BD7721" w:rsidRDefault="005265B4" w:rsidP="005265B4">
      <w:pPr>
        <w:pStyle w:val="CH2"/>
        <w:rPr>
          <w:lang w:val="en-GB"/>
        </w:rPr>
      </w:pPr>
      <w:r w:rsidRPr="00BD7721">
        <w:rPr>
          <w:lang w:val="en-GB"/>
        </w:rPr>
        <w:tab/>
        <w:t>A.</w:t>
      </w:r>
      <w:r w:rsidRPr="00BD7721">
        <w:rPr>
          <w:lang w:val="en-GB"/>
        </w:rPr>
        <w:tab/>
        <w:t>Thematic assessment of invasive alien species</w:t>
      </w:r>
    </w:p>
    <w:p w14:paraId="6DDDDC57" w14:textId="77777777" w:rsidR="00946438" w:rsidRPr="00BD7721" w:rsidRDefault="00946438" w:rsidP="0057432A">
      <w:pPr>
        <w:pStyle w:val="Normalnumber"/>
        <w:rPr>
          <w:lang w:val="en-GB"/>
        </w:rPr>
      </w:pPr>
      <w:r w:rsidRPr="00BD7721">
        <w:rPr>
          <w:lang w:val="en-GB"/>
        </w:rPr>
        <w:t>Introducing the sub-item, the Chair drew attention to the summary for policymakers of the thematic assessment of invasive alien species and their control (IPBES/10/6), the chapters of the thematic assessment (IPBES/10/INF/1) and the overview of the process followed for the production of the assessment (IPBES/10/INF/5). She expressed deep appreciation to the co-chairs of the thematic assessment for their time and dedication over the previous four years and, through them, to the many experts that had also contributed a significant amount of time and effort.</w:t>
      </w:r>
    </w:p>
    <w:p w14:paraId="735AE000" w14:textId="1F865912" w:rsidR="00946438" w:rsidRPr="00BD7721" w:rsidRDefault="00946438" w:rsidP="0057432A">
      <w:pPr>
        <w:pStyle w:val="Normalnumber"/>
        <w:rPr>
          <w:lang w:val="en-GB"/>
        </w:rPr>
      </w:pPr>
      <w:r w:rsidRPr="00BD7721">
        <w:rPr>
          <w:lang w:val="en-GB"/>
        </w:rPr>
        <w:t xml:space="preserve">The Plenary agreed to request working group I to consider the summary for policymakers, working on the basis of the Chair’s informal note and the proposed draft decision set out in document IPBES/10/1/Add.2. The working group was to be co-chaired by Douglas Beard (United States) and </w:t>
      </w:r>
      <w:proofErr w:type="spellStart"/>
      <w:r w:rsidRPr="00BD7721">
        <w:rPr>
          <w:lang w:val="en-GB"/>
        </w:rPr>
        <w:t>Sebsebe</w:t>
      </w:r>
      <w:proofErr w:type="spellEnd"/>
      <w:r w:rsidRPr="00BD7721">
        <w:rPr>
          <w:lang w:val="en-GB"/>
        </w:rPr>
        <w:t xml:space="preserve"> </w:t>
      </w:r>
      <w:proofErr w:type="spellStart"/>
      <w:r w:rsidRPr="00BD7721">
        <w:rPr>
          <w:lang w:val="en-GB"/>
        </w:rPr>
        <w:t>Demissew</w:t>
      </w:r>
      <w:proofErr w:type="spellEnd"/>
      <w:r w:rsidRPr="00BD7721">
        <w:rPr>
          <w:lang w:val="en-GB"/>
        </w:rPr>
        <w:t xml:space="preserve"> (Ethiopia), with Hilde </w:t>
      </w:r>
      <w:proofErr w:type="spellStart"/>
      <w:r w:rsidRPr="00BD7721">
        <w:rPr>
          <w:lang w:val="en-GB"/>
        </w:rPr>
        <w:t>Eggermont</w:t>
      </w:r>
      <w:proofErr w:type="spellEnd"/>
      <w:r w:rsidRPr="00BD7721">
        <w:rPr>
          <w:lang w:val="en-GB"/>
        </w:rPr>
        <w:t xml:space="preserve"> (Belgium) and Felix </w:t>
      </w:r>
      <w:proofErr w:type="spellStart"/>
      <w:r w:rsidRPr="00BD7721">
        <w:rPr>
          <w:lang w:val="en-GB"/>
        </w:rPr>
        <w:t>Kanungwe</w:t>
      </w:r>
      <w:proofErr w:type="spellEnd"/>
      <w:r w:rsidRPr="00BD7721">
        <w:rPr>
          <w:lang w:val="en-GB"/>
        </w:rPr>
        <w:t xml:space="preserve"> Kalaba (Zambia), respectively, acting as their alternates in the event that they were unable to continue to co</w:t>
      </w:r>
      <w:r w:rsidR="00692EA8" w:rsidRPr="00BD7721">
        <w:rPr>
          <w:lang w:val="en-GB"/>
        </w:rPr>
        <w:noBreakHyphen/>
      </w:r>
      <w:r w:rsidRPr="00BD7721">
        <w:rPr>
          <w:lang w:val="en-GB"/>
        </w:rPr>
        <w:t>chair the working group.</w:t>
      </w:r>
    </w:p>
    <w:p w14:paraId="36ADD0DB" w14:textId="77777777" w:rsidR="008326DA" w:rsidRPr="00BD7721" w:rsidRDefault="008326DA" w:rsidP="0057432A">
      <w:pPr>
        <w:pStyle w:val="Normalnumber"/>
        <w:rPr>
          <w:lang w:val="en-GB"/>
        </w:rPr>
      </w:pPr>
      <w:r w:rsidRPr="00BD7721">
        <w:rPr>
          <w:lang w:val="en-GB"/>
        </w:rPr>
        <w:t xml:space="preserve">Subsequently, the Plenary considered the draft summary for policymakers of the thematic assessment of alien invasion species (IPBES/10/L.3), which had been prepared by the working group, and a draft decision on the matter (IPBES/10/L.2, section II), in which the Plenary would </w:t>
      </w:r>
      <w:r w:rsidRPr="00BD7721">
        <w:rPr>
          <w:iCs/>
          <w:lang w:val="en-GB"/>
        </w:rPr>
        <w:t>approve</w:t>
      </w:r>
      <w:r w:rsidRPr="00BD7721">
        <w:rPr>
          <w:i/>
          <w:iCs/>
          <w:lang w:val="en-GB"/>
        </w:rPr>
        <w:t xml:space="preserve"> </w:t>
      </w:r>
      <w:r w:rsidRPr="00BD7721">
        <w:rPr>
          <w:lang w:val="en-GB"/>
        </w:rPr>
        <w:t>the summary for policymakers, as revised by the working group, and accept the chapters of the thematic assessment of the sustainable use of wild species (IPBES/10/INF/1), on the understanding that the chapters would be revised to duly reflect the revised summary.</w:t>
      </w:r>
    </w:p>
    <w:p w14:paraId="4532382D" w14:textId="77777777" w:rsidR="008326DA" w:rsidRPr="00BD7721" w:rsidRDefault="008326DA" w:rsidP="0057432A">
      <w:pPr>
        <w:pStyle w:val="Normalnumber"/>
        <w:rPr>
          <w:lang w:val="en-GB"/>
        </w:rPr>
      </w:pPr>
      <w:r w:rsidRPr="00BD7721">
        <w:rPr>
          <w:lang w:val="en-GB"/>
        </w:rPr>
        <w:t>The Plenary adopted decision IPBES-10/1 on the implementation of the rolling work programme of the Intergovernmental Science-Policy Platform on Biodiversity and Ecosystem Services up to 2030, as orally amended, including part II thereof entitled “Assessing knowledge”, in which, among other things, it approved the summary for policymakers of the thematic assessment of invasive alien species, as orally amended, and accepted the individual chapters of the assessment, including their executive summaries. The decision is set out in the annex to the present report.</w:t>
      </w:r>
    </w:p>
    <w:p w14:paraId="32A1EF4A" w14:textId="34B9D6ED" w:rsidR="008326DA" w:rsidRPr="00BD7721" w:rsidRDefault="00133121" w:rsidP="0057432A">
      <w:pPr>
        <w:pStyle w:val="Normalnumber"/>
        <w:numPr>
          <w:ilvl w:val="0"/>
          <w:numId w:val="1"/>
        </w:numPr>
        <w:ind w:left="1247"/>
        <w:rPr>
          <w:lang w:val="en-GB"/>
        </w:rPr>
      </w:pPr>
      <w:r w:rsidRPr="00BD7721">
        <w:rPr>
          <w:lang w:val="en-GB"/>
        </w:rPr>
        <w:t xml:space="preserve">At the time of adoption, one representative, said that she had agreed to the adoption of the summary for policymakers and to the acceptance of the individual chapters of the thematic assessment of invasive alien species on the understanding that post-adoption editorial changes that were to be made for reasons of consistency with United Nations editorial guidance would include the changes necessary to ensure consistency with Editorial Directive ST/CS/SER.A/42 on the nomenclature of the Falkland Islands (Malvinas). </w:t>
      </w:r>
    </w:p>
    <w:p w14:paraId="47AF3CFE" w14:textId="0F913313" w:rsidR="005265B4" w:rsidRPr="00BD7721" w:rsidRDefault="005265B4" w:rsidP="005265B4">
      <w:pPr>
        <w:pStyle w:val="CH2"/>
        <w:rPr>
          <w:lang w:val="en-GB"/>
        </w:rPr>
      </w:pPr>
      <w:r w:rsidRPr="00BD7721">
        <w:rPr>
          <w:lang w:val="en-GB"/>
        </w:rPr>
        <w:tab/>
        <w:t>B.</w:t>
      </w:r>
      <w:r w:rsidRPr="00BD7721">
        <w:rPr>
          <w:lang w:val="en-GB"/>
        </w:rPr>
        <w:tab/>
        <w:t>Engagement with the Intergovernmental Panel on Climate Change</w:t>
      </w:r>
    </w:p>
    <w:p w14:paraId="5466D8AE" w14:textId="77777777" w:rsidR="00946438" w:rsidRPr="00BD7721" w:rsidRDefault="00946438" w:rsidP="0057432A">
      <w:pPr>
        <w:pStyle w:val="Normalnumber"/>
        <w:rPr>
          <w:lang w:val="en-GB"/>
        </w:rPr>
      </w:pPr>
      <w:r w:rsidRPr="00BD7721">
        <w:rPr>
          <w:lang w:val="en-GB"/>
        </w:rPr>
        <w:t>Introducing the sub-item, the Chair drew attention to the note by the secretariat on engagement with the Intergovernmental Panel on Climate Change (IPCC) (IPBES/10/7) and the compilation of further suggestions from members of IPBES for thematic or methodological issues related to biodiversity and climate change that would benefit from collaboration between IPCC and IPBES (IPBES/10/INF/20).</w:t>
      </w:r>
    </w:p>
    <w:p w14:paraId="1B50D0F8" w14:textId="77777777" w:rsidR="00946438" w:rsidRPr="00BD7721" w:rsidRDefault="00946438" w:rsidP="0057432A">
      <w:pPr>
        <w:pStyle w:val="Normalnumber"/>
        <w:rPr>
          <w:lang w:val="en-GB"/>
        </w:rPr>
      </w:pPr>
      <w:r w:rsidRPr="00BD7721">
        <w:rPr>
          <w:lang w:val="en-GB"/>
        </w:rPr>
        <w:t>The Plenary agreed to request working group II to consider a proposed draft decision, set out in document IPBES/10/1/Add.2, working on the basis of the Chair’s informal note on the matter. The working group was to be co-chaired by Julia Marton-Lefèvre (France), Bishwa Nath Oli (Nepal) and Floyd Homer (Trinidad and Tobago).</w:t>
      </w:r>
    </w:p>
    <w:p w14:paraId="2FDCA86B" w14:textId="029F6B22" w:rsidR="00E95083" w:rsidRPr="00BD7721" w:rsidRDefault="008326DA" w:rsidP="0057432A">
      <w:pPr>
        <w:pStyle w:val="Normalnumber"/>
        <w:rPr>
          <w:lang w:val="en-GB"/>
        </w:rPr>
      </w:pPr>
      <w:r w:rsidRPr="00BD7721">
        <w:rPr>
          <w:lang w:val="en-GB"/>
        </w:rPr>
        <w:t>Subsequently, the Plenary adopted decision IPBES-10/1 on the implementation of the rolling work programme of the Intergovernmental Science-Policy Platform on Biodiversity and Ecosystem Services up to 2030, as orally amended, including part II thereof entitled “Assessing knowledge”, pertaining to, among other things, engagement with the Intergovernmental Panel on Climate Change. The decision is set out in the annex to the present report.</w:t>
      </w:r>
      <w:r w:rsidRPr="00BD7721" w:rsidDel="008326DA">
        <w:rPr>
          <w:lang w:val="en-GB"/>
        </w:rPr>
        <w:t xml:space="preserve"> </w:t>
      </w:r>
    </w:p>
    <w:p w14:paraId="28C3C22D" w14:textId="4BA62F09" w:rsidR="005265B4" w:rsidRPr="00BD7721" w:rsidRDefault="005265B4" w:rsidP="005265B4">
      <w:pPr>
        <w:pStyle w:val="CH1"/>
        <w:rPr>
          <w:lang w:val="en-GB"/>
        </w:rPr>
      </w:pPr>
      <w:r w:rsidRPr="00BD7721">
        <w:rPr>
          <w:lang w:val="en-GB"/>
        </w:rPr>
        <w:tab/>
        <w:t>VIII.</w:t>
      </w:r>
      <w:r w:rsidRPr="00BD7721">
        <w:rPr>
          <w:lang w:val="en-GB"/>
        </w:rPr>
        <w:tab/>
        <w:t>Building capacity, strengthening knowledge foundations and supporting policy</w:t>
      </w:r>
    </w:p>
    <w:p w14:paraId="17336315" w14:textId="77777777" w:rsidR="00946438" w:rsidRPr="00BD7721" w:rsidRDefault="00946438" w:rsidP="0057432A">
      <w:pPr>
        <w:pStyle w:val="Normalnumber"/>
        <w:rPr>
          <w:lang w:val="en-GB"/>
        </w:rPr>
      </w:pPr>
      <w:r w:rsidRPr="00BD7721">
        <w:rPr>
          <w:lang w:val="en-GB"/>
        </w:rPr>
        <w:t xml:space="preserve">Introducing the item, the Chair drew attention to the note by the secretariat on work on building capacity, strengthening knowledge foundations and supporting policy (IPBES/10/8), which set out, among other things, workplans for the implementation of objectives 2, 3 and 4 of the rolling work programme up to 2030 for the period between the tenth and eleventh sessions, and revised terms of reference for the task forces. Information on the work carried out by the task forces during the intersessional period preceding the current session was set out in documents </w:t>
      </w:r>
      <w:bookmarkStart w:id="7" w:name="_Hlk144135190"/>
      <w:r w:rsidRPr="00BD7721">
        <w:rPr>
          <w:lang w:val="en-GB"/>
        </w:rPr>
        <w:t>IPBES/10/INF/</w:t>
      </w:r>
      <w:bookmarkEnd w:id="7"/>
      <w:r w:rsidRPr="00BD7721">
        <w:rPr>
          <w:lang w:val="en-GB"/>
        </w:rPr>
        <w:t>9, IPBES/10/INF/10, IPBES/10/INF/11, IPBES/10/INF/12 and IPBES/10/INF/13.</w:t>
      </w:r>
    </w:p>
    <w:p w14:paraId="65B502BD" w14:textId="23D13C74" w:rsidR="00946438" w:rsidRPr="00BD7721" w:rsidRDefault="00946438" w:rsidP="0057432A">
      <w:pPr>
        <w:pStyle w:val="Normalnumber"/>
        <w:rPr>
          <w:lang w:val="en-GB"/>
        </w:rPr>
      </w:pPr>
      <w:r w:rsidRPr="00BD7721">
        <w:rPr>
          <w:lang w:val="en-GB"/>
        </w:rPr>
        <w:t>The Plenary agreed to request working group II to consider the proposed draft decisions on the matter, as set out in document IPBES/10/1/Add.2, and the workplans</w:t>
      </w:r>
      <w:r w:rsidR="007B616C" w:rsidRPr="00BD7721">
        <w:rPr>
          <w:lang w:val="en-GB"/>
        </w:rPr>
        <w:t xml:space="preserve"> and terms of reference of the task forces</w:t>
      </w:r>
      <w:r w:rsidRPr="00BD7721">
        <w:rPr>
          <w:lang w:val="en-GB"/>
        </w:rPr>
        <w:t>, working on the basis of the Chair’s informal note.</w:t>
      </w:r>
    </w:p>
    <w:p w14:paraId="4FADD91E" w14:textId="4BFA4FAB" w:rsidR="00E95083" w:rsidRPr="00BD7721" w:rsidRDefault="008326DA" w:rsidP="0057432A">
      <w:pPr>
        <w:pStyle w:val="Normalnumber"/>
        <w:rPr>
          <w:lang w:val="en-GB"/>
        </w:rPr>
      </w:pPr>
      <w:r w:rsidRPr="00BD7721">
        <w:rPr>
          <w:lang w:val="en-GB"/>
        </w:rPr>
        <w:t>Subsequently, the Plenary adopted decision IPBES-10/1 on the implementation of the rolling work programme of the Intergovernmental Science-Policy Platform on Biodiversity and Ecosystem Services up to 2030, as orally amended, including parts III, IV, V and VII thereof entitled “Building capacity”, “Strengthening the knowledge foundations”, “Supporting policy” and “Technical support and institutional arrangements for the implementation of the work programme” respectively, pertaining to, among other things, the terms of reference and workplans of the task forces. The decision is set out in the annex to the present report.</w:t>
      </w:r>
      <w:r w:rsidRPr="00BD7721" w:rsidDel="008326DA">
        <w:rPr>
          <w:lang w:val="en-GB"/>
        </w:rPr>
        <w:t xml:space="preserve"> </w:t>
      </w:r>
    </w:p>
    <w:p w14:paraId="78FD1362" w14:textId="47741D1B" w:rsidR="005265B4" w:rsidRPr="00BD7721" w:rsidRDefault="005265B4" w:rsidP="005265B4">
      <w:pPr>
        <w:pStyle w:val="CH1"/>
        <w:rPr>
          <w:lang w:val="en-GB"/>
        </w:rPr>
      </w:pPr>
      <w:r w:rsidRPr="00BD7721">
        <w:rPr>
          <w:lang w:val="en-GB"/>
        </w:rPr>
        <w:tab/>
        <w:t>IX.</w:t>
      </w:r>
      <w:r w:rsidRPr="00BD7721">
        <w:rPr>
          <w:lang w:val="en-GB"/>
        </w:rPr>
        <w:tab/>
        <w:t>Improving the effectiveness of the Platform</w:t>
      </w:r>
    </w:p>
    <w:p w14:paraId="52B1723D" w14:textId="7F4EFEBF" w:rsidR="00946438" w:rsidRPr="00BD7721" w:rsidRDefault="00946438" w:rsidP="0057432A">
      <w:pPr>
        <w:pStyle w:val="Normalnumber"/>
        <w:rPr>
          <w:lang w:val="en-GB"/>
        </w:rPr>
      </w:pPr>
      <w:r w:rsidRPr="00BD7721">
        <w:rPr>
          <w:lang w:val="en-GB"/>
        </w:rPr>
        <w:t xml:space="preserve">Introducing the item, the Chair drew attention to the note by the secretariat on improving the effectiveness of the Platform (IPBES/10/9), which contained, among other things, revised draft terms of reference </w:t>
      </w:r>
      <w:bookmarkStart w:id="8" w:name="_Hlk144135921"/>
      <w:r w:rsidRPr="00BD7721">
        <w:rPr>
          <w:lang w:val="en-GB"/>
        </w:rPr>
        <w:t>for the midterm review of the rolling work programme</w:t>
      </w:r>
      <w:bookmarkEnd w:id="8"/>
      <w:r w:rsidR="00FE3DBE" w:rsidRPr="00BD7721">
        <w:rPr>
          <w:lang w:val="en-GB"/>
        </w:rPr>
        <w:t xml:space="preserve"> up to 2030</w:t>
      </w:r>
      <w:r w:rsidRPr="00BD7721">
        <w:rPr>
          <w:lang w:val="en-GB"/>
        </w:rPr>
        <w:t>. She also drew attention to the overview of responses by the Multidisciplinary Expert Panel, the Bureau and the Executive Secretary to the recommendations set out in the report on the review of the Platform at the end of its first work programme (IPBES/10/INF/16).</w:t>
      </w:r>
    </w:p>
    <w:p w14:paraId="7C786094" w14:textId="148FD110" w:rsidR="00946438" w:rsidRPr="00BD7721" w:rsidRDefault="00946438" w:rsidP="0057432A">
      <w:pPr>
        <w:pStyle w:val="Normalnumber"/>
        <w:rPr>
          <w:lang w:val="en-GB"/>
        </w:rPr>
      </w:pPr>
      <w:r w:rsidRPr="00BD7721">
        <w:rPr>
          <w:lang w:val="en-GB"/>
        </w:rPr>
        <w:t>The Plenary agreed to request working group II to consider the revised draft terms of reference for the midterm review of the rolling work programme</w:t>
      </w:r>
      <w:r w:rsidR="00FE3DBE" w:rsidRPr="00BD7721">
        <w:rPr>
          <w:lang w:val="en-GB"/>
        </w:rPr>
        <w:t xml:space="preserve"> up to 2030</w:t>
      </w:r>
      <w:r w:rsidRPr="00BD7721">
        <w:rPr>
          <w:lang w:val="en-GB"/>
        </w:rPr>
        <w:t xml:space="preserve"> and the proposed draft decision on improving the effectiveness of the Platform, as set out in document IPBES/10/1/Add.2, working on the basis of the Chair’s informal note.</w:t>
      </w:r>
    </w:p>
    <w:p w14:paraId="5523E196" w14:textId="77777777" w:rsidR="008326DA" w:rsidRPr="00BD7721" w:rsidRDefault="008326DA" w:rsidP="0057432A">
      <w:pPr>
        <w:pStyle w:val="Normalnumber"/>
        <w:rPr>
          <w:lang w:val="en-GB"/>
        </w:rPr>
      </w:pPr>
      <w:r w:rsidRPr="00BD7721">
        <w:rPr>
          <w:lang w:val="en-GB"/>
        </w:rPr>
        <w:t>Subsequently, the Plenary adopted decision IPBES-10/1 on the implementation of the rolling work programme of the Intergovernmental Science-Policy Platform on Biodiversity and Ecosystem Services up to 2030, as orally amended, including part VI thereof, entitled “Improving the effectiveness of the Platform”. The decision is set out in the annex to the present report.</w:t>
      </w:r>
    </w:p>
    <w:p w14:paraId="311E067A" w14:textId="2B625385" w:rsidR="00946438" w:rsidRPr="00BD7721" w:rsidRDefault="008326DA" w:rsidP="0057432A">
      <w:pPr>
        <w:pStyle w:val="Normalnumber"/>
        <w:rPr>
          <w:lang w:val="en-GB"/>
        </w:rPr>
      </w:pPr>
      <w:r w:rsidRPr="00BD7721">
        <w:rPr>
          <w:lang w:val="en-GB"/>
        </w:rPr>
        <w:t>At the time of adoption of the decision, one representative stated that, during the discussions, in working group II, on the revised terms of reference for the midterm review of the rolling work programme up to 2030, some representatives had proposed that the review include an evaluation of linguistic, regional and gender diversity in the selection of literature on all IPBES products. They had also emphasized the importance of assessing the capacity of developing countries to respond adequately to calls for submissions and to participate fully in related processes. The proposals had faced resistance from other representatives, however, and had not been incorporated into the draft decision. The representatives who advocated their inclusion were concerned that, without them, the effectiveness of the midterm review might be compromised.</w:t>
      </w:r>
      <w:r w:rsidRPr="00BD7721" w:rsidDel="008326DA">
        <w:rPr>
          <w:lang w:val="en-GB"/>
        </w:rPr>
        <w:t xml:space="preserve"> </w:t>
      </w:r>
    </w:p>
    <w:p w14:paraId="1FDD8B0B" w14:textId="4DE9186C" w:rsidR="005265B4" w:rsidRPr="00BD7721" w:rsidRDefault="005265B4" w:rsidP="005265B4">
      <w:pPr>
        <w:pStyle w:val="CH1"/>
        <w:rPr>
          <w:lang w:val="en-GB"/>
        </w:rPr>
      </w:pPr>
      <w:r w:rsidRPr="00BD7721">
        <w:rPr>
          <w:lang w:val="en-GB"/>
        </w:rPr>
        <w:tab/>
        <w:t>X.</w:t>
      </w:r>
      <w:r w:rsidRPr="00BD7721">
        <w:rPr>
          <w:lang w:val="en-GB"/>
        </w:rPr>
        <w:tab/>
        <w:t>Requests, input and suggestions for additional elements of the rolling work programme of the Platform up to 2030</w:t>
      </w:r>
    </w:p>
    <w:p w14:paraId="45DEDD8E" w14:textId="77777777" w:rsidR="00946438" w:rsidRPr="00BD7721" w:rsidRDefault="00946438" w:rsidP="0057432A">
      <w:pPr>
        <w:pStyle w:val="Normalnumber"/>
        <w:rPr>
          <w:lang w:val="en-GB"/>
        </w:rPr>
      </w:pPr>
      <w:r w:rsidRPr="00BD7721">
        <w:rPr>
          <w:lang w:val="en-GB"/>
        </w:rPr>
        <w:t>Introducing the item, the Chair drew attention to the report on the prioritization of requests, input and suggestions for additional elements of the rolling work programme of the Platform up to 2030 (IPBES/10/10) and to the overview of requests, input and suggestions for additional elements of the rolling work programme of the Platform up to 2030 (IPBES/10/INF/7).</w:t>
      </w:r>
    </w:p>
    <w:p w14:paraId="11E6675B" w14:textId="77777777" w:rsidR="00946438" w:rsidRPr="00BD7721" w:rsidRDefault="00946438" w:rsidP="0057432A">
      <w:pPr>
        <w:pStyle w:val="Normalnumber"/>
        <w:rPr>
          <w:lang w:val="en-GB"/>
        </w:rPr>
      </w:pPr>
      <w:r w:rsidRPr="00BD7721">
        <w:rPr>
          <w:lang w:val="en-GB"/>
        </w:rPr>
        <w:t>The Plenary agreed to request working group II to consider the proposed draft decision set out in document IPBES/10/1/Add.2, working on the basis of the Chair’s informal note on the matter.</w:t>
      </w:r>
    </w:p>
    <w:p w14:paraId="20BB28EB" w14:textId="24660E24" w:rsidR="008326DA" w:rsidRPr="00BD7721" w:rsidRDefault="008326DA" w:rsidP="0057432A">
      <w:pPr>
        <w:pStyle w:val="Normalnumber"/>
        <w:rPr>
          <w:lang w:val="en-GB"/>
        </w:rPr>
      </w:pPr>
      <w:r w:rsidRPr="00BD7721">
        <w:rPr>
          <w:lang w:val="en-GB"/>
        </w:rPr>
        <w:t>Subsequently, the Plenary adopted decision IPBES-10/1 on the implementation of the rolling work programme of the Intergovernmental Science-Policy Platform on Biodiversity and Ecosystem Services up to 2030, as orally amended, including part</w:t>
      </w:r>
      <w:r w:rsidR="00692EA8" w:rsidRPr="00BD7721">
        <w:rPr>
          <w:lang w:val="en-GB"/>
        </w:rPr>
        <w:t xml:space="preserve"> </w:t>
      </w:r>
      <w:r w:rsidRPr="00BD7721">
        <w:rPr>
          <w:lang w:val="en-GB"/>
        </w:rPr>
        <w:t xml:space="preserve">II thereof entitled “Assessing knowledge”, in which, among other things, it </w:t>
      </w:r>
      <w:r w:rsidRPr="00BD7721">
        <w:rPr>
          <w:iCs/>
          <w:color w:val="000000"/>
          <w:lang w:val="en-GB"/>
        </w:rPr>
        <w:t>approved</w:t>
      </w:r>
      <w:r w:rsidRPr="00BD7721">
        <w:rPr>
          <w:i/>
          <w:color w:val="000000"/>
          <w:lang w:val="en-GB"/>
        </w:rPr>
        <w:t xml:space="preserve"> </w:t>
      </w:r>
      <w:r w:rsidRPr="00BD7721">
        <w:rPr>
          <w:color w:val="000000"/>
          <w:lang w:val="en-GB"/>
        </w:rPr>
        <w:t>a scoping process for a second global assessment of biodiversity and ecosystem services and</w:t>
      </w:r>
      <w:r w:rsidRPr="00BD7721">
        <w:rPr>
          <w:i/>
          <w:color w:val="000000"/>
          <w:lang w:val="en-GB"/>
        </w:rPr>
        <w:t xml:space="preserve"> </w:t>
      </w:r>
      <w:r w:rsidRPr="00BD7721">
        <w:rPr>
          <w:color w:val="000000"/>
          <w:lang w:val="en-GB"/>
        </w:rPr>
        <w:t>the undertaking of two fast-track methodological assessments on monitoring biodiversity and nature’s contributions to people and on integrated biodiversity</w:t>
      </w:r>
      <w:r w:rsidR="00692EA8" w:rsidRPr="00BD7721">
        <w:rPr>
          <w:lang w:val="en-GB"/>
        </w:rPr>
        <w:noBreakHyphen/>
      </w:r>
      <w:r w:rsidRPr="00BD7721">
        <w:rPr>
          <w:color w:val="000000"/>
          <w:lang w:val="en-GB"/>
        </w:rPr>
        <w:t>inclusive spatial planning and ecological connectivity.</w:t>
      </w:r>
      <w:r w:rsidRPr="00BD7721">
        <w:rPr>
          <w:lang w:val="en-GB"/>
        </w:rPr>
        <w:t xml:space="preserve"> The decision is set out in the annex to the present report.</w:t>
      </w:r>
    </w:p>
    <w:p w14:paraId="112BE2F7" w14:textId="4D1A6B11" w:rsidR="005265B4" w:rsidRPr="00BD7721" w:rsidRDefault="005265B4" w:rsidP="005265B4">
      <w:pPr>
        <w:pStyle w:val="CH1"/>
        <w:rPr>
          <w:lang w:val="en-GB"/>
        </w:rPr>
      </w:pPr>
      <w:r w:rsidRPr="00BD7721">
        <w:rPr>
          <w:lang w:val="en-GB"/>
        </w:rPr>
        <w:tab/>
        <w:t>XI.</w:t>
      </w:r>
      <w:r w:rsidRPr="00BD7721">
        <w:rPr>
          <w:lang w:val="en-GB"/>
        </w:rPr>
        <w:tab/>
        <w:t>Organization of the Plenary; dates and venues of future sessions of the Plenary</w:t>
      </w:r>
    </w:p>
    <w:p w14:paraId="13506FDC" w14:textId="77777777" w:rsidR="00946438" w:rsidRPr="00BD7721" w:rsidRDefault="00946438" w:rsidP="0057432A">
      <w:pPr>
        <w:pStyle w:val="Normalnumber"/>
        <w:rPr>
          <w:lang w:val="en-GB"/>
        </w:rPr>
      </w:pPr>
      <w:r w:rsidRPr="00BD7721">
        <w:rPr>
          <w:lang w:val="en-GB"/>
        </w:rPr>
        <w:t>Introducing the item, the Chair drew attention to the note by the secretariat on the organization of work of the Plenary and dates and venues of future sessions of the Plenary (IPBES/10/11), which contained, among other things, a draft preliminary agenda and organization of work for both the eleventh and twelfth sessions of the Plenary. She recalled that the Plenary, at its eleventh session, would be invited to consider the thematic assessment of the interlinkages among biodiversity, water, food and health (nexus assessment); the thematic assessment of the underlying causes of biodiversity loss and the determinants of transformative change and options for achieving the 2050 Vision for Biodiversity (transformative change assessment); and, if so decided by the Plenary at the present session, the scoping report for a second global assessment of biodiversity and ecosystem services. At its twelfth session, the Plenary would be invited to consider the methodological assessment of the impact and dependence of business on biodiversity and nature’s contributions to people (business and biodiversity assessment), among other things.</w:t>
      </w:r>
    </w:p>
    <w:p w14:paraId="0FE00D3D" w14:textId="77777777" w:rsidR="00946438" w:rsidRPr="00BD7721" w:rsidRDefault="00946438" w:rsidP="0057432A">
      <w:pPr>
        <w:pStyle w:val="Normalnumber"/>
        <w:rPr>
          <w:lang w:val="en-GB"/>
        </w:rPr>
      </w:pPr>
      <w:r w:rsidRPr="00BD7721">
        <w:rPr>
          <w:lang w:val="en-GB"/>
        </w:rPr>
        <w:t xml:space="preserve">The Chair recalled that, in decision IPBES-9/2, the Plenary had requested the Bureau, in consultation with the members of the Platform, to decide on the specific dates of the eleventh session, </w:t>
      </w:r>
      <w:proofErr w:type="gramStart"/>
      <w:r w:rsidRPr="00BD7721">
        <w:rPr>
          <w:lang w:val="en-GB"/>
        </w:rPr>
        <w:t>taking into account</w:t>
      </w:r>
      <w:proofErr w:type="gramEnd"/>
      <w:r w:rsidRPr="00BD7721">
        <w:rPr>
          <w:lang w:val="en-GB"/>
        </w:rPr>
        <w:t xml:space="preserve"> the calendar of relevant intergovernmental meetings. The Bureau had subsequently decided that the eleventh session would be held from 10 to 16 December 2024. Noting that the twelfth session was scheduled to be held in late 2025, she invited Governments wishing to host the eleventh or twelfth session of the Plenary to contact the secretariat as soon as possible, to enable consideration of all the offers at the current session.</w:t>
      </w:r>
    </w:p>
    <w:p w14:paraId="2168871F" w14:textId="5063B184" w:rsidR="00946438" w:rsidRPr="00BD7721" w:rsidRDefault="00DD7917" w:rsidP="0057432A">
      <w:pPr>
        <w:pStyle w:val="Normalnumber"/>
        <w:rPr>
          <w:lang w:val="en-GB"/>
        </w:rPr>
      </w:pPr>
      <w:r w:rsidRPr="00BD7721">
        <w:rPr>
          <w:lang w:val="en-GB"/>
        </w:rPr>
        <w:t>One representative, speaking on behalf of the member States of a group of countries that are members of IPBES and an observer allowed enhanced participation</w:t>
      </w:r>
      <w:r w:rsidR="00946438" w:rsidRPr="00BD7721">
        <w:rPr>
          <w:lang w:val="en-GB"/>
        </w:rPr>
        <w:t>, noted that it was crucial to reflect in any decision on the matter that future sessions of the Plenary should be scheduled to allow sufficient time for the outcomes of those sessions to be considered at the relevant meetings of the Conference of the Parties to the Convention on Biological Diversity and its subsidiary bodies.</w:t>
      </w:r>
    </w:p>
    <w:p w14:paraId="351F6B8D" w14:textId="128D360F" w:rsidR="002606A8" w:rsidRPr="00BD7721" w:rsidRDefault="002606A8" w:rsidP="0057432A">
      <w:pPr>
        <w:pStyle w:val="Normalnumber"/>
        <w:rPr>
          <w:lang w:val="en-GB"/>
        </w:rPr>
      </w:pPr>
      <w:r w:rsidRPr="00BD7721">
        <w:rPr>
          <w:lang w:val="en-GB"/>
        </w:rPr>
        <w:t>The representative of Nam</w:t>
      </w:r>
      <w:r w:rsidR="00A47205" w:rsidRPr="00BD7721">
        <w:rPr>
          <w:lang w:val="en-GB"/>
        </w:rPr>
        <w:t>i</w:t>
      </w:r>
      <w:r w:rsidRPr="00BD7721">
        <w:rPr>
          <w:lang w:val="en-GB"/>
        </w:rPr>
        <w:t xml:space="preserve">bia conveyed </w:t>
      </w:r>
      <w:r w:rsidR="00DD7917" w:rsidRPr="00BD7721">
        <w:rPr>
          <w:lang w:val="en-GB"/>
        </w:rPr>
        <w:t>the</w:t>
      </w:r>
      <w:r w:rsidRPr="00BD7721">
        <w:rPr>
          <w:lang w:val="en-GB"/>
        </w:rPr>
        <w:t xml:space="preserve"> offer by his </w:t>
      </w:r>
      <w:proofErr w:type="gramStart"/>
      <w:r w:rsidRPr="00BD7721">
        <w:rPr>
          <w:lang w:val="en-GB"/>
        </w:rPr>
        <w:t>Government</w:t>
      </w:r>
      <w:proofErr w:type="gramEnd"/>
      <w:r w:rsidRPr="00BD7721">
        <w:rPr>
          <w:lang w:val="en-GB"/>
        </w:rPr>
        <w:t xml:space="preserve"> to host the eleventh session of the Plenary in the country’s capital, Windhoek. He introduced a short video presentation </w:t>
      </w:r>
      <w:proofErr w:type="gramStart"/>
      <w:r w:rsidRPr="00BD7721">
        <w:rPr>
          <w:lang w:val="en-GB"/>
        </w:rPr>
        <w:t>on</w:t>
      </w:r>
      <w:proofErr w:type="gramEnd"/>
      <w:r w:rsidRPr="00BD7721">
        <w:rPr>
          <w:lang w:val="en-GB"/>
        </w:rPr>
        <w:t xml:space="preserve"> Namibia to familiarize participants with his country. The Plenary gratefully accepted the offer. </w:t>
      </w:r>
    </w:p>
    <w:p w14:paraId="7CA5FA79" w14:textId="77777777" w:rsidR="008326DA" w:rsidRPr="00BD7721" w:rsidRDefault="008326DA" w:rsidP="0057432A">
      <w:pPr>
        <w:pStyle w:val="Normalnumber"/>
        <w:rPr>
          <w:lang w:val="en-GB"/>
        </w:rPr>
      </w:pPr>
      <w:r w:rsidRPr="00BD7721">
        <w:rPr>
          <w:lang w:val="en-GB"/>
        </w:rPr>
        <w:t>Subsequently, the Plenary considered a draft decision on the matter (IPBES/10/L.4). The Plenary adopted decision IPBES-10/2 on the organization of the Plenary and dates and venues of future sessions of the Plenary, as orally amended. The decision is set out in the annex to the present report.</w:t>
      </w:r>
    </w:p>
    <w:p w14:paraId="5BAED986" w14:textId="6EE1A0F1" w:rsidR="005265B4" w:rsidRPr="00BD7721" w:rsidRDefault="005265B4" w:rsidP="005265B4">
      <w:pPr>
        <w:pStyle w:val="CH1"/>
        <w:rPr>
          <w:lang w:val="en-GB"/>
        </w:rPr>
      </w:pPr>
      <w:r w:rsidRPr="00BD7721">
        <w:rPr>
          <w:lang w:val="en-GB"/>
        </w:rPr>
        <w:tab/>
        <w:t>XII.</w:t>
      </w:r>
      <w:r w:rsidRPr="00BD7721">
        <w:rPr>
          <w:lang w:val="en-GB"/>
        </w:rPr>
        <w:tab/>
        <w:t>Institutional arrangements: United Nations collaborative partnership arrangement for the work of the Platform and its secretariat</w:t>
      </w:r>
    </w:p>
    <w:p w14:paraId="5554E6C7" w14:textId="1955FA0A" w:rsidR="00946438" w:rsidRPr="00BD7721" w:rsidRDefault="00946438" w:rsidP="0057432A">
      <w:pPr>
        <w:pStyle w:val="Normalnumber"/>
        <w:rPr>
          <w:lang w:val="en-GB"/>
        </w:rPr>
      </w:pPr>
      <w:r w:rsidRPr="00BD7721">
        <w:rPr>
          <w:lang w:val="en-GB"/>
        </w:rPr>
        <w:t>Introducing the item, the Chair recalled that, in its decision IPBES-2/8, the Plenary had approved a collaborative partnership arrangement to establish an institutional link between the Plenary of the Platform and UNEP, UNESCO, FAO and UNDP, as set out in the annex to the decision.</w:t>
      </w:r>
    </w:p>
    <w:p w14:paraId="352648D2" w14:textId="77777777" w:rsidR="00946438" w:rsidRPr="00BD7721" w:rsidRDefault="00946438" w:rsidP="0057432A">
      <w:pPr>
        <w:pStyle w:val="Normalnumber"/>
        <w:rPr>
          <w:lang w:val="en-GB"/>
        </w:rPr>
      </w:pPr>
      <w:r w:rsidRPr="00BD7721">
        <w:rPr>
          <w:lang w:val="en-GB"/>
        </w:rPr>
        <w:t>A representative of UNESCO, speaking on behalf of the four United Nations system partners of IPBES, presented the progress report on the United Nations collaborative partnership arrangement (IPBES/10/INF/19).</w:t>
      </w:r>
    </w:p>
    <w:p w14:paraId="18C462AE" w14:textId="780294E4" w:rsidR="00946438" w:rsidRPr="00BD7721" w:rsidRDefault="00E16B9D" w:rsidP="0057432A">
      <w:pPr>
        <w:pStyle w:val="Normalnumber"/>
        <w:rPr>
          <w:lang w:val="en-GB"/>
        </w:rPr>
      </w:pPr>
      <w:r w:rsidRPr="00BD7721">
        <w:rPr>
          <w:lang w:val="en-GB"/>
        </w:rPr>
        <w:t>One</w:t>
      </w:r>
      <w:r w:rsidR="00946438" w:rsidRPr="00BD7721">
        <w:rPr>
          <w:lang w:val="en-GB"/>
        </w:rPr>
        <w:t xml:space="preserve"> representative, speaking on behalf of </w:t>
      </w:r>
      <w:r w:rsidR="00EF12CA" w:rsidRPr="00BD7721">
        <w:rPr>
          <w:lang w:val="en-GB"/>
        </w:rPr>
        <w:t>the member States of a</w:t>
      </w:r>
      <w:r w:rsidRPr="00BD7721">
        <w:rPr>
          <w:lang w:val="en-GB"/>
        </w:rPr>
        <w:t xml:space="preserve"> group of countries that are members of </w:t>
      </w:r>
      <w:proofErr w:type="gramStart"/>
      <w:r w:rsidRPr="00BD7721">
        <w:rPr>
          <w:lang w:val="en-GB"/>
        </w:rPr>
        <w:t>IPBES</w:t>
      </w:r>
      <w:proofErr w:type="gramEnd"/>
      <w:r w:rsidRPr="00BD7721">
        <w:rPr>
          <w:lang w:val="en-GB"/>
        </w:rPr>
        <w:t xml:space="preserve"> </w:t>
      </w:r>
      <w:r w:rsidR="00946438" w:rsidRPr="00BD7721">
        <w:rPr>
          <w:lang w:val="en-GB"/>
        </w:rPr>
        <w:t>and an observer</w:t>
      </w:r>
      <w:r w:rsidRPr="00BD7721">
        <w:rPr>
          <w:lang w:val="en-GB"/>
        </w:rPr>
        <w:t xml:space="preserve"> allowed enhanced participation</w:t>
      </w:r>
      <w:r w:rsidR="00946438" w:rsidRPr="00BD7721">
        <w:rPr>
          <w:lang w:val="en-GB"/>
        </w:rPr>
        <w:t>, took note of the report, welcomed the continued collaboration with UNEP, UNESCO, FAO and UNDP, and encouraged both collaboration with the relevant science-based initiatives of those organizations and cooperation with multilateral environmental agreements and other international organizations.</w:t>
      </w:r>
    </w:p>
    <w:p w14:paraId="191A615A" w14:textId="77777777" w:rsidR="008326DA" w:rsidRPr="00BD7721" w:rsidRDefault="008326DA" w:rsidP="0057432A">
      <w:pPr>
        <w:pStyle w:val="Normalnumber"/>
        <w:rPr>
          <w:lang w:val="en-GB"/>
        </w:rPr>
      </w:pPr>
      <w:r w:rsidRPr="00BD7721">
        <w:rPr>
          <w:lang w:val="en-GB"/>
        </w:rPr>
        <w:t>The Chair expressed her appreciation to UNEP, UNESCO, FAO and UNDP for the support that they had provided to the Platform and asked them to continue to provide such support over the following period.</w:t>
      </w:r>
    </w:p>
    <w:p w14:paraId="5DDBC192" w14:textId="221EDA0C" w:rsidR="005265B4" w:rsidRPr="00BD7721" w:rsidRDefault="005265B4" w:rsidP="005265B4">
      <w:pPr>
        <w:pStyle w:val="CH1"/>
        <w:rPr>
          <w:lang w:val="en-GB"/>
        </w:rPr>
      </w:pPr>
      <w:r w:rsidRPr="00BD7721">
        <w:rPr>
          <w:lang w:val="en-GB"/>
        </w:rPr>
        <w:tab/>
        <w:t>XIII.</w:t>
      </w:r>
      <w:r w:rsidRPr="00BD7721">
        <w:rPr>
          <w:lang w:val="en-GB"/>
        </w:rPr>
        <w:tab/>
        <w:t>Adoption of the decisions and the report of the session</w:t>
      </w:r>
    </w:p>
    <w:p w14:paraId="4D7BBA24" w14:textId="77777777" w:rsidR="008326DA" w:rsidRPr="00BD7721" w:rsidRDefault="008326DA" w:rsidP="0057432A">
      <w:pPr>
        <w:pStyle w:val="Normalnumber"/>
        <w:rPr>
          <w:lang w:val="en-GB"/>
        </w:rPr>
      </w:pPr>
      <w:r w:rsidRPr="00BD7721">
        <w:rPr>
          <w:lang w:val="en-GB"/>
        </w:rPr>
        <w:t xml:space="preserve">The Plenary adopted the present report on the basis of the draft report that had been circulated, on the understanding that the report would be finalized by the secretariat under the supervision of the Bureau. </w:t>
      </w:r>
    </w:p>
    <w:p w14:paraId="529DDA5A" w14:textId="5A2E8907" w:rsidR="005265B4" w:rsidRPr="00BD7721" w:rsidRDefault="005265B4" w:rsidP="005265B4">
      <w:pPr>
        <w:pStyle w:val="CH1"/>
        <w:rPr>
          <w:lang w:val="en-GB"/>
        </w:rPr>
      </w:pPr>
      <w:r w:rsidRPr="00BD7721">
        <w:rPr>
          <w:lang w:val="en-GB"/>
        </w:rPr>
        <w:tab/>
        <w:t>XIV.</w:t>
      </w:r>
      <w:r w:rsidRPr="00BD7721">
        <w:rPr>
          <w:lang w:val="en-GB"/>
        </w:rPr>
        <w:tab/>
        <w:t>Closure of the session</w:t>
      </w:r>
      <w:bookmarkEnd w:id="5"/>
    </w:p>
    <w:p w14:paraId="2D6033EF" w14:textId="5B22A489" w:rsidR="008326DA" w:rsidRPr="00BD7721" w:rsidRDefault="008326DA" w:rsidP="0057432A">
      <w:pPr>
        <w:pStyle w:val="Normalnumber"/>
        <w:rPr>
          <w:lang w:val="en-GB"/>
        </w:rPr>
      </w:pPr>
      <w:r w:rsidRPr="00BD7721">
        <w:rPr>
          <w:lang w:val="en-GB"/>
        </w:rPr>
        <w:t>Following the customary exchange of courtesies, the Chair declared the session closed at 1</w:t>
      </w:r>
      <w:r w:rsidR="00EC70CA" w:rsidRPr="00BD7721">
        <w:rPr>
          <w:lang w:val="en-GB"/>
        </w:rPr>
        <w:t> </w:t>
      </w:r>
      <w:r w:rsidRPr="00BD7721">
        <w:rPr>
          <w:lang w:val="en-GB"/>
        </w:rPr>
        <w:t xml:space="preserve">p.m. on 2 September 2023. </w:t>
      </w:r>
    </w:p>
    <w:p w14:paraId="621015A4" w14:textId="77777777" w:rsidR="002F7662" w:rsidRPr="00BD7721" w:rsidRDefault="002F7662" w:rsidP="009E0204">
      <w:pPr>
        <w:pStyle w:val="Normal-pool"/>
        <w:rPr>
          <w:lang w:val="en-GB"/>
        </w:rPr>
        <w:sectPr w:rsidR="002F7662" w:rsidRPr="00BD7721" w:rsidSect="00D70826">
          <w:headerReference w:type="even" r:id="rId13"/>
          <w:headerReference w:type="default" r:id="rId14"/>
          <w:footerReference w:type="even" r:id="rId15"/>
          <w:footerReference w:type="default" r:id="rId16"/>
          <w:footerReference w:type="first" r:id="rId17"/>
          <w:footnotePr>
            <w:numRestart w:val="eachSect"/>
          </w:footnotePr>
          <w:type w:val="continuous"/>
          <w:pgSz w:w="11907" w:h="16839" w:code="9"/>
          <w:pgMar w:top="907" w:right="992" w:bottom="1418" w:left="1418" w:header="539" w:footer="975" w:gutter="0"/>
          <w:cols w:space="539"/>
          <w:titlePg/>
          <w:docGrid w:linePitch="360"/>
        </w:sectPr>
      </w:pPr>
    </w:p>
    <w:p w14:paraId="5B95668B" w14:textId="77777777" w:rsidR="002A0A91" w:rsidRPr="00BD7721" w:rsidRDefault="002A0A91" w:rsidP="002A0A91">
      <w:pPr>
        <w:pStyle w:val="ZZAnxheader"/>
        <w:rPr>
          <w:lang w:val="en-GB"/>
        </w:rPr>
      </w:pPr>
      <w:r w:rsidRPr="00BD7721">
        <w:rPr>
          <w:lang w:val="en-GB"/>
        </w:rPr>
        <w:t>Annex</w:t>
      </w:r>
    </w:p>
    <w:p w14:paraId="62384C50" w14:textId="638A3C6D" w:rsidR="002A0A91" w:rsidRPr="00BD7721" w:rsidRDefault="002A0A91" w:rsidP="003A46FC">
      <w:pPr>
        <w:pStyle w:val="ZZAnxtitle"/>
      </w:pPr>
      <w:r w:rsidRPr="00BD7721">
        <w:t>Decisions adopted by the Plenary of the Intergovernmental Science</w:t>
      </w:r>
      <w:r w:rsidRPr="00BD7721">
        <w:noBreakHyphen/>
        <w:t xml:space="preserve">Policy Platform on Biodiversity and Ecosystem Services at its </w:t>
      </w:r>
      <w:r w:rsidR="00655C18" w:rsidRPr="00BD7721">
        <w:t>tenth</w:t>
      </w:r>
      <w:r w:rsidRPr="00BD7721">
        <w:t xml:space="preserve"> session</w:t>
      </w:r>
    </w:p>
    <w:p w14:paraId="6BB3F724" w14:textId="0C85BB54" w:rsidR="00775AEE" w:rsidRPr="00BD7721" w:rsidRDefault="00775AEE" w:rsidP="00775AEE">
      <w:pPr>
        <w:pStyle w:val="Normal-pool"/>
        <w:tabs>
          <w:tab w:val="clear" w:pos="1247"/>
        </w:tabs>
        <w:spacing w:before="120" w:after="120"/>
        <w:ind w:left="2494" w:hanging="1247"/>
        <w:rPr>
          <w:lang w:val="en-GB"/>
        </w:rPr>
      </w:pPr>
      <w:r w:rsidRPr="00BD7721">
        <w:rPr>
          <w:lang w:val="en-GB"/>
        </w:rPr>
        <w:t>IPBES-10/1:</w:t>
      </w:r>
      <w:r w:rsidRPr="00BD7721">
        <w:rPr>
          <w:lang w:val="en-GB"/>
        </w:rPr>
        <w:tab/>
        <w:t>Implementation of the rolling work programme of the Intergovernmental Science</w:t>
      </w:r>
      <w:r w:rsidRPr="00BD7721">
        <w:rPr>
          <w:lang w:val="en-GB"/>
        </w:rPr>
        <w:noBreakHyphen/>
        <w:t>Policy Platform on Biodiversity and Ecosystem Services up to 2030</w:t>
      </w:r>
    </w:p>
    <w:p w14:paraId="721CFE09" w14:textId="37CE1E93" w:rsidR="00775AEE" w:rsidRPr="00BD7721" w:rsidRDefault="00775AEE" w:rsidP="00775AEE">
      <w:pPr>
        <w:pStyle w:val="Normal-pool"/>
        <w:tabs>
          <w:tab w:val="clear" w:pos="1247"/>
        </w:tabs>
        <w:spacing w:before="120" w:after="120"/>
        <w:ind w:left="2494" w:hanging="1247"/>
        <w:rPr>
          <w:lang w:val="en-GB"/>
        </w:rPr>
      </w:pPr>
      <w:r w:rsidRPr="00BD7721">
        <w:rPr>
          <w:lang w:val="en-GB"/>
        </w:rPr>
        <w:t>IPBES-10/2:</w:t>
      </w:r>
      <w:r w:rsidRPr="00BD7721">
        <w:rPr>
          <w:lang w:val="en-GB"/>
        </w:rPr>
        <w:tab/>
        <w:t>Organization of the Plenary and dates and venues of future sessions of the Plenary</w:t>
      </w:r>
    </w:p>
    <w:p w14:paraId="5D4A9714" w14:textId="1BA47BCE" w:rsidR="00775AEE" w:rsidRDefault="00775AEE" w:rsidP="00775AEE">
      <w:pPr>
        <w:pStyle w:val="Normal-pool"/>
        <w:tabs>
          <w:tab w:val="clear" w:pos="1247"/>
        </w:tabs>
        <w:spacing w:before="120" w:after="120"/>
        <w:ind w:left="2494" w:hanging="1247"/>
        <w:rPr>
          <w:szCs w:val="28"/>
          <w:lang w:val="en-GB"/>
        </w:rPr>
      </w:pPr>
      <w:r w:rsidRPr="00BD7721">
        <w:rPr>
          <w:lang w:val="en-GB"/>
        </w:rPr>
        <w:t>IPBES-10/3:</w:t>
      </w:r>
      <w:r w:rsidRPr="00BD7721">
        <w:rPr>
          <w:lang w:val="en-GB"/>
        </w:rPr>
        <w:tab/>
      </w:r>
      <w:r w:rsidRPr="00BD7721">
        <w:rPr>
          <w:szCs w:val="28"/>
          <w:lang w:val="en-GB"/>
        </w:rPr>
        <w:t>Financial and budgetary arrangements for the Platform</w:t>
      </w:r>
    </w:p>
    <w:p w14:paraId="78D99670" w14:textId="77777777" w:rsidR="00EB6ACF" w:rsidRPr="00EB6ACF" w:rsidRDefault="00EB6ACF" w:rsidP="00EB6ACF">
      <w:pPr>
        <w:pStyle w:val="Normal-pool"/>
      </w:pPr>
    </w:p>
    <w:p w14:paraId="56107810" w14:textId="359BB693" w:rsidR="00891BFE" w:rsidRPr="00891BFE" w:rsidRDefault="00891BFE" w:rsidP="00891BFE">
      <w:pPr>
        <w:pStyle w:val="Normal-pool"/>
        <w:rPr>
          <w:rFonts w:eastAsia="SimSun"/>
        </w:rPr>
        <w:sectPr w:rsidR="00891BFE" w:rsidRPr="00891BFE" w:rsidSect="00D70826">
          <w:headerReference w:type="even" r:id="rId18"/>
          <w:headerReference w:type="default" r:id="rId19"/>
          <w:headerReference w:type="first" r:id="rId20"/>
          <w:footerReference w:type="first" r:id="rId21"/>
          <w:footnotePr>
            <w:numRestart w:val="eachSect"/>
          </w:footnotePr>
          <w:pgSz w:w="11907" w:h="16839" w:code="9"/>
          <w:pgMar w:top="907" w:right="992" w:bottom="1418" w:left="1418" w:header="539" w:footer="975" w:gutter="0"/>
          <w:cols w:space="539"/>
          <w:docGrid w:linePitch="360"/>
        </w:sectPr>
      </w:pPr>
      <w:bookmarkStart w:id="10" w:name="_heading=h.3znysh7" w:colFirst="0" w:colLast="0"/>
      <w:bookmarkStart w:id="11" w:name="_heading=h.2et92p0" w:colFirst="0" w:colLast="0"/>
      <w:bookmarkStart w:id="12" w:name="_heading=h.26in1rg"/>
      <w:bookmarkStart w:id="13" w:name="_heading=h.lnxbz9"/>
      <w:bookmarkStart w:id="14" w:name="_heading=h.35nkun2"/>
      <w:bookmarkStart w:id="15" w:name="_heading=h.30j0zll"/>
      <w:bookmarkStart w:id="16" w:name="_heading=h.1fob9te"/>
      <w:bookmarkStart w:id="17" w:name="_heading=h.ycfsiil0lk3p"/>
      <w:bookmarkStart w:id="18" w:name="_heading=h.3dy6vkm"/>
      <w:bookmarkStart w:id="19" w:name="_heading=h.1t3h5sf"/>
      <w:bookmarkStart w:id="20" w:name="_heading=h.4d34og8"/>
      <w:bookmarkStart w:id="21" w:name="_heading=h.2s8eyo1"/>
      <w:bookmarkStart w:id="22" w:name="_heading=h.wqqxfjws4ti"/>
      <w:bookmarkStart w:id="23" w:name="_heading=h.z6aq8ms65wnh"/>
      <w:bookmarkStart w:id="24" w:name="_heading=h.17dp8vu"/>
      <w:bookmarkStart w:id="25" w:name="_heading=h.3rdcrjn"/>
      <w:bookmarkStart w:id="26" w:name="_heading=h.1ksv4uv"/>
      <w:bookmarkStart w:id="27" w:name="_heading=h.gjdgxs"/>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C6246A3" w14:textId="2975C5A7" w:rsidR="00992A45" w:rsidRPr="00EB6ACF" w:rsidRDefault="002062D9" w:rsidP="0043436C">
      <w:pPr>
        <w:pStyle w:val="CH1"/>
        <w:rPr>
          <w:rFonts w:eastAsia="SimSun"/>
        </w:rPr>
      </w:pPr>
      <w:r w:rsidRPr="00BD7721">
        <w:rPr>
          <w:rFonts w:eastAsia="SimSun"/>
          <w:lang w:val="en-GB"/>
        </w:rPr>
        <w:tab/>
      </w:r>
      <w:r w:rsidRPr="00EB6ACF">
        <w:rPr>
          <w:rFonts w:eastAsia="SimSun"/>
        </w:rPr>
        <w:tab/>
      </w:r>
      <w:r w:rsidR="00992A45" w:rsidRPr="00EB6ACF">
        <w:rPr>
          <w:rFonts w:eastAsia="SimSun"/>
        </w:rPr>
        <w:t xml:space="preserve">Decision </w:t>
      </w:r>
      <w:r w:rsidR="00DA1EF3" w:rsidRPr="00EB6ACF">
        <w:rPr>
          <w:rFonts w:eastAsia="SimSun"/>
        </w:rPr>
        <w:t>IPBES-</w:t>
      </w:r>
      <w:r w:rsidR="00992A45" w:rsidRPr="00EB6ACF">
        <w:rPr>
          <w:rFonts w:eastAsia="SimSun"/>
        </w:rPr>
        <w:t>10/1: Implementation of the rolling work programme of the Intergovernmental Science-Policy Platform on Biodiversity and Ecosystem Services up to 2030</w:t>
      </w:r>
    </w:p>
    <w:p w14:paraId="513C98CE" w14:textId="77777777" w:rsidR="00992A45" w:rsidRPr="00BD7721" w:rsidRDefault="00992A45" w:rsidP="002062D9">
      <w:pPr>
        <w:pStyle w:val="Normal-pool"/>
        <w:tabs>
          <w:tab w:val="clear" w:pos="1247"/>
          <w:tab w:val="clear" w:pos="1871"/>
          <w:tab w:val="clear" w:pos="2495"/>
          <w:tab w:val="clear" w:pos="3119"/>
          <w:tab w:val="clear" w:pos="3742"/>
          <w:tab w:val="clear" w:pos="4366"/>
        </w:tabs>
        <w:spacing w:after="120"/>
        <w:ind w:left="1247" w:firstLine="624"/>
        <w:rPr>
          <w:rFonts w:eastAsia="SimSun"/>
          <w:i/>
          <w:iCs/>
          <w:lang w:val="en-GB"/>
        </w:rPr>
      </w:pPr>
      <w:r w:rsidRPr="00BD7721">
        <w:rPr>
          <w:rFonts w:eastAsia="SimSun"/>
          <w:i/>
          <w:iCs/>
          <w:lang w:val="en-GB"/>
        </w:rPr>
        <w:t xml:space="preserve">The Plenary, </w:t>
      </w:r>
    </w:p>
    <w:p w14:paraId="1CBEFC84" w14:textId="77777777" w:rsidR="00992A45" w:rsidRPr="00BD7721" w:rsidRDefault="00992A45" w:rsidP="002062D9">
      <w:pPr>
        <w:pStyle w:val="Normal-pool"/>
        <w:tabs>
          <w:tab w:val="clear" w:pos="1247"/>
          <w:tab w:val="clear" w:pos="1871"/>
          <w:tab w:val="clear" w:pos="2495"/>
          <w:tab w:val="clear" w:pos="3119"/>
          <w:tab w:val="clear" w:pos="3742"/>
          <w:tab w:val="clear" w:pos="4366"/>
        </w:tabs>
        <w:spacing w:after="120"/>
        <w:ind w:left="1247" w:firstLine="624"/>
        <w:rPr>
          <w:rFonts w:eastAsia="SimSun"/>
          <w:lang w:val="en-GB"/>
        </w:rPr>
      </w:pPr>
      <w:r w:rsidRPr="00BD7721">
        <w:rPr>
          <w:rFonts w:eastAsia="SimSun"/>
          <w:i/>
          <w:iCs/>
          <w:lang w:val="en-GB"/>
        </w:rPr>
        <w:t>Welcoming</w:t>
      </w:r>
      <w:r w:rsidRPr="00BD7721">
        <w:rPr>
          <w:rFonts w:eastAsia="SimSun"/>
          <w:lang w:val="en-GB"/>
        </w:rPr>
        <w:t xml:space="preserve"> the report of the Executive Secretary on progress in the implementation of the rolling work programme up to 2030,</w:t>
      </w:r>
      <w:r w:rsidRPr="00BD7721">
        <w:rPr>
          <w:rFonts w:eastAsia="SimSun"/>
          <w:vertAlign w:val="superscript"/>
          <w:lang w:val="en-GB"/>
        </w:rPr>
        <w:footnoteReference w:id="2"/>
      </w:r>
    </w:p>
    <w:p w14:paraId="65EA1A16" w14:textId="77777777" w:rsidR="00992A45" w:rsidRPr="00BD7721" w:rsidRDefault="00992A45" w:rsidP="002062D9">
      <w:pPr>
        <w:pStyle w:val="Normal-pool"/>
        <w:tabs>
          <w:tab w:val="clear" w:pos="1247"/>
          <w:tab w:val="clear" w:pos="1871"/>
          <w:tab w:val="clear" w:pos="2495"/>
          <w:tab w:val="clear" w:pos="3119"/>
          <w:tab w:val="clear" w:pos="3742"/>
          <w:tab w:val="clear" w:pos="4366"/>
        </w:tabs>
        <w:spacing w:after="120"/>
        <w:ind w:left="1247" w:firstLine="624"/>
        <w:rPr>
          <w:rFonts w:eastAsia="SimSun"/>
          <w:lang w:val="en-GB"/>
        </w:rPr>
      </w:pPr>
      <w:r w:rsidRPr="00BD7721">
        <w:rPr>
          <w:rFonts w:eastAsia="SimSun"/>
          <w:i/>
          <w:iCs/>
          <w:lang w:val="en-GB"/>
        </w:rPr>
        <w:t>Acknowledging</w:t>
      </w:r>
      <w:r w:rsidRPr="00BD7721">
        <w:rPr>
          <w:rFonts w:eastAsia="SimSun"/>
          <w:lang w:val="en-GB"/>
        </w:rPr>
        <w:t xml:space="preserve"> </w:t>
      </w:r>
      <w:r w:rsidRPr="00BD7721">
        <w:rPr>
          <w:rFonts w:eastAsia="SimSun"/>
          <w:i/>
          <w:iCs/>
          <w:lang w:val="en-GB"/>
        </w:rPr>
        <w:t>with</w:t>
      </w:r>
      <w:r w:rsidRPr="00BD7721">
        <w:rPr>
          <w:rFonts w:eastAsia="SimSun"/>
          <w:lang w:val="en-GB"/>
        </w:rPr>
        <w:t xml:space="preserve"> </w:t>
      </w:r>
      <w:r w:rsidRPr="00BD7721">
        <w:rPr>
          <w:rFonts w:eastAsia="SimSun"/>
          <w:i/>
          <w:iCs/>
          <w:lang w:val="en-GB"/>
        </w:rPr>
        <w:t>appreciation</w:t>
      </w:r>
      <w:r w:rsidRPr="00BD7721">
        <w:rPr>
          <w:rFonts w:eastAsia="SimSun"/>
          <w:lang w:val="en-GB"/>
        </w:rPr>
        <w:t xml:space="preserve"> the outstanding contribution made by all the experts involved to date in the implementation of the work programme, and thanking them for their unwavering commitment thereto, </w:t>
      </w:r>
    </w:p>
    <w:p w14:paraId="60F7986E" w14:textId="77777777" w:rsidR="00992A45" w:rsidRPr="00BD7721" w:rsidRDefault="00992A45" w:rsidP="002062D9">
      <w:pPr>
        <w:pStyle w:val="Normal-pool"/>
        <w:tabs>
          <w:tab w:val="clear" w:pos="1247"/>
          <w:tab w:val="clear" w:pos="1871"/>
          <w:tab w:val="clear" w:pos="2495"/>
          <w:tab w:val="clear" w:pos="3119"/>
          <w:tab w:val="clear" w:pos="3742"/>
          <w:tab w:val="clear" w:pos="4366"/>
        </w:tabs>
        <w:spacing w:after="120"/>
        <w:ind w:left="1247" w:firstLine="624"/>
        <w:rPr>
          <w:rFonts w:eastAsia="SimSun"/>
          <w:lang w:val="en-GB"/>
        </w:rPr>
      </w:pPr>
      <w:r w:rsidRPr="00BD7721">
        <w:rPr>
          <w:rFonts w:eastAsia="SimSun"/>
          <w:i/>
          <w:iCs/>
          <w:lang w:val="en-GB"/>
        </w:rPr>
        <w:t>Encouraging</w:t>
      </w:r>
      <w:r w:rsidRPr="00BD7721">
        <w:rPr>
          <w:rFonts w:eastAsia="SimSun"/>
          <w:lang w:val="en-GB"/>
        </w:rPr>
        <w:t xml:space="preserve"> Governments and organizations to participate actively in the implementation of the work programme,</w:t>
      </w:r>
    </w:p>
    <w:p w14:paraId="159F9705" w14:textId="77777777" w:rsidR="00992A45" w:rsidRPr="00BD7721" w:rsidRDefault="00992A45" w:rsidP="002062D9">
      <w:pPr>
        <w:pStyle w:val="CH2"/>
        <w:tabs>
          <w:tab w:val="left" w:pos="2552"/>
        </w:tabs>
        <w:ind w:firstLine="0"/>
        <w:jc w:val="center"/>
        <w:rPr>
          <w:rFonts w:eastAsia="SimSun"/>
          <w:lang w:val="en-GB"/>
        </w:rPr>
      </w:pPr>
      <w:r w:rsidRPr="00BD7721">
        <w:rPr>
          <w:rFonts w:eastAsia="SimSun"/>
          <w:lang w:val="en-GB"/>
        </w:rPr>
        <w:t>I</w:t>
      </w:r>
    </w:p>
    <w:p w14:paraId="2671533D" w14:textId="77777777" w:rsidR="00992A45" w:rsidRPr="00BD7721" w:rsidRDefault="00992A45" w:rsidP="00B83540">
      <w:pPr>
        <w:pStyle w:val="CH2"/>
        <w:tabs>
          <w:tab w:val="clear" w:pos="851"/>
          <w:tab w:val="clear" w:pos="1247"/>
          <w:tab w:val="clear" w:pos="1871"/>
          <w:tab w:val="clear" w:pos="2495"/>
          <w:tab w:val="clear" w:pos="3119"/>
          <w:tab w:val="clear" w:pos="3742"/>
          <w:tab w:val="clear" w:pos="4366"/>
        </w:tabs>
        <w:spacing w:before="0"/>
        <w:ind w:firstLine="0"/>
        <w:jc w:val="center"/>
        <w:rPr>
          <w:rFonts w:eastAsia="SimSun"/>
          <w:lang w:val="en-GB"/>
        </w:rPr>
      </w:pPr>
      <w:r w:rsidRPr="00BD7721">
        <w:rPr>
          <w:rFonts w:eastAsia="SimSun"/>
          <w:lang w:val="en-GB"/>
        </w:rPr>
        <w:t>Implementation of the work programme of the Platform up to 2030</w:t>
      </w:r>
    </w:p>
    <w:p w14:paraId="64931C61"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iCs/>
          <w:lang w:val="en-GB" w:eastAsia="zh-CN"/>
        </w:rPr>
      </w:pPr>
      <w:r w:rsidRPr="00BD7721">
        <w:rPr>
          <w:i/>
          <w:lang w:val="en-GB" w:eastAsia="zh-CN"/>
        </w:rPr>
        <w:t>Decides</w:t>
      </w:r>
      <w:r w:rsidRPr="00BD7721">
        <w:rPr>
          <w:iCs/>
          <w:lang w:val="en-GB" w:eastAsia="zh-CN"/>
        </w:rPr>
        <w:t xml:space="preserve"> to proceed with the implementation of the work programme in accordance with the decisions adopted at its previous sessions, the present decision and the approved budget, as set out in decision IPBES</w:t>
      </w:r>
      <w:r w:rsidRPr="00BD7721">
        <w:rPr>
          <w:iCs/>
          <w:lang w:val="en-GB" w:eastAsia="zh-CN"/>
        </w:rPr>
        <w:noBreakHyphen/>
        <w:t>10/</w:t>
      </w:r>
      <w:proofErr w:type="gramStart"/>
      <w:r w:rsidRPr="00BD7721">
        <w:rPr>
          <w:iCs/>
          <w:lang w:val="en-GB" w:eastAsia="zh-CN"/>
        </w:rPr>
        <w:t>3;</w:t>
      </w:r>
      <w:proofErr w:type="gramEnd"/>
    </w:p>
    <w:p w14:paraId="7AB4B18B"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iCs/>
          <w:lang w:val="en-GB" w:eastAsia="zh-CN"/>
        </w:rPr>
      </w:pPr>
      <w:r w:rsidRPr="00BD7721">
        <w:rPr>
          <w:i/>
          <w:lang w:val="en-GB" w:eastAsia="zh-CN"/>
        </w:rPr>
        <w:t>Requests</w:t>
      </w:r>
      <w:r w:rsidRPr="00BD7721">
        <w:rPr>
          <w:iCs/>
          <w:lang w:val="en-GB" w:eastAsia="zh-CN"/>
        </w:rPr>
        <w:t xml:space="preserve"> the Executive Secretary to provide a report on progress in the implementation of the work programme to the Plenary at its eleventh </w:t>
      </w:r>
      <w:proofErr w:type="gramStart"/>
      <w:r w:rsidRPr="00BD7721">
        <w:rPr>
          <w:iCs/>
          <w:lang w:val="en-GB" w:eastAsia="zh-CN"/>
        </w:rPr>
        <w:t>session;</w:t>
      </w:r>
      <w:proofErr w:type="gramEnd"/>
      <w:r w:rsidRPr="00BD7721">
        <w:rPr>
          <w:iCs/>
          <w:lang w:val="en-GB" w:eastAsia="zh-CN"/>
        </w:rPr>
        <w:t xml:space="preserve"> </w:t>
      </w:r>
    </w:p>
    <w:p w14:paraId="010C0874" w14:textId="77777777" w:rsidR="00992A45" w:rsidRPr="00BD7721" w:rsidRDefault="00992A45" w:rsidP="002062D9">
      <w:pPr>
        <w:pStyle w:val="CH2"/>
        <w:tabs>
          <w:tab w:val="left" w:pos="2552"/>
        </w:tabs>
        <w:ind w:firstLine="0"/>
        <w:jc w:val="center"/>
        <w:rPr>
          <w:rFonts w:eastAsia="SimSun"/>
          <w:lang w:val="en-GB"/>
        </w:rPr>
      </w:pPr>
      <w:r w:rsidRPr="00BD7721">
        <w:rPr>
          <w:rFonts w:eastAsia="SimSun"/>
          <w:lang w:val="en-GB"/>
        </w:rPr>
        <w:t>II</w:t>
      </w:r>
    </w:p>
    <w:p w14:paraId="45ACED6F" w14:textId="77777777" w:rsidR="00992A45" w:rsidRPr="00BD7721" w:rsidRDefault="00992A45" w:rsidP="00B83540">
      <w:pPr>
        <w:pStyle w:val="CH2"/>
        <w:tabs>
          <w:tab w:val="clear" w:pos="851"/>
          <w:tab w:val="clear" w:pos="1247"/>
          <w:tab w:val="clear" w:pos="1871"/>
          <w:tab w:val="clear" w:pos="2495"/>
          <w:tab w:val="clear" w:pos="3119"/>
          <w:tab w:val="clear" w:pos="3742"/>
          <w:tab w:val="clear" w:pos="4366"/>
        </w:tabs>
        <w:spacing w:before="0"/>
        <w:ind w:firstLine="0"/>
        <w:jc w:val="center"/>
        <w:rPr>
          <w:rFonts w:eastAsia="SimSun"/>
          <w:lang w:val="en-GB"/>
        </w:rPr>
      </w:pPr>
      <w:r w:rsidRPr="00BD7721">
        <w:rPr>
          <w:rFonts w:eastAsia="SimSun"/>
          <w:lang w:val="en-GB"/>
        </w:rPr>
        <w:t>Assessing knowledge</w:t>
      </w:r>
    </w:p>
    <w:p w14:paraId="161D8402"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lang w:val="en-GB"/>
        </w:rPr>
      </w:pPr>
      <w:r w:rsidRPr="00BD7721">
        <w:rPr>
          <w:i/>
          <w:iCs/>
          <w:lang w:val="en-GB"/>
        </w:rPr>
        <w:t>Approves</w:t>
      </w:r>
      <w:r w:rsidRPr="00BD7721">
        <w:rPr>
          <w:lang w:val="en-GB"/>
        </w:rPr>
        <w:t xml:space="preserve"> the summary for policymakers of the thematic assessment of invasive alien species and their control,</w:t>
      </w:r>
      <w:r w:rsidRPr="00BD7721">
        <w:rPr>
          <w:vertAlign w:val="superscript"/>
          <w:lang w:val="en-GB"/>
        </w:rPr>
        <w:footnoteReference w:id="3"/>
      </w:r>
      <w:r w:rsidRPr="00BD7721">
        <w:rPr>
          <w:lang w:val="en-GB"/>
        </w:rPr>
        <w:t xml:space="preserve"> and accepts the chapters of the assessment, including their executive </w:t>
      </w:r>
      <w:proofErr w:type="gramStart"/>
      <w:r w:rsidRPr="00BD7721">
        <w:rPr>
          <w:lang w:val="en-GB"/>
        </w:rPr>
        <w:t>summaries;</w:t>
      </w:r>
      <w:proofErr w:type="gramEnd"/>
    </w:p>
    <w:p w14:paraId="055E0703"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Also approves </w:t>
      </w:r>
      <w:r w:rsidRPr="00BD7721">
        <w:rPr>
          <w:color w:val="000000"/>
          <w:lang w:val="en-GB"/>
        </w:rPr>
        <w:t>a scoping process, for consideration by the Plenary at its eleventh session, for a second global assessment of biodiversity and ecosystem services, in accordance with the procedures for the preparation of Platform deliverables</w:t>
      </w:r>
      <w:r w:rsidRPr="00BD7721">
        <w:rPr>
          <w:color w:val="000000"/>
          <w:vertAlign w:val="superscript"/>
          <w:lang w:val="en-GB"/>
        </w:rPr>
        <w:footnoteReference w:id="4"/>
      </w:r>
      <w:r w:rsidRPr="00BD7721">
        <w:rPr>
          <w:color w:val="000000"/>
          <w:lang w:val="en-GB"/>
        </w:rPr>
        <w:t xml:space="preserve"> and based on the initial scoping report;</w:t>
      </w:r>
      <w:r w:rsidRPr="00BD7721">
        <w:rPr>
          <w:rStyle w:val="FootnoteReference"/>
          <w:color w:val="000000"/>
          <w:lang w:val="en-GB"/>
        </w:rPr>
        <w:footnoteReference w:id="5"/>
      </w:r>
    </w:p>
    <w:p w14:paraId="033FC01B" w14:textId="799099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lang w:val="en-GB"/>
        </w:rPr>
      </w:pPr>
      <w:r w:rsidRPr="00BD7721">
        <w:rPr>
          <w:i/>
          <w:lang w:val="en-GB"/>
        </w:rPr>
        <w:t xml:space="preserve">Requests </w:t>
      </w:r>
      <w:r w:rsidRPr="00BD7721">
        <w:rPr>
          <w:lang w:val="en-GB"/>
        </w:rPr>
        <w:t>the Multidisciplinary Expert Panel to give due consideration to addressing and working with Indigenous and local knowledge in the scoping of the second global assessment of biodiversity and ecosystem services, with a dedicated chapter of the assessment on different knowledge systems, including, among others, “Living well in balance and harmony with Mother Earth,” and the incorporation of Indigenous and local knowledge in all chapters, as appropriate, as referred to in the conceptual framework of the Platform;</w:t>
      </w:r>
    </w:p>
    <w:p w14:paraId="3FB98042"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Approves </w:t>
      </w:r>
      <w:r w:rsidRPr="00BD7721">
        <w:rPr>
          <w:color w:val="000000"/>
          <w:lang w:val="en-GB"/>
        </w:rPr>
        <w:t>the undertaking of the following fast-track assessments, in accordance with the procedures for the preparation of Platform deliverables:</w:t>
      </w:r>
      <w:r w:rsidRPr="00BD7721">
        <w:rPr>
          <w:color w:val="000000"/>
          <w:vertAlign w:val="superscript"/>
          <w:lang w:val="en-GB"/>
        </w:rPr>
        <w:footnoteReference w:id="6"/>
      </w:r>
    </w:p>
    <w:p w14:paraId="4A7A4383" w14:textId="3B5C64F7" w:rsidR="00992A45" w:rsidRPr="00BD7721" w:rsidRDefault="00992A45" w:rsidP="002062D9">
      <w:pPr>
        <w:numPr>
          <w:ilvl w:val="7"/>
          <w:numId w:val="49"/>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rPr>
      </w:pPr>
      <w:r w:rsidRPr="00BD7721">
        <w:rPr>
          <w:color w:val="000000"/>
        </w:rPr>
        <w:t xml:space="preserve">A methodological assessment on monitoring biodiversity and nature’s contributions to people, as outlined in the scoping report for the assessment set out in annex I to the present decision, for consideration by the Plenary at its thirteenth </w:t>
      </w:r>
      <w:proofErr w:type="gramStart"/>
      <w:r w:rsidRPr="00BD7721">
        <w:rPr>
          <w:color w:val="000000"/>
        </w:rPr>
        <w:t>session;</w:t>
      </w:r>
      <w:proofErr w:type="gramEnd"/>
      <w:r w:rsidRPr="00BD7721">
        <w:rPr>
          <w:color w:val="000000"/>
        </w:rPr>
        <w:t xml:space="preserve"> </w:t>
      </w:r>
    </w:p>
    <w:p w14:paraId="4F7CD9C5" w14:textId="629A1F96" w:rsidR="00992A45" w:rsidRPr="00BD7721" w:rsidRDefault="00992A45" w:rsidP="002062D9">
      <w:pPr>
        <w:numPr>
          <w:ilvl w:val="7"/>
          <w:numId w:val="49"/>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rPr>
      </w:pPr>
      <w:r w:rsidRPr="00BD7721">
        <w:rPr>
          <w:color w:val="000000"/>
        </w:rPr>
        <w:t xml:space="preserve">A methodological assessment of integrated biodiversity-inclusive spatial planning and ecological connectivity, as outlined in the scoping report for the assessment set out in annex II to the present decision, for consideration by the Plenary at its fourteenth </w:t>
      </w:r>
      <w:proofErr w:type="gramStart"/>
      <w:r w:rsidRPr="00BD7721">
        <w:rPr>
          <w:color w:val="000000"/>
        </w:rPr>
        <w:t>session;</w:t>
      </w:r>
      <w:proofErr w:type="gramEnd"/>
    </w:p>
    <w:p w14:paraId="03BB4AF6" w14:textId="55B512C9"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lang w:val="en-GB"/>
        </w:rPr>
        <w:t xml:space="preserve">Requests </w:t>
      </w:r>
      <w:r w:rsidRPr="00BD7721">
        <w:rPr>
          <w:lang w:val="en-GB"/>
        </w:rPr>
        <w:t>the Executive Secretary to issue a call, in line with decision IPBES-1/3, following the eleventh session of the Plenary</w:t>
      </w:r>
      <w:r w:rsidR="007F40B9" w:rsidRPr="00BD7721">
        <w:rPr>
          <w:lang w:val="en-GB"/>
        </w:rPr>
        <w:t>,</w:t>
      </w:r>
      <w:r w:rsidRPr="00BD7721">
        <w:rPr>
          <w:lang w:val="en-GB"/>
        </w:rPr>
        <w:t xml:space="preserve"> for further requests, inputs and suggestions regarding the work </w:t>
      </w:r>
      <w:proofErr w:type="gramStart"/>
      <w:r w:rsidRPr="00BD7721">
        <w:rPr>
          <w:lang w:val="en-GB"/>
        </w:rPr>
        <w:t>programme;</w:t>
      </w:r>
      <w:proofErr w:type="gramEnd"/>
    </w:p>
    <w:p w14:paraId="43378487"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Decides </w:t>
      </w:r>
      <w:r w:rsidRPr="00BD7721">
        <w:rPr>
          <w:color w:val="000000"/>
          <w:lang w:val="en-GB"/>
        </w:rPr>
        <w:t>to determine, at its</w:t>
      </w:r>
      <w:r w:rsidRPr="00BD7721">
        <w:rPr>
          <w:lang w:val="en-GB"/>
        </w:rPr>
        <w:t xml:space="preserve"> twelfth</w:t>
      </w:r>
      <w:r w:rsidRPr="00BD7721">
        <w:rPr>
          <w:color w:val="000000"/>
          <w:lang w:val="en-GB"/>
        </w:rPr>
        <w:t xml:space="preserve"> session, the exact topic </w:t>
      </w:r>
      <w:r w:rsidRPr="00BD7721">
        <w:rPr>
          <w:lang w:val="en-GB"/>
        </w:rPr>
        <w:t xml:space="preserve">for a </w:t>
      </w:r>
      <w:r w:rsidRPr="00BD7721">
        <w:rPr>
          <w:color w:val="000000"/>
          <w:lang w:val="en-GB"/>
        </w:rPr>
        <w:t>fu</w:t>
      </w:r>
      <w:r w:rsidRPr="00BD7721">
        <w:rPr>
          <w:lang w:val="en-GB"/>
        </w:rPr>
        <w:t xml:space="preserve">rther assessment up to </w:t>
      </w:r>
      <w:proofErr w:type="gramStart"/>
      <w:r w:rsidRPr="00BD7721">
        <w:rPr>
          <w:lang w:val="en-GB"/>
        </w:rPr>
        <w:t>2030;</w:t>
      </w:r>
      <w:proofErr w:type="gramEnd"/>
    </w:p>
    <w:p w14:paraId="43E3FB9F"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lang w:val="en-GB"/>
        </w:rPr>
        <w:t xml:space="preserve">Welcomes </w:t>
      </w:r>
      <w:r w:rsidRPr="00BD7721">
        <w:rPr>
          <w:color w:val="000000"/>
          <w:lang w:val="en-GB"/>
        </w:rPr>
        <w:t>the note by the secretariat on engagement with the Intergovernmental Panel on Climate Change;</w:t>
      </w:r>
      <w:r w:rsidRPr="00BD7721">
        <w:rPr>
          <w:vertAlign w:val="superscript"/>
          <w:lang w:val="en-GB"/>
        </w:rPr>
        <w:footnoteReference w:id="7"/>
      </w:r>
      <w:r w:rsidRPr="00BD7721">
        <w:rPr>
          <w:color w:val="000000"/>
          <w:lang w:val="en-GB"/>
        </w:rPr>
        <w:t xml:space="preserve"> </w:t>
      </w:r>
    </w:p>
    <w:p w14:paraId="1C38CEAB"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Takes note </w:t>
      </w:r>
      <w:r w:rsidRPr="00BD7721">
        <w:rPr>
          <w:color w:val="000000"/>
          <w:lang w:val="en-GB"/>
        </w:rPr>
        <w:t>of the compilation of further suggestions from members of the Platform for thematic or methodological issues related to biodiversity and climate change that would benefit from collaboration between the Intergovernmental Panel on Climate Change and the Platform;</w:t>
      </w:r>
      <w:r w:rsidRPr="00BD7721">
        <w:rPr>
          <w:vertAlign w:val="superscript"/>
          <w:lang w:val="en-GB"/>
        </w:rPr>
        <w:footnoteReference w:id="8"/>
      </w:r>
    </w:p>
    <w:p w14:paraId="4A5D29AC"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lang w:val="en-GB"/>
        </w:rPr>
      </w:pPr>
      <w:r w:rsidRPr="00BD7721">
        <w:rPr>
          <w:i/>
          <w:color w:val="000000"/>
          <w:lang w:val="en-GB"/>
        </w:rPr>
        <w:t>Invites</w:t>
      </w:r>
      <w:r w:rsidRPr="00BD7721">
        <w:rPr>
          <w:color w:val="000000"/>
          <w:lang w:val="en-GB"/>
        </w:rPr>
        <w:t xml:space="preserve"> the national focal points of the Platform to continue to engage with their Intergovernmental Panel on Climate Change counterparts to jointly consider potential means of increasing scientific cooperation and information sharing and improving understanding of relevant processes, procedures and workplans;</w:t>
      </w:r>
      <w:r w:rsidRPr="00BD7721">
        <w:rPr>
          <w:vertAlign w:val="superscript"/>
          <w:lang w:val="en-GB"/>
        </w:rPr>
        <w:footnoteReference w:id="9"/>
      </w:r>
    </w:p>
    <w:p w14:paraId="7314841F"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strike/>
          <w:lang w:val="en-GB"/>
        </w:rPr>
      </w:pPr>
      <w:r w:rsidRPr="00BD7721">
        <w:rPr>
          <w:i/>
          <w:color w:val="000000"/>
          <w:lang w:val="en-GB"/>
        </w:rPr>
        <w:t>Recalls</w:t>
      </w:r>
      <w:r w:rsidRPr="00BD7721">
        <w:rPr>
          <w:color w:val="000000"/>
          <w:lang w:val="en-GB"/>
        </w:rPr>
        <w:t xml:space="preserve"> its encouragement to the members of the Platform, relevant stakeholders, scientific bodies and research organizations to undertake knowledge development and research regarding the interlinkages between biodiversity and climate change, including the impacts of climate </w:t>
      </w:r>
      <w:proofErr w:type="gramStart"/>
      <w:r w:rsidRPr="00BD7721">
        <w:rPr>
          <w:color w:val="000000"/>
          <w:lang w:val="en-GB"/>
        </w:rPr>
        <w:t>change;</w:t>
      </w:r>
      <w:proofErr w:type="gramEnd"/>
    </w:p>
    <w:p w14:paraId="751D94E4" w14:textId="4A8E5A6F"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lang w:val="en-GB"/>
        </w:rPr>
      </w:pPr>
      <w:r w:rsidRPr="00BD7721">
        <w:rPr>
          <w:i/>
          <w:color w:val="000000"/>
          <w:lang w:val="en-GB"/>
        </w:rPr>
        <w:t xml:space="preserve">Invites </w:t>
      </w:r>
      <w:r w:rsidRPr="00BD7721">
        <w:rPr>
          <w:color w:val="000000"/>
          <w:lang w:val="en-GB"/>
        </w:rPr>
        <w:t xml:space="preserve">the Bureau and the Executive Secretary of the Platform to continue to explore with the Intergovernmental Panel on Climate Change, </w:t>
      </w:r>
      <w:r w:rsidRPr="00BD7721">
        <w:rPr>
          <w:lang w:val="en-GB"/>
        </w:rPr>
        <w:t>early in its seventh assessment cycle</w:t>
      </w:r>
      <w:r w:rsidR="007F40B9" w:rsidRPr="00BD7721">
        <w:rPr>
          <w:lang w:val="en-GB"/>
        </w:rPr>
        <w:t>,</w:t>
      </w:r>
      <w:r w:rsidRPr="00BD7721">
        <w:rPr>
          <w:lang w:val="en-GB"/>
        </w:rPr>
        <w:t xml:space="preserve"> concrete approaches </w:t>
      </w:r>
      <w:r w:rsidRPr="00BD7721">
        <w:rPr>
          <w:color w:val="000000"/>
          <w:lang w:val="en-GB"/>
        </w:rPr>
        <w:t>for cooperation and potential joint activities between the Panel and the Platform, including as part of the seventh cycle o</w:t>
      </w:r>
      <w:r w:rsidR="007F40B9" w:rsidRPr="00BD7721">
        <w:rPr>
          <w:color w:val="000000"/>
          <w:lang w:val="en-GB"/>
        </w:rPr>
        <w:t>f</w:t>
      </w:r>
      <w:r w:rsidRPr="00BD7721">
        <w:rPr>
          <w:color w:val="000000"/>
          <w:lang w:val="en-GB"/>
        </w:rPr>
        <w:t xml:space="preserve"> the P</w:t>
      </w:r>
      <w:r w:rsidRPr="00BD7721">
        <w:rPr>
          <w:lang w:val="en-GB"/>
        </w:rPr>
        <w:t xml:space="preserve">anel, reaffirming the need for transparency of any activity, in conformity with the decisions of the Panel and of the Platform and their respective policies and procedures; </w:t>
      </w:r>
    </w:p>
    <w:p w14:paraId="0AE5E3F2" w14:textId="138D86DF"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lang w:val="en-GB"/>
        </w:rPr>
      </w:pPr>
      <w:r w:rsidRPr="00BD7721">
        <w:rPr>
          <w:i/>
          <w:lang w:val="en-GB"/>
        </w:rPr>
        <w:t xml:space="preserve">Requests </w:t>
      </w:r>
      <w:r w:rsidRPr="00BD7721">
        <w:rPr>
          <w:lang w:val="en-GB"/>
        </w:rPr>
        <w:t xml:space="preserve">the Executive Secretary to issue an additional call for </w:t>
      </w:r>
      <w:r w:rsidRPr="00BD7721">
        <w:rPr>
          <w:color w:val="000000"/>
          <w:lang w:val="en-GB"/>
        </w:rPr>
        <w:t xml:space="preserve">suggestions for thematic or methodological issues related to biodiversity and climate change that would benefit from collaboration between the Intergovernmental Panel on Climate Change and the </w:t>
      </w:r>
      <w:proofErr w:type="gramStart"/>
      <w:r w:rsidRPr="00BD7721">
        <w:rPr>
          <w:color w:val="000000"/>
          <w:lang w:val="en-GB"/>
        </w:rPr>
        <w:t>Platform;</w:t>
      </w:r>
      <w:proofErr w:type="gramEnd"/>
    </w:p>
    <w:p w14:paraId="30666ACB" w14:textId="6C01E40B"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lang w:val="en-GB"/>
        </w:rPr>
      </w:pPr>
      <w:r w:rsidRPr="00BD7721">
        <w:rPr>
          <w:i/>
          <w:lang w:val="en-GB"/>
        </w:rPr>
        <w:t>Requests</w:t>
      </w:r>
      <w:r w:rsidRPr="00BD7721">
        <w:rPr>
          <w:lang w:val="en-GB"/>
        </w:rPr>
        <w:t xml:space="preserve"> the secretariat to produce a compilation of suggestions, including the information contained in </w:t>
      </w:r>
      <w:r w:rsidR="004C155C" w:rsidRPr="00BD7721">
        <w:rPr>
          <w:lang w:val="en-GB"/>
        </w:rPr>
        <w:t xml:space="preserve">the </w:t>
      </w:r>
      <w:r w:rsidR="002B1192" w:rsidRPr="00BD7721">
        <w:rPr>
          <w:lang w:val="en-GB"/>
        </w:rPr>
        <w:t xml:space="preserve">notes by the secretariat on </w:t>
      </w:r>
      <w:r w:rsidR="004C155C" w:rsidRPr="00BD7721">
        <w:rPr>
          <w:lang w:val="en-GB"/>
        </w:rPr>
        <w:t>compilation</w:t>
      </w:r>
      <w:r w:rsidR="002B1192" w:rsidRPr="00BD7721">
        <w:rPr>
          <w:lang w:val="en-GB"/>
        </w:rPr>
        <w:t>s</w:t>
      </w:r>
      <w:r w:rsidR="004C155C" w:rsidRPr="00BD7721">
        <w:rPr>
          <w:lang w:val="en-GB"/>
        </w:rPr>
        <w:t xml:space="preserve"> of further suggestions from members of the Intergovernmental Science-Policy Platform on Biodiversity and Ecosystem Services for thematic or methodological issues related to biodiversity and climate change that would benefit from collaboration between the Intergovernmental Panel on Climate Change and the Intergovernmental Science-Policy Platform on Biodiversity and Ecosystem Service,</w:t>
      </w:r>
      <w:r w:rsidR="004C155C" w:rsidRPr="00BD7721">
        <w:rPr>
          <w:rStyle w:val="FootnoteReference"/>
          <w:lang w:val="en-GB"/>
        </w:rPr>
        <w:footnoteReference w:id="10"/>
      </w:r>
      <w:r w:rsidR="004C155C" w:rsidRPr="00BD7721">
        <w:rPr>
          <w:lang w:val="en-GB"/>
        </w:rPr>
        <w:t xml:space="preserve"> </w:t>
      </w:r>
      <w:r w:rsidRPr="00BD7721">
        <w:rPr>
          <w:lang w:val="en-GB"/>
        </w:rPr>
        <w:t xml:space="preserve">as well as the responses to the additional call for further suggestions referred to in paragraph 14 </w:t>
      </w:r>
      <w:r w:rsidR="002B1192" w:rsidRPr="00BD7721">
        <w:rPr>
          <w:lang w:val="en-GB"/>
        </w:rPr>
        <w:t>of the present decision</w:t>
      </w:r>
      <w:r w:rsidRPr="00BD7721">
        <w:rPr>
          <w:lang w:val="en-GB"/>
        </w:rPr>
        <w:t xml:space="preserve">, </w:t>
      </w:r>
      <w:r w:rsidRPr="00BD7721">
        <w:rPr>
          <w:color w:val="000000"/>
          <w:lang w:val="en-GB"/>
        </w:rPr>
        <w:t>and the options outlined in section II of the note by the secretariat on the work on biodiversity and climate change and collaboration with the Intergovernmental Panel on Climate Change</w:t>
      </w:r>
      <w:r w:rsidRPr="00BD7721">
        <w:rPr>
          <w:color w:val="000000"/>
          <w:vertAlign w:val="superscript"/>
          <w:lang w:val="en-GB"/>
        </w:rPr>
        <w:footnoteReference w:id="11"/>
      </w:r>
      <w:r w:rsidRPr="00BD7721">
        <w:rPr>
          <w:color w:val="000000"/>
          <w:lang w:val="en-GB"/>
        </w:rPr>
        <w:t xml:space="preserve"> and to </w:t>
      </w:r>
      <w:r w:rsidRPr="00BD7721">
        <w:rPr>
          <w:lang w:val="en-GB"/>
        </w:rPr>
        <w:t>make it available</w:t>
      </w:r>
      <w:r w:rsidRPr="00BD7721">
        <w:rPr>
          <w:color w:val="000000"/>
          <w:lang w:val="en-GB"/>
        </w:rPr>
        <w:t xml:space="preserve"> </w:t>
      </w:r>
      <w:r w:rsidRPr="00BD7721">
        <w:rPr>
          <w:lang w:val="en-GB"/>
        </w:rPr>
        <w:t xml:space="preserve">for peer review, in time for a proposal to be finalized for consideration and further action by the Plenary at its eleventh session; </w:t>
      </w:r>
    </w:p>
    <w:p w14:paraId="641BCA35"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shd w:val="clear" w:color="auto" w:fill="D9D9D9"/>
          <w:lang w:val="en-GB"/>
        </w:rPr>
      </w:pPr>
      <w:r w:rsidRPr="00BD7721">
        <w:rPr>
          <w:i/>
          <w:lang w:val="en-GB"/>
        </w:rPr>
        <w:t>Requests</w:t>
      </w:r>
      <w:r w:rsidRPr="00BD7721">
        <w:rPr>
          <w:lang w:val="en-GB"/>
        </w:rPr>
        <w:t xml:space="preserve"> the Executive Secretary to represent the Platform at the sixtieth session of the </w:t>
      </w:r>
      <w:r w:rsidRPr="00BD7721">
        <w:rPr>
          <w:color w:val="000000"/>
          <w:lang w:val="en-GB"/>
        </w:rPr>
        <w:t>Intergovernmental Panel on Climate Change</w:t>
      </w:r>
      <w:r w:rsidRPr="00BD7721" w:rsidDel="000A1815">
        <w:rPr>
          <w:lang w:val="en-GB"/>
        </w:rPr>
        <w:t xml:space="preserve"> </w:t>
      </w:r>
      <w:r w:rsidRPr="00BD7721">
        <w:rPr>
          <w:lang w:val="en-GB"/>
        </w:rPr>
        <w:t xml:space="preserve">and to present the outcomes of the tenth session of the Plenary, in particular on the engagement of the Platform with the </w:t>
      </w:r>
      <w:r w:rsidRPr="00BD7721">
        <w:rPr>
          <w:color w:val="000000"/>
          <w:lang w:val="en-GB"/>
        </w:rPr>
        <w:t>Intergovernmental Panel on Climate Change</w:t>
      </w:r>
      <w:r w:rsidRPr="00BD7721">
        <w:rPr>
          <w:lang w:val="en-GB"/>
        </w:rPr>
        <w:t xml:space="preserve">, at that session in the context of discussions on the workplan for the seventh assessment cycle of the </w:t>
      </w:r>
      <w:proofErr w:type="gramStart"/>
      <w:r w:rsidRPr="00BD7721">
        <w:rPr>
          <w:lang w:val="en-GB"/>
        </w:rPr>
        <w:t>Panel;</w:t>
      </w:r>
      <w:proofErr w:type="gramEnd"/>
    </w:p>
    <w:p w14:paraId="192932A4"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Decides</w:t>
      </w:r>
      <w:r w:rsidRPr="00BD7721">
        <w:rPr>
          <w:color w:val="000000"/>
          <w:lang w:val="en-GB"/>
        </w:rPr>
        <w:t>, notwithstanding section 3.1 and related provisions of the procedures for the preparation of Platform deliverables,</w:t>
      </w:r>
      <w:r w:rsidRPr="00BD7721">
        <w:rPr>
          <w:vertAlign w:val="superscript"/>
          <w:lang w:val="en-GB"/>
        </w:rPr>
        <w:footnoteReference w:id="12"/>
      </w:r>
      <w:r w:rsidRPr="00BD7721">
        <w:rPr>
          <w:color w:val="000000"/>
          <w:lang w:val="en-GB"/>
        </w:rPr>
        <w:t xml:space="preserve"> to enable Governments to undertake an additional review of the summary for policymakers of the nexus and transformative change assessments, if considered feasible by the Multidisciplinary Expert Panel and co-chairs of the assessments within the time constraints of the </w:t>
      </w:r>
      <w:proofErr w:type="gramStart"/>
      <w:r w:rsidRPr="00BD7721">
        <w:rPr>
          <w:color w:val="000000"/>
          <w:lang w:val="en-GB"/>
        </w:rPr>
        <w:t>assessments;</w:t>
      </w:r>
      <w:proofErr w:type="gramEnd"/>
    </w:p>
    <w:p w14:paraId="5C8879D2" w14:textId="77777777" w:rsidR="00992A45" w:rsidRPr="00BD7721" w:rsidRDefault="00992A45" w:rsidP="002062D9">
      <w:pPr>
        <w:pStyle w:val="CH2"/>
        <w:tabs>
          <w:tab w:val="left" w:pos="2552"/>
        </w:tabs>
        <w:ind w:firstLine="0"/>
        <w:jc w:val="center"/>
        <w:rPr>
          <w:rFonts w:eastAsia="SimSun"/>
          <w:lang w:val="en-GB"/>
        </w:rPr>
      </w:pPr>
      <w:r w:rsidRPr="00BD7721">
        <w:rPr>
          <w:rFonts w:eastAsia="SimSun"/>
          <w:lang w:val="en-GB"/>
        </w:rPr>
        <w:t>III</w:t>
      </w:r>
    </w:p>
    <w:p w14:paraId="7AB648A0" w14:textId="77777777" w:rsidR="00992A45" w:rsidRPr="00BD7721" w:rsidRDefault="00992A45" w:rsidP="009721E8">
      <w:pPr>
        <w:pStyle w:val="CH2"/>
        <w:tabs>
          <w:tab w:val="clear" w:pos="851"/>
          <w:tab w:val="clear" w:pos="1247"/>
          <w:tab w:val="clear" w:pos="3119"/>
        </w:tabs>
        <w:spacing w:before="0"/>
        <w:ind w:firstLine="0"/>
        <w:jc w:val="center"/>
        <w:rPr>
          <w:rFonts w:eastAsia="SimSun"/>
          <w:lang w:val="en-GB"/>
        </w:rPr>
      </w:pPr>
      <w:r w:rsidRPr="00BD7721">
        <w:rPr>
          <w:rFonts w:eastAsia="SimSun"/>
          <w:lang w:val="en-GB"/>
        </w:rPr>
        <w:t>Building capacity</w:t>
      </w:r>
    </w:p>
    <w:p w14:paraId="3E0D0C13"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Welcomes</w:t>
      </w:r>
      <w:r w:rsidRPr="00BD7721">
        <w:rPr>
          <w:color w:val="000000"/>
          <w:lang w:val="en-GB"/>
        </w:rPr>
        <w:t xml:space="preserve"> the progress made by the task force on capacity-building in the implementation of objectives 2 (a), 2 (b) and 2 (c) of the work programme of the Platform up to 2030, on building </w:t>
      </w:r>
      <w:proofErr w:type="gramStart"/>
      <w:r w:rsidRPr="00BD7721">
        <w:rPr>
          <w:color w:val="000000"/>
          <w:lang w:val="en-GB"/>
        </w:rPr>
        <w:t>capacity;</w:t>
      </w:r>
      <w:proofErr w:type="gramEnd"/>
    </w:p>
    <w:p w14:paraId="159508C0"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Approves </w:t>
      </w:r>
      <w:r w:rsidRPr="00BD7721">
        <w:rPr>
          <w:color w:val="000000"/>
          <w:lang w:val="en-GB"/>
        </w:rPr>
        <w:t xml:space="preserve">the workplan for objective 2 of the work programme of the Platform up to 2030 for the intersessional period 2023–2024, as set out in annex III to the present </w:t>
      </w:r>
      <w:proofErr w:type="gramStart"/>
      <w:r w:rsidRPr="00BD7721">
        <w:rPr>
          <w:color w:val="000000"/>
          <w:lang w:val="en-GB"/>
        </w:rPr>
        <w:t>decision;</w:t>
      </w:r>
      <w:proofErr w:type="gramEnd"/>
    </w:p>
    <w:p w14:paraId="117D6B0B" w14:textId="77777777" w:rsidR="00992A45" w:rsidRPr="00BD7721" w:rsidRDefault="00992A45" w:rsidP="002062D9">
      <w:pPr>
        <w:pStyle w:val="CH2"/>
        <w:tabs>
          <w:tab w:val="left" w:pos="2552"/>
        </w:tabs>
        <w:ind w:firstLine="0"/>
        <w:jc w:val="center"/>
        <w:rPr>
          <w:rFonts w:eastAsia="SimSun"/>
          <w:lang w:val="en-GB"/>
        </w:rPr>
      </w:pPr>
      <w:r w:rsidRPr="00BD7721">
        <w:rPr>
          <w:rFonts w:eastAsia="SimSun"/>
          <w:lang w:val="en-GB"/>
        </w:rPr>
        <w:t>IV</w:t>
      </w:r>
    </w:p>
    <w:p w14:paraId="13804ECE" w14:textId="77777777" w:rsidR="00992A45" w:rsidRPr="00BD7721" w:rsidRDefault="00992A45" w:rsidP="009721E8">
      <w:pPr>
        <w:pStyle w:val="CH2"/>
        <w:tabs>
          <w:tab w:val="clear" w:pos="851"/>
          <w:tab w:val="clear" w:pos="1247"/>
          <w:tab w:val="clear" w:pos="3119"/>
        </w:tabs>
        <w:spacing w:before="0"/>
        <w:ind w:firstLine="0"/>
        <w:jc w:val="center"/>
        <w:rPr>
          <w:rFonts w:eastAsia="SimSun"/>
          <w:lang w:val="en-GB"/>
        </w:rPr>
      </w:pPr>
      <w:r w:rsidRPr="00BD7721">
        <w:rPr>
          <w:rFonts w:eastAsia="SimSun"/>
          <w:lang w:val="en-GB"/>
        </w:rPr>
        <w:t>Strengthening the knowledge foundations</w:t>
      </w:r>
    </w:p>
    <w:p w14:paraId="3C5BE517"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Welcomes</w:t>
      </w:r>
      <w:r w:rsidRPr="00BD7721">
        <w:rPr>
          <w:color w:val="000000"/>
          <w:lang w:val="en-GB"/>
        </w:rPr>
        <w:t xml:space="preserve"> the progress made by the task force on knowledge and data in the implementation of objective 3 (a) of the work programme of the Platform up to 2030, on advanced work on knowledge and </w:t>
      </w:r>
      <w:proofErr w:type="gramStart"/>
      <w:r w:rsidRPr="00BD7721">
        <w:rPr>
          <w:color w:val="000000"/>
          <w:lang w:val="en-GB"/>
        </w:rPr>
        <w:t>data;</w:t>
      </w:r>
      <w:proofErr w:type="gramEnd"/>
    </w:p>
    <w:p w14:paraId="2C707C4C" w14:textId="4B935C1F"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Approves </w:t>
      </w:r>
      <w:r w:rsidRPr="00BD7721">
        <w:rPr>
          <w:color w:val="000000"/>
          <w:lang w:val="en-GB"/>
        </w:rPr>
        <w:t>the workplan for the component of objective 3 (a) on data and knowledge management of the work programme of the Platform up to 2030 for the intersessional period 2023</w:t>
      </w:r>
      <w:r w:rsidR="009E0204" w:rsidRPr="00BD7721">
        <w:rPr>
          <w:lang w:val="en-GB"/>
        </w:rPr>
        <w:sym w:font="Symbol" w:char="F02D"/>
      </w:r>
      <w:r w:rsidRPr="00BD7721">
        <w:rPr>
          <w:color w:val="000000"/>
          <w:lang w:val="en-GB"/>
        </w:rPr>
        <w:t xml:space="preserve">2024, as set out in annex IV to the present </w:t>
      </w:r>
      <w:proofErr w:type="gramStart"/>
      <w:r w:rsidRPr="00BD7721">
        <w:rPr>
          <w:color w:val="000000"/>
          <w:lang w:val="en-GB"/>
        </w:rPr>
        <w:t>decision;</w:t>
      </w:r>
      <w:proofErr w:type="gramEnd"/>
    </w:p>
    <w:p w14:paraId="725D3A63"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shd w:val="clear" w:color="auto" w:fill="D9D9D9"/>
          <w:lang w:val="en-GB"/>
        </w:rPr>
      </w:pPr>
      <w:r w:rsidRPr="00BD7721">
        <w:rPr>
          <w:i/>
          <w:color w:val="000000"/>
          <w:lang w:val="en-GB"/>
        </w:rPr>
        <w:t xml:space="preserve">Requests </w:t>
      </w:r>
      <w:r w:rsidRPr="00BD7721">
        <w:rPr>
          <w:color w:val="000000"/>
          <w:lang w:val="en-GB"/>
        </w:rPr>
        <w:t xml:space="preserve">the Executive Secretary to invite members, observers and </w:t>
      </w:r>
      <w:r w:rsidRPr="00BD7721">
        <w:rPr>
          <w:lang w:val="en-GB"/>
        </w:rPr>
        <w:t xml:space="preserve">stakeholders </w:t>
      </w:r>
      <w:r w:rsidRPr="00BD7721">
        <w:rPr>
          <w:color w:val="000000"/>
          <w:lang w:val="en-GB"/>
        </w:rPr>
        <w:t xml:space="preserve">to submit their views on ways to strengthen the implementation of objective 3 (a) on knowledge generation </w:t>
      </w:r>
      <w:proofErr w:type="gramStart"/>
      <w:r w:rsidRPr="00BD7721">
        <w:rPr>
          <w:color w:val="000000"/>
          <w:lang w:val="en-GB"/>
        </w:rPr>
        <w:t>catalysis;</w:t>
      </w:r>
      <w:proofErr w:type="gramEnd"/>
      <w:r w:rsidRPr="00BD7721">
        <w:rPr>
          <w:color w:val="000000"/>
          <w:lang w:val="en-GB"/>
        </w:rPr>
        <w:t xml:space="preserve"> </w:t>
      </w:r>
    </w:p>
    <w:p w14:paraId="7D95CC71"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shd w:val="clear" w:color="auto" w:fill="D9D9D9"/>
          <w:lang w:val="en-GB"/>
        </w:rPr>
      </w:pPr>
      <w:r w:rsidRPr="00BD7721">
        <w:rPr>
          <w:i/>
          <w:color w:val="000000"/>
          <w:lang w:val="en-GB"/>
        </w:rPr>
        <w:t xml:space="preserve">Approves </w:t>
      </w:r>
      <w:r w:rsidRPr="00BD7721">
        <w:rPr>
          <w:color w:val="000000"/>
          <w:lang w:val="en-GB"/>
        </w:rPr>
        <w:t xml:space="preserve">the workplan for the component of objective 3 (a) on knowledge generation </w:t>
      </w:r>
      <w:r w:rsidRPr="00BD7721">
        <w:rPr>
          <w:i/>
          <w:lang w:val="en-GB" w:eastAsia="zh-CN"/>
        </w:rPr>
        <w:t>catalysis</w:t>
      </w:r>
      <w:r w:rsidRPr="00BD7721">
        <w:rPr>
          <w:color w:val="000000"/>
          <w:lang w:val="en-GB"/>
        </w:rPr>
        <w:t xml:space="preserve"> of the work programme of the Platform up to 2030 for the intersessional period 2023–2024, as set out in annex V to the present </w:t>
      </w:r>
      <w:proofErr w:type="gramStart"/>
      <w:r w:rsidRPr="00BD7721">
        <w:rPr>
          <w:color w:val="000000"/>
          <w:lang w:val="en-GB"/>
        </w:rPr>
        <w:t>decision;</w:t>
      </w:r>
      <w:proofErr w:type="gramEnd"/>
    </w:p>
    <w:p w14:paraId="76D0FB37" w14:textId="1F966BBD"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Welcomes</w:t>
      </w:r>
      <w:r w:rsidRPr="00BD7721">
        <w:rPr>
          <w:color w:val="000000"/>
          <w:lang w:val="en-GB"/>
        </w:rPr>
        <w:t xml:space="preserve"> the progress made by the task force on Indigenous and local knowledge in the implementation of objective 3 (b) of the work programme of the Platform up to 2030 on enhanced recognition of and work with Indigenous and local knowledge </w:t>
      </w:r>
      <w:proofErr w:type="gramStart"/>
      <w:r w:rsidRPr="00BD7721">
        <w:rPr>
          <w:color w:val="000000"/>
          <w:lang w:val="en-GB"/>
        </w:rPr>
        <w:t>systems;</w:t>
      </w:r>
      <w:proofErr w:type="gramEnd"/>
    </w:p>
    <w:p w14:paraId="4A426A09"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Approves </w:t>
      </w:r>
      <w:r w:rsidRPr="00BD7721">
        <w:rPr>
          <w:color w:val="000000"/>
          <w:lang w:val="en-GB"/>
        </w:rPr>
        <w:t xml:space="preserve">the workplan for objective 3 (b) of the work programme of the Platform up </w:t>
      </w:r>
      <w:r w:rsidRPr="00BD7721">
        <w:rPr>
          <w:iCs/>
          <w:color w:val="000000"/>
          <w:lang w:val="en-GB"/>
        </w:rPr>
        <w:t xml:space="preserve">to </w:t>
      </w:r>
      <w:r w:rsidRPr="00BD7721">
        <w:rPr>
          <w:color w:val="000000"/>
          <w:lang w:val="en-GB"/>
        </w:rPr>
        <w:t xml:space="preserve">2030 for the intersessional period 2023–2024, as set out in annex VI to the present </w:t>
      </w:r>
      <w:proofErr w:type="gramStart"/>
      <w:r w:rsidRPr="00BD7721">
        <w:rPr>
          <w:color w:val="000000"/>
          <w:lang w:val="en-GB"/>
        </w:rPr>
        <w:t>decision;</w:t>
      </w:r>
      <w:proofErr w:type="gramEnd"/>
    </w:p>
    <w:p w14:paraId="70EABB40" w14:textId="77777777" w:rsidR="00992A45" w:rsidRPr="00BD7721" w:rsidRDefault="00992A45" w:rsidP="002062D9">
      <w:pPr>
        <w:pStyle w:val="CH2"/>
        <w:tabs>
          <w:tab w:val="left" w:pos="2552"/>
        </w:tabs>
        <w:ind w:firstLine="0"/>
        <w:jc w:val="center"/>
        <w:rPr>
          <w:rFonts w:eastAsia="SimSun"/>
          <w:lang w:val="en-GB"/>
        </w:rPr>
      </w:pPr>
      <w:r w:rsidRPr="00BD7721">
        <w:rPr>
          <w:rFonts w:eastAsia="SimSun"/>
          <w:lang w:val="en-GB"/>
        </w:rPr>
        <w:t>V</w:t>
      </w:r>
    </w:p>
    <w:p w14:paraId="781E7A3C" w14:textId="77777777" w:rsidR="00992A45" w:rsidRPr="00BD7721" w:rsidRDefault="00992A45" w:rsidP="000F71FD">
      <w:pPr>
        <w:pStyle w:val="CH2"/>
        <w:tabs>
          <w:tab w:val="clear" w:pos="851"/>
          <w:tab w:val="clear" w:pos="1247"/>
          <w:tab w:val="clear" w:pos="3119"/>
        </w:tabs>
        <w:spacing w:before="0"/>
        <w:ind w:firstLine="0"/>
        <w:jc w:val="center"/>
        <w:rPr>
          <w:rFonts w:eastAsia="SimSun"/>
          <w:lang w:val="en-GB"/>
        </w:rPr>
      </w:pPr>
      <w:r w:rsidRPr="00BD7721">
        <w:rPr>
          <w:rFonts w:eastAsia="SimSun"/>
          <w:lang w:val="en-GB"/>
        </w:rPr>
        <w:t xml:space="preserve">Supporting policy </w:t>
      </w:r>
    </w:p>
    <w:p w14:paraId="444456E5"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Welcomes</w:t>
      </w:r>
      <w:r w:rsidRPr="00BD7721">
        <w:rPr>
          <w:color w:val="000000"/>
          <w:lang w:val="en-GB"/>
        </w:rPr>
        <w:t xml:space="preserve"> the progress made by the task force on policy tools and methodologies in the implementation of objective 4 (a) of the rolling work programme of the Platform up to 2030, on advanced work on policy instruments, policy support tools and </w:t>
      </w:r>
      <w:proofErr w:type="gramStart"/>
      <w:r w:rsidRPr="00BD7721">
        <w:rPr>
          <w:color w:val="000000"/>
          <w:lang w:val="en-GB"/>
        </w:rPr>
        <w:t>methodologies;</w:t>
      </w:r>
      <w:proofErr w:type="gramEnd"/>
    </w:p>
    <w:p w14:paraId="0CC655DA"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Approves </w:t>
      </w:r>
      <w:r w:rsidRPr="00BD7721">
        <w:rPr>
          <w:color w:val="000000"/>
          <w:lang w:val="en-GB"/>
        </w:rPr>
        <w:t xml:space="preserve">the workplan for objective 4 (a) of the work programme of the Platform up to 2030 for the intersessional period 2023–2024, as set out in annex VII to the present </w:t>
      </w:r>
      <w:proofErr w:type="gramStart"/>
      <w:r w:rsidRPr="00BD7721">
        <w:rPr>
          <w:color w:val="000000"/>
          <w:lang w:val="en-GB"/>
        </w:rPr>
        <w:t>decision;</w:t>
      </w:r>
      <w:proofErr w:type="gramEnd"/>
    </w:p>
    <w:p w14:paraId="2FD84AB0" w14:textId="68B0014F"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Requests </w:t>
      </w:r>
      <w:r w:rsidRPr="00BD7721">
        <w:rPr>
          <w:color w:val="000000"/>
          <w:lang w:val="en-GB"/>
        </w:rPr>
        <w:t>the Executive Secretary to invite members</w:t>
      </w:r>
      <w:r w:rsidRPr="00BD7721">
        <w:rPr>
          <w:lang w:val="en-GB"/>
        </w:rPr>
        <w:t xml:space="preserve">, </w:t>
      </w:r>
      <w:r w:rsidRPr="00BD7721">
        <w:rPr>
          <w:color w:val="000000"/>
          <w:lang w:val="en-GB"/>
        </w:rPr>
        <w:t xml:space="preserve">observers and stakeholders to submit their views on </w:t>
      </w:r>
      <w:r w:rsidRPr="00BD7721">
        <w:rPr>
          <w:lang w:val="en-GB"/>
        </w:rPr>
        <w:t>the future role of the policy support function and ways to strengthen the implementation</w:t>
      </w:r>
      <w:r w:rsidRPr="00BD7721">
        <w:rPr>
          <w:color w:val="000000"/>
          <w:lang w:val="en-GB"/>
        </w:rPr>
        <w:t xml:space="preserve"> of objective 4 (a) of the rolling work programme of the Platform up to </w:t>
      </w:r>
      <w:proofErr w:type="gramStart"/>
      <w:r w:rsidRPr="00BD7721">
        <w:rPr>
          <w:color w:val="000000"/>
          <w:lang w:val="en-GB"/>
        </w:rPr>
        <w:t>2030;</w:t>
      </w:r>
      <w:proofErr w:type="gramEnd"/>
      <w:r w:rsidRPr="00BD7721">
        <w:rPr>
          <w:color w:val="000000"/>
          <w:lang w:val="en-GB"/>
        </w:rPr>
        <w:t xml:space="preserve"> </w:t>
      </w:r>
    </w:p>
    <w:p w14:paraId="17B60826" w14:textId="7FA2D33D" w:rsidR="00992A45" w:rsidRPr="00BD7721" w:rsidRDefault="00992A45" w:rsidP="009E0204">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Welcomes</w:t>
      </w:r>
      <w:r w:rsidRPr="00BD7721">
        <w:rPr>
          <w:color w:val="000000"/>
          <w:lang w:val="en-GB"/>
        </w:rPr>
        <w:t xml:space="preserve"> the progress made by the task force on scenarios and models of biodiversity and ecosystem services in the implementation of objective 4 (b) of the work programme of the Platform up to 2030, on advanced work on scenarios and models of biodiversity and ecosystem functions and </w:t>
      </w:r>
      <w:proofErr w:type="gramStart"/>
      <w:r w:rsidRPr="00BD7721">
        <w:rPr>
          <w:color w:val="000000"/>
          <w:lang w:val="en-GB"/>
        </w:rPr>
        <w:t>services;</w:t>
      </w:r>
      <w:proofErr w:type="gramEnd"/>
    </w:p>
    <w:p w14:paraId="3D6354D9"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Approves </w:t>
      </w:r>
      <w:r w:rsidRPr="00BD7721">
        <w:rPr>
          <w:color w:val="000000"/>
          <w:lang w:val="en-GB"/>
        </w:rPr>
        <w:t xml:space="preserve">the workplan for objective 4 (b) of the work programme of the Platform up to 2030 for the intersessional period 2023–2024, as set out in annex VIII to the present </w:t>
      </w:r>
      <w:proofErr w:type="gramStart"/>
      <w:r w:rsidRPr="00BD7721">
        <w:rPr>
          <w:color w:val="000000"/>
          <w:lang w:val="en-GB"/>
        </w:rPr>
        <w:t>decision;</w:t>
      </w:r>
      <w:proofErr w:type="gramEnd"/>
    </w:p>
    <w:p w14:paraId="26BAE7C5" w14:textId="77777777" w:rsidR="00992A45" w:rsidRPr="00BD7721" w:rsidRDefault="00992A45" w:rsidP="002F0097">
      <w:pPr>
        <w:pStyle w:val="CH2"/>
        <w:tabs>
          <w:tab w:val="left" w:pos="2552"/>
        </w:tabs>
        <w:ind w:firstLine="0"/>
        <w:jc w:val="center"/>
        <w:rPr>
          <w:rFonts w:eastAsia="SimSun"/>
          <w:lang w:val="en-GB"/>
        </w:rPr>
      </w:pPr>
      <w:r w:rsidRPr="00BD7721">
        <w:rPr>
          <w:rFonts w:eastAsia="SimSun"/>
          <w:lang w:val="en-GB"/>
        </w:rPr>
        <w:t>VI</w:t>
      </w:r>
    </w:p>
    <w:p w14:paraId="6B5A295C" w14:textId="77777777" w:rsidR="00992A45" w:rsidRPr="00BD7721" w:rsidRDefault="00992A45" w:rsidP="009721E8">
      <w:pPr>
        <w:pStyle w:val="CH2"/>
        <w:tabs>
          <w:tab w:val="clear" w:pos="851"/>
          <w:tab w:val="clear" w:pos="1247"/>
          <w:tab w:val="clear" w:pos="3119"/>
        </w:tabs>
        <w:spacing w:before="0"/>
        <w:ind w:firstLine="0"/>
        <w:jc w:val="center"/>
        <w:rPr>
          <w:rFonts w:eastAsia="SimSun"/>
          <w:lang w:val="en-GB"/>
        </w:rPr>
      </w:pPr>
      <w:r w:rsidRPr="00BD7721">
        <w:rPr>
          <w:rFonts w:eastAsia="SimSun"/>
          <w:lang w:val="en-GB"/>
        </w:rPr>
        <w:t>Improving the effectiveness of the Platform</w:t>
      </w:r>
    </w:p>
    <w:p w14:paraId="7CF1A27B"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Welcomes </w:t>
      </w:r>
      <w:r w:rsidRPr="00BD7721">
        <w:rPr>
          <w:color w:val="000000"/>
          <w:lang w:val="en-GB"/>
        </w:rPr>
        <w:t>the note by the secretariat on improving the effectiveness of the Platform;</w:t>
      </w:r>
      <w:r w:rsidRPr="00BD7721">
        <w:rPr>
          <w:color w:val="000000"/>
          <w:vertAlign w:val="superscript"/>
          <w:lang w:val="en-GB"/>
        </w:rPr>
        <w:footnoteReference w:id="13"/>
      </w:r>
      <w:r w:rsidRPr="00BD7721">
        <w:rPr>
          <w:color w:val="000000"/>
          <w:lang w:val="en-GB"/>
        </w:rPr>
        <w:t xml:space="preserve"> </w:t>
      </w:r>
    </w:p>
    <w:p w14:paraId="5CF356D2"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Requests</w:t>
      </w:r>
      <w:r w:rsidRPr="00BD7721">
        <w:rPr>
          <w:color w:val="000000"/>
          <w:lang w:val="en-GB"/>
        </w:rPr>
        <w:t xml:space="preserve"> the Bureau, the Multidisciplinary Expert Panel and the Executive Secretary, in accordance with their respective mandates, to continue to take into account the recommendations set out in the report on the review of the Platform at the end of its first work programme in the implementation of the rolling work programme of the Platform up to 2030</w:t>
      </w:r>
      <w:r w:rsidRPr="00BD7721">
        <w:rPr>
          <w:color w:val="000000"/>
          <w:vertAlign w:val="superscript"/>
          <w:lang w:val="en-GB"/>
        </w:rPr>
        <w:footnoteReference w:id="14"/>
      </w:r>
      <w:r w:rsidRPr="00BD7721">
        <w:rPr>
          <w:color w:val="000000"/>
          <w:lang w:val="en-GB"/>
        </w:rPr>
        <w:t xml:space="preserve"> and report to the Plenary at its eleventh session on further progress, including on further solutions and issues; </w:t>
      </w:r>
    </w:p>
    <w:p w14:paraId="7E56A627" w14:textId="248ED98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Approves </w:t>
      </w:r>
      <w:r w:rsidRPr="00BD7721">
        <w:rPr>
          <w:color w:val="000000"/>
          <w:lang w:val="en-GB"/>
        </w:rPr>
        <w:t>the terms of reference for a midterm review of the rolling work programme of the Platform</w:t>
      </w:r>
      <w:r w:rsidR="00DD0E17" w:rsidRPr="00BD7721">
        <w:rPr>
          <w:color w:val="000000"/>
          <w:lang w:val="en-GB"/>
        </w:rPr>
        <w:t xml:space="preserve"> up to 2030</w:t>
      </w:r>
      <w:r w:rsidRPr="00BD7721">
        <w:rPr>
          <w:color w:val="000000"/>
          <w:lang w:val="en-GB"/>
        </w:rPr>
        <w:t xml:space="preserve">, as set out in annex IX to the present </w:t>
      </w:r>
      <w:proofErr w:type="gramStart"/>
      <w:r w:rsidRPr="00BD7721">
        <w:rPr>
          <w:color w:val="000000"/>
          <w:lang w:val="en-GB"/>
        </w:rPr>
        <w:t>decision;</w:t>
      </w:r>
      <w:proofErr w:type="gramEnd"/>
    </w:p>
    <w:p w14:paraId="5D312DA3" w14:textId="173BC804"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Requests </w:t>
      </w:r>
      <w:r w:rsidRPr="00BD7721">
        <w:rPr>
          <w:color w:val="000000"/>
          <w:lang w:val="en-GB"/>
        </w:rPr>
        <w:t xml:space="preserve">the Bureau and the Multidisciplinary Expert Panel to conduct an internal review, in accordance with the terms of reference referred to in paragraph 33 </w:t>
      </w:r>
      <w:r w:rsidR="008B730F" w:rsidRPr="00BD7721">
        <w:rPr>
          <w:color w:val="000000"/>
          <w:lang w:val="en-GB"/>
        </w:rPr>
        <w:t>of the present decision</w:t>
      </w:r>
      <w:r w:rsidRPr="00BD7721">
        <w:rPr>
          <w:color w:val="000000"/>
          <w:lang w:val="en-GB"/>
        </w:rPr>
        <w:t xml:space="preserve">, and to present to the Plenary, for consideration at its eleventh session, a report on the outcomes of the </w:t>
      </w:r>
      <w:proofErr w:type="gramStart"/>
      <w:r w:rsidRPr="00BD7721">
        <w:rPr>
          <w:color w:val="000000"/>
          <w:lang w:val="en-GB"/>
        </w:rPr>
        <w:t>review;</w:t>
      </w:r>
      <w:proofErr w:type="gramEnd"/>
    </w:p>
    <w:p w14:paraId="42B0AFA4"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Requests</w:t>
      </w:r>
      <w:r w:rsidRPr="00BD7721">
        <w:rPr>
          <w:color w:val="000000"/>
          <w:lang w:val="en-GB"/>
        </w:rPr>
        <w:t xml:space="preserve"> the Executive Secretary to call for the nomination of candidates for the review panel, with a view to ensuring regional and gender representation, consideration of </w:t>
      </w:r>
      <w:r w:rsidRPr="00BD7721">
        <w:rPr>
          <w:lang w:val="en-GB"/>
        </w:rPr>
        <w:t>multidisciplinary expertise, expertise on outreach, and implementation as well as Indigenous Peoples and local communities and youth</w:t>
      </w:r>
      <w:r w:rsidRPr="00BD7721">
        <w:rPr>
          <w:color w:val="000000"/>
          <w:lang w:val="en-GB"/>
        </w:rPr>
        <w:t xml:space="preserve"> for selection by the </w:t>
      </w:r>
      <w:proofErr w:type="gramStart"/>
      <w:r w:rsidRPr="00BD7721">
        <w:rPr>
          <w:color w:val="000000"/>
          <w:lang w:val="en-GB"/>
        </w:rPr>
        <w:t>Bureau;</w:t>
      </w:r>
      <w:proofErr w:type="gramEnd"/>
      <w:r w:rsidRPr="00BD7721">
        <w:rPr>
          <w:i/>
          <w:color w:val="000000"/>
          <w:lang w:val="en-GB"/>
        </w:rPr>
        <w:t xml:space="preserve"> </w:t>
      </w:r>
    </w:p>
    <w:p w14:paraId="0F4EEFDC" w14:textId="04D612BE"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i/>
          <w:color w:val="000000"/>
          <w:lang w:val="en-GB"/>
        </w:rPr>
      </w:pPr>
      <w:r w:rsidRPr="00BD7721">
        <w:rPr>
          <w:i/>
          <w:color w:val="000000"/>
          <w:lang w:val="en-GB"/>
        </w:rPr>
        <w:t xml:space="preserve">Requests </w:t>
      </w:r>
      <w:r w:rsidRPr="00BD7721">
        <w:rPr>
          <w:color w:val="000000"/>
          <w:lang w:val="en-GB"/>
        </w:rPr>
        <w:t xml:space="preserve">the review panel to conduct an external review, in accordance with the terms of reference referred to in paragraph 33 </w:t>
      </w:r>
      <w:r w:rsidR="008B730F" w:rsidRPr="00BD7721">
        <w:rPr>
          <w:color w:val="000000"/>
          <w:lang w:val="en-GB"/>
        </w:rPr>
        <w:t>of the present decision</w:t>
      </w:r>
      <w:r w:rsidRPr="00BD7721">
        <w:rPr>
          <w:color w:val="000000"/>
          <w:lang w:val="en-GB"/>
        </w:rPr>
        <w:t>, and to present to the Plenary, for consideration at its twelfth session, a report on the outcomes of the review, including specific recommendations for the further implementation of the rolling work programme</w:t>
      </w:r>
      <w:r w:rsidR="00D80AD0" w:rsidRPr="00BD7721">
        <w:rPr>
          <w:color w:val="000000"/>
          <w:lang w:val="en-GB"/>
        </w:rPr>
        <w:t xml:space="preserve"> up to </w:t>
      </w:r>
      <w:proofErr w:type="gramStart"/>
      <w:r w:rsidR="00D80AD0" w:rsidRPr="00BD7721">
        <w:rPr>
          <w:color w:val="000000"/>
          <w:lang w:val="en-GB"/>
        </w:rPr>
        <w:t>2030</w:t>
      </w:r>
      <w:r w:rsidRPr="00BD7721">
        <w:rPr>
          <w:i/>
          <w:color w:val="000000"/>
          <w:lang w:val="en-GB"/>
        </w:rPr>
        <w:t>;</w:t>
      </w:r>
      <w:proofErr w:type="gramEnd"/>
    </w:p>
    <w:p w14:paraId="6254971F" w14:textId="77777777" w:rsidR="00992A45" w:rsidRPr="00BD7721" w:rsidRDefault="00992A45" w:rsidP="002062D9">
      <w:pPr>
        <w:pStyle w:val="CH2"/>
        <w:tabs>
          <w:tab w:val="left" w:pos="2552"/>
        </w:tabs>
        <w:ind w:firstLine="0"/>
        <w:jc w:val="center"/>
        <w:rPr>
          <w:rFonts w:eastAsia="SimSun"/>
          <w:lang w:val="en-GB"/>
        </w:rPr>
      </w:pPr>
      <w:r w:rsidRPr="00BD7721">
        <w:rPr>
          <w:rFonts w:eastAsia="SimSun"/>
          <w:lang w:val="en-GB"/>
        </w:rPr>
        <w:t>VII</w:t>
      </w:r>
    </w:p>
    <w:p w14:paraId="6236760C" w14:textId="77777777" w:rsidR="00992A45" w:rsidRPr="00BD7721" w:rsidRDefault="00992A45" w:rsidP="009E0204">
      <w:pPr>
        <w:pStyle w:val="CH2"/>
        <w:tabs>
          <w:tab w:val="clear" w:pos="851"/>
          <w:tab w:val="clear" w:pos="1247"/>
          <w:tab w:val="clear" w:pos="3119"/>
        </w:tabs>
        <w:spacing w:before="0"/>
        <w:ind w:firstLine="0"/>
        <w:jc w:val="center"/>
        <w:rPr>
          <w:color w:val="000000"/>
          <w:lang w:val="en-GB"/>
        </w:rPr>
      </w:pPr>
      <w:r w:rsidRPr="00BD7721">
        <w:rPr>
          <w:color w:val="000000"/>
          <w:lang w:val="en-GB"/>
        </w:rPr>
        <w:t xml:space="preserve">Technical support and </w:t>
      </w:r>
      <w:r w:rsidRPr="00BD7721">
        <w:rPr>
          <w:rFonts w:eastAsia="SimSun"/>
          <w:lang w:val="en-GB"/>
        </w:rPr>
        <w:t>institutional</w:t>
      </w:r>
      <w:r w:rsidRPr="00BD7721">
        <w:rPr>
          <w:color w:val="000000"/>
          <w:lang w:val="en-GB"/>
        </w:rPr>
        <w:t xml:space="preserve"> arrangements for the implementation of the work programme</w:t>
      </w:r>
    </w:p>
    <w:p w14:paraId="5E5B98E1" w14:textId="47769A52"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Approves</w:t>
      </w:r>
      <w:r w:rsidRPr="00BD7721">
        <w:rPr>
          <w:color w:val="000000"/>
          <w:lang w:val="en-GB"/>
        </w:rPr>
        <w:t xml:space="preserve"> the revised terms of reference of the task force on capacity-building as set out in annex X to the present </w:t>
      </w:r>
      <w:proofErr w:type="gramStart"/>
      <w:r w:rsidRPr="00BD7721">
        <w:rPr>
          <w:color w:val="000000"/>
          <w:lang w:val="en-GB"/>
        </w:rPr>
        <w:t>decision;</w:t>
      </w:r>
      <w:proofErr w:type="gramEnd"/>
      <w:r w:rsidRPr="00BD7721">
        <w:rPr>
          <w:color w:val="000000"/>
          <w:lang w:val="en-GB"/>
        </w:rPr>
        <w:t xml:space="preserve"> </w:t>
      </w:r>
    </w:p>
    <w:p w14:paraId="7B04C681" w14:textId="52E9BB69"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Requests </w:t>
      </w:r>
      <w:r w:rsidRPr="00BD7721">
        <w:rPr>
          <w:color w:val="000000"/>
          <w:lang w:val="en-GB"/>
        </w:rPr>
        <w:t xml:space="preserve">the task force on capacity-building to implement the workplan for the implementation of objective 2 of the work programme of the Platform up to 2030 approved in paragraph 19 </w:t>
      </w:r>
      <w:r w:rsidR="008B730F" w:rsidRPr="00BD7721">
        <w:rPr>
          <w:color w:val="000000"/>
          <w:lang w:val="en-GB"/>
        </w:rPr>
        <w:t xml:space="preserve">of the present </w:t>
      </w:r>
      <w:proofErr w:type="gramStart"/>
      <w:r w:rsidR="008B730F" w:rsidRPr="00BD7721">
        <w:rPr>
          <w:color w:val="000000"/>
          <w:lang w:val="en-GB"/>
        </w:rPr>
        <w:t>decision</w:t>
      </w:r>
      <w:r w:rsidRPr="00BD7721">
        <w:rPr>
          <w:color w:val="000000"/>
          <w:lang w:val="en-GB"/>
        </w:rPr>
        <w:t>;</w:t>
      </w:r>
      <w:proofErr w:type="gramEnd"/>
      <w:r w:rsidRPr="00BD7721">
        <w:rPr>
          <w:color w:val="000000"/>
          <w:lang w:val="en-GB"/>
        </w:rPr>
        <w:t xml:space="preserve"> </w:t>
      </w:r>
    </w:p>
    <w:p w14:paraId="014029BE" w14:textId="2C0B0F56"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Approves </w:t>
      </w:r>
      <w:r w:rsidRPr="00BD7721">
        <w:rPr>
          <w:color w:val="000000"/>
          <w:lang w:val="en-GB"/>
        </w:rPr>
        <w:t>the revised terms of reference of the task force on knowledge and data as set out in annex XI</w:t>
      </w:r>
      <w:r w:rsidRPr="00BD7721">
        <w:rPr>
          <w:color w:val="000000"/>
          <w:vertAlign w:val="superscript"/>
          <w:lang w:val="en-GB"/>
        </w:rPr>
        <w:t xml:space="preserve"> </w:t>
      </w:r>
      <w:r w:rsidRPr="00BD7721">
        <w:rPr>
          <w:color w:val="000000"/>
          <w:lang w:val="en-GB"/>
        </w:rPr>
        <w:t xml:space="preserve">to the present </w:t>
      </w:r>
      <w:proofErr w:type="gramStart"/>
      <w:r w:rsidRPr="00BD7721">
        <w:rPr>
          <w:color w:val="000000"/>
          <w:lang w:val="en-GB"/>
        </w:rPr>
        <w:t>decision;</w:t>
      </w:r>
      <w:proofErr w:type="gramEnd"/>
    </w:p>
    <w:p w14:paraId="158E20A3" w14:textId="0C76512C"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Requests </w:t>
      </w:r>
      <w:r w:rsidRPr="00BD7721">
        <w:rPr>
          <w:color w:val="000000"/>
          <w:lang w:val="en-GB"/>
        </w:rPr>
        <w:t xml:space="preserve">the task force on data and knowledge management to implement the workplan for the implementation of the data and knowledge management aspect of objective 3 (a) of the work programme of the Platform up to 2030 approved in paragraph 21 </w:t>
      </w:r>
      <w:r w:rsidR="008B730F" w:rsidRPr="00BD7721">
        <w:rPr>
          <w:color w:val="000000"/>
          <w:lang w:val="en-GB"/>
        </w:rPr>
        <w:t xml:space="preserve">of the present </w:t>
      </w:r>
      <w:proofErr w:type="gramStart"/>
      <w:r w:rsidR="008B730F" w:rsidRPr="00BD7721">
        <w:rPr>
          <w:color w:val="000000"/>
          <w:lang w:val="en-GB"/>
        </w:rPr>
        <w:t>decision</w:t>
      </w:r>
      <w:r w:rsidRPr="00BD7721">
        <w:rPr>
          <w:color w:val="000000"/>
          <w:lang w:val="en-GB"/>
        </w:rPr>
        <w:t>;</w:t>
      </w:r>
      <w:proofErr w:type="gramEnd"/>
      <w:r w:rsidRPr="00BD7721">
        <w:rPr>
          <w:color w:val="000000"/>
          <w:lang w:val="en-GB"/>
        </w:rPr>
        <w:t xml:space="preserve"> </w:t>
      </w:r>
    </w:p>
    <w:p w14:paraId="0886D30E" w14:textId="0603E5F5"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Requests </w:t>
      </w:r>
      <w:r w:rsidRPr="00BD7721">
        <w:rPr>
          <w:color w:val="000000"/>
          <w:lang w:val="en-GB"/>
        </w:rPr>
        <w:t xml:space="preserve">the Multidisciplinary Expert Panel and the Bureau to implement the workplan for the implementation of the knowledge generation aspect of objective 3 (a) of the work programme of the Platform up to 2030 approved in paragraph 23 </w:t>
      </w:r>
      <w:r w:rsidR="008B730F" w:rsidRPr="00BD7721">
        <w:rPr>
          <w:color w:val="000000"/>
          <w:lang w:val="en-GB"/>
        </w:rPr>
        <w:t xml:space="preserve">of the present </w:t>
      </w:r>
      <w:proofErr w:type="gramStart"/>
      <w:r w:rsidR="008B730F" w:rsidRPr="00BD7721">
        <w:rPr>
          <w:color w:val="000000"/>
          <w:lang w:val="en-GB"/>
        </w:rPr>
        <w:t>decision</w:t>
      </w:r>
      <w:r w:rsidRPr="00BD7721">
        <w:rPr>
          <w:color w:val="000000"/>
          <w:lang w:val="en-GB"/>
        </w:rPr>
        <w:t>;</w:t>
      </w:r>
      <w:proofErr w:type="gramEnd"/>
    </w:p>
    <w:p w14:paraId="375B63CA" w14:textId="5E99AB23"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Approves </w:t>
      </w:r>
      <w:r w:rsidRPr="00BD7721">
        <w:rPr>
          <w:color w:val="000000"/>
          <w:lang w:val="en-GB"/>
        </w:rPr>
        <w:t xml:space="preserve">the revised terms of reference of the task force on Indigenous and local knowledge as set out in annex XII to the present </w:t>
      </w:r>
      <w:proofErr w:type="gramStart"/>
      <w:r w:rsidRPr="00BD7721">
        <w:rPr>
          <w:color w:val="000000"/>
          <w:lang w:val="en-GB"/>
        </w:rPr>
        <w:t>decision;</w:t>
      </w:r>
      <w:proofErr w:type="gramEnd"/>
    </w:p>
    <w:p w14:paraId="48101835" w14:textId="4C53D761"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shd w:val="clear" w:color="auto" w:fill="D9D9D9"/>
          <w:lang w:val="en-GB"/>
        </w:rPr>
      </w:pPr>
      <w:r w:rsidRPr="00BD7721">
        <w:rPr>
          <w:i/>
          <w:color w:val="000000"/>
          <w:lang w:val="en-GB"/>
        </w:rPr>
        <w:t xml:space="preserve">Requests </w:t>
      </w:r>
      <w:r w:rsidRPr="00BD7721">
        <w:rPr>
          <w:color w:val="000000"/>
          <w:lang w:val="en-GB"/>
        </w:rPr>
        <w:t xml:space="preserve">the task force on Indigenous and local knowledge to implement the workplan for the implementation of objective 3 (b) of the work programme of the Platform up to 2030 approved in paragraph 25 </w:t>
      </w:r>
      <w:r w:rsidR="008B730F" w:rsidRPr="00BD7721">
        <w:rPr>
          <w:color w:val="000000"/>
          <w:lang w:val="en-GB"/>
        </w:rPr>
        <w:t xml:space="preserve">of the present </w:t>
      </w:r>
      <w:proofErr w:type="gramStart"/>
      <w:r w:rsidR="008B730F" w:rsidRPr="00BD7721">
        <w:rPr>
          <w:color w:val="000000"/>
          <w:lang w:val="en-GB"/>
        </w:rPr>
        <w:t>decision</w:t>
      </w:r>
      <w:r w:rsidRPr="00BD7721">
        <w:rPr>
          <w:color w:val="000000"/>
          <w:lang w:val="en-GB"/>
        </w:rPr>
        <w:t>;</w:t>
      </w:r>
      <w:proofErr w:type="gramEnd"/>
      <w:r w:rsidRPr="00BD7721">
        <w:rPr>
          <w:color w:val="000000"/>
          <w:lang w:val="en-GB"/>
        </w:rPr>
        <w:t xml:space="preserve"> </w:t>
      </w:r>
    </w:p>
    <w:p w14:paraId="2C7D86EA" w14:textId="43D8B931"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Requests </w:t>
      </w:r>
      <w:r w:rsidRPr="00BD7721">
        <w:rPr>
          <w:color w:val="000000"/>
          <w:lang w:val="en-GB"/>
        </w:rPr>
        <w:t xml:space="preserve">the Multidisciplinary Expert Panel and the Bureau to implement the workplan for the implementation of objective 4 (a) of the work programme of the Platform up to 2030 approved in paragraph 27 </w:t>
      </w:r>
      <w:r w:rsidR="008B730F" w:rsidRPr="00BD7721">
        <w:rPr>
          <w:color w:val="000000"/>
          <w:lang w:val="en-GB"/>
        </w:rPr>
        <w:t xml:space="preserve">of the present </w:t>
      </w:r>
      <w:proofErr w:type="gramStart"/>
      <w:r w:rsidR="008B730F" w:rsidRPr="00BD7721">
        <w:rPr>
          <w:color w:val="000000"/>
          <w:lang w:val="en-GB"/>
        </w:rPr>
        <w:t>decision</w:t>
      </w:r>
      <w:r w:rsidRPr="00BD7721">
        <w:rPr>
          <w:color w:val="000000"/>
          <w:lang w:val="en-GB"/>
        </w:rPr>
        <w:t>;</w:t>
      </w:r>
      <w:proofErr w:type="gramEnd"/>
    </w:p>
    <w:p w14:paraId="66AD9ACB"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Approves </w:t>
      </w:r>
      <w:r w:rsidRPr="00BD7721">
        <w:rPr>
          <w:color w:val="000000"/>
          <w:lang w:val="en-GB"/>
        </w:rPr>
        <w:t xml:space="preserve">the revised terms of reference of the task force on scenarios and models of biodiversity and ecosystem services as set out in annex XIII to the present </w:t>
      </w:r>
      <w:proofErr w:type="gramStart"/>
      <w:r w:rsidRPr="00BD7721">
        <w:rPr>
          <w:color w:val="000000"/>
          <w:lang w:val="en-GB"/>
        </w:rPr>
        <w:t>decision;</w:t>
      </w:r>
      <w:proofErr w:type="gramEnd"/>
    </w:p>
    <w:p w14:paraId="2D184B25" w14:textId="0ECF0F82"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Requests </w:t>
      </w:r>
      <w:r w:rsidRPr="00BD7721">
        <w:rPr>
          <w:color w:val="000000"/>
          <w:lang w:val="en-GB"/>
        </w:rPr>
        <w:t xml:space="preserve">the task force on scenarios and models to implement the workplan for the implementation of objective 4 (b) of the work programme of the Platform up to 2030 approved in paragraph 30 </w:t>
      </w:r>
      <w:r w:rsidR="008B730F" w:rsidRPr="00BD7721">
        <w:rPr>
          <w:color w:val="000000"/>
          <w:lang w:val="en-GB"/>
        </w:rPr>
        <w:t xml:space="preserve">of the present </w:t>
      </w:r>
      <w:proofErr w:type="gramStart"/>
      <w:r w:rsidR="008B730F" w:rsidRPr="00BD7721">
        <w:rPr>
          <w:color w:val="000000"/>
          <w:lang w:val="en-GB"/>
        </w:rPr>
        <w:t>decision</w:t>
      </w:r>
      <w:r w:rsidRPr="00BD7721">
        <w:rPr>
          <w:color w:val="000000"/>
          <w:lang w:val="en-GB"/>
        </w:rPr>
        <w:t>;</w:t>
      </w:r>
      <w:proofErr w:type="gramEnd"/>
      <w:r w:rsidRPr="00BD7721">
        <w:rPr>
          <w:color w:val="000000"/>
          <w:lang w:val="en-GB"/>
        </w:rPr>
        <w:t xml:space="preserve"> </w:t>
      </w:r>
    </w:p>
    <w:p w14:paraId="1807856A"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lang w:val="en-GB"/>
        </w:rPr>
      </w:pPr>
      <w:r w:rsidRPr="00BD7721">
        <w:rPr>
          <w:i/>
          <w:lang w:val="en-GB"/>
        </w:rPr>
        <w:t xml:space="preserve">Decides </w:t>
      </w:r>
      <w:r w:rsidRPr="00BD7721">
        <w:rPr>
          <w:lang w:val="en-GB"/>
        </w:rPr>
        <w:t xml:space="preserve">to review the mandate and terms of reference of the task forces at its thirteenth </w:t>
      </w:r>
      <w:proofErr w:type="gramStart"/>
      <w:r w:rsidRPr="00BD7721">
        <w:rPr>
          <w:i/>
          <w:lang w:val="en-GB" w:eastAsia="zh-CN"/>
        </w:rPr>
        <w:t>session</w:t>
      </w:r>
      <w:r w:rsidRPr="00BD7721">
        <w:rPr>
          <w:lang w:val="en-GB"/>
        </w:rPr>
        <w:t>;</w:t>
      </w:r>
      <w:proofErr w:type="gramEnd"/>
    </w:p>
    <w:p w14:paraId="7395E51C" w14:textId="77777777" w:rsidR="00992A45" w:rsidRPr="00BD7721"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 xml:space="preserve">Requests </w:t>
      </w:r>
      <w:r w:rsidRPr="00BD7721">
        <w:rPr>
          <w:color w:val="000000"/>
          <w:lang w:val="en-GB"/>
        </w:rPr>
        <w:t xml:space="preserve">the secretariat, in consultation with the Bureau and in accordance with the approved budget set out in the annex to decision IPBES-10/3, to establish the institutional arrangements necessary to implement the technical support required for the work programme. </w:t>
      </w:r>
    </w:p>
    <w:p w14:paraId="50D59578" w14:textId="77777777" w:rsidR="005861DF" w:rsidRPr="00BD7721" w:rsidRDefault="005861DF" w:rsidP="005861DF">
      <w:pPr>
        <w:pStyle w:val="Normal-pool"/>
        <w:rPr>
          <w:lang w:val="en-GB"/>
        </w:rPr>
      </w:pPr>
    </w:p>
    <w:p w14:paraId="704E745F" w14:textId="77777777" w:rsidR="005861DF" w:rsidRPr="00BD7721" w:rsidRDefault="005861DF" w:rsidP="005861DF">
      <w:pPr>
        <w:pStyle w:val="Normal-pool"/>
        <w:rPr>
          <w:lang w:val="en-GB"/>
        </w:rPr>
        <w:sectPr w:rsidR="005861DF" w:rsidRPr="00BD7721" w:rsidSect="000A1903">
          <w:headerReference w:type="even" r:id="rId22"/>
          <w:headerReference w:type="default" r:id="rId23"/>
          <w:headerReference w:type="first" r:id="rId24"/>
          <w:footnotePr>
            <w:numRestart w:val="eachSect"/>
          </w:footnotePr>
          <w:pgSz w:w="11907" w:h="16839" w:code="9"/>
          <w:pgMar w:top="907" w:right="992" w:bottom="1418" w:left="1418" w:header="539" w:footer="975" w:gutter="0"/>
          <w:cols w:space="539"/>
          <w:docGrid w:linePitch="360"/>
        </w:sectPr>
      </w:pPr>
    </w:p>
    <w:p w14:paraId="2FE272C3" w14:textId="40A7E598" w:rsidR="00992A45" w:rsidRPr="00BD7721" w:rsidRDefault="006A4A78" w:rsidP="009E0204">
      <w:pPr>
        <w:pStyle w:val="CH1"/>
        <w:rPr>
          <w:lang w:val="en-GB"/>
        </w:rPr>
      </w:pPr>
      <w:r w:rsidRPr="00BD7721">
        <w:rPr>
          <w:lang w:val="en-GB"/>
        </w:rPr>
        <w:tab/>
      </w:r>
      <w:r w:rsidRPr="00BD7721">
        <w:rPr>
          <w:lang w:val="en-GB"/>
        </w:rPr>
        <w:tab/>
      </w:r>
      <w:r w:rsidR="00992A45" w:rsidRPr="00BD7721">
        <w:rPr>
          <w:lang w:val="en-GB"/>
        </w:rPr>
        <w:t>Annex I to decision IPBES-10/1</w:t>
      </w:r>
    </w:p>
    <w:p w14:paraId="1D5970D8" w14:textId="3892ADC4" w:rsidR="00992A45" w:rsidRPr="00BD7721" w:rsidRDefault="00C019EA" w:rsidP="00C019EA">
      <w:pPr>
        <w:pStyle w:val="CH1"/>
        <w:rPr>
          <w:lang w:val="en-GB"/>
        </w:rPr>
      </w:pPr>
      <w:r w:rsidRPr="00BD7721">
        <w:rPr>
          <w:lang w:val="en-GB"/>
        </w:rPr>
        <w:tab/>
      </w:r>
      <w:r w:rsidRPr="00BD7721">
        <w:rPr>
          <w:lang w:val="en-GB"/>
        </w:rPr>
        <w:tab/>
      </w:r>
      <w:r w:rsidR="00992A45" w:rsidRPr="00BD7721">
        <w:rPr>
          <w:lang w:val="en-GB"/>
        </w:rPr>
        <w:t>Scoping report for a methodological assessment on monitoring biodiversity and nature’s contributions to people</w:t>
      </w:r>
    </w:p>
    <w:p w14:paraId="0B4AC552" w14:textId="77777777" w:rsidR="00992A45" w:rsidRPr="00BD7721" w:rsidRDefault="00992A45" w:rsidP="00992A45">
      <w:pPr>
        <w:pStyle w:val="CH1"/>
        <w:rPr>
          <w:lang w:val="en-GB"/>
        </w:rPr>
      </w:pPr>
      <w:r w:rsidRPr="00BD7721">
        <w:rPr>
          <w:lang w:val="en-GB"/>
        </w:rPr>
        <w:tab/>
        <w:t>I.</w:t>
      </w:r>
      <w:r w:rsidRPr="00BD7721">
        <w:rPr>
          <w:lang w:val="en-GB"/>
        </w:rPr>
        <w:tab/>
        <w:t>Scope, rationale, timeline and baseline, geographical coverage and methodological approach</w:t>
      </w:r>
    </w:p>
    <w:p w14:paraId="4E808CC4" w14:textId="4D56084B" w:rsidR="00992A45" w:rsidRPr="00BD7721" w:rsidRDefault="00992A45" w:rsidP="00992A45">
      <w:pPr>
        <w:pStyle w:val="CH2"/>
        <w:rPr>
          <w:lang w:val="en-GB"/>
        </w:rPr>
      </w:pPr>
      <w:r w:rsidRPr="00BD7721">
        <w:rPr>
          <w:lang w:val="en-GB"/>
        </w:rPr>
        <w:tab/>
        <w:t>A.</w:t>
      </w:r>
      <w:r w:rsidRPr="00BD7721">
        <w:rPr>
          <w:lang w:val="en-GB"/>
        </w:rPr>
        <w:tab/>
        <w:t>Scope and rationale</w:t>
      </w:r>
    </w:p>
    <w:p w14:paraId="34A51AF6" w14:textId="60246E89" w:rsidR="00992A45" w:rsidRPr="00BD7721" w:rsidRDefault="00992A45" w:rsidP="00212CBC">
      <w:pPr>
        <w:pStyle w:val="Normalnumber"/>
        <w:numPr>
          <w:ilvl w:val="0"/>
          <w:numId w:val="209"/>
        </w:numPr>
        <w:rPr>
          <w:lang w:val="en-GB"/>
        </w:rPr>
      </w:pPr>
      <w:r w:rsidRPr="00BD7721">
        <w:rPr>
          <w:lang w:val="en-GB"/>
        </w:rPr>
        <w:t>The objective of the methodological assessment on monitoring biodiversity and nature’s contributions to people is to support national and global efforts to (a) monitor biodiversity, nature’s contributions to people and the direct and underlying causes of the observed changes; and (b) monitor progress towards the goals and targets of the Kunming-Montreal Global Biodiversity Framework</w:t>
      </w:r>
      <w:r w:rsidRPr="00BD7721">
        <w:rPr>
          <w:rStyle w:val="FootnoteReference"/>
          <w:lang w:val="en-GB"/>
        </w:rPr>
        <w:footnoteReference w:id="15"/>
      </w:r>
      <w:r w:rsidRPr="00BD7721">
        <w:rPr>
          <w:lang w:val="en-GB"/>
        </w:rPr>
        <w:t xml:space="preserve"> in support of</w:t>
      </w:r>
      <w:r w:rsidR="004212A9" w:rsidRPr="00BD7721">
        <w:rPr>
          <w:lang w:val="en-GB"/>
        </w:rPr>
        <w:t xml:space="preserve"> </w:t>
      </w:r>
      <w:r w:rsidRPr="00BD7721">
        <w:rPr>
          <w:lang w:val="en-GB"/>
        </w:rPr>
        <w:t xml:space="preserve">a balanced and enhanced implementation of the Convention on Biological Diversity, including its three objectives, and contributing to monitoring of the Sustainable Development Goals of the 2030 Agenda for Sustainable Development and relevant multilateral environmental agreements, processes and efforts, in particular the biodiversity-related conventions, taking into account the specific circumstances of developing countries. The assessment will </w:t>
      </w:r>
      <w:proofErr w:type="gramStart"/>
      <w:r w:rsidRPr="00BD7721">
        <w:rPr>
          <w:lang w:val="en-GB"/>
        </w:rPr>
        <w:t>take into account</w:t>
      </w:r>
      <w:proofErr w:type="gramEnd"/>
      <w:r w:rsidRPr="00BD7721">
        <w:rPr>
          <w:lang w:val="en-GB"/>
        </w:rPr>
        <w:t xml:space="preserve"> other knowledge systems as included in the conceptual framework of the </w:t>
      </w:r>
      <w:r w:rsidRPr="00BD7721">
        <w:rPr>
          <w:rStyle w:val="preferred"/>
          <w:lang w:val="en-GB"/>
        </w:rPr>
        <w:t>Intergovernmental Science-Policy Platform on Biodiversity and Ecosystem Services (IPBES)</w:t>
      </w:r>
      <w:r w:rsidRPr="00BD7721">
        <w:rPr>
          <w:lang w:val="en-GB"/>
        </w:rPr>
        <w:t>,</w:t>
      </w:r>
      <w:r w:rsidRPr="00BD7721">
        <w:rPr>
          <w:rStyle w:val="FootnoteReference"/>
          <w:lang w:val="en-GB"/>
        </w:rPr>
        <w:footnoteReference w:id="16"/>
      </w:r>
      <w:r w:rsidRPr="00BD7721">
        <w:rPr>
          <w:lang w:val="en-GB"/>
        </w:rPr>
        <w:t xml:space="preserve"> and the different value systems as conceptualized in the Kunming-Montreal Global Biodiversity Framework.</w:t>
      </w:r>
    </w:p>
    <w:p w14:paraId="3D082E74" w14:textId="77777777" w:rsidR="00992A45" w:rsidRPr="00BD7721" w:rsidRDefault="00992A45" w:rsidP="00C019EA">
      <w:pPr>
        <w:pStyle w:val="Normalnumber"/>
        <w:numPr>
          <w:ilvl w:val="0"/>
          <w:numId w:val="21"/>
        </w:numPr>
        <w:ind w:left="1247"/>
        <w:rPr>
          <w:lang w:val="en-GB"/>
        </w:rPr>
      </w:pPr>
      <w:r w:rsidRPr="00BD7721">
        <w:rPr>
          <w:lang w:val="en-GB"/>
        </w:rPr>
        <w:t>The report will assess what data and systems are currently available and needed to calculate the indicators of the monitoring framework for the Kunming-Montreal Global Biodiversity Framework related to biodiversity, nature’s contributions to people and the direct and underlying causes of the observed changes. It will prioritize the headline indicators and assess data availability for other indicators of the monitoring framework.</w:t>
      </w:r>
    </w:p>
    <w:p w14:paraId="7DEADEDF" w14:textId="77777777" w:rsidR="00992A45" w:rsidRPr="00BD7721" w:rsidRDefault="00992A45" w:rsidP="00C019EA">
      <w:pPr>
        <w:pStyle w:val="Normalnumber"/>
        <w:numPr>
          <w:ilvl w:val="0"/>
          <w:numId w:val="21"/>
        </w:numPr>
        <w:ind w:left="1247"/>
        <w:rPr>
          <w:lang w:val="en-GB"/>
        </w:rPr>
      </w:pPr>
      <w:r w:rsidRPr="00BD7721">
        <w:rPr>
          <w:lang w:val="en-GB"/>
        </w:rPr>
        <w:t xml:space="preserve">The report will also assess the current capacity, capability and resources to collect and analyse data at the national and global scales, as will be required to implement the monitoring framework for the Kunming-Montreal Global Biodiversity Framework. The report will assess gaps in data availability and access, and existing biases in taxonomic, geographic and temporal coverage of data for marine, inland water and terrestrial environments. It will assess challenges and barriers related to the capacities and means of implementation to generate, access and share data, employ robust statistical methods for trend detection and attribution, and support systematic biodiversity monitoring. The assessment will </w:t>
      </w:r>
      <w:proofErr w:type="gramStart"/>
      <w:r w:rsidRPr="00BD7721">
        <w:rPr>
          <w:lang w:val="en-GB"/>
        </w:rPr>
        <w:t>take into account</w:t>
      </w:r>
      <w:proofErr w:type="gramEnd"/>
      <w:r w:rsidRPr="00BD7721">
        <w:rPr>
          <w:lang w:val="en-GB"/>
        </w:rPr>
        <w:t xml:space="preserve"> the specific circumstances faced by developing countries in this regard.</w:t>
      </w:r>
    </w:p>
    <w:p w14:paraId="3674FCD6" w14:textId="5F9A4069" w:rsidR="00992A45" w:rsidRPr="00BD7721" w:rsidRDefault="00992A45" w:rsidP="00C019EA">
      <w:pPr>
        <w:pStyle w:val="Normalnumber"/>
        <w:numPr>
          <w:ilvl w:val="0"/>
          <w:numId w:val="21"/>
        </w:numPr>
        <w:ind w:left="1247"/>
        <w:rPr>
          <w:lang w:val="en-GB"/>
        </w:rPr>
      </w:pPr>
      <w:r w:rsidRPr="00BD7721">
        <w:rPr>
          <w:lang w:val="en-GB"/>
        </w:rPr>
        <w:t>The assessment will identify opportunities to further develop national and regional biodiversity monitoring capacities (with particular focus on the needs of developing countries, including least developed countries and small island developing States) and community, Indigenous and citizen</w:t>
      </w:r>
      <w:r w:rsidRPr="00BD7721">
        <w:rPr>
          <w:lang w:val="en-GB"/>
        </w:rPr>
        <w:noBreakHyphen/>
        <w:t>science biodiversity monitoring.</w:t>
      </w:r>
      <w:r w:rsidR="004212A9" w:rsidRPr="00BD7721">
        <w:rPr>
          <w:lang w:val="en-GB"/>
        </w:rPr>
        <w:t xml:space="preserve"> </w:t>
      </w:r>
    </w:p>
    <w:p w14:paraId="41145FE7" w14:textId="657EE5AA" w:rsidR="00992A45" w:rsidRPr="00BD7721" w:rsidRDefault="00992A45" w:rsidP="00C019EA">
      <w:pPr>
        <w:pStyle w:val="Normalnumber"/>
        <w:numPr>
          <w:ilvl w:val="0"/>
          <w:numId w:val="21"/>
        </w:numPr>
        <w:ind w:left="1247"/>
        <w:rPr>
          <w:lang w:val="en-GB"/>
        </w:rPr>
      </w:pPr>
      <w:r w:rsidRPr="00BD7721">
        <w:rPr>
          <w:lang w:val="en-GB"/>
        </w:rPr>
        <w:t>The assessment will look at options to enhance cooperation, to promote resource-sharing and reporting, to allow data from many sources to be combined and to improve understanding of biodiversity change, especially in underrepresented regions of the world. These options may include bringing together national and regional monitoring systems, networks and other efforts into global biodiversity monitoring networks and platforms. The assessment will explore the benefits of such an approach and will analyse options and enabling conditions for building global biodiversity monitoring networks and platforms. It will account for existing mechanisms and processes operating at the regional and global level, including the Group on Earth Observations.</w:t>
      </w:r>
      <w:r w:rsidR="004212A9" w:rsidRPr="00BD7721">
        <w:rPr>
          <w:lang w:val="en-GB"/>
        </w:rPr>
        <w:t xml:space="preserve"> </w:t>
      </w:r>
    </w:p>
    <w:p w14:paraId="45B009AB" w14:textId="77777777" w:rsidR="00992A45" w:rsidRPr="00BD7721" w:rsidRDefault="00992A45" w:rsidP="00992A45">
      <w:pPr>
        <w:pStyle w:val="CH2"/>
        <w:rPr>
          <w:lang w:val="en-GB"/>
        </w:rPr>
      </w:pPr>
      <w:r w:rsidRPr="00BD7721">
        <w:rPr>
          <w:lang w:val="en-GB"/>
        </w:rPr>
        <w:tab/>
        <w:t>B.</w:t>
      </w:r>
      <w:r w:rsidRPr="00BD7721">
        <w:rPr>
          <w:lang w:val="en-GB"/>
        </w:rPr>
        <w:tab/>
        <w:t>Timeline and baseline</w:t>
      </w:r>
    </w:p>
    <w:p w14:paraId="0D6FBC6A" w14:textId="28B3A7BC" w:rsidR="00992A45" w:rsidRPr="00BD7721" w:rsidRDefault="00992A45" w:rsidP="00C019EA">
      <w:pPr>
        <w:pStyle w:val="Normalnumber"/>
        <w:numPr>
          <w:ilvl w:val="0"/>
          <w:numId w:val="21"/>
        </w:numPr>
        <w:ind w:left="1247"/>
        <w:rPr>
          <w:lang w:val="en-GB"/>
        </w:rPr>
      </w:pPr>
      <w:r w:rsidRPr="00BD7721">
        <w:rPr>
          <w:lang w:val="en-GB"/>
        </w:rPr>
        <w:t>In line with the monitoring framework for the Kunming-Montreal Global Biodiversity Framework, the assessment will prioritize the period 2011−2020 as the reference period for reporting on and monitoring progress in the implementation of the framework.</w:t>
      </w:r>
    </w:p>
    <w:p w14:paraId="129BF970" w14:textId="77777777" w:rsidR="00992A45" w:rsidRPr="00BD7721" w:rsidRDefault="00992A45" w:rsidP="00C019EA">
      <w:pPr>
        <w:pStyle w:val="Normalnumber"/>
        <w:numPr>
          <w:ilvl w:val="0"/>
          <w:numId w:val="21"/>
        </w:numPr>
        <w:ind w:left="1247"/>
        <w:rPr>
          <w:lang w:val="en-GB"/>
        </w:rPr>
      </w:pPr>
      <w:r w:rsidRPr="00BD7721">
        <w:rPr>
          <w:lang w:val="en-GB"/>
        </w:rPr>
        <w:t>Long-term historical data will also be used as an information source for possible baselines and contemporary reference states that could be considered for various national, regional or global indicator comparisons. The assessment will also identify baselines and available information on the natural state and historical trends in biodiversity loss.</w:t>
      </w:r>
    </w:p>
    <w:p w14:paraId="04BD09BE" w14:textId="64736379" w:rsidR="00992A45" w:rsidRPr="00BD7721" w:rsidRDefault="00992A45" w:rsidP="00C019EA">
      <w:pPr>
        <w:pStyle w:val="Normalnumber"/>
        <w:numPr>
          <w:ilvl w:val="0"/>
          <w:numId w:val="21"/>
        </w:numPr>
        <w:ind w:left="1247"/>
        <w:rPr>
          <w:lang w:val="en-GB"/>
        </w:rPr>
      </w:pPr>
      <w:r w:rsidRPr="00BD7721">
        <w:rPr>
          <w:lang w:val="en-GB"/>
        </w:rPr>
        <w:t>The assessment will be carried out over a two-year period using the fast-track approach for thematic and methodological assessments.</w:t>
      </w:r>
      <w:r w:rsidR="004212A9" w:rsidRPr="00BD7721">
        <w:rPr>
          <w:lang w:val="en-GB"/>
        </w:rPr>
        <w:t xml:space="preserve"> </w:t>
      </w:r>
    </w:p>
    <w:p w14:paraId="632B7F82" w14:textId="77777777" w:rsidR="00992A45" w:rsidRPr="00BD7721" w:rsidRDefault="00992A45" w:rsidP="00992A45">
      <w:pPr>
        <w:pStyle w:val="CH2"/>
        <w:rPr>
          <w:lang w:val="en-GB"/>
        </w:rPr>
      </w:pPr>
      <w:r w:rsidRPr="00BD7721">
        <w:rPr>
          <w:lang w:val="en-GB"/>
        </w:rPr>
        <w:tab/>
        <w:t>C.</w:t>
      </w:r>
      <w:r w:rsidRPr="00BD7721">
        <w:rPr>
          <w:lang w:val="en-GB"/>
        </w:rPr>
        <w:tab/>
        <w:t>Geographical coverage</w:t>
      </w:r>
    </w:p>
    <w:p w14:paraId="16C794FE" w14:textId="7F719353" w:rsidR="00992A45" w:rsidRPr="00BD7721" w:rsidRDefault="00992A45" w:rsidP="00C019EA">
      <w:pPr>
        <w:pStyle w:val="Normalnumber"/>
        <w:numPr>
          <w:ilvl w:val="0"/>
          <w:numId w:val="21"/>
        </w:numPr>
        <w:ind w:left="1247"/>
        <w:rPr>
          <w:lang w:val="en-GB"/>
        </w:rPr>
      </w:pPr>
      <w:r w:rsidRPr="00BD7721">
        <w:rPr>
          <w:lang w:val="en-GB"/>
        </w:rPr>
        <w:t>This is a global-level assessment, which will provide information relevant to all biogeographic and oceanographic zones at all scales, from subnational to global.</w:t>
      </w:r>
      <w:r w:rsidR="004212A9" w:rsidRPr="00BD7721">
        <w:rPr>
          <w:lang w:val="en-GB"/>
        </w:rPr>
        <w:t xml:space="preserve"> </w:t>
      </w:r>
    </w:p>
    <w:p w14:paraId="01AB83EF" w14:textId="77777777" w:rsidR="00992A45" w:rsidRPr="00BD7721" w:rsidRDefault="00992A45" w:rsidP="00992A45">
      <w:pPr>
        <w:pStyle w:val="CH2"/>
        <w:rPr>
          <w:lang w:val="en-GB"/>
        </w:rPr>
      </w:pPr>
      <w:r w:rsidRPr="00BD7721">
        <w:rPr>
          <w:lang w:val="en-GB"/>
        </w:rPr>
        <w:tab/>
        <w:t>D.</w:t>
      </w:r>
      <w:r w:rsidRPr="00BD7721">
        <w:rPr>
          <w:lang w:val="en-GB"/>
        </w:rPr>
        <w:tab/>
        <w:t>Methodological approach</w:t>
      </w:r>
    </w:p>
    <w:p w14:paraId="2BF10905" w14:textId="77777777" w:rsidR="00992A45" w:rsidRPr="00BD7721" w:rsidRDefault="00992A45" w:rsidP="00C019EA">
      <w:pPr>
        <w:pStyle w:val="Normalnumber"/>
        <w:numPr>
          <w:ilvl w:val="0"/>
          <w:numId w:val="21"/>
        </w:numPr>
        <w:ind w:left="1247"/>
        <w:rPr>
          <w:lang w:val="en-GB"/>
        </w:rPr>
      </w:pPr>
      <w:r w:rsidRPr="00BD7721">
        <w:rPr>
          <w:lang w:val="en-GB"/>
        </w:rPr>
        <w:t>The assessment will consist of a summary for policymakers and four chapters, each with an executive summary of the key findings. It will identify key gaps in relevant knowledge and data.</w:t>
      </w:r>
    </w:p>
    <w:p w14:paraId="58F3CA33" w14:textId="77777777" w:rsidR="00992A45" w:rsidRPr="00BD7721" w:rsidRDefault="00992A45" w:rsidP="00C019EA">
      <w:pPr>
        <w:pStyle w:val="Normalnumber"/>
        <w:numPr>
          <w:ilvl w:val="0"/>
          <w:numId w:val="21"/>
        </w:numPr>
        <w:ind w:left="1247"/>
        <w:rPr>
          <w:lang w:val="en-GB"/>
        </w:rPr>
      </w:pPr>
      <w:r w:rsidRPr="00BD7721">
        <w:rPr>
          <w:lang w:val="en-GB"/>
        </w:rPr>
        <w:t>The assessment will draw on peer-reviewed literature, official national data and reports, Indigenous and local knowledge, and a range of other sources in line with the procedures for the preparation of Platform deliverables set out in decision IPBES-3/3.</w:t>
      </w:r>
    </w:p>
    <w:p w14:paraId="1BA0FF04" w14:textId="4D69F54F" w:rsidR="00992A45" w:rsidRPr="00BD7721" w:rsidRDefault="00992A45" w:rsidP="00C019EA">
      <w:pPr>
        <w:pStyle w:val="Normalnumber"/>
        <w:numPr>
          <w:ilvl w:val="0"/>
          <w:numId w:val="21"/>
        </w:numPr>
        <w:ind w:left="1247"/>
        <w:rPr>
          <w:lang w:val="en-GB"/>
        </w:rPr>
      </w:pPr>
      <w:r w:rsidRPr="00BD7721">
        <w:rPr>
          <w:lang w:val="en-GB"/>
        </w:rPr>
        <w:t>The assessment will review existing methodologies and experience in biodiversity monitoring, including in situ and remote sensing measurements, community-based monitoring and citizen science. It will assess processes initiated and undertaken under the Convention on Biological Diversity, as well as the work of the Biodiversity Indicators Partnership, the Group on Earth Observations Biodiversity Observation Network, the Global Biodiversity Information Facility, and the Statistics Division. It will also cover new technologies for estimating biodiversity, such as environmental DNA, ecological acoustics, camera traps, hyperspectral imagery and artificial intelligence, that can be mobilized locally to produce rapid assessments and surveys over large areas, including through collaboration with Indigenous Peoples and local communities on the ground. The assessment will identify monitoring challenges and define options for dealing with missing data and information and other constraints that could prevent monitoring at relevant scales.</w:t>
      </w:r>
      <w:r w:rsidR="004212A9" w:rsidRPr="00BD7721">
        <w:rPr>
          <w:lang w:val="en-GB"/>
        </w:rPr>
        <w:t xml:space="preserve"> </w:t>
      </w:r>
    </w:p>
    <w:p w14:paraId="0A63F2EE" w14:textId="77777777" w:rsidR="00992A45" w:rsidRPr="00BD7721" w:rsidRDefault="00992A45" w:rsidP="00C019EA">
      <w:pPr>
        <w:pStyle w:val="Normalnumber"/>
        <w:numPr>
          <w:ilvl w:val="0"/>
          <w:numId w:val="21"/>
        </w:numPr>
        <w:ind w:left="1247"/>
        <w:rPr>
          <w:lang w:val="en-GB"/>
        </w:rPr>
      </w:pPr>
      <w:r w:rsidRPr="00BD7721">
        <w:rPr>
          <w:lang w:val="en-GB"/>
        </w:rPr>
        <w:t>The assessment will consider data and knowledge gaps identified by previous IPBES assessments.</w:t>
      </w:r>
    </w:p>
    <w:p w14:paraId="376B49F6" w14:textId="039063B4" w:rsidR="00992A45" w:rsidRPr="00BD7721" w:rsidRDefault="00992A45" w:rsidP="00C019EA">
      <w:pPr>
        <w:pStyle w:val="Normalnumber"/>
        <w:numPr>
          <w:ilvl w:val="0"/>
          <w:numId w:val="21"/>
        </w:numPr>
        <w:ind w:left="1247"/>
        <w:rPr>
          <w:lang w:val="en-GB"/>
        </w:rPr>
      </w:pPr>
      <w:r w:rsidRPr="00BD7721">
        <w:rPr>
          <w:lang w:val="en-GB"/>
        </w:rPr>
        <w:t>The assessment will present relevant case studies at various scales, as appropriate.</w:t>
      </w:r>
    </w:p>
    <w:p w14:paraId="2A01305F" w14:textId="77777777" w:rsidR="00992A45" w:rsidRPr="00BD7721" w:rsidRDefault="00992A45" w:rsidP="00C019EA">
      <w:pPr>
        <w:pStyle w:val="Normalnumber"/>
        <w:numPr>
          <w:ilvl w:val="0"/>
          <w:numId w:val="21"/>
        </w:numPr>
        <w:ind w:left="1247"/>
        <w:rPr>
          <w:lang w:val="en-GB"/>
        </w:rPr>
      </w:pPr>
      <w:r w:rsidRPr="00BD7721">
        <w:rPr>
          <w:lang w:val="en-GB"/>
        </w:rPr>
        <w:t>The assessment will be consistent with the IPBES conceptual framework and will fully consider Indigenous and local knowledge and different knowledge systems, as well as multiple values.</w:t>
      </w:r>
    </w:p>
    <w:p w14:paraId="0AA9635D" w14:textId="6C261777" w:rsidR="00992A45" w:rsidRPr="00BD7721" w:rsidRDefault="00992A45" w:rsidP="00C019EA">
      <w:pPr>
        <w:pStyle w:val="Normalnumber"/>
        <w:numPr>
          <w:ilvl w:val="0"/>
          <w:numId w:val="21"/>
        </w:numPr>
        <w:ind w:left="1247"/>
        <w:rPr>
          <w:lang w:val="en-GB"/>
        </w:rPr>
      </w:pPr>
      <w:r w:rsidRPr="00BD7721">
        <w:rPr>
          <w:lang w:val="en-GB"/>
        </w:rPr>
        <w:t xml:space="preserve">The assessment will be conducted by a balanced, interdisciplinary team of experts with expertise in monitoring biodiversity and nature’s contributions to people in terrestrial, freshwater </w:t>
      </w:r>
      <w:r w:rsidRPr="007B5D2E">
        <w:rPr>
          <w:lang w:val="en-GB"/>
        </w:rPr>
        <w:t>and marine systems. The expert team will encompass a diverse range of backgrounds (e.g., academia, government and civil society) and disciplines (e.g.,</w:t>
      </w:r>
      <w:r w:rsidR="004212A9" w:rsidRPr="007B5D2E">
        <w:rPr>
          <w:lang w:val="en-GB"/>
        </w:rPr>
        <w:t xml:space="preserve"> </w:t>
      </w:r>
      <w:r w:rsidRPr="007B5D2E">
        <w:rPr>
          <w:lang w:val="en-GB"/>
        </w:rPr>
        <w:t>ecology, evolution, social sciences, economics, statistics and biodiversity modelling). The interdisciplinary expert team will draw on knowledge from</w:t>
      </w:r>
      <w:r w:rsidRPr="007B5D2E">
        <w:rPr>
          <w:color w:val="000000"/>
          <w:lang w:val="en-GB"/>
        </w:rPr>
        <w:t xml:space="preserve"> </w:t>
      </w:r>
      <w:r w:rsidRPr="007B5D2E">
        <w:rPr>
          <w:lang w:val="en-GB"/>
        </w:rPr>
        <w:t>a diverse range of sources (e.g., knowledge and expertise in natural and social science, knowledge of relevant national and international monitoring institutions and programmes, Indigenous</w:t>
      </w:r>
      <w:r w:rsidRPr="00BD7721">
        <w:rPr>
          <w:lang w:val="en-GB"/>
        </w:rPr>
        <w:t xml:space="preserve"> monitoring programmes, citizen science initiatives and global observing systems).</w:t>
      </w:r>
    </w:p>
    <w:p w14:paraId="1F5598C4" w14:textId="369914B3" w:rsidR="00992A45" w:rsidRPr="00BD7721" w:rsidRDefault="00992A45" w:rsidP="00C019EA">
      <w:pPr>
        <w:pStyle w:val="Normalnumber"/>
        <w:numPr>
          <w:ilvl w:val="0"/>
          <w:numId w:val="21"/>
        </w:numPr>
        <w:ind w:left="1247"/>
        <w:rPr>
          <w:lang w:val="en-GB"/>
        </w:rPr>
      </w:pPr>
      <w:r w:rsidRPr="00BD7721">
        <w:rPr>
          <w:lang w:val="en-GB"/>
        </w:rPr>
        <w:t>The following objectives of the rolling work programme of IPBES up to 2030</w:t>
      </w:r>
      <w:r w:rsidRPr="00BD7721">
        <w:rPr>
          <w:rStyle w:val="FootnoteReference"/>
          <w:lang w:val="en-GB"/>
        </w:rPr>
        <w:footnoteReference w:id="17"/>
      </w:r>
      <w:r w:rsidRPr="00BD7721">
        <w:rPr>
          <w:lang w:val="en-GB"/>
        </w:rPr>
        <w:t xml:space="preserve"> will be implemented in the context of this assessment through collaboration between the experts of this assessment and the relevant task forces and technical support units: objective 2 on building capacity; objective 3 on strengthening the knowledge foundations, including objective 3 (a) on advanced knowledge and data and objective 3 (b) on enhanced recognition of and work with Indigenous and local knowledge systems; and objective 4 on supporting policy, including objective 4 (a) on advanced work on policy instruments, policy support tools and methodologies and objective 4</w:t>
      </w:r>
      <w:r w:rsidR="004212A9" w:rsidRPr="00BD7721">
        <w:rPr>
          <w:lang w:val="en-GB"/>
        </w:rPr>
        <w:t xml:space="preserve"> </w:t>
      </w:r>
      <w:r w:rsidRPr="00BD7721">
        <w:rPr>
          <w:lang w:val="en-GB"/>
        </w:rPr>
        <w:t>(b) on advanced work on scenarios and models of biodiversity and ecosystem functions and services.</w:t>
      </w:r>
    </w:p>
    <w:p w14:paraId="31D25099" w14:textId="77777777" w:rsidR="00992A45" w:rsidRPr="00BD7721" w:rsidRDefault="00992A45" w:rsidP="00992A45">
      <w:pPr>
        <w:pStyle w:val="CH1"/>
        <w:rPr>
          <w:lang w:val="en-GB"/>
        </w:rPr>
      </w:pPr>
      <w:r w:rsidRPr="00BD7721">
        <w:rPr>
          <w:lang w:val="en-GB"/>
        </w:rPr>
        <w:tab/>
        <w:t>II.</w:t>
      </w:r>
      <w:r w:rsidRPr="00BD7721">
        <w:rPr>
          <w:lang w:val="en-GB"/>
        </w:rPr>
        <w:tab/>
        <w:t>Chapter outline</w:t>
      </w:r>
    </w:p>
    <w:p w14:paraId="6C6ADCAA" w14:textId="278D836C" w:rsidR="00992A45" w:rsidRPr="00BD7721" w:rsidRDefault="00992A45" w:rsidP="00C019EA">
      <w:pPr>
        <w:pStyle w:val="Normalnumber"/>
        <w:numPr>
          <w:ilvl w:val="0"/>
          <w:numId w:val="21"/>
        </w:numPr>
        <w:ind w:left="1247"/>
        <w:rPr>
          <w:lang w:val="en-GB"/>
        </w:rPr>
      </w:pPr>
      <w:r w:rsidRPr="00BD7721">
        <w:rPr>
          <w:b/>
          <w:bCs/>
          <w:lang w:val="en-GB"/>
        </w:rPr>
        <w:t>Chapter 1. Setting the scene</w:t>
      </w:r>
      <w:r w:rsidRPr="00BD7721">
        <w:rPr>
          <w:lang w:val="en-GB"/>
        </w:rPr>
        <w:t xml:space="preserve"> (</w:t>
      </w:r>
      <w:r w:rsidRPr="00BD7721">
        <w:rPr>
          <w:i/>
          <w:iCs/>
          <w:lang w:val="en-GB"/>
        </w:rPr>
        <w:t>indicative</w:t>
      </w:r>
      <w:r w:rsidRPr="00BD7721">
        <w:rPr>
          <w:lang w:val="en-GB"/>
        </w:rPr>
        <w:t xml:space="preserve"> </w:t>
      </w:r>
      <w:r w:rsidRPr="00BD7721">
        <w:rPr>
          <w:i/>
          <w:iCs/>
          <w:lang w:val="en-GB"/>
        </w:rPr>
        <w:t>length</w:t>
      </w:r>
      <w:r w:rsidRPr="00BD7721">
        <w:rPr>
          <w:lang w:val="en-GB"/>
        </w:rPr>
        <w:t xml:space="preserve">: </w:t>
      </w:r>
      <w:r w:rsidRPr="00BD7721">
        <w:rPr>
          <w:i/>
          <w:iCs/>
          <w:lang w:val="en-GB"/>
        </w:rPr>
        <w:t>10,000 words</w:t>
      </w:r>
      <w:r w:rsidRPr="00BD7721">
        <w:rPr>
          <w:lang w:val="en-GB"/>
        </w:rPr>
        <w:t>). Chapter 1 will describe the purpose of the assessment and the intended audiences. It will outline which and whose needs the assessment is intended to fulfil and the plan for ensuring that it does so. It will introduce the issues to be assessed in the subsequent chapters.</w:t>
      </w:r>
      <w:r w:rsidR="004212A9" w:rsidRPr="00BD7721">
        <w:rPr>
          <w:lang w:val="en-GB"/>
        </w:rPr>
        <w:t xml:space="preserve"> </w:t>
      </w:r>
    </w:p>
    <w:p w14:paraId="5AA052DA" w14:textId="77777777" w:rsidR="00992A45" w:rsidRPr="00BD7721" w:rsidRDefault="00992A45" w:rsidP="00C019EA">
      <w:pPr>
        <w:pStyle w:val="Normalnumber"/>
        <w:numPr>
          <w:ilvl w:val="0"/>
          <w:numId w:val="21"/>
        </w:numPr>
        <w:ind w:left="1247"/>
        <w:rPr>
          <w:lang w:val="en-GB"/>
        </w:rPr>
      </w:pPr>
      <w:r w:rsidRPr="00BD7721">
        <w:rPr>
          <w:lang w:val="en-GB"/>
        </w:rPr>
        <w:t>Chapter 1 will introduce how the assessment links to the IPBES conceptual framework and, in particular, how the report will address monitoring requirements regarding nature, its contributions to people and the direct and underlying causes of observed changes. It will explain how the assessment will support the implementation of the monitoring framework for the Kunming-Montreal Global Biodiversity Framework, as adopted by the Convention on Biological Diversity in decision 15/5, in order to support the achievement of the Framework’s goals and targets, the 2030 Agenda for Sustainable Development and the Sustainable Development Goals, and the goals of other relevant multilateral environmental agreement processes and efforts, in particular the goals of the biodiversity</w:t>
      </w:r>
      <w:r w:rsidRPr="00BD7721">
        <w:rPr>
          <w:lang w:val="en-GB"/>
        </w:rPr>
        <w:noBreakHyphen/>
        <w:t>related conventions.</w:t>
      </w:r>
    </w:p>
    <w:p w14:paraId="53976104" w14:textId="77777777" w:rsidR="00992A45" w:rsidRPr="00BD7721" w:rsidRDefault="00992A45" w:rsidP="00C019EA">
      <w:pPr>
        <w:pStyle w:val="Normalnumber"/>
        <w:numPr>
          <w:ilvl w:val="0"/>
          <w:numId w:val="21"/>
        </w:numPr>
        <w:ind w:left="1247"/>
        <w:rPr>
          <w:lang w:val="en-GB"/>
        </w:rPr>
      </w:pPr>
      <w:r w:rsidRPr="00BD7721">
        <w:rPr>
          <w:b/>
          <w:bCs/>
          <w:lang w:val="en-GB"/>
        </w:rPr>
        <w:t>Chapter 2. Assessing the data needs</w:t>
      </w:r>
      <w:r w:rsidRPr="00BD7721">
        <w:rPr>
          <w:lang w:val="en-GB"/>
        </w:rPr>
        <w:t xml:space="preserve"> (</w:t>
      </w:r>
      <w:r w:rsidRPr="00BD7721">
        <w:rPr>
          <w:i/>
          <w:iCs/>
          <w:lang w:val="en-GB"/>
        </w:rPr>
        <w:t>indicative</w:t>
      </w:r>
      <w:r w:rsidRPr="00BD7721">
        <w:rPr>
          <w:lang w:val="en-GB"/>
        </w:rPr>
        <w:t xml:space="preserve"> </w:t>
      </w:r>
      <w:r w:rsidRPr="00BD7721">
        <w:rPr>
          <w:i/>
          <w:iCs/>
          <w:lang w:val="en-GB"/>
        </w:rPr>
        <w:t>length</w:t>
      </w:r>
      <w:r w:rsidRPr="00BD7721">
        <w:rPr>
          <w:lang w:val="en-GB"/>
        </w:rPr>
        <w:t xml:space="preserve">: </w:t>
      </w:r>
      <w:r w:rsidRPr="00BD7721">
        <w:rPr>
          <w:i/>
          <w:iCs/>
          <w:lang w:val="en-GB"/>
        </w:rPr>
        <w:t>15,000 words</w:t>
      </w:r>
      <w:r w:rsidRPr="00BD7721">
        <w:rPr>
          <w:lang w:val="en-GB"/>
        </w:rPr>
        <w:t>). Chapter 2 will assess what is needed in terms of data, indicators and models to inform the implementation of the actions required by the goals and targets of the Kunming-Montreal Global Biodiversity Framework. Priority will be given to assessing the data needs for the headline indicators and, where possible, other indicators of the monitoring framework. Priority will also be given to addressing methodological challenges, including the aggregation of national data into global indicators, and the disaggregation of global indicators.</w:t>
      </w:r>
    </w:p>
    <w:p w14:paraId="7171BEE7" w14:textId="77777777" w:rsidR="00992A45" w:rsidRPr="00BD7721" w:rsidRDefault="00992A45" w:rsidP="00C019EA">
      <w:pPr>
        <w:pStyle w:val="Normalnumber"/>
        <w:numPr>
          <w:ilvl w:val="0"/>
          <w:numId w:val="21"/>
        </w:numPr>
        <w:ind w:left="1247"/>
        <w:rPr>
          <w:lang w:val="en-GB"/>
        </w:rPr>
      </w:pPr>
      <w:r w:rsidRPr="00BD7721">
        <w:rPr>
          <w:lang w:val="en-GB"/>
        </w:rPr>
        <w:t>Chapter 2 will also consider other possible needs of biodiversity monitoring science, other scientific disciplines, and different systems of knowledge, such as those of Indigenous Peoples and local communities, to support the application of the indicators to inform, as appropriate, policymaking, decision-making and planning from the local to the national level.</w:t>
      </w:r>
    </w:p>
    <w:p w14:paraId="33B585B3" w14:textId="0E915316" w:rsidR="00992A45" w:rsidRPr="00BD7721" w:rsidRDefault="00992A45" w:rsidP="00C019EA">
      <w:pPr>
        <w:pStyle w:val="Normalnumber"/>
        <w:numPr>
          <w:ilvl w:val="0"/>
          <w:numId w:val="21"/>
        </w:numPr>
        <w:ind w:left="1247"/>
        <w:rPr>
          <w:lang w:val="en-GB"/>
        </w:rPr>
      </w:pPr>
      <w:r w:rsidRPr="00BD7721">
        <w:rPr>
          <w:b/>
          <w:bCs/>
          <w:lang w:val="en-GB"/>
        </w:rPr>
        <w:t>Chapter 3. Assessing the challenges in biodiversity monitoring to meet needs</w:t>
      </w:r>
      <w:r w:rsidRPr="00BD7721">
        <w:rPr>
          <w:lang w:val="en-GB"/>
        </w:rPr>
        <w:t xml:space="preserve"> (</w:t>
      </w:r>
      <w:r w:rsidRPr="00BD7721">
        <w:rPr>
          <w:i/>
          <w:iCs/>
          <w:lang w:val="en-GB"/>
        </w:rPr>
        <w:t>indicative length: 15,000 words</w:t>
      </w:r>
      <w:r w:rsidRPr="00BD7721">
        <w:rPr>
          <w:lang w:val="en-GB"/>
        </w:rPr>
        <w:t>). Chapter 3 will assess the data currently being generated and the systems that collect and mobilize those data. It will explore the findability, accessibility, interoperability and reusability of existing data and assess their geographic and taxonomic coverage, as well as their gaps and biases. Chapter 3 will also assess the capacity, capability and infrastructure available to monitor biodiversity, including available in situ and remote sensing capacity, institutional support, governance structures and funding sources. The chapter will assess the impact of the means of implementation in developing countries in support of the implementation of decision 15/4 of the Convention on Biological Diversity and related provisions. It will assess the implementation of community-based monitoring and information systems, including the role of the collective action of Indigenous Peoples and local communities, and how to scale them up to act at different levels.</w:t>
      </w:r>
    </w:p>
    <w:p w14:paraId="55D6FF84" w14:textId="77777777" w:rsidR="00992A45" w:rsidRPr="00BD7721" w:rsidRDefault="00992A45" w:rsidP="00C019EA">
      <w:pPr>
        <w:pStyle w:val="Normalnumber"/>
        <w:numPr>
          <w:ilvl w:val="0"/>
          <w:numId w:val="21"/>
        </w:numPr>
        <w:ind w:left="1247"/>
        <w:rPr>
          <w:lang w:val="en-GB"/>
        </w:rPr>
      </w:pPr>
      <w:r w:rsidRPr="00BD7721">
        <w:rPr>
          <w:lang w:val="en-GB"/>
        </w:rPr>
        <w:t xml:space="preserve">Chapter 3 will highlight key challenges in terms of coherence among existing systems, such as incompatibilities in data structure, that prevent the aggregation of local and national indicators into global indicators. It will also examine gaps in taxonomy and in geographic and temporal coverage, </w:t>
      </w:r>
      <w:proofErr w:type="gramStart"/>
      <w:r w:rsidRPr="00BD7721">
        <w:rPr>
          <w:lang w:val="en-GB"/>
        </w:rPr>
        <w:t>taking into account</w:t>
      </w:r>
      <w:proofErr w:type="gramEnd"/>
      <w:r w:rsidRPr="00BD7721">
        <w:rPr>
          <w:lang w:val="en-GB"/>
        </w:rPr>
        <w:t xml:space="preserve"> the specific challenges faced by developing countries.</w:t>
      </w:r>
    </w:p>
    <w:p w14:paraId="34153C7A" w14:textId="77777777" w:rsidR="00992A45" w:rsidRPr="00BD7721" w:rsidRDefault="00992A45" w:rsidP="00C019EA">
      <w:pPr>
        <w:pStyle w:val="Normalnumber"/>
        <w:numPr>
          <w:ilvl w:val="0"/>
          <w:numId w:val="21"/>
        </w:numPr>
        <w:ind w:left="1247"/>
        <w:rPr>
          <w:lang w:val="en-GB"/>
        </w:rPr>
      </w:pPr>
      <w:r w:rsidRPr="00BD7721">
        <w:rPr>
          <w:b/>
          <w:bCs/>
          <w:lang w:val="en-GB"/>
        </w:rPr>
        <w:t>Chapter 4. Options for strengthening the capacity to monitor biodiversity worldwide</w:t>
      </w:r>
      <w:r w:rsidRPr="00BD7721">
        <w:rPr>
          <w:lang w:val="en-GB"/>
        </w:rPr>
        <w:t xml:space="preserve"> (</w:t>
      </w:r>
      <w:r w:rsidRPr="00BD7721">
        <w:rPr>
          <w:i/>
          <w:iCs/>
          <w:lang w:val="en-GB"/>
        </w:rPr>
        <w:t>indicative length: 20,000 words</w:t>
      </w:r>
      <w:r w:rsidRPr="00BD7721">
        <w:rPr>
          <w:lang w:val="en-GB"/>
        </w:rPr>
        <w:t>). Chapter 4 will assess the options for action to enable and develop long-term monitoring capacity.</w:t>
      </w:r>
    </w:p>
    <w:p w14:paraId="2DBDDFC6" w14:textId="77777777" w:rsidR="00992A45" w:rsidRPr="00BD7721" w:rsidRDefault="00992A45" w:rsidP="00C019EA">
      <w:pPr>
        <w:pStyle w:val="Normalnumber"/>
        <w:numPr>
          <w:ilvl w:val="0"/>
          <w:numId w:val="21"/>
        </w:numPr>
        <w:ind w:left="1247"/>
        <w:rPr>
          <w:lang w:val="en-GB"/>
        </w:rPr>
      </w:pPr>
      <w:r w:rsidRPr="00BD7721">
        <w:rPr>
          <w:lang w:val="en-GB"/>
        </w:rPr>
        <w:t>Chapter 4 will assess financial, institutional, human and capacity needs, and options to meet these needs, to establish and reinforce sustained, long-term national and subnational monitoring projects and programmes, including those led by Indigenous Peoples and local communities, taking into consideration the specific circumstances of developing countries. It will explore the opportunities offered by existing and new technologies. It will identify pathways to enhance scientific and technical cooperation, capacity-building, and voluntary technology transfer on mutually agreed terms, in order to overcome capacity and technological constraints.</w:t>
      </w:r>
    </w:p>
    <w:p w14:paraId="683E8565" w14:textId="137733D5" w:rsidR="00992A45" w:rsidRPr="00BD7721" w:rsidRDefault="00992A45" w:rsidP="00C019EA">
      <w:pPr>
        <w:pStyle w:val="Normalnumber"/>
        <w:numPr>
          <w:ilvl w:val="0"/>
          <w:numId w:val="21"/>
        </w:numPr>
        <w:ind w:left="1247"/>
        <w:rPr>
          <w:lang w:val="en-GB"/>
        </w:rPr>
      </w:pPr>
      <w:r w:rsidRPr="00BD7721">
        <w:rPr>
          <w:lang w:val="en-GB"/>
        </w:rPr>
        <w:t>The chapter will also assess options for enhancing existing regional and national monitoring initiatives in the collection, management, analysis and reporting of data and trends on biodiversity and nature’s contribution to people, including scientifically robust options to enhance cooperation at the regional or international levels, in support of the implementation of the Kunming-Montreal Global Biodiversity Framework at the national level and through national biodiversity strategies and action plans.</w:t>
      </w:r>
    </w:p>
    <w:p w14:paraId="4190650F" w14:textId="68DA59D0" w:rsidR="00992A45" w:rsidRPr="00BD7721" w:rsidRDefault="00992A45" w:rsidP="00C019EA">
      <w:pPr>
        <w:pStyle w:val="Normalnumber"/>
        <w:numPr>
          <w:ilvl w:val="0"/>
          <w:numId w:val="21"/>
        </w:numPr>
        <w:ind w:left="1247"/>
        <w:rPr>
          <w:lang w:val="en-GB"/>
        </w:rPr>
      </w:pPr>
      <w:r w:rsidRPr="00BD7721">
        <w:rPr>
          <w:lang w:val="en-GB"/>
        </w:rPr>
        <w:t>The chapter will involve assessing enabling conditions for improved methods for sharing and standardizing, for enhanced capacity for data capture and digitization, and for enhanced capacity for analysing national and global trends, predictive modelling and tailored information products.</w:t>
      </w:r>
    </w:p>
    <w:p w14:paraId="5B81C378" w14:textId="77777777" w:rsidR="00992A45" w:rsidRPr="00BD7721" w:rsidRDefault="00992A45" w:rsidP="00C019EA">
      <w:pPr>
        <w:pStyle w:val="Normalnumber"/>
        <w:numPr>
          <w:ilvl w:val="0"/>
          <w:numId w:val="21"/>
        </w:numPr>
        <w:ind w:left="1247"/>
        <w:rPr>
          <w:lang w:val="en-GB"/>
        </w:rPr>
      </w:pPr>
      <w:r w:rsidRPr="00BD7721">
        <w:rPr>
          <w:lang w:val="en-GB"/>
        </w:rPr>
        <w:t>It will also involve assessing the potential of the various options, their economic costs and benefits, and the methodological, technological, institutional and financial requirements to realize these options.</w:t>
      </w:r>
    </w:p>
    <w:p w14:paraId="1C34B653" w14:textId="77777777" w:rsidR="00992A45" w:rsidRPr="00BD7721" w:rsidRDefault="00992A45" w:rsidP="00992A45">
      <w:pPr>
        <w:pStyle w:val="CH1"/>
        <w:rPr>
          <w:sz w:val="20"/>
          <w:szCs w:val="20"/>
          <w:lang w:val="en-GB"/>
        </w:rPr>
      </w:pPr>
      <w:r w:rsidRPr="00BD7721">
        <w:rPr>
          <w:lang w:val="en-GB"/>
        </w:rPr>
        <w:tab/>
        <w:t>III.</w:t>
      </w:r>
      <w:r w:rsidRPr="00BD7721">
        <w:rPr>
          <w:lang w:val="en-GB"/>
        </w:rPr>
        <w:tab/>
        <w:t>Timetable</w:t>
      </w:r>
    </w:p>
    <w:tbl>
      <w:tblPr>
        <w:tblW w:w="8307" w:type="dxa"/>
        <w:jc w:val="right"/>
        <w:tblLook w:val="04A0" w:firstRow="1" w:lastRow="0" w:firstColumn="1" w:lastColumn="0" w:noHBand="0" w:noVBand="1"/>
      </w:tblPr>
      <w:tblGrid>
        <w:gridCol w:w="1276"/>
        <w:gridCol w:w="7031"/>
      </w:tblGrid>
      <w:tr w:rsidR="00992A45" w:rsidRPr="00BD7721" w14:paraId="10C1AC89" w14:textId="77777777" w:rsidTr="004E48D5">
        <w:trPr>
          <w:trHeight w:val="57"/>
          <w:tblHeader/>
          <w:jc w:val="right"/>
        </w:trPr>
        <w:tc>
          <w:tcPr>
            <w:tcW w:w="1276" w:type="dxa"/>
            <w:tcBorders>
              <w:top w:val="single" w:sz="4" w:space="0" w:color="000000"/>
              <w:left w:val="nil"/>
              <w:bottom w:val="single" w:sz="12" w:space="0" w:color="000000"/>
              <w:right w:val="nil"/>
            </w:tcBorders>
            <w:tcMar>
              <w:top w:w="28" w:type="dxa"/>
              <w:left w:w="57" w:type="dxa"/>
              <w:bottom w:w="28" w:type="dxa"/>
              <w:right w:w="57" w:type="dxa"/>
            </w:tcMar>
            <w:hideMark/>
          </w:tcPr>
          <w:p w14:paraId="2D435EED"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Date</w:t>
            </w:r>
          </w:p>
        </w:tc>
        <w:tc>
          <w:tcPr>
            <w:tcW w:w="7031" w:type="dxa"/>
            <w:tcBorders>
              <w:top w:val="single" w:sz="4" w:space="0" w:color="000000"/>
              <w:left w:val="nil"/>
              <w:bottom w:val="single" w:sz="12" w:space="0" w:color="000000"/>
              <w:right w:val="nil"/>
            </w:tcBorders>
            <w:tcMar>
              <w:top w:w="28" w:type="dxa"/>
              <w:left w:w="57" w:type="dxa"/>
              <w:bottom w:w="28" w:type="dxa"/>
              <w:right w:w="57" w:type="dxa"/>
            </w:tcMar>
            <w:hideMark/>
          </w:tcPr>
          <w:p w14:paraId="0C9D7C99"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Actions and institutional arrangements</w:t>
            </w:r>
          </w:p>
        </w:tc>
      </w:tr>
      <w:tr w:rsidR="00992A45" w:rsidRPr="00BD7721" w14:paraId="5FED9B6A" w14:textId="77777777" w:rsidTr="004E48D5">
        <w:trPr>
          <w:trHeight w:val="57"/>
          <w:jc w:val="right"/>
        </w:trPr>
        <w:tc>
          <w:tcPr>
            <w:tcW w:w="0" w:type="auto"/>
            <w:gridSpan w:val="2"/>
            <w:tcBorders>
              <w:top w:val="single" w:sz="12" w:space="0" w:color="000000"/>
              <w:left w:val="nil"/>
              <w:bottom w:val="single" w:sz="4" w:space="0" w:color="000000"/>
              <w:right w:val="nil"/>
            </w:tcBorders>
            <w:tcMar>
              <w:top w:w="28" w:type="dxa"/>
              <w:left w:w="57" w:type="dxa"/>
              <w:bottom w:w="28" w:type="dxa"/>
              <w:right w:w="57" w:type="dxa"/>
            </w:tcMar>
            <w:hideMark/>
          </w:tcPr>
          <w:p w14:paraId="7104CB06" w14:textId="77777777" w:rsidR="00992A45" w:rsidRPr="00BD7721" w:rsidRDefault="00992A45" w:rsidP="004E48D5">
            <w:pPr>
              <w:pStyle w:val="Normal-pool"/>
              <w:spacing w:before="40" w:after="40"/>
              <w:rPr>
                <w:b/>
                <w:bCs/>
                <w:sz w:val="18"/>
                <w:szCs w:val="18"/>
                <w:lang w:val="en-GB"/>
              </w:rPr>
            </w:pPr>
            <w:r w:rsidRPr="00BD7721">
              <w:rPr>
                <w:b/>
                <w:bCs/>
                <w:sz w:val="18"/>
                <w:szCs w:val="18"/>
                <w:lang w:val="en-GB"/>
              </w:rPr>
              <w:t>2023</w:t>
            </w:r>
          </w:p>
        </w:tc>
      </w:tr>
      <w:tr w:rsidR="00992A45" w:rsidRPr="00BD7721" w14:paraId="43568016" w14:textId="77777777" w:rsidTr="004E48D5">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312B7E09" w14:textId="77777777" w:rsidR="00992A45" w:rsidRPr="00BD7721" w:rsidRDefault="00992A45" w:rsidP="004E48D5">
            <w:pPr>
              <w:pStyle w:val="Normal-pool"/>
              <w:spacing w:before="40" w:after="40"/>
              <w:rPr>
                <w:sz w:val="18"/>
                <w:szCs w:val="18"/>
                <w:lang w:val="en-GB"/>
              </w:rPr>
            </w:pPr>
            <w:r w:rsidRPr="00BD7721">
              <w:rPr>
                <w:sz w:val="18"/>
                <w:szCs w:val="18"/>
                <w:lang w:val="en-GB"/>
              </w:rPr>
              <w:t>Fourth quarter</w:t>
            </w:r>
          </w:p>
        </w:tc>
        <w:tc>
          <w:tcPr>
            <w:tcW w:w="7031" w:type="dxa"/>
            <w:tcBorders>
              <w:top w:val="nil"/>
              <w:left w:val="nil"/>
              <w:bottom w:val="single" w:sz="4" w:space="0" w:color="000000"/>
              <w:right w:val="nil"/>
            </w:tcBorders>
            <w:tcMar>
              <w:top w:w="28" w:type="dxa"/>
              <w:left w:w="57" w:type="dxa"/>
              <w:bottom w:w="28" w:type="dxa"/>
              <w:right w:w="57" w:type="dxa"/>
            </w:tcMar>
            <w:hideMark/>
          </w:tcPr>
          <w:p w14:paraId="6C8EF4E9" w14:textId="77777777" w:rsidR="00992A45" w:rsidRPr="00BD7721" w:rsidRDefault="00992A45" w:rsidP="004E48D5">
            <w:pPr>
              <w:pStyle w:val="Normal-pool"/>
              <w:spacing w:before="40" w:after="40"/>
              <w:rPr>
                <w:sz w:val="18"/>
                <w:szCs w:val="18"/>
                <w:lang w:val="en-GB"/>
              </w:rPr>
            </w:pPr>
            <w:r w:rsidRPr="00BD7721">
              <w:rPr>
                <w:sz w:val="18"/>
                <w:szCs w:val="18"/>
                <w:lang w:val="en-GB"/>
              </w:rPr>
              <w:t>The Multidisciplinary Expert Panel, through the secretariat, requests nominations of experts by Governments and other stakeholders</w:t>
            </w:r>
          </w:p>
        </w:tc>
      </w:tr>
      <w:tr w:rsidR="00992A45" w:rsidRPr="00BD7721" w14:paraId="10FE2D89" w14:textId="77777777" w:rsidTr="004E48D5">
        <w:trPr>
          <w:trHeight w:val="57"/>
          <w:jc w:val="right"/>
        </w:trPr>
        <w:tc>
          <w:tcPr>
            <w:tcW w:w="0" w:type="auto"/>
            <w:gridSpan w:val="2"/>
            <w:tcBorders>
              <w:top w:val="single" w:sz="4" w:space="0" w:color="000000"/>
              <w:left w:val="nil"/>
              <w:bottom w:val="single" w:sz="4" w:space="0" w:color="000000"/>
              <w:right w:val="nil"/>
            </w:tcBorders>
            <w:tcMar>
              <w:top w:w="28" w:type="dxa"/>
              <w:left w:w="57" w:type="dxa"/>
              <w:bottom w:w="28" w:type="dxa"/>
              <w:right w:w="57" w:type="dxa"/>
            </w:tcMar>
            <w:hideMark/>
          </w:tcPr>
          <w:p w14:paraId="687CA621" w14:textId="77777777" w:rsidR="00992A45" w:rsidRPr="00BD7721" w:rsidRDefault="00992A45" w:rsidP="004E48D5">
            <w:pPr>
              <w:pStyle w:val="Normal-pool"/>
              <w:spacing w:before="40" w:after="40"/>
              <w:rPr>
                <w:b/>
                <w:bCs/>
                <w:sz w:val="18"/>
                <w:szCs w:val="18"/>
                <w:lang w:val="en-GB"/>
              </w:rPr>
            </w:pPr>
            <w:r w:rsidRPr="00BD7721">
              <w:rPr>
                <w:b/>
                <w:bCs/>
                <w:sz w:val="18"/>
                <w:szCs w:val="18"/>
                <w:lang w:val="en-GB"/>
              </w:rPr>
              <w:t>2024</w:t>
            </w:r>
          </w:p>
        </w:tc>
      </w:tr>
      <w:tr w:rsidR="00992A45" w:rsidRPr="00BD7721" w14:paraId="4C73C212" w14:textId="77777777" w:rsidTr="004E48D5">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0225A9AE" w14:textId="77777777" w:rsidR="00992A45" w:rsidRPr="00BD7721" w:rsidRDefault="00992A45" w:rsidP="004E48D5">
            <w:pPr>
              <w:pStyle w:val="Normal-pool"/>
              <w:spacing w:before="40" w:after="40"/>
              <w:rPr>
                <w:sz w:val="18"/>
                <w:szCs w:val="18"/>
                <w:lang w:val="en-GB"/>
              </w:rPr>
            </w:pPr>
            <w:r w:rsidRPr="00BD7721">
              <w:rPr>
                <w:sz w:val="18"/>
                <w:szCs w:val="18"/>
                <w:lang w:val="en-GB"/>
              </w:rPr>
              <w:t>First quarter</w:t>
            </w:r>
          </w:p>
        </w:tc>
        <w:tc>
          <w:tcPr>
            <w:tcW w:w="7031" w:type="dxa"/>
            <w:tcBorders>
              <w:top w:val="single" w:sz="4" w:space="0" w:color="000000"/>
              <w:left w:val="nil"/>
              <w:bottom w:val="nil"/>
              <w:right w:val="nil"/>
            </w:tcBorders>
            <w:tcMar>
              <w:top w:w="28" w:type="dxa"/>
              <w:left w:w="57" w:type="dxa"/>
              <w:bottom w:w="28" w:type="dxa"/>
              <w:right w:w="57" w:type="dxa"/>
            </w:tcMar>
            <w:hideMark/>
          </w:tcPr>
          <w:p w14:paraId="79EB2191" w14:textId="77777777" w:rsidR="00992A45" w:rsidRPr="00BD7721" w:rsidRDefault="00992A45" w:rsidP="004E48D5">
            <w:pPr>
              <w:pStyle w:val="Normal-pool"/>
              <w:spacing w:before="40" w:after="40"/>
              <w:rPr>
                <w:sz w:val="18"/>
                <w:szCs w:val="18"/>
                <w:lang w:val="en-GB"/>
              </w:rPr>
            </w:pPr>
            <w:r w:rsidRPr="00BD7721">
              <w:rPr>
                <w:sz w:val="18"/>
                <w:szCs w:val="18"/>
                <w:lang w:val="en-GB"/>
              </w:rPr>
              <w:t>The Multidisciplinary Expert Panel selects the assessment co-chairs, coordinating lead authors, lead authors and review editors, in line with the procedures for the preparation of Platform deliverables, including by implementing the procedure for filling gaps in expertise</w:t>
            </w:r>
          </w:p>
        </w:tc>
      </w:tr>
      <w:tr w:rsidR="00992A45" w:rsidRPr="00BD7721" w14:paraId="55863301" w14:textId="77777777" w:rsidTr="004E48D5">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0FE909D4" w14:textId="77777777" w:rsidR="00992A45" w:rsidRPr="00BD7721" w:rsidRDefault="00992A45" w:rsidP="004E48D5">
            <w:pPr>
              <w:pStyle w:val="Normal-pool"/>
              <w:spacing w:before="40" w:after="40"/>
              <w:rPr>
                <w:sz w:val="18"/>
                <w:szCs w:val="18"/>
                <w:lang w:val="en-GB"/>
              </w:rPr>
            </w:pPr>
            <w:r w:rsidRPr="00BD7721">
              <w:rPr>
                <w:sz w:val="18"/>
                <w:szCs w:val="18"/>
                <w:lang w:val="en-GB"/>
              </w:rPr>
              <w:t>Second quarter</w:t>
            </w:r>
          </w:p>
        </w:tc>
        <w:tc>
          <w:tcPr>
            <w:tcW w:w="7031" w:type="dxa"/>
            <w:tcBorders>
              <w:top w:val="nil"/>
              <w:left w:val="nil"/>
              <w:bottom w:val="single" w:sz="4" w:space="0" w:color="000000"/>
              <w:right w:val="nil"/>
            </w:tcBorders>
            <w:tcMar>
              <w:top w:w="28" w:type="dxa"/>
              <w:left w:w="57" w:type="dxa"/>
              <w:bottom w:w="28" w:type="dxa"/>
              <w:right w:w="57" w:type="dxa"/>
            </w:tcMar>
            <w:hideMark/>
          </w:tcPr>
          <w:p w14:paraId="7A2AC2F5" w14:textId="77777777" w:rsidR="00992A45" w:rsidRPr="00BD7721" w:rsidRDefault="00992A45" w:rsidP="004E48D5">
            <w:pPr>
              <w:pStyle w:val="Normal-pool"/>
              <w:spacing w:before="40" w:after="40"/>
              <w:rPr>
                <w:sz w:val="18"/>
                <w:szCs w:val="18"/>
                <w:lang w:val="en-GB"/>
              </w:rPr>
            </w:pPr>
            <w:r w:rsidRPr="00BD7721">
              <w:rPr>
                <w:sz w:val="18"/>
                <w:szCs w:val="18"/>
                <w:lang w:val="en-GB"/>
              </w:rPr>
              <w:t>First author meeting with the co-chairs, coordinating lead authors, lead authors, review editors and members of the Bureau and Multidisciplinary Expert Panel that are part of the management committee for the assessment</w:t>
            </w:r>
          </w:p>
        </w:tc>
      </w:tr>
      <w:tr w:rsidR="00992A45" w:rsidRPr="00BD7721" w14:paraId="24AD1DBC" w14:textId="77777777" w:rsidTr="004E48D5">
        <w:trPr>
          <w:trHeight w:val="57"/>
          <w:jc w:val="right"/>
        </w:trPr>
        <w:tc>
          <w:tcPr>
            <w:tcW w:w="0" w:type="auto"/>
            <w:gridSpan w:val="2"/>
            <w:tcBorders>
              <w:top w:val="single" w:sz="4" w:space="0" w:color="000000"/>
              <w:left w:val="nil"/>
              <w:bottom w:val="single" w:sz="4" w:space="0" w:color="000000"/>
              <w:right w:val="nil"/>
            </w:tcBorders>
            <w:tcMar>
              <w:top w:w="28" w:type="dxa"/>
              <w:left w:w="57" w:type="dxa"/>
              <w:bottom w:w="28" w:type="dxa"/>
              <w:right w:w="57" w:type="dxa"/>
            </w:tcMar>
            <w:hideMark/>
          </w:tcPr>
          <w:p w14:paraId="185F8CE6" w14:textId="77777777" w:rsidR="00992A45" w:rsidRPr="00BD7721" w:rsidRDefault="00992A45" w:rsidP="004E48D5">
            <w:pPr>
              <w:pStyle w:val="Normal-pool"/>
              <w:spacing w:before="40" w:after="40"/>
              <w:rPr>
                <w:b/>
                <w:bCs/>
                <w:sz w:val="18"/>
                <w:szCs w:val="18"/>
                <w:lang w:val="en-GB"/>
              </w:rPr>
            </w:pPr>
            <w:r w:rsidRPr="00BD7721">
              <w:rPr>
                <w:b/>
                <w:bCs/>
                <w:sz w:val="18"/>
                <w:szCs w:val="18"/>
                <w:lang w:val="en-GB"/>
              </w:rPr>
              <w:t>2025</w:t>
            </w:r>
          </w:p>
        </w:tc>
      </w:tr>
      <w:tr w:rsidR="00992A45" w:rsidRPr="00BD7721" w14:paraId="4DF78C32" w14:textId="77777777" w:rsidTr="004E48D5">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205A8865" w14:textId="77777777" w:rsidR="00992A45" w:rsidRPr="00BD7721" w:rsidRDefault="00992A45" w:rsidP="004E48D5">
            <w:pPr>
              <w:pStyle w:val="Normal-pool"/>
              <w:spacing w:before="40" w:after="40"/>
              <w:rPr>
                <w:sz w:val="18"/>
                <w:szCs w:val="18"/>
                <w:lang w:val="en-GB"/>
              </w:rPr>
            </w:pPr>
            <w:r w:rsidRPr="00BD7721">
              <w:rPr>
                <w:sz w:val="18"/>
                <w:szCs w:val="18"/>
                <w:lang w:val="en-GB"/>
              </w:rPr>
              <w:t>First quarter</w:t>
            </w:r>
          </w:p>
        </w:tc>
        <w:tc>
          <w:tcPr>
            <w:tcW w:w="7031" w:type="dxa"/>
            <w:tcBorders>
              <w:top w:val="single" w:sz="4" w:space="0" w:color="000000"/>
              <w:left w:val="nil"/>
              <w:bottom w:val="nil"/>
              <w:right w:val="nil"/>
            </w:tcBorders>
            <w:tcMar>
              <w:top w:w="28" w:type="dxa"/>
              <w:left w:w="57" w:type="dxa"/>
              <w:bottom w:w="28" w:type="dxa"/>
              <w:right w:w="57" w:type="dxa"/>
            </w:tcMar>
            <w:hideMark/>
          </w:tcPr>
          <w:p w14:paraId="4C2F4F07" w14:textId="77777777" w:rsidR="00992A45" w:rsidRPr="00BD7721" w:rsidRDefault="00992A45" w:rsidP="004E48D5">
            <w:pPr>
              <w:pStyle w:val="Normal-pool"/>
              <w:spacing w:before="40" w:after="40"/>
              <w:rPr>
                <w:sz w:val="18"/>
                <w:szCs w:val="18"/>
                <w:lang w:val="en-GB"/>
              </w:rPr>
            </w:pPr>
            <w:r w:rsidRPr="00BD7721">
              <w:rPr>
                <w:sz w:val="18"/>
                <w:szCs w:val="18"/>
                <w:lang w:val="en-GB"/>
              </w:rPr>
              <w:t>Meeting to advance the preparation of the summary for policymakers with the co-chairs, coordinating lead authors and members of the Bureau and Multidisciplinary Expert Panel that are part of the management committee for the assessment</w:t>
            </w:r>
          </w:p>
        </w:tc>
      </w:tr>
      <w:tr w:rsidR="00992A45" w:rsidRPr="00BD7721" w14:paraId="0B26A6D5" w14:textId="77777777" w:rsidTr="004E48D5">
        <w:trPr>
          <w:trHeight w:val="57"/>
          <w:jc w:val="right"/>
        </w:trPr>
        <w:tc>
          <w:tcPr>
            <w:tcW w:w="1276" w:type="dxa"/>
            <w:tcMar>
              <w:top w:w="28" w:type="dxa"/>
              <w:left w:w="57" w:type="dxa"/>
              <w:bottom w:w="28" w:type="dxa"/>
              <w:right w:w="57" w:type="dxa"/>
            </w:tcMar>
            <w:hideMark/>
          </w:tcPr>
          <w:p w14:paraId="2CCA2D09" w14:textId="77777777" w:rsidR="00992A45" w:rsidRPr="00BD7721" w:rsidRDefault="00992A45" w:rsidP="004E48D5">
            <w:pPr>
              <w:pStyle w:val="Normal-pool"/>
              <w:spacing w:before="40" w:after="40"/>
              <w:rPr>
                <w:sz w:val="18"/>
                <w:szCs w:val="18"/>
                <w:lang w:val="en-GB"/>
              </w:rPr>
            </w:pPr>
            <w:r w:rsidRPr="00BD7721">
              <w:rPr>
                <w:sz w:val="18"/>
                <w:szCs w:val="18"/>
                <w:lang w:val="en-GB"/>
              </w:rPr>
              <w:t>Second quarter</w:t>
            </w:r>
          </w:p>
        </w:tc>
        <w:tc>
          <w:tcPr>
            <w:tcW w:w="7031" w:type="dxa"/>
            <w:tcMar>
              <w:top w:w="28" w:type="dxa"/>
              <w:left w:w="57" w:type="dxa"/>
              <w:bottom w:w="28" w:type="dxa"/>
              <w:right w:w="57" w:type="dxa"/>
            </w:tcMar>
            <w:hideMark/>
          </w:tcPr>
          <w:p w14:paraId="632E8810" w14:textId="77777777" w:rsidR="00992A45" w:rsidRPr="00BD7721" w:rsidRDefault="00992A45" w:rsidP="004E48D5">
            <w:pPr>
              <w:pStyle w:val="Normal-pool"/>
              <w:spacing w:before="40" w:after="40"/>
              <w:rPr>
                <w:sz w:val="18"/>
                <w:szCs w:val="18"/>
                <w:lang w:val="en-GB"/>
              </w:rPr>
            </w:pPr>
            <w:r w:rsidRPr="00BD7721">
              <w:rPr>
                <w:sz w:val="18"/>
                <w:szCs w:val="18"/>
                <w:lang w:val="en-GB"/>
              </w:rPr>
              <w:t>First external review (eight weeks) – draft chapters and draft summary for policymakers are made available for review by Governments and experts</w:t>
            </w:r>
          </w:p>
        </w:tc>
      </w:tr>
      <w:tr w:rsidR="00992A45" w:rsidRPr="00BD7721" w14:paraId="6FCE1DFA" w14:textId="77777777" w:rsidTr="004E48D5">
        <w:trPr>
          <w:trHeight w:val="57"/>
          <w:jc w:val="right"/>
        </w:trPr>
        <w:tc>
          <w:tcPr>
            <w:tcW w:w="1276" w:type="dxa"/>
            <w:tcMar>
              <w:top w:w="28" w:type="dxa"/>
              <w:left w:w="57" w:type="dxa"/>
              <w:bottom w:w="28" w:type="dxa"/>
              <w:right w:w="57" w:type="dxa"/>
            </w:tcMar>
            <w:hideMark/>
          </w:tcPr>
          <w:p w14:paraId="64DAE4C3" w14:textId="77777777" w:rsidR="00992A45" w:rsidRPr="00BD7721" w:rsidRDefault="00992A45" w:rsidP="004E48D5">
            <w:pPr>
              <w:pStyle w:val="Normal-pool"/>
              <w:spacing w:before="40" w:after="40"/>
              <w:rPr>
                <w:sz w:val="18"/>
                <w:szCs w:val="18"/>
                <w:lang w:val="en-GB"/>
              </w:rPr>
            </w:pPr>
            <w:r w:rsidRPr="00BD7721">
              <w:rPr>
                <w:sz w:val="18"/>
                <w:szCs w:val="18"/>
                <w:lang w:val="en-GB"/>
              </w:rPr>
              <w:t>Third quarter</w:t>
            </w:r>
          </w:p>
        </w:tc>
        <w:tc>
          <w:tcPr>
            <w:tcW w:w="7031" w:type="dxa"/>
            <w:tcMar>
              <w:top w:w="28" w:type="dxa"/>
              <w:left w:w="57" w:type="dxa"/>
              <w:bottom w:w="28" w:type="dxa"/>
              <w:right w:w="57" w:type="dxa"/>
            </w:tcMar>
            <w:hideMark/>
          </w:tcPr>
          <w:p w14:paraId="3C86ED33" w14:textId="77777777" w:rsidR="00992A45" w:rsidRPr="00BD7721" w:rsidRDefault="00992A45" w:rsidP="004E48D5">
            <w:pPr>
              <w:pStyle w:val="Normal-pool"/>
              <w:spacing w:before="40" w:after="40"/>
              <w:rPr>
                <w:sz w:val="18"/>
                <w:szCs w:val="18"/>
                <w:lang w:val="en-GB"/>
              </w:rPr>
            </w:pPr>
            <w:r w:rsidRPr="00BD7721">
              <w:rPr>
                <w:sz w:val="18"/>
                <w:szCs w:val="18"/>
                <w:lang w:val="en-GB"/>
              </w:rPr>
              <w:t xml:space="preserve">Second author meeting with the co-chairs, coordinating lead authors, lead authors, review editors and members of the Bureau and Multidisciplinary Expert Panel that are part of the management committee for the </w:t>
            </w:r>
            <w:proofErr w:type="gramStart"/>
            <w:r w:rsidRPr="00BD7721">
              <w:rPr>
                <w:sz w:val="18"/>
                <w:szCs w:val="18"/>
                <w:lang w:val="en-GB"/>
              </w:rPr>
              <w:t>assessment</w:t>
            </w:r>
            <w:proofErr w:type="gramEnd"/>
          </w:p>
          <w:p w14:paraId="1F4687A2" w14:textId="77777777" w:rsidR="00992A45" w:rsidRPr="00BD7721" w:rsidRDefault="00992A45" w:rsidP="004E48D5">
            <w:pPr>
              <w:pStyle w:val="Normal-pool"/>
              <w:spacing w:before="40" w:after="40"/>
              <w:rPr>
                <w:sz w:val="18"/>
                <w:szCs w:val="18"/>
                <w:lang w:val="en-GB"/>
              </w:rPr>
            </w:pPr>
            <w:r w:rsidRPr="00BD7721">
              <w:rPr>
                <w:sz w:val="18"/>
                <w:szCs w:val="18"/>
                <w:lang w:val="en-GB"/>
              </w:rPr>
              <w:t>Back to back with the second author meeting: meeting to advance the preparation of the summary for policymakers with the co-chairs, coordinating lead authors and members of the Bureau and Multidisciplinary Expert Panel that are part of the management committee for the assessment</w:t>
            </w:r>
          </w:p>
        </w:tc>
      </w:tr>
      <w:tr w:rsidR="00992A45" w:rsidRPr="00BD7721" w14:paraId="0AAEE8D3" w14:textId="77777777" w:rsidTr="004E48D5">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5160EEA3" w14:textId="77777777" w:rsidR="00992A45" w:rsidRPr="00BD7721" w:rsidRDefault="00992A45" w:rsidP="004E48D5">
            <w:pPr>
              <w:pStyle w:val="Normal-pool"/>
              <w:spacing w:before="40" w:after="40"/>
              <w:rPr>
                <w:sz w:val="18"/>
                <w:szCs w:val="18"/>
                <w:lang w:val="en-GB"/>
              </w:rPr>
            </w:pPr>
            <w:r w:rsidRPr="00BD7721">
              <w:rPr>
                <w:sz w:val="18"/>
                <w:szCs w:val="18"/>
                <w:lang w:val="en-GB"/>
              </w:rPr>
              <w:t>Fourth quarter</w:t>
            </w:r>
          </w:p>
        </w:tc>
        <w:tc>
          <w:tcPr>
            <w:tcW w:w="7031" w:type="dxa"/>
            <w:tcBorders>
              <w:top w:val="nil"/>
              <w:left w:val="nil"/>
              <w:bottom w:val="single" w:sz="4" w:space="0" w:color="000000"/>
              <w:right w:val="nil"/>
            </w:tcBorders>
            <w:tcMar>
              <w:top w:w="28" w:type="dxa"/>
              <w:left w:w="57" w:type="dxa"/>
              <w:bottom w:w="28" w:type="dxa"/>
              <w:right w:w="57" w:type="dxa"/>
            </w:tcMar>
            <w:hideMark/>
          </w:tcPr>
          <w:p w14:paraId="0EAFD5EF" w14:textId="77777777" w:rsidR="00992A45" w:rsidRPr="00BD7721" w:rsidRDefault="00992A45" w:rsidP="004E48D5">
            <w:pPr>
              <w:pStyle w:val="Normal-pool"/>
              <w:spacing w:before="40" w:after="40"/>
              <w:rPr>
                <w:sz w:val="18"/>
                <w:szCs w:val="18"/>
                <w:lang w:val="en-GB"/>
              </w:rPr>
            </w:pPr>
            <w:r w:rsidRPr="00BD7721">
              <w:rPr>
                <w:sz w:val="18"/>
                <w:szCs w:val="18"/>
                <w:lang w:val="en-GB"/>
              </w:rPr>
              <w:t>Additional external review of the summary for policymakers (eight weeks) – draft of the summary for policymakers is made available for review by Governments and experts</w:t>
            </w:r>
          </w:p>
        </w:tc>
      </w:tr>
      <w:tr w:rsidR="00992A45" w:rsidRPr="00BD7721" w14:paraId="2CD0E032" w14:textId="77777777" w:rsidTr="004E48D5">
        <w:trPr>
          <w:trHeight w:val="57"/>
          <w:jc w:val="right"/>
        </w:trPr>
        <w:tc>
          <w:tcPr>
            <w:tcW w:w="0" w:type="auto"/>
            <w:gridSpan w:val="2"/>
            <w:tcBorders>
              <w:top w:val="single" w:sz="4" w:space="0" w:color="000000"/>
              <w:left w:val="nil"/>
              <w:bottom w:val="single" w:sz="4" w:space="0" w:color="000000"/>
              <w:right w:val="nil"/>
            </w:tcBorders>
            <w:tcMar>
              <w:top w:w="28" w:type="dxa"/>
              <w:left w:w="57" w:type="dxa"/>
              <w:bottom w:w="28" w:type="dxa"/>
              <w:right w:w="57" w:type="dxa"/>
            </w:tcMar>
            <w:hideMark/>
          </w:tcPr>
          <w:p w14:paraId="7326A690" w14:textId="77777777" w:rsidR="00992A45" w:rsidRPr="00BD7721" w:rsidRDefault="00992A45" w:rsidP="004E48D5">
            <w:pPr>
              <w:pStyle w:val="Normal-pool"/>
              <w:spacing w:before="40" w:after="40"/>
              <w:rPr>
                <w:b/>
                <w:bCs/>
                <w:sz w:val="18"/>
                <w:szCs w:val="18"/>
                <w:lang w:val="en-GB"/>
              </w:rPr>
            </w:pPr>
            <w:r w:rsidRPr="00BD7721">
              <w:rPr>
                <w:b/>
                <w:bCs/>
                <w:sz w:val="18"/>
                <w:szCs w:val="18"/>
                <w:lang w:val="en-GB"/>
              </w:rPr>
              <w:t>2026</w:t>
            </w:r>
          </w:p>
        </w:tc>
      </w:tr>
      <w:tr w:rsidR="00992A45" w:rsidRPr="00BD7721" w14:paraId="63C711E4" w14:textId="77777777" w:rsidTr="004E48D5">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643597A2" w14:textId="77777777" w:rsidR="00992A45" w:rsidRPr="00BD7721" w:rsidRDefault="00992A45" w:rsidP="004E48D5">
            <w:pPr>
              <w:pStyle w:val="Normal-pool"/>
              <w:spacing w:before="40" w:after="40"/>
              <w:rPr>
                <w:sz w:val="18"/>
                <w:szCs w:val="18"/>
                <w:lang w:val="en-GB"/>
              </w:rPr>
            </w:pPr>
            <w:r w:rsidRPr="00BD7721">
              <w:rPr>
                <w:sz w:val="18"/>
                <w:szCs w:val="18"/>
                <w:lang w:val="en-GB"/>
              </w:rPr>
              <w:t>First quarter</w:t>
            </w:r>
          </w:p>
        </w:tc>
        <w:tc>
          <w:tcPr>
            <w:tcW w:w="7031" w:type="dxa"/>
            <w:tcBorders>
              <w:top w:val="single" w:sz="4" w:space="0" w:color="000000"/>
              <w:left w:val="nil"/>
              <w:bottom w:val="nil"/>
              <w:right w:val="nil"/>
            </w:tcBorders>
            <w:tcMar>
              <w:top w:w="28" w:type="dxa"/>
              <w:left w:w="57" w:type="dxa"/>
              <w:bottom w:w="28" w:type="dxa"/>
              <w:right w:w="57" w:type="dxa"/>
            </w:tcMar>
            <w:hideMark/>
          </w:tcPr>
          <w:p w14:paraId="770707E7" w14:textId="77777777" w:rsidR="00992A45" w:rsidRPr="00BD7721" w:rsidRDefault="00992A45" w:rsidP="004E48D5">
            <w:pPr>
              <w:pStyle w:val="Normal-pool"/>
              <w:spacing w:before="40" w:after="40"/>
              <w:rPr>
                <w:sz w:val="18"/>
                <w:szCs w:val="18"/>
                <w:lang w:val="en-GB"/>
              </w:rPr>
            </w:pPr>
            <w:r w:rsidRPr="00BD7721">
              <w:rPr>
                <w:sz w:val="18"/>
                <w:szCs w:val="18"/>
                <w:lang w:val="en-GB"/>
              </w:rPr>
              <w:t>Online writing workshop to advance the preparation of the summary for policymakers with the co-chairs, coordinating lead authors and members of the Bureau and the Multidisciplinary Expert Panel who are part of the management committee for the assessment</w:t>
            </w:r>
          </w:p>
        </w:tc>
      </w:tr>
      <w:tr w:rsidR="00992A45" w:rsidRPr="00BD7721" w14:paraId="299B8C3E" w14:textId="77777777" w:rsidTr="004E48D5">
        <w:trPr>
          <w:trHeight w:val="57"/>
          <w:jc w:val="right"/>
        </w:trPr>
        <w:tc>
          <w:tcPr>
            <w:tcW w:w="1276" w:type="dxa"/>
            <w:tcMar>
              <w:top w:w="28" w:type="dxa"/>
              <w:left w:w="57" w:type="dxa"/>
              <w:bottom w:w="28" w:type="dxa"/>
              <w:right w:w="57" w:type="dxa"/>
            </w:tcMar>
            <w:hideMark/>
          </w:tcPr>
          <w:p w14:paraId="67064419" w14:textId="77777777" w:rsidR="00992A45" w:rsidRPr="00BD7721" w:rsidRDefault="00992A45" w:rsidP="004E48D5">
            <w:pPr>
              <w:pStyle w:val="Normal-pool"/>
              <w:spacing w:before="40" w:after="40"/>
              <w:rPr>
                <w:sz w:val="18"/>
                <w:szCs w:val="18"/>
                <w:lang w:val="en-GB"/>
              </w:rPr>
            </w:pPr>
            <w:r w:rsidRPr="00BD7721">
              <w:rPr>
                <w:sz w:val="18"/>
                <w:szCs w:val="18"/>
                <w:lang w:val="en-GB"/>
              </w:rPr>
              <w:t>Third quarter</w:t>
            </w:r>
          </w:p>
        </w:tc>
        <w:tc>
          <w:tcPr>
            <w:tcW w:w="7031" w:type="dxa"/>
            <w:tcMar>
              <w:top w:w="28" w:type="dxa"/>
              <w:left w:w="57" w:type="dxa"/>
              <w:bottom w:w="28" w:type="dxa"/>
              <w:right w:w="57" w:type="dxa"/>
            </w:tcMar>
            <w:hideMark/>
          </w:tcPr>
          <w:p w14:paraId="766F5EFA" w14:textId="05EBFF9A" w:rsidR="00992A45" w:rsidRPr="00BD7721" w:rsidRDefault="00992A45" w:rsidP="004E48D5">
            <w:pPr>
              <w:pStyle w:val="Normal-pool"/>
              <w:spacing w:before="40" w:after="40"/>
              <w:rPr>
                <w:sz w:val="18"/>
                <w:szCs w:val="18"/>
                <w:lang w:val="en-GB"/>
              </w:rPr>
            </w:pPr>
            <w:r w:rsidRPr="00BD7721">
              <w:rPr>
                <w:sz w:val="18"/>
                <w:szCs w:val="18"/>
                <w:lang w:val="en-GB"/>
              </w:rPr>
              <w:t>Final review (aiming at eight weeks) – final draft of the chapters and summary for policymakers is made available for review by Governments</w:t>
            </w:r>
          </w:p>
        </w:tc>
      </w:tr>
      <w:tr w:rsidR="00992A45" w:rsidRPr="00BD7721" w14:paraId="7856392F" w14:textId="77777777" w:rsidTr="004E48D5">
        <w:trPr>
          <w:trHeight w:val="57"/>
          <w:jc w:val="right"/>
        </w:trPr>
        <w:tc>
          <w:tcPr>
            <w:tcW w:w="1276" w:type="dxa"/>
            <w:vMerge w:val="restart"/>
            <w:tcBorders>
              <w:top w:val="nil"/>
              <w:left w:val="nil"/>
              <w:bottom w:val="single" w:sz="12" w:space="0" w:color="auto"/>
              <w:right w:val="nil"/>
            </w:tcBorders>
            <w:tcMar>
              <w:top w:w="28" w:type="dxa"/>
              <w:left w:w="57" w:type="dxa"/>
              <w:bottom w:w="28" w:type="dxa"/>
              <w:right w:w="57" w:type="dxa"/>
            </w:tcMar>
            <w:hideMark/>
          </w:tcPr>
          <w:p w14:paraId="4F5FDDE5" w14:textId="77777777" w:rsidR="00992A45" w:rsidRPr="00BD7721" w:rsidRDefault="00992A45" w:rsidP="004E48D5">
            <w:pPr>
              <w:pStyle w:val="Normal-pool"/>
              <w:spacing w:before="40" w:after="40"/>
              <w:rPr>
                <w:sz w:val="18"/>
                <w:szCs w:val="18"/>
                <w:lang w:val="en-GB"/>
              </w:rPr>
            </w:pPr>
            <w:r w:rsidRPr="00BD7721">
              <w:rPr>
                <w:sz w:val="18"/>
                <w:szCs w:val="18"/>
                <w:lang w:val="en-GB"/>
              </w:rPr>
              <w:t>Fourth quarter</w:t>
            </w:r>
          </w:p>
        </w:tc>
        <w:tc>
          <w:tcPr>
            <w:tcW w:w="7031" w:type="dxa"/>
            <w:tcMar>
              <w:top w:w="28" w:type="dxa"/>
              <w:left w:w="57" w:type="dxa"/>
              <w:bottom w:w="28" w:type="dxa"/>
              <w:right w:w="57" w:type="dxa"/>
            </w:tcMar>
            <w:hideMark/>
          </w:tcPr>
          <w:p w14:paraId="2BD07CF3" w14:textId="77777777" w:rsidR="00992A45" w:rsidRPr="00BD7721" w:rsidRDefault="00992A45" w:rsidP="004E48D5">
            <w:pPr>
              <w:pStyle w:val="Normal-pool"/>
              <w:spacing w:before="40" w:after="40"/>
              <w:rPr>
                <w:sz w:val="18"/>
                <w:szCs w:val="18"/>
                <w:lang w:val="en-GB"/>
              </w:rPr>
            </w:pPr>
            <w:r w:rsidRPr="00BD7721">
              <w:rPr>
                <w:sz w:val="18"/>
                <w:szCs w:val="18"/>
                <w:lang w:val="en-GB"/>
              </w:rPr>
              <w:t xml:space="preserve">Consideration by the Plenary, </w:t>
            </w:r>
            <w:proofErr w:type="gramStart"/>
            <w:r w:rsidRPr="00BD7721">
              <w:rPr>
                <w:sz w:val="18"/>
                <w:szCs w:val="18"/>
                <w:lang w:val="en-GB"/>
              </w:rPr>
              <w:t>at its thirteenth session,</w:t>
            </w:r>
            <w:proofErr w:type="gramEnd"/>
            <w:r w:rsidRPr="00BD7721">
              <w:rPr>
                <w:sz w:val="18"/>
                <w:szCs w:val="18"/>
                <w:lang w:val="en-GB"/>
              </w:rPr>
              <w:t xml:space="preserve"> of the summary for policymakers for approval and of the chapters for acceptance</w:t>
            </w:r>
          </w:p>
        </w:tc>
      </w:tr>
      <w:tr w:rsidR="00992A45" w:rsidRPr="00BD7721" w14:paraId="1DF65E24" w14:textId="77777777" w:rsidTr="004E48D5">
        <w:trPr>
          <w:trHeight w:val="179"/>
          <w:jc w:val="right"/>
        </w:trPr>
        <w:tc>
          <w:tcPr>
            <w:tcW w:w="0" w:type="auto"/>
            <w:vMerge/>
            <w:tcBorders>
              <w:top w:val="nil"/>
              <w:left w:val="nil"/>
              <w:bottom w:val="single" w:sz="12" w:space="0" w:color="auto"/>
              <w:right w:val="nil"/>
            </w:tcBorders>
            <w:vAlign w:val="center"/>
            <w:hideMark/>
          </w:tcPr>
          <w:p w14:paraId="1EDCC825" w14:textId="77777777" w:rsidR="00992A45" w:rsidRPr="00BD7721" w:rsidRDefault="00992A45" w:rsidP="004E48D5">
            <w:pPr>
              <w:rPr>
                <w:sz w:val="18"/>
                <w:szCs w:val="18"/>
              </w:rPr>
            </w:pPr>
          </w:p>
        </w:tc>
        <w:tc>
          <w:tcPr>
            <w:tcW w:w="7031" w:type="dxa"/>
            <w:tcBorders>
              <w:top w:val="nil"/>
              <w:left w:val="nil"/>
              <w:bottom w:val="single" w:sz="12" w:space="0" w:color="000000"/>
              <w:right w:val="nil"/>
            </w:tcBorders>
            <w:tcMar>
              <w:top w:w="28" w:type="dxa"/>
              <w:left w:w="57" w:type="dxa"/>
              <w:bottom w:w="28" w:type="dxa"/>
              <w:right w:w="57" w:type="dxa"/>
            </w:tcMar>
            <w:hideMark/>
          </w:tcPr>
          <w:p w14:paraId="16F707E3" w14:textId="77777777" w:rsidR="00992A45" w:rsidRPr="00BD7721" w:rsidRDefault="00992A45" w:rsidP="004E48D5">
            <w:pPr>
              <w:pStyle w:val="Normal-pool"/>
              <w:spacing w:before="40" w:after="40"/>
              <w:rPr>
                <w:sz w:val="18"/>
                <w:szCs w:val="18"/>
                <w:lang w:val="en-GB"/>
              </w:rPr>
            </w:pPr>
            <w:r w:rsidRPr="00BD7721">
              <w:rPr>
                <w:sz w:val="18"/>
                <w:szCs w:val="18"/>
                <w:lang w:val="en-GB"/>
              </w:rPr>
              <w:t>Communication activities in relation to the assessment (including fact sheets)</w:t>
            </w:r>
          </w:p>
        </w:tc>
      </w:tr>
    </w:tbl>
    <w:p w14:paraId="37474F6D" w14:textId="77777777" w:rsidR="00942630" w:rsidRPr="00BD7721" w:rsidRDefault="00942630" w:rsidP="008C3AAF">
      <w:pPr>
        <w:pStyle w:val="Normal-pool"/>
        <w:rPr>
          <w:lang w:val="en-GB"/>
        </w:rPr>
      </w:pPr>
    </w:p>
    <w:p w14:paraId="3EBB3F64" w14:textId="77777777" w:rsidR="00942630" w:rsidRPr="00BD7721" w:rsidRDefault="00942630" w:rsidP="006A4A78">
      <w:pPr>
        <w:pStyle w:val="CH1"/>
        <w:rPr>
          <w:lang w:val="en-GB"/>
        </w:rPr>
        <w:sectPr w:rsidR="00942630" w:rsidRPr="00BD7721" w:rsidSect="005861DF">
          <w:footnotePr>
            <w:numRestart w:val="eachSect"/>
          </w:footnotePr>
          <w:pgSz w:w="11907" w:h="16839" w:code="9"/>
          <w:pgMar w:top="907" w:right="992" w:bottom="1418" w:left="1418" w:header="539" w:footer="975" w:gutter="0"/>
          <w:cols w:space="539"/>
          <w:docGrid w:linePitch="360"/>
        </w:sectPr>
      </w:pPr>
    </w:p>
    <w:p w14:paraId="7709333C" w14:textId="3CB45A8A" w:rsidR="00992A45" w:rsidRPr="00BD7721" w:rsidRDefault="006A4A78" w:rsidP="006A4A78">
      <w:pPr>
        <w:pStyle w:val="CH1"/>
        <w:rPr>
          <w:lang w:val="en-GB"/>
        </w:rPr>
      </w:pPr>
      <w:r w:rsidRPr="00BD7721">
        <w:rPr>
          <w:lang w:val="en-GB"/>
        </w:rPr>
        <w:tab/>
      </w:r>
      <w:r w:rsidRPr="00BD7721">
        <w:rPr>
          <w:lang w:val="en-GB"/>
        </w:rPr>
        <w:tab/>
      </w:r>
      <w:r w:rsidR="00992A45" w:rsidRPr="00BD7721">
        <w:rPr>
          <w:lang w:val="en-GB"/>
        </w:rPr>
        <w:t>Annex II to decision IPBES-10/1</w:t>
      </w:r>
    </w:p>
    <w:p w14:paraId="36FF84ED" w14:textId="49B974E9" w:rsidR="00992A45" w:rsidRPr="00BD7721" w:rsidRDefault="008214C9" w:rsidP="008214C9">
      <w:pPr>
        <w:pStyle w:val="CH1"/>
        <w:rPr>
          <w:lang w:val="en-GB"/>
        </w:rPr>
      </w:pPr>
      <w:r w:rsidRPr="00BD7721">
        <w:rPr>
          <w:lang w:val="en-GB"/>
        </w:rPr>
        <w:tab/>
      </w:r>
      <w:r w:rsidRPr="00BD7721">
        <w:rPr>
          <w:lang w:val="en-GB"/>
        </w:rPr>
        <w:tab/>
      </w:r>
      <w:r w:rsidR="00992A45" w:rsidRPr="00BD7721">
        <w:rPr>
          <w:lang w:val="en-GB"/>
        </w:rPr>
        <w:t xml:space="preserve">Scoping report for a methodological assessment of integrated biodiversity-inclusive spatial planning and ecological connectivity </w:t>
      </w:r>
    </w:p>
    <w:p w14:paraId="039B42F4" w14:textId="77777777" w:rsidR="00992A45" w:rsidRPr="00BD7721" w:rsidRDefault="00992A45" w:rsidP="00992A45">
      <w:pPr>
        <w:pStyle w:val="CH1"/>
        <w:rPr>
          <w:lang w:val="en-GB"/>
        </w:rPr>
      </w:pPr>
      <w:r w:rsidRPr="00BD7721">
        <w:rPr>
          <w:lang w:val="en-GB"/>
        </w:rPr>
        <w:tab/>
        <w:t>I.</w:t>
      </w:r>
      <w:r w:rsidRPr="00BD7721">
        <w:rPr>
          <w:lang w:val="en-GB"/>
        </w:rPr>
        <w:tab/>
        <w:t>Scope, rationale, timeline, geographical coverage and methodological approach</w:t>
      </w:r>
    </w:p>
    <w:p w14:paraId="76644FB9" w14:textId="77777777" w:rsidR="00992A45" w:rsidRPr="00BD7721" w:rsidRDefault="00992A45" w:rsidP="00992A45">
      <w:pPr>
        <w:pStyle w:val="CH2"/>
        <w:rPr>
          <w:lang w:val="en-GB"/>
        </w:rPr>
      </w:pPr>
      <w:r w:rsidRPr="00BD7721">
        <w:rPr>
          <w:lang w:val="en-GB"/>
        </w:rPr>
        <w:tab/>
        <w:t>A.</w:t>
      </w:r>
      <w:r w:rsidRPr="00BD7721">
        <w:rPr>
          <w:lang w:val="en-GB"/>
        </w:rPr>
        <w:tab/>
        <w:t xml:space="preserve">Scope and rationale </w:t>
      </w:r>
    </w:p>
    <w:p w14:paraId="0153582F" w14:textId="77777777" w:rsidR="00992A45" w:rsidRPr="00BD7721" w:rsidRDefault="00992A45" w:rsidP="008214C9">
      <w:pPr>
        <w:pStyle w:val="Normalnumber"/>
        <w:numPr>
          <w:ilvl w:val="0"/>
          <w:numId w:val="59"/>
        </w:numPr>
        <w:ind w:left="1247"/>
        <w:rPr>
          <w:lang w:val="en-GB"/>
        </w:rPr>
      </w:pPr>
      <w:r w:rsidRPr="00BD7721">
        <w:rPr>
          <w:lang w:val="en-GB"/>
        </w:rPr>
        <w:t xml:space="preserve">The methodological assessment of integrated biodiversity-inclusive spatial planning and ecological connectivity will address the use and change in use of land, inland waters and sea, including areas beyond national jurisdiction. The </w:t>
      </w:r>
      <w:r w:rsidRPr="00BD7721">
        <w:rPr>
          <w:rStyle w:val="preferred"/>
          <w:lang w:val="en-GB"/>
        </w:rPr>
        <w:t>Intergovernmental Science-Policy Platform on Biodiversity and Ecosystem Services (</w:t>
      </w:r>
      <w:r w:rsidRPr="00BD7721">
        <w:rPr>
          <w:lang w:val="en-GB"/>
        </w:rPr>
        <w:t xml:space="preserve">IPBES) </w:t>
      </w:r>
      <w:r w:rsidRPr="00BD7721">
        <w:rPr>
          <w:i/>
          <w:lang w:val="en-GB"/>
        </w:rPr>
        <w:t>Global Assessment Report on Biodiversity and Ecosystem Services</w:t>
      </w:r>
      <w:r w:rsidRPr="00BD7721">
        <w:rPr>
          <w:lang w:val="en-GB"/>
        </w:rPr>
        <w:t xml:space="preserve"> identified land-use change as the first direct driver of biodiversity loss for terrestrial and freshwater ecosystems, and sea-use change as the second direct driver for marine ecosystems. The assessment will provide options for avoiding land and sea use change that negatively affects biodiversity and options for improving planning for effective conservation, restoration and sustainable use of nature and its contributions to people across spatial and temporal scales, with due attention paid to different regional and national situations and to the need to support sustainable livelihoods.</w:t>
      </w:r>
    </w:p>
    <w:p w14:paraId="756AACCE" w14:textId="77777777" w:rsidR="00992A45" w:rsidRPr="00BD7721" w:rsidRDefault="00992A45" w:rsidP="008214C9">
      <w:pPr>
        <w:pStyle w:val="Normalnumber"/>
        <w:numPr>
          <w:ilvl w:val="0"/>
          <w:numId w:val="21"/>
        </w:numPr>
        <w:ind w:left="1247"/>
        <w:rPr>
          <w:lang w:val="en-GB"/>
        </w:rPr>
      </w:pPr>
      <w:r w:rsidRPr="00BD7721">
        <w:rPr>
          <w:color w:val="000000"/>
          <w:lang w:val="en-GB"/>
        </w:rPr>
        <w:t xml:space="preserve">The </w:t>
      </w:r>
      <w:r w:rsidRPr="00BD7721">
        <w:rPr>
          <w:lang w:val="en-GB"/>
        </w:rPr>
        <w:t xml:space="preserve">assessment will be directly relevant to the goals and targets of the Kunming-Montreal Global Biodiversity Framework. It will also support the implementation of the 2030 Agenda for Sustainable Development and its Sustainable Development Goals and inform other relevant multilateral environmental agreements, processes and efforts, including the Convention on the Conservation of Migratory Species of Wild Animals and the Convention on Wetlands of International Importance Especially as Waterfowl Habitat. </w:t>
      </w:r>
    </w:p>
    <w:p w14:paraId="187461B6" w14:textId="77777777" w:rsidR="00992A45" w:rsidRPr="00BD7721" w:rsidRDefault="00992A45" w:rsidP="008214C9">
      <w:pPr>
        <w:pStyle w:val="Normalnumber"/>
        <w:numPr>
          <w:ilvl w:val="0"/>
          <w:numId w:val="21"/>
        </w:numPr>
        <w:ind w:left="1247"/>
        <w:rPr>
          <w:lang w:val="en-GB"/>
        </w:rPr>
      </w:pPr>
      <w:r w:rsidRPr="00BD7721">
        <w:rPr>
          <w:lang w:val="en-GB"/>
        </w:rPr>
        <w:t>The assessment will cover methods, guidance, tools, scenarios, models, data, knowledge and capacity-building for integrating biodiversity considerations into and promoting connectivity (both structural and functional) in spatial planning, across sectors and scales. It will also cover lessons learned and best practice for identifying, restoring and enhancing ecological connectivity, focusing on how ecological connectivity contributes to biodiversity conservation, restoration, sustainable use and management, as in the case of migratory species, for example.</w:t>
      </w:r>
    </w:p>
    <w:p w14:paraId="43D54055" w14:textId="77777777" w:rsidR="00992A45" w:rsidRPr="00BD7721" w:rsidRDefault="00992A45" w:rsidP="008214C9">
      <w:pPr>
        <w:pStyle w:val="Normalnumber"/>
        <w:numPr>
          <w:ilvl w:val="0"/>
          <w:numId w:val="21"/>
        </w:numPr>
        <w:ind w:left="1247"/>
        <w:rPr>
          <w:lang w:val="en-GB"/>
        </w:rPr>
      </w:pPr>
      <w:r w:rsidRPr="00BD7721">
        <w:rPr>
          <w:lang w:val="en-GB"/>
        </w:rPr>
        <w:t xml:space="preserve">The assessment will look at participatory approaches to spatial planning, including those involving Indigenous Peoples and local communities, with particular attention paid to the needs of developing countries. </w:t>
      </w:r>
    </w:p>
    <w:p w14:paraId="6711E613" w14:textId="77777777" w:rsidR="00992A45" w:rsidRPr="00BD7721" w:rsidRDefault="00992A45" w:rsidP="00316CC9">
      <w:pPr>
        <w:pStyle w:val="Normalnumber"/>
        <w:numPr>
          <w:ilvl w:val="0"/>
          <w:numId w:val="21"/>
        </w:numPr>
        <w:ind w:left="1247"/>
        <w:rPr>
          <w:color w:val="000000"/>
          <w:lang w:val="en-GB"/>
        </w:rPr>
      </w:pPr>
      <w:r w:rsidRPr="00BD7721">
        <w:rPr>
          <w:color w:val="000000"/>
          <w:lang w:val="en-GB"/>
        </w:rPr>
        <w:t xml:space="preserve">The assessment will address approaches for the identification of areas for conservation, sustainable use </w:t>
      </w:r>
      <w:r w:rsidRPr="00BD7721">
        <w:rPr>
          <w:lang w:val="en-GB"/>
        </w:rPr>
        <w:t>and</w:t>
      </w:r>
      <w:r w:rsidRPr="00BD7721">
        <w:rPr>
          <w:color w:val="000000"/>
          <w:lang w:val="en-GB"/>
        </w:rPr>
        <w:t xml:space="preserve"> restoration, including protected areas and other effective area-based conservation measures. It will also illustrate the potential of spatial planning to reduce trade-offs and increase synergies </w:t>
      </w:r>
      <w:r w:rsidRPr="00BD7721">
        <w:rPr>
          <w:lang w:val="en-GB"/>
        </w:rPr>
        <w:t>between</w:t>
      </w:r>
      <w:r w:rsidRPr="00BD7721">
        <w:rPr>
          <w:color w:val="000000"/>
          <w:lang w:val="en-GB"/>
        </w:rPr>
        <w:t xml:space="preserve"> different types of uses of land, inland waters and sea waters in order to simultaneously achieve a range of global goals, particularly those related to biodiversity, food, poverty, water, health and climate change</w:t>
      </w:r>
      <w:r w:rsidRPr="00BD7721">
        <w:rPr>
          <w:lang w:val="en-GB"/>
        </w:rPr>
        <w:t>.</w:t>
      </w:r>
      <w:r w:rsidRPr="00BD7721">
        <w:rPr>
          <w:color w:val="000000"/>
          <w:lang w:val="en-GB"/>
        </w:rPr>
        <w:t xml:space="preserve"> </w:t>
      </w:r>
    </w:p>
    <w:p w14:paraId="34B46801" w14:textId="77777777" w:rsidR="00992A45" w:rsidRPr="00BD7721" w:rsidRDefault="00992A45" w:rsidP="00992A45">
      <w:pPr>
        <w:pStyle w:val="CH2"/>
        <w:rPr>
          <w:lang w:val="en-GB"/>
        </w:rPr>
      </w:pPr>
      <w:r w:rsidRPr="00BD7721">
        <w:rPr>
          <w:lang w:val="en-GB"/>
        </w:rPr>
        <w:tab/>
        <w:t>B.</w:t>
      </w:r>
      <w:r w:rsidRPr="00BD7721">
        <w:rPr>
          <w:lang w:val="en-GB"/>
        </w:rPr>
        <w:tab/>
        <w:t xml:space="preserve">Timeline </w:t>
      </w:r>
    </w:p>
    <w:p w14:paraId="0806C6EF" w14:textId="77777777" w:rsidR="00992A45" w:rsidRPr="00BD7721" w:rsidRDefault="00992A45" w:rsidP="008214C9">
      <w:pPr>
        <w:pStyle w:val="Normalnumber"/>
        <w:numPr>
          <w:ilvl w:val="0"/>
          <w:numId w:val="21"/>
        </w:numPr>
        <w:ind w:left="1247"/>
        <w:rPr>
          <w:color w:val="000000"/>
          <w:lang w:val="en-GB"/>
        </w:rPr>
      </w:pPr>
      <w:r w:rsidRPr="00BD7721">
        <w:rPr>
          <w:color w:val="000000"/>
          <w:lang w:val="en-GB"/>
        </w:rPr>
        <w:t xml:space="preserve">The assessment will be carried out following the fast-track approach for thematic and methodological </w:t>
      </w:r>
      <w:r w:rsidRPr="00BD7721">
        <w:rPr>
          <w:lang w:val="en-GB"/>
        </w:rPr>
        <w:t>assessments</w:t>
      </w:r>
      <w:r w:rsidRPr="00BD7721">
        <w:rPr>
          <w:color w:val="000000"/>
          <w:lang w:val="en-GB"/>
        </w:rPr>
        <w:t>.</w:t>
      </w:r>
      <w:r w:rsidRPr="00BD7721">
        <w:rPr>
          <w:color w:val="000000"/>
          <w:vertAlign w:val="superscript"/>
          <w:lang w:val="en-GB"/>
        </w:rPr>
        <w:footnoteReference w:id="18"/>
      </w:r>
      <w:r w:rsidRPr="00BD7721">
        <w:rPr>
          <w:color w:val="000000"/>
          <w:lang w:val="en-GB"/>
        </w:rPr>
        <w:t xml:space="preserve"> </w:t>
      </w:r>
    </w:p>
    <w:p w14:paraId="070A66C4" w14:textId="77777777" w:rsidR="00992A45" w:rsidRPr="00BD7721" w:rsidRDefault="00992A45" w:rsidP="00992A45">
      <w:pPr>
        <w:pStyle w:val="CH2"/>
        <w:rPr>
          <w:lang w:val="en-GB"/>
        </w:rPr>
      </w:pPr>
      <w:r w:rsidRPr="00BD7721">
        <w:rPr>
          <w:lang w:val="en-GB"/>
        </w:rPr>
        <w:tab/>
        <w:t>C.</w:t>
      </w:r>
      <w:r w:rsidRPr="00BD7721">
        <w:rPr>
          <w:lang w:val="en-GB"/>
        </w:rPr>
        <w:tab/>
        <w:t>Geographical coverage</w:t>
      </w:r>
    </w:p>
    <w:p w14:paraId="35151990" w14:textId="77777777" w:rsidR="00992A45" w:rsidRPr="00BD7721" w:rsidRDefault="00992A45" w:rsidP="008214C9">
      <w:pPr>
        <w:pStyle w:val="Normalnumber"/>
        <w:numPr>
          <w:ilvl w:val="0"/>
          <w:numId w:val="21"/>
        </w:numPr>
        <w:ind w:left="1247"/>
        <w:rPr>
          <w:color w:val="000000"/>
          <w:lang w:val="en-GB"/>
        </w:rPr>
      </w:pPr>
      <w:r w:rsidRPr="00BD7721">
        <w:rPr>
          <w:color w:val="000000"/>
          <w:lang w:val="en-GB"/>
        </w:rPr>
        <w:t xml:space="preserve">The </w:t>
      </w:r>
      <w:r w:rsidRPr="00BD7721">
        <w:rPr>
          <w:lang w:val="en-GB"/>
        </w:rPr>
        <w:t>assessment</w:t>
      </w:r>
      <w:r w:rsidRPr="00BD7721">
        <w:rPr>
          <w:color w:val="000000"/>
          <w:lang w:val="en-GB"/>
        </w:rPr>
        <w:t xml:space="preserve"> will address all scales, from local and national to global. </w:t>
      </w:r>
    </w:p>
    <w:p w14:paraId="0582712C" w14:textId="77777777" w:rsidR="00992A45" w:rsidRPr="00BD7721" w:rsidRDefault="00992A45" w:rsidP="00992A45">
      <w:pPr>
        <w:pStyle w:val="CH2"/>
        <w:rPr>
          <w:lang w:val="en-GB"/>
        </w:rPr>
      </w:pPr>
      <w:r w:rsidRPr="00BD7721">
        <w:rPr>
          <w:lang w:val="en-GB"/>
        </w:rPr>
        <w:tab/>
        <w:t>D.</w:t>
      </w:r>
      <w:r w:rsidRPr="00BD7721">
        <w:rPr>
          <w:lang w:val="en-GB"/>
        </w:rPr>
        <w:tab/>
        <w:t>Methodological approach</w:t>
      </w:r>
    </w:p>
    <w:p w14:paraId="783C5FE0" w14:textId="77777777" w:rsidR="00992A45" w:rsidRPr="00BD7721" w:rsidRDefault="00992A45" w:rsidP="008214C9">
      <w:pPr>
        <w:pStyle w:val="Normalnumber"/>
        <w:numPr>
          <w:ilvl w:val="0"/>
          <w:numId w:val="21"/>
        </w:numPr>
        <w:ind w:left="1247"/>
        <w:rPr>
          <w:lang w:val="en-GB"/>
        </w:rPr>
      </w:pPr>
      <w:r w:rsidRPr="00BD7721">
        <w:rPr>
          <w:color w:val="000000"/>
          <w:lang w:val="en-GB"/>
        </w:rPr>
        <w:t>The assessment will provide definitions of</w:t>
      </w:r>
      <w:r w:rsidRPr="00BD7721">
        <w:rPr>
          <w:lang w:val="en-GB"/>
        </w:rPr>
        <w:t xml:space="preserve"> </w:t>
      </w:r>
      <w:r w:rsidRPr="00BD7721">
        <w:rPr>
          <w:color w:val="000000"/>
          <w:lang w:val="en-GB"/>
        </w:rPr>
        <w:t xml:space="preserve">biodiversity-inclusive spatial planning and ecological connectivity. For the purpose of the scoping report, biodiversity-inclusive spatial planning will be </w:t>
      </w:r>
      <w:r w:rsidRPr="00BD7721">
        <w:rPr>
          <w:lang w:val="en-GB"/>
        </w:rPr>
        <w:t>understood</w:t>
      </w:r>
      <w:r w:rsidRPr="00BD7721">
        <w:rPr>
          <w:color w:val="000000"/>
          <w:lang w:val="en-GB"/>
        </w:rPr>
        <w:t xml:space="preserve"> </w:t>
      </w:r>
      <w:r w:rsidRPr="00BD7721">
        <w:rPr>
          <w:lang w:val="en-GB"/>
        </w:rPr>
        <w:t>as</w:t>
      </w:r>
      <w:r w:rsidRPr="00BD7721">
        <w:rPr>
          <w:color w:val="000000"/>
          <w:lang w:val="en-GB"/>
        </w:rPr>
        <w:t xml:space="preserve"> the integration of biodiversity considerations into spatial planning, defined as a method or </w:t>
      </w:r>
      <w:r w:rsidRPr="00BD7721">
        <w:rPr>
          <w:lang w:val="en-GB"/>
        </w:rPr>
        <w:t>process for analysing and allocating the spatial and temporal distribution of activities in a given environment in order to achieve various objectives, including ecological, social and economic objectives.</w:t>
      </w:r>
      <w:r w:rsidRPr="00BD7721">
        <w:rPr>
          <w:vertAlign w:val="superscript"/>
          <w:lang w:val="en-GB"/>
        </w:rPr>
        <w:footnoteReference w:id="19"/>
      </w:r>
      <w:r w:rsidRPr="00BD7721">
        <w:rPr>
          <w:vertAlign w:val="superscript"/>
          <w:lang w:val="en-GB"/>
        </w:rPr>
        <w:t xml:space="preserve"> </w:t>
      </w:r>
    </w:p>
    <w:p w14:paraId="3F370BBC" w14:textId="77777777" w:rsidR="00992A45" w:rsidRPr="00BD7721" w:rsidRDefault="00992A45" w:rsidP="008214C9">
      <w:pPr>
        <w:pStyle w:val="Normalnumber"/>
        <w:numPr>
          <w:ilvl w:val="0"/>
          <w:numId w:val="21"/>
        </w:numPr>
        <w:ind w:left="1247"/>
        <w:rPr>
          <w:lang w:val="en-GB"/>
        </w:rPr>
      </w:pPr>
      <w:r w:rsidRPr="00BD7721">
        <w:rPr>
          <w:lang w:val="en-GB"/>
        </w:rPr>
        <w:t>The assessment will consist of a summary for policymakers and six chapters, each with an executive summary of the key findings. It will identify key gaps in relevant knowledge and data.</w:t>
      </w:r>
    </w:p>
    <w:p w14:paraId="3DCA12C6" w14:textId="77777777" w:rsidR="00992A45" w:rsidRPr="00BD7721" w:rsidRDefault="00992A45" w:rsidP="008214C9">
      <w:pPr>
        <w:pStyle w:val="Normalnumber"/>
        <w:numPr>
          <w:ilvl w:val="0"/>
          <w:numId w:val="21"/>
        </w:numPr>
        <w:ind w:left="1247"/>
        <w:rPr>
          <w:lang w:val="en-GB"/>
        </w:rPr>
      </w:pPr>
      <w:r w:rsidRPr="00BD7721">
        <w:rPr>
          <w:lang w:val="en-GB"/>
        </w:rPr>
        <w:t>The assessment will draw on peer-reviewed literature, official national data and reports,</w:t>
      </w:r>
      <w:r w:rsidRPr="00BD7721">
        <w:rPr>
          <w:vertAlign w:val="superscript"/>
          <w:lang w:val="en-GB"/>
        </w:rPr>
        <w:footnoteReference w:id="20"/>
      </w:r>
      <w:r w:rsidRPr="00BD7721">
        <w:rPr>
          <w:lang w:val="en-GB"/>
        </w:rPr>
        <w:t xml:space="preserve"> Indigenous and local knowledge, and a range of other sources in line with the procedures for the preparation of Platform deliverables</w:t>
      </w:r>
      <w:r w:rsidRPr="00BD7721">
        <w:rPr>
          <w:vertAlign w:val="superscript"/>
          <w:lang w:val="en-GB"/>
        </w:rPr>
        <w:footnoteReference w:id="21"/>
      </w:r>
      <w:r w:rsidRPr="00BD7721">
        <w:rPr>
          <w:lang w:val="en-GB"/>
        </w:rPr>
        <w:t xml:space="preserve"> set out in decision IPBES-3/3. It will build on and complement previous and ongoing work of IPBES, including completed assessments. </w:t>
      </w:r>
    </w:p>
    <w:p w14:paraId="0C3F09DA" w14:textId="77777777" w:rsidR="00992A45" w:rsidRPr="00BD7721" w:rsidRDefault="00992A45" w:rsidP="008214C9">
      <w:pPr>
        <w:pStyle w:val="Normalnumber"/>
        <w:numPr>
          <w:ilvl w:val="0"/>
          <w:numId w:val="21"/>
        </w:numPr>
        <w:ind w:left="1247"/>
        <w:rPr>
          <w:lang w:val="en-GB"/>
        </w:rPr>
      </w:pPr>
      <w:r w:rsidRPr="00BD7721">
        <w:rPr>
          <w:lang w:val="en-GB"/>
        </w:rPr>
        <w:t xml:space="preserve">The assessment will present relevant case studies at various scales, as appropriate. </w:t>
      </w:r>
    </w:p>
    <w:p w14:paraId="6969B474" w14:textId="77777777" w:rsidR="00992A45" w:rsidRPr="00BD7721" w:rsidRDefault="00992A45" w:rsidP="008214C9">
      <w:pPr>
        <w:pStyle w:val="Normalnumber"/>
        <w:numPr>
          <w:ilvl w:val="0"/>
          <w:numId w:val="21"/>
        </w:numPr>
        <w:ind w:left="1247"/>
        <w:rPr>
          <w:lang w:val="en-GB"/>
        </w:rPr>
      </w:pPr>
      <w:r w:rsidRPr="00BD7721">
        <w:rPr>
          <w:lang w:val="en-GB"/>
        </w:rPr>
        <w:t>The assessment will be consistent with the IPBES conceptual framework</w:t>
      </w:r>
      <w:r w:rsidRPr="00BD7721">
        <w:rPr>
          <w:vertAlign w:val="superscript"/>
          <w:lang w:val="en-GB"/>
        </w:rPr>
        <w:footnoteReference w:id="22"/>
      </w:r>
      <w:r w:rsidRPr="00BD7721">
        <w:rPr>
          <w:lang w:val="en-GB"/>
        </w:rPr>
        <w:t xml:space="preserve"> and will fully consider Indigenous and local knowledge and different knowledge systems as well as multiple values and, in particular, the concept of systems of life.</w:t>
      </w:r>
    </w:p>
    <w:p w14:paraId="173CB231" w14:textId="03EDE251" w:rsidR="00992A45" w:rsidRPr="00BD7721" w:rsidRDefault="00992A45" w:rsidP="008214C9">
      <w:pPr>
        <w:pStyle w:val="Normalnumber"/>
        <w:numPr>
          <w:ilvl w:val="0"/>
          <w:numId w:val="21"/>
        </w:numPr>
        <w:ind w:left="1247"/>
        <w:rPr>
          <w:lang w:val="en-GB"/>
        </w:rPr>
      </w:pPr>
      <w:r w:rsidRPr="00BD7721">
        <w:rPr>
          <w:lang w:val="en-GB"/>
        </w:rPr>
        <w:t>The assessment will be conducted by a balanced, interdisciplinary team of experts with expertise in spatial planning and ecological connectivity in relation to biodiversity and nature’s contributions to people, in terrestrial (including inland waters) and marine systems. The expert team will encompass a diverse range of backgrounds (e.g., academia, government, industry and civil society) and disciplines (e.g.,</w:t>
      </w:r>
      <w:r w:rsidR="004212A9" w:rsidRPr="00BD7721">
        <w:rPr>
          <w:lang w:val="en-GB"/>
        </w:rPr>
        <w:t xml:space="preserve"> </w:t>
      </w:r>
      <w:r w:rsidRPr="00BD7721">
        <w:rPr>
          <w:lang w:val="en-GB"/>
        </w:rPr>
        <w:t xml:space="preserve">geography, ecology, conservation science, including restoration and protected areas, land and water systems science, spatial planning, urban planning, architecture, law, political science and economics). </w:t>
      </w:r>
    </w:p>
    <w:p w14:paraId="0E8CB26F" w14:textId="78430C72" w:rsidR="00992A45" w:rsidRPr="00BD7721" w:rsidRDefault="00992A45" w:rsidP="00212CBC">
      <w:pPr>
        <w:pStyle w:val="Normalnumber"/>
        <w:numPr>
          <w:ilvl w:val="0"/>
          <w:numId w:val="21"/>
        </w:numPr>
        <w:ind w:left="1247"/>
        <w:rPr>
          <w:color w:val="000000"/>
          <w:lang w:val="en-GB"/>
        </w:rPr>
      </w:pPr>
      <w:r w:rsidRPr="00BD7721">
        <w:rPr>
          <w:lang w:val="en-GB"/>
        </w:rPr>
        <w:t>The following objectives will be implemented in the context of the assessment through collaboration between the experts conducting the assessment and the relevant task forces and technical support units: objective 2 on building capacity; objective 3 on strengthening the knowledge foundations, including objective 3 (a) on advanced knowledge and data and objective 3 (b) on enhanced recognition of and work with Indigenous and local knowledge systems; and objective 4 on supporting policy, including objective 4 (a) on</w:t>
      </w:r>
      <w:r w:rsidRPr="00BD7721">
        <w:rPr>
          <w:color w:val="000000"/>
          <w:lang w:val="en-GB"/>
        </w:rPr>
        <w:t xml:space="preserve"> advanced work on policy instruments, policy support tools and methodologies and objective 4</w:t>
      </w:r>
      <w:r w:rsidR="004212A9" w:rsidRPr="00BD7721">
        <w:rPr>
          <w:color w:val="000000"/>
          <w:lang w:val="en-GB"/>
        </w:rPr>
        <w:t xml:space="preserve"> </w:t>
      </w:r>
      <w:r w:rsidRPr="00BD7721">
        <w:rPr>
          <w:color w:val="000000"/>
          <w:lang w:val="en-GB"/>
        </w:rPr>
        <w:t>(b) on advanced work on scenarios and models of biodiversity and ecosystem functions and services.</w:t>
      </w:r>
      <w:r w:rsidR="00F96DD5" w:rsidRPr="00BD7721">
        <w:rPr>
          <w:color w:val="000000"/>
          <w:lang w:val="en-GB"/>
        </w:rPr>
        <w:t xml:space="preserve"> </w:t>
      </w:r>
    </w:p>
    <w:p w14:paraId="46A5FB61" w14:textId="77777777" w:rsidR="00992A45" w:rsidRPr="00BD7721" w:rsidRDefault="00992A45" w:rsidP="00992A45">
      <w:pPr>
        <w:pStyle w:val="CH1"/>
        <w:rPr>
          <w:lang w:val="en-GB"/>
        </w:rPr>
      </w:pPr>
      <w:r w:rsidRPr="00BD7721">
        <w:rPr>
          <w:lang w:val="en-GB"/>
        </w:rPr>
        <w:tab/>
        <w:t>II.</w:t>
      </w:r>
      <w:r w:rsidRPr="00BD7721">
        <w:rPr>
          <w:lang w:val="en-GB"/>
        </w:rPr>
        <w:tab/>
        <w:t>Chapter outline</w:t>
      </w:r>
    </w:p>
    <w:p w14:paraId="68A994C6" w14:textId="2DFE4C7A" w:rsidR="00992A45" w:rsidRPr="00BD7721" w:rsidRDefault="00992A45" w:rsidP="008214C9">
      <w:pPr>
        <w:pStyle w:val="Normalnumber"/>
        <w:numPr>
          <w:ilvl w:val="0"/>
          <w:numId w:val="21"/>
        </w:numPr>
        <w:ind w:left="1247"/>
        <w:rPr>
          <w:color w:val="000000"/>
          <w:lang w:val="en-GB"/>
        </w:rPr>
      </w:pPr>
      <w:r w:rsidRPr="00BD7721">
        <w:rPr>
          <w:b/>
          <w:color w:val="000000"/>
          <w:lang w:val="en-GB"/>
        </w:rPr>
        <w:t xml:space="preserve">Chapter 1: Setting the scene: defining spatial planning in the context of biodiversity conservation, ecological connectivity and provision of nature’s contributions to people </w:t>
      </w:r>
      <w:r w:rsidRPr="00BD7721">
        <w:rPr>
          <w:color w:val="000000"/>
          <w:lang w:val="en-GB"/>
        </w:rPr>
        <w:t>(</w:t>
      </w:r>
      <w:r w:rsidRPr="00BD7721">
        <w:rPr>
          <w:i/>
          <w:color w:val="000000"/>
          <w:lang w:val="en-GB"/>
        </w:rPr>
        <w:t>indicative length: 10,000 words</w:t>
      </w:r>
      <w:r w:rsidRPr="00BD7721">
        <w:rPr>
          <w:color w:val="000000"/>
          <w:lang w:val="en-GB"/>
        </w:rPr>
        <w:t xml:space="preserve">). Chapter 1 will describe the purpose of the assessment and the intended audiences. It will explain why </w:t>
      </w:r>
      <w:r w:rsidRPr="00BD7721">
        <w:rPr>
          <w:lang w:val="en-GB"/>
        </w:rPr>
        <w:t>ecological connectivity and spatial planning, as well as their</w:t>
      </w:r>
      <w:r w:rsidRPr="00BD7721">
        <w:rPr>
          <w:color w:val="000000"/>
          <w:lang w:val="en-GB"/>
        </w:rPr>
        <w:t xml:space="preserve"> </w:t>
      </w:r>
      <w:r w:rsidRPr="00BD7721">
        <w:rPr>
          <w:lang w:val="en-GB"/>
        </w:rPr>
        <w:t xml:space="preserve">interconnections, are </w:t>
      </w:r>
      <w:r w:rsidRPr="00BD7721">
        <w:rPr>
          <w:color w:val="000000"/>
          <w:lang w:val="en-GB"/>
        </w:rPr>
        <w:t xml:space="preserve">important and how they can influence the development of a more sustainable future for </w:t>
      </w:r>
      <w:r w:rsidRPr="00BD7721">
        <w:rPr>
          <w:lang w:val="en-GB"/>
        </w:rPr>
        <w:t>all</w:t>
      </w:r>
      <w:r w:rsidRPr="00BD7721">
        <w:rPr>
          <w:color w:val="000000"/>
          <w:lang w:val="en-GB"/>
        </w:rPr>
        <w:t xml:space="preserve">, including in support of </w:t>
      </w:r>
      <w:r w:rsidRPr="00BD7721">
        <w:rPr>
          <w:lang w:val="en-GB"/>
        </w:rPr>
        <w:t xml:space="preserve">groups </w:t>
      </w:r>
      <w:r w:rsidRPr="00BD7721">
        <w:rPr>
          <w:color w:val="000000"/>
          <w:lang w:val="en-GB"/>
        </w:rPr>
        <w:t xml:space="preserve">in </w:t>
      </w:r>
      <w:r w:rsidRPr="00BD7721">
        <w:rPr>
          <w:lang w:val="en-GB"/>
        </w:rPr>
        <w:t>vulnerable situations, in particular Indigenous Peoples</w:t>
      </w:r>
      <w:r w:rsidRPr="00BD7721">
        <w:rPr>
          <w:color w:val="000000"/>
          <w:lang w:val="en-GB"/>
        </w:rPr>
        <w:t xml:space="preserve">. The chapter will outline which and whose needs the assessment is intended to fulfil and the plan for ensuring that it does so. It will explain how the assessment plans to </w:t>
      </w:r>
      <w:proofErr w:type="gramStart"/>
      <w:r w:rsidRPr="00BD7721">
        <w:rPr>
          <w:color w:val="000000"/>
          <w:lang w:val="en-GB"/>
        </w:rPr>
        <w:t>take into account</w:t>
      </w:r>
      <w:proofErr w:type="gramEnd"/>
      <w:r w:rsidRPr="00BD7721">
        <w:rPr>
          <w:color w:val="000000"/>
          <w:lang w:val="en-GB"/>
        </w:rPr>
        <w:t xml:space="preserve"> different world views regarding the conceptualization of land</w:t>
      </w:r>
      <w:r w:rsidR="004F2070" w:rsidRPr="00BD7721">
        <w:rPr>
          <w:color w:val="000000"/>
          <w:lang w:val="en-GB"/>
        </w:rPr>
        <w:t>scapes</w:t>
      </w:r>
      <w:r w:rsidRPr="00BD7721">
        <w:rPr>
          <w:color w:val="000000"/>
          <w:lang w:val="en-GB"/>
        </w:rPr>
        <w:t xml:space="preserve"> and seascapes and land ownership and tenure, including the findings of the IPBES </w:t>
      </w:r>
      <w:r w:rsidRPr="00BD7721">
        <w:rPr>
          <w:i/>
          <w:color w:val="000000"/>
          <w:lang w:val="en-GB"/>
        </w:rPr>
        <w:t>Methodological Assessment Report on the Diverse Values and Valuation of Nature</w:t>
      </w:r>
      <w:r w:rsidRPr="00BD7721">
        <w:rPr>
          <w:color w:val="000000"/>
          <w:lang w:val="en-GB"/>
        </w:rPr>
        <w:t>. It will introduce how the assessment links to the IPBES conceptual framework and which issues are assessed in the subsequent chapters.</w:t>
      </w:r>
    </w:p>
    <w:p w14:paraId="4CBD5648" w14:textId="206DFC83" w:rsidR="00992A45" w:rsidRPr="00BD7721" w:rsidRDefault="00992A45" w:rsidP="008214C9">
      <w:pPr>
        <w:pStyle w:val="Normalnumber"/>
        <w:numPr>
          <w:ilvl w:val="0"/>
          <w:numId w:val="21"/>
        </w:numPr>
        <w:ind w:left="1247"/>
        <w:rPr>
          <w:color w:val="000000"/>
          <w:lang w:val="en-GB"/>
        </w:rPr>
      </w:pPr>
      <w:r w:rsidRPr="00BD7721">
        <w:rPr>
          <w:color w:val="000000"/>
          <w:lang w:val="en-GB"/>
        </w:rPr>
        <w:t xml:space="preserve">Building on the definition provided in paragraph </w:t>
      </w:r>
      <w:r w:rsidR="0032238B" w:rsidRPr="00BD7721">
        <w:rPr>
          <w:color w:val="000000"/>
          <w:lang w:val="en-GB"/>
        </w:rPr>
        <w:t>8</w:t>
      </w:r>
      <w:r w:rsidRPr="00BD7721">
        <w:rPr>
          <w:color w:val="000000"/>
          <w:lang w:val="en-GB"/>
        </w:rPr>
        <w:t xml:space="preserve"> above, chapter 1 will further define spatial planning and in particular “biodiversity-inclusive” spatial planning, with particular attention to ecological connectivity as an essential component of what “biodiversity-inclusive” means, including the relevance of ecological connectivity to ecological resilience and adaptation to climate change. It will assess the role of </w:t>
      </w:r>
      <w:r w:rsidRPr="00BD7721">
        <w:rPr>
          <w:lang w:val="en-GB"/>
        </w:rPr>
        <w:t>private actors in spatial planning and ecological connectivity</w:t>
      </w:r>
      <w:r w:rsidRPr="00BD7721">
        <w:rPr>
          <w:color w:val="000000"/>
          <w:lang w:val="en-GB"/>
        </w:rPr>
        <w:t>, and it will also include a defin</w:t>
      </w:r>
      <w:r w:rsidRPr="00BD7721">
        <w:rPr>
          <w:lang w:val="en-GB"/>
        </w:rPr>
        <w:t>ition of the concept of ecological connectivity.</w:t>
      </w:r>
      <w:r w:rsidRPr="00BD7721">
        <w:rPr>
          <w:color w:val="000000"/>
          <w:lang w:val="en-GB"/>
        </w:rPr>
        <w:t xml:space="preserve"> The chapter will explain the importance of biodiversity-inclusive spatial planning for addressing loss and degradation of biodiversity. It will introduce how spatial planning can reduce trade-offs and increase synergies between different types of land, inland water and sea use to ensure ecological connectivity and the conservation and sustainable use of biodiversity and its contributions to people. The needs of migratory and wide-ranging species, the need to maintain complex species communities and the need to support ecosystem processes such as predation, seed dispersal and the role of “keystone” species will be considered.</w:t>
      </w:r>
    </w:p>
    <w:p w14:paraId="16A3E6A5" w14:textId="4D34C632" w:rsidR="00992A45" w:rsidRPr="00BD7721" w:rsidRDefault="00992A45" w:rsidP="008214C9">
      <w:pPr>
        <w:pStyle w:val="Normalnumber"/>
        <w:numPr>
          <w:ilvl w:val="0"/>
          <w:numId w:val="21"/>
        </w:numPr>
        <w:ind w:left="1247"/>
        <w:rPr>
          <w:color w:val="000000"/>
          <w:lang w:val="en-GB"/>
        </w:rPr>
      </w:pPr>
      <w:r w:rsidRPr="00BD7721">
        <w:rPr>
          <w:color w:val="000000"/>
          <w:lang w:val="en-GB"/>
        </w:rPr>
        <w:t>Chapter 1 will introduce how the assessment plans to support the implementation of target 1 of the Kunming-Montreal Global Biodiversity Framework, on biodiversity-inclusive spatial planning, as well as target</w:t>
      </w:r>
      <w:r w:rsidR="004212A9" w:rsidRPr="00BD7721">
        <w:rPr>
          <w:color w:val="000000"/>
          <w:lang w:val="en-GB"/>
        </w:rPr>
        <w:t xml:space="preserve"> </w:t>
      </w:r>
      <w:r w:rsidRPr="00BD7721">
        <w:rPr>
          <w:color w:val="000000"/>
          <w:lang w:val="en-GB"/>
        </w:rPr>
        <w:t xml:space="preserve">2, on restoration, target 3, on protected areas and other area-based conservation measures, and target 4, on species conservation, where ecological connectivity is critical for </w:t>
      </w:r>
      <w:r w:rsidRPr="00BD7721">
        <w:rPr>
          <w:lang w:val="en-GB"/>
        </w:rPr>
        <w:t>maintaining</w:t>
      </w:r>
      <w:r w:rsidRPr="00BD7721">
        <w:rPr>
          <w:color w:val="000000"/>
          <w:lang w:val="en-GB"/>
        </w:rPr>
        <w:t xml:space="preserve"> and restoring gen</w:t>
      </w:r>
      <w:r w:rsidRPr="00BD7721">
        <w:rPr>
          <w:lang w:val="en-GB"/>
        </w:rPr>
        <w:t>etic diversity</w:t>
      </w:r>
      <w:r w:rsidRPr="00BD7721">
        <w:rPr>
          <w:color w:val="000000"/>
          <w:lang w:val="en-GB"/>
        </w:rPr>
        <w:t>. The chapter will also introduce the other targets of the Kunming-</w:t>
      </w:r>
      <w:r w:rsidRPr="00BD7721">
        <w:rPr>
          <w:lang w:val="en-GB"/>
        </w:rPr>
        <w:t>Montreal</w:t>
      </w:r>
      <w:r w:rsidRPr="00BD7721">
        <w:rPr>
          <w:color w:val="000000"/>
          <w:lang w:val="en-GB"/>
        </w:rPr>
        <w:t xml:space="preserve"> Global Biodiversity Framework that are concerned with spatial planning and connectivity. It will also contribute to the 2030 </w:t>
      </w:r>
      <w:r w:rsidRPr="00BD7721">
        <w:rPr>
          <w:lang w:val="en-GB"/>
        </w:rPr>
        <w:t xml:space="preserve">Agenda </w:t>
      </w:r>
      <w:r w:rsidRPr="00BD7721">
        <w:rPr>
          <w:color w:val="000000"/>
          <w:lang w:val="en-GB"/>
        </w:rPr>
        <w:t xml:space="preserve">for Sustainable Development, </w:t>
      </w:r>
      <w:r w:rsidRPr="00BD7721">
        <w:rPr>
          <w:lang w:val="en-GB"/>
        </w:rPr>
        <w:t>especially Sustainable Development Goals 11, 14 and 15.</w:t>
      </w:r>
    </w:p>
    <w:p w14:paraId="28D3FD4B" w14:textId="5CC9E936" w:rsidR="00992A45" w:rsidRPr="00BD7721" w:rsidRDefault="00992A45" w:rsidP="008214C9">
      <w:pPr>
        <w:pStyle w:val="Normalnumber"/>
        <w:numPr>
          <w:ilvl w:val="0"/>
          <w:numId w:val="21"/>
        </w:numPr>
        <w:ind w:left="1247"/>
        <w:rPr>
          <w:lang w:val="en-GB"/>
        </w:rPr>
      </w:pPr>
      <w:r w:rsidRPr="00BD7721">
        <w:rPr>
          <w:b/>
          <w:color w:val="000000"/>
          <w:lang w:val="en-GB"/>
        </w:rPr>
        <w:t xml:space="preserve">Chapter 2: Implementing target 1 of the Kunming-Montreal Global Biodiversity Framework on biodiversity-inclusive spatial planning </w:t>
      </w:r>
      <w:r w:rsidRPr="00BD7721">
        <w:rPr>
          <w:color w:val="000000"/>
          <w:lang w:val="en-GB"/>
        </w:rPr>
        <w:t>(</w:t>
      </w:r>
      <w:r w:rsidRPr="00BD7721">
        <w:rPr>
          <w:i/>
          <w:color w:val="000000"/>
          <w:lang w:val="en-GB"/>
        </w:rPr>
        <w:t>indicative length: 25,000 words</w:t>
      </w:r>
      <w:r w:rsidRPr="00BD7721">
        <w:rPr>
          <w:color w:val="000000"/>
          <w:lang w:val="en-GB"/>
        </w:rPr>
        <w:t>). Chapter 2 will focus on target</w:t>
      </w:r>
      <w:r w:rsidR="004212A9" w:rsidRPr="00BD7721">
        <w:rPr>
          <w:color w:val="000000"/>
          <w:lang w:val="en-GB"/>
        </w:rPr>
        <w:t xml:space="preserve"> </w:t>
      </w:r>
      <w:r w:rsidRPr="00BD7721">
        <w:rPr>
          <w:color w:val="000000"/>
          <w:lang w:val="en-GB"/>
        </w:rPr>
        <w:t>1 of the Kunming-Montreal Global Biodiversity Framework. It will highlight the importance of including biodiversity in all spatial planning (including urban planning) for conserving and enhancing nature and nature’s contributions to people, including outside protected and restored areas, and the role of connectivity in enhancing the resilience of such areas in order to meet goal A of the framework. Chapter</w:t>
      </w:r>
      <w:r w:rsidR="004212A9" w:rsidRPr="00BD7721">
        <w:rPr>
          <w:color w:val="000000"/>
          <w:lang w:val="en-GB"/>
        </w:rPr>
        <w:t xml:space="preserve"> </w:t>
      </w:r>
      <w:r w:rsidRPr="00BD7721">
        <w:rPr>
          <w:color w:val="000000"/>
          <w:lang w:val="en-GB"/>
        </w:rPr>
        <w:t>2 will also focus on the role that spatial planning can play in relation to the elements of target 1 that refer to “effective management processes addressing land and sea use change” and in relation to bringing the loss of areas of high biodiversity importance, including ecosystems of high ecological integrity, close to zero by 2030</w:t>
      </w:r>
      <w:r w:rsidRPr="00BD7721">
        <w:rPr>
          <w:lang w:val="en-GB"/>
        </w:rPr>
        <w:t>, while respecting the rights of Indigenous Peoples and local communities and the achievement of the Sustainable Development Goals.</w:t>
      </w:r>
      <w:r w:rsidRPr="00BD7721">
        <w:rPr>
          <w:color w:val="000000"/>
          <w:lang w:val="en-GB"/>
        </w:rPr>
        <w:t xml:space="preserve"> It will explain the need to meet target 1 in order to meet other targets of the framework, including targets 2, 3, 8, 10 and 12, and will explain the interlinkages. The chapter will show how target 1 provides a spatial context for those other targets, and it will explore the importance of spatial planning for reducing trade-offs and increasing synergies between different uses of land (including inland waters) and sea in the context of the nexus among biodiversity, food, water, health and climate change, taking into account different economic activities and the wide range of sustainable practices available at the regional and national levels to scale up positive impacts.</w:t>
      </w:r>
    </w:p>
    <w:p w14:paraId="67A8E64F" w14:textId="77777777" w:rsidR="00992A45" w:rsidRPr="00BD7721" w:rsidRDefault="00992A45" w:rsidP="008214C9">
      <w:pPr>
        <w:pStyle w:val="Normalnumber"/>
        <w:numPr>
          <w:ilvl w:val="0"/>
          <w:numId w:val="21"/>
        </w:numPr>
        <w:ind w:left="1247"/>
        <w:rPr>
          <w:lang w:val="en-GB"/>
        </w:rPr>
      </w:pPr>
      <w:r w:rsidRPr="00BD7721">
        <w:rPr>
          <w:lang w:val="en-GB"/>
        </w:rPr>
        <w:t xml:space="preserve">The chapter will take a landscape/seascape approach to exploring the various demands and interests involved as well as the interactions between them. </w:t>
      </w:r>
      <w:r w:rsidRPr="00BD7721">
        <w:rPr>
          <w:color w:val="000000"/>
          <w:lang w:val="en-GB"/>
        </w:rPr>
        <w:t xml:space="preserve">It will assess how biodiversity-inclusive spatial planning </w:t>
      </w:r>
      <w:r w:rsidRPr="00BD7721">
        <w:rPr>
          <w:lang w:val="en-GB"/>
        </w:rPr>
        <w:t>influences biodiversity and nature’s contributions to people.</w:t>
      </w:r>
      <w:r w:rsidRPr="00BD7721">
        <w:rPr>
          <w:color w:val="000000"/>
          <w:lang w:val="en-GB"/>
        </w:rPr>
        <w:t xml:space="preserve"> It will assess applications in different contexts, such as urban planning, protected area and ecological network planning, restoration planning, regional land use planning, marine and coastal planning, and other types of integrated spatial planning, including customary practices of Indigenous Peoples and local communities. The chapter will assess available methods and indicators for measuring progress in biodiversity-</w:t>
      </w:r>
      <w:r w:rsidRPr="00BD7721">
        <w:rPr>
          <w:lang w:val="en-GB"/>
        </w:rPr>
        <w:t>inclusive</w:t>
      </w:r>
      <w:r w:rsidRPr="00BD7721">
        <w:rPr>
          <w:color w:val="000000"/>
          <w:lang w:val="en-GB"/>
        </w:rPr>
        <w:t xml:space="preserve"> spatial planning and will, as necessary, provide options for other indicators to complement those of the monitoring framework for the Kunming-Montreal Global Biodiversity Framework.</w:t>
      </w:r>
    </w:p>
    <w:p w14:paraId="55984A27" w14:textId="77777777" w:rsidR="00992A45" w:rsidRPr="00BD7721" w:rsidRDefault="00992A45" w:rsidP="008214C9">
      <w:pPr>
        <w:pStyle w:val="Normalnumber"/>
        <w:numPr>
          <w:ilvl w:val="0"/>
          <w:numId w:val="21"/>
        </w:numPr>
        <w:ind w:left="1247"/>
        <w:rPr>
          <w:lang w:val="en-GB"/>
        </w:rPr>
      </w:pPr>
      <w:r w:rsidRPr="00BD7721">
        <w:rPr>
          <w:b/>
          <w:bCs/>
          <w:lang w:val="en-GB"/>
        </w:rPr>
        <w:t xml:space="preserve">Chapter 3: Implementing targets 2 and 3 of the Kunming-Montreal Global Biodiversity Framework, on restoration and protected areas and other area-based conservation measures </w:t>
      </w:r>
      <w:r w:rsidRPr="00BD7721">
        <w:rPr>
          <w:lang w:val="en-GB"/>
        </w:rPr>
        <w:t xml:space="preserve">(indicative length: </w:t>
      </w:r>
      <w:r w:rsidRPr="00BD7721">
        <w:rPr>
          <w:i/>
          <w:iCs/>
          <w:lang w:val="en-GB"/>
        </w:rPr>
        <w:t>25,000 words</w:t>
      </w:r>
      <w:r w:rsidRPr="00BD7721">
        <w:rPr>
          <w:lang w:val="en-GB"/>
        </w:rPr>
        <w:t>). Chapter 3 will provide an overview of the areas under restoration and conservation; reflect on the translation of the related global targets at the national and local levels; and identify key priorities and challenges, including those related to the sustainable development priorities and challenges of each country. It will define what restoration means</w:t>
      </w:r>
      <w:r w:rsidRPr="00BD7721">
        <w:rPr>
          <w:vertAlign w:val="superscript"/>
          <w:lang w:val="en-GB"/>
        </w:rPr>
        <w:footnoteReference w:id="23"/>
      </w:r>
      <w:r w:rsidRPr="00BD7721">
        <w:rPr>
          <w:lang w:val="en-GB"/>
        </w:rPr>
        <w:t xml:space="preserve"> in a changing world and examine methods that governments and others can use to identify the most important areas, corridors between areas, and other connectivity factors to be restored on land, in inland waters and at sea. The chapter will identify the types of restoration that are effective in recovering and enhancing biodiversity and ecological connectivity without affecting sustainable uses. It will identify approaches to adaptive management of the restoration process that direct conservation outcomes towards biodiversity protection, connectivity enhancement and the provision of nature’s contributions to people through just and equitable planning and implementation processes. It will address the role of restoring dispersal and migration pathways in enhancing ecosystem resilience and supporting adaptation to climate change. </w:t>
      </w:r>
    </w:p>
    <w:p w14:paraId="4E6191C2" w14:textId="06542F34" w:rsidR="00992A45" w:rsidRPr="00BD7721" w:rsidRDefault="00992A45" w:rsidP="008214C9">
      <w:pPr>
        <w:pStyle w:val="Normalnumber"/>
        <w:numPr>
          <w:ilvl w:val="0"/>
          <w:numId w:val="21"/>
        </w:numPr>
        <w:ind w:left="1247"/>
        <w:rPr>
          <w:color w:val="000000"/>
          <w:lang w:val="en-GB"/>
        </w:rPr>
      </w:pPr>
      <w:r w:rsidRPr="00BD7721">
        <w:rPr>
          <w:color w:val="000000"/>
          <w:lang w:val="en-GB"/>
        </w:rPr>
        <w:t>As habitat restoration will often occur inside protected areas, the chapter will assess knowledge about spatial locations and types of interventions of relevance to protected areas’ designations and management (supporting target 3) and to restoration actions (supporting target 2). It</w:t>
      </w:r>
      <w:r w:rsidR="0084360C">
        <w:rPr>
          <w:color w:val="000000"/>
          <w:lang w:val="en-GB"/>
        </w:rPr>
        <w:t> </w:t>
      </w:r>
      <w:r w:rsidRPr="00BD7721">
        <w:rPr>
          <w:color w:val="000000"/>
          <w:lang w:val="en-GB"/>
        </w:rPr>
        <w:t xml:space="preserve">will </w:t>
      </w:r>
      <w:proofErr w:type="gramStart"/>
      <w:r w:rsidRPr="00BD7721">
        <w:rPr>
          <w:color w:val="000000"/>
          <w:lang w:val="en-GB"/>
        </w:rPr>
        <w:t>take into account</w:t>
      </w:r>
      <w:proofErr w:type="gramEnd"/>
      <w:r w:rsidRPr="00BD7721">
        <w:rPr>
          <w:color w:val="000000"/>
          <w:lang w:val="en-GB"/>
        </w:rPr>
        <w:t xml:space="preserve"> the </w:t>
      </w:r>
      <w:r w:rsidRPr="00BD7721">
        <w:rPr>
          <w:lang w:val="en-GB"/>
        </w:rPr>
        <w:t>effectiveness</w:t>
      </w:r>
      <w:r w:rsidRPr="00BD7721">
        <w:rPr>
          <w:color w:val="000000"/>
          <w:lang w:val="en-GB"/>
        </w:rPr>
        <w:t xml:space="preserve"> of types of pro</w:t>
      </w:r>
      <w:r w:rsidRPr="00BD7721">
        <w:rPr>
          <w:lang w:val="en-GB"/>
        </w:rPr>
        <w:t>tection and other effective area-based conservation measures when looking at how land and sea use can be effective in protecting biodiversity</w:t>
      </w:r>
      <w:r w:rsidRPr="00BD7721">
        <w:rPr>
          <w:color w:val="000000"/>
          <w:lang w:val="en-GB"/>
        </w:rPr>
        <w:t xml:space="preserve">, </w:t>
      </w:r>
      <w:r w:rsidRPr="00BD7721">
        <w:rPr>
          <w:lang w:val="en-GB"/>
        </w:rPr>
        <w:t xml:space="preserve">including </w:t>
      </w:r>
      <w:r w:rsidRPr="00BD7721">
        <w:rPr>
          <w:color w:val="000000"/>
          <w:lang w:val="en-GB"/>
        </w:rPr>
        <w:t>recognizing the role and contributions of Indig</w:t>
      </w:r>
      <w:r w:rsidRPr="00BD7721">
        <w:rPr>
          <w:lang w:val="en-GB"/>
        </w:rPr>
        <w:t xml:space="preserve">enous territories and traditional lands, as well as from other actors, according to national legislation. </w:t>
      </w:r>
      <w:r w:rsidRPr="00BD7721">
        <w:rPr>
          <w:color w:val="000000"/>
          <w:lang w:val="en-GB"/>
        </w:rPr>
        <w:t xml:space="preserve">It will assess methods and indicators for measuring progress in areas under restoration and conservation and, as necessary, </w:t>
      </w:r>
      <w:r w:rsidRPr="00BD7721">
        <w:rPr>
          <w:lang w:val="en-GB"/>
        </w:rPr>
        <w:t xml:space="preserve">assess </w:t>
      </w:r>
      <w:r w:rsidRPr="00BD7721">
        <w:rPr>
          <w:color w:val="000000"/>
          <w:lang w:val="en-GB"/>
        </w:rPr>
        <w:t>options for other indicators to complement those of the monitoring framework for the Kunming</w:t>
      </w:r>
      <w:r w:rsidR="006E0261" w:rsidRPr="00BD7721">
        <w:rPr>
          <w:lang w:val="en-GB"/>
        </w:rPr>
        <w:sym w:font="Symbol" w:char="F02D"/>
      </w:r>
      <w:r w:rsidRPr="00BD7721">
        <w:rPr>
          <w:color w:val="000000"/>
          <w:lang w:val="en-GB"/>
        </w:rPr>
        <w:t>Montreal Global Biodiversity Framework.</w:t>
      </w:r>
      <w:r w:rsidRPr="00BD7721">
        <w:rPr>
          <w:lang w:val="en-GB"/>
        </w:rPr>
        <w:t xml:space="preserve"> </w:t>
      </w:r>
      <w:r w:rsidRPr="00BD7721">
        <w:rPr>
          <w:color w:val="000000"/>
          <w:lang w:val="en-GB"/>
        </w:rPr>
        <w:t xml:space="preserve">The chapter will assess tools and strategies, </w:t>
      </w:r>
      <w:r w:rsidRPr="00BD7721">
        <w:rPr>
          <w:lang w:val="en-GB"/>
        </w:rPr>
        <w:t>as well as</w:t>
      </w:r>
      <w:r w:rsidRPr="00BD7721">
        <w:rPr>
          <w:color w:val="000000"/>
          <w:lang w:val="en-GB"/>
        </w:rPr>
        <w:t xml:space="preserve"> nature-based solutions and/or ecosystem</w:t>
      </w:r>
      <w:r w:rsidRPr="00BD7721">
        <w:rPr>
          <w:lang w:val="en-GB"/>
        </w:rPr>
        <w:t>-</w:t>
      </w:r>
      <w:r w:rsidRPr="00BD7721">
        <w:rPr>
          <w:color w:val="000000"/>
          <w:lang w:val="en-GB"/>
        </w:rPr>
        <w:t>based appr</w:t>
      </w:r>
      <w:r w:rsidRPr="00BD7721">
        <w:rPr>
          <w:lang w:val="en-GB"/>
        </w:rPr>
        <w:t>oaches and Mother Earth-centric actions, among others,</w:t>
      </w:r>
      <w:r w:rsidRPr="00BD7721">
        <w:rPr>
          <w:color w:val="000000"/>
          <w:lang w:val="en-GB"/>
        </w:rPr>
        <w:t xml:space="preserve"> to promote sustainable livelihoods and income-generating opportunities arising from restoration, in order to ensure their sustainability and resilience.</w:t>
      </w:r>
    </w:p>
    <w:p w14:paraId="1021A648" w14:textId="77777777" w:rsidR="00992A45" w:rsidRPr="00BD7721" w:rsidRDefault="00992A45" w:rsidP="008214C9">
      <w:pPr>
        <w:pStyle w:val="Normalnumber"/>
        <w:numPr>
          <w:ilvl w:val="0"/>
          <w:numId w:val="21"/>
        </w:numPr>
        <w:ind w:left="1247"/>
        <w:rPr>
          <w:color w:val="000000"/>
          <w:lang w:val="en-GB"/>
        </w:rPr>
      </w:pPr>
      <w:r w:rsidRPr="00BD7721">
        <w:rPr>
          <w:b/>
          <w:color w:val="000000"/>
          <w:lang w:val="en-GB"/>
        </w:rPr>
        <w:t xml:space="preserve">Chapter 4: Maintaining, restoring and enhancing ecological connectivity </w:t>
      </w:r>
      <w:r w:rsidRPr="00BD7721">
        <w:rPr>
          <w:color w:val="000000"/>
          <w:lang w:val="en-GB"/>
        </w:rPr>
        <w:t>(</w:t>
      </w:r>
      <w:r w:rsidRPr="00BD7721">
        <w:rPr>
          <w:i/>
          <w:color w:val="000000"/>
          <w:lang w:val="en-GB"/>
        </w:rPr>
        <w:t>indicative length: 25,000 words</w:t>
      </w:r>
      <w:r w:rsidRPr="00BD7721">
        <w:rPr>
          <w:color w:val="000000"/>
          <w:lang w:val="en-GB"/>
        </w:rPr>
        <w:t xml:space="preserve">). Chapter 4 will assess the role and importance of ecological connectivity as a component of spatial planning that is vital for the </w:t>
      </w:r>
      <w:r w:rsidRPr="00BD7721">
        <w:rPr>
          <w:lang w:val="en-GB"/>
        </w:rPr>
        <w:t>functioning of ecosystems,</w:t>
      </w:r>
      <w:r w:rsidRPr="00BD7721">
        <w:rPr>
          <w:color w:val="000000"/>
          <w:lang w:val="en-GB"/>
        </w:rPr>
        <w:t xml:space="preserve"> the survival of wild animals and plant species, and genetic diversity and the enhancement of nature’s contributions to people. The chapter will cover both structural and functional components of connectivity and its role in the context of a changing climate. It will address elements of goal A of the Kunming-Montreal Global Biodiversity Framework.</w:t>
      </w:r>
      <w:r w:rsidRPr="00BD7721">
        <w:rPr>
          <w:color w:val="000000"/>
          <w:vertAlign w:val="superscript"/>
          <w:lang w:val="en-GB"/>
        </w:rPr>
        <w:footnoteReference w:id="24"/>
      </w:r>
      <w:r w:rsidRPr="00BD7721">
        <w:rPr>
          <w:color w:val="000000"/>
          <w:lang w:val="en-GB"/>
        </w:rPr>
        <w:t xml:space="preserve"> It will also address aspects of targets 2, 3</w:t>
      </w:r>
      <w:r w:rsidRPr="00BD7721">
        <w:rPr>
          <w:color w:val="000000"/>
          <w:vertAlign w:val="superscript"/>
          <w:lang w:val="en-GB"/>
        </w:rPr>
        <w:footnoteReference w:id="25"/>
      </w:r>
      <w:r w:rsidRPr="00BD7721">
        <w:rPr>
          <w:color w:val="000000"/>
          <w:lang w:val="en-GB"/>
        </w:rPr>
        <w:t xml:space="preserve"> and 12</w:t>
      </w:r>
      <w:r w:rsidRPr="00BD7721">
        <w:rPr>
          <w:color w:val="000000"/>
          <w:vertAlign w:val="superscript"/>
          <w:lang w:val="en-GB"/>
        </w:rPr>
        <w:footnoteReference w:id="26"/>
      </w:r>
      <w:r w:rsidRPr="00BD7721">
        <w:rPr>
          <w:color w:val="000000"/>
          <w:lang w:val="en-GB"/>
        </w:rPr>
        <w:t xml:space="preserve"> of the framework. The chapter will </w:t>
      </w:r>
      <w:r w:rsidRPr="00BD7721">
        <w:rPr>
          <w:lang w:val="en-GB"/>
        </w:rPr>
        <w:t>review</w:t>
      </w:r>
      <w:r w:rsidRPr="00BD7721">
        <w:rPr>
          <w:color w:val="000000"/>
          <w:lang w:val="en-GB"/>
        </w:rPr>
        <w:t xml:space="preserve"> the multiple definitions of connectivity in research into and implementation of spatial planning, building on a broad range of perspectives and inputs from different regions. A potential taxonomy of connectivity planning might include the main objectives considered, connectivity conservation (e.g., for migratory species, for meta-populations, for structural connectivity of habitats), and the geographic and temporal scales over which connectivity is measured. The chapter will provide an assessment of existing policy tools for designating, restoring and safeguarding corridors and ecological networks for connectivity. It will also consider existing and proposed ecological connectivity indicators for tracking progress towards relevant goals and targets of the Kunming-Montreal Global Biodiversity Framework. The chapter will assess the ways in which connectivity is accounted for in planning and assessment of area-based conservation, as bears relevance to targets 1, 2, 3 and 12 of the framework. </w:t>
      </w:r>
    </w:p>
    <w:p w14:paraId="75F4D3B9" w14:textId="77777777" w:rsidR="00992A45" w:rsidRPr="00BD7721" w:rsidRDefault="00992A45" w:rsidP="008214C9">
      <w:pPr>
        <w:pStyle w:val="Normalnumber"/>
        <w:numPr>
          <w:ilvl w:val="0"/>
          <w:numId w:val="21"/>
        </w:numPr>
        <w:ind w:left="1247"/>
        <w:rPr>
          <w:color w:val="000000"/>
          <w:lang w:val="en-GB"/>
        </w:rPr>
      </w:pPr>
      <w:r w:rsidRPr="00BD7721">
        <w:rPr>
          <w:b/>
          <w:color w:val="000000"/>
          <w:lang w:val="en-GB"/>
        </w:rPr>
        <w:t>Chapter 5: Spatial planning for the future</w:t>
      </w:r>
      <w:r w:rsidRPr="00BD7721">
        <w:rPr>
          <w:color w:val="000000"/>
          <w:lang w:val="en-GB"/>
        </w:rPr>
        <w:t xml:space="preserve"> (</w:t>
      </w:r>
      <w:r w:rsidRPr="00BD7721">
        <w:rPr>
          <w:i/>
          <w:color w:val="000000"/>
          <w:lang w:val="en-GB"/>
        </w:rPr>
        <w:t>indicative length: 20,000 words</w:t>
      </w:r>
      <w:r w:rsidRPr="00BD7721">
        <w:rPr>
          <w:color w:val="000000"/>
          <w:lang w:val="en-GB"/>
        </w:rPr>
        <w:t>). Chapter 5 will assess what scenarios of spatial planning tell us about synergies and trade-offs in the biodiversity</w:t>
      </w:r>
      <w:r w:rsidRPr="00BD7721">
        <w:rPr>
          <w:color w:val="000000"/>
          <w:lang w:val="en-GB"/>
        </w:rPr>
        <w:noBreakHyphen/>
        <w:t xml:space="preserve">food-water-health-climate-energy nexus and how spatial planning could help improve synergies and reduce trade-offs. The chapter will examine different types of scenarios, in line with the IPBES </w:t>
      </w:r>
      <w:r w:rsidRPr="00BD7721">
        <w:rPr>
          <w:i/>
          <w:color w:val="000000"/>
          <w:lang w:val="en-GB"/>
        </w:rPr>
        <w:t xml:space="preserve">Methodological Assessment Report on Scenarios and Models of Biodiversity and Ecosystem Services, </w:t>
      </w:r>
      <w:r w:rsidRPr="00BD7721">
        <w:rPr>
          <w:color w:val="000000"/>
          <w:lang w:val="en-GB"/>
        </w:rPr>
        <w:t>that</w:t>
      </w:r>
      <w:r w:rsidRPr="00BD7721">
        <w:rPr>
          <w:i/>
          <w:color w:val="000000"/>
          <w:lang w:val="en-GB"/>
        </w:rPr>
        <w:t xml:space="preserve"> </w:t>
      </w:r>
      <w:r w:rsidRPr="00BD7721">
        <w:rPr>
          <w:color w:val="000000"/>
          <w:lang w:val="en-GB"/>
        </w:rPr>
        <w:t>represent plausible futures for spatial planning in terrestrial, inland water and marine environments at all scales relevant to the implementation of the Kunming-Montreal Global Biodiversity Framework. Scenarios with high impact and low likelihood outcomes will also be explored. The chapter will build on the thematic assessment of the interlinkages among biodiversity, water, food and health, and in particular on the elements that address response options, including spatial planning, protected area networks (which may include ecological corridors), and measures for enhancing connectivity. The chapter will cover a wide range of direct drivers (e.g., climate change, land-, freshwater- and sea-use change, natural resource extraction, pollution and invasive alien species) and indirect drivers (e.g., demographic, economic, scientific and technological, sociocultural and institutional factors) of biodiversity change that are addressed in scenarios affecting or shaping how spatial planning occurs. It will also examine the role of improved ecological connectivity in mitigating the effects of those drivers.</w:t>
      </w:r>
    </w:p>
    <w:p w14:paraId="4C6B498E" w14:textId="77777777" w:rsidR="00992A45" w:rsidRPr="00BD7721" w:rsidRDefault="00992A45" w:rsidP="008214C9">
      <w:pPr>
        <w:pStyle w:val="Normalnumber"/>
        <w:numPr>
          <w:ilvl w:val="0"/>
          <w:numId w:val="21"/>
        </w:numPr>
        <w:ind w:left="1247"/>
        <w:rPr>
          <w:color w:val="000000"/>
          <w:lang w:val="en-GB"/>
        </w:rPr>
      </w:pPr>
      <w:r w:rsidRPr="00BD7721">
        <w:rPr>
          <w:b/>
          <w:color w:val="000000"/>
          <w:lang w:val="en-GB"/>
        </w:rPr>
        <w:t>Chapter 6: Creating an enabling environment for integrated biodiversity</w:t>
      </w:r>
      <w:r w:rsidRPr="00BD7721">
        <w:rPr>
          <w:b/>
          <w:lang w:val="en-GB"/>
        </w:rPr>
        <w:t>-</w:t>
      </w:r>
      <w:r w:rsidRPr="00BD7721">
        <w:rPr>
          <w:b/>
          <w:color w:val="000000"/>
          <w:lang w:val="en-GB"/>
        </w:rPr>
        <w:t xml:space="preserve">inclusive spatial planning and ecological connectivity </w:t>
      </w:r>
      <w:r w:rsidRPr="00BD7721">
        <w:rPr>
          <w:color w:val="000000"/>
          <w:lang w:val="en-GB"/>
        </w:rPr>
        <w:t>(</w:t>
      </w:r>
      <w:r w:rsidRPr="00BD7721">
        <w:rPr>
          <w:i/>
          <w:color w:val="000000"/>
          <w:lang w:val="en-GB"/>
        </w:rPr>
        <w:t>indicative length: 20,000 words</w:t>
      </w:r>
      <w:r w:rsidRPr="00BD7721">
        <w:rPr>
          <w:color w:val="000000"/>
          <w:lang w:val="en-GB"/>
        </w:rPr>
        <w:t xml:space="preserve">). Chapter 6 will assess existing guidance and tools, methods, scenarios, models, data, knowledge and capacity-building for spatial planning and ecological connectivity. It will </w:t>
      </w:r>
      <w:r w:rsidRPr="00BD7721">
        <w:rPr>
          <w:lang w:val="en-GB"/>
        </w:rPr>
        <w:t xml:space="preserve">assess </w:t>
      </w:r>
      <w:r w:rsidRPr="00BD7721">
        <w:rPr>
          <w:color w:val="000000"/>
          <w:lang w:val="en-GB"/>
        </w:rPr>
        <w:t>science-informed policies</w:t>
      </w:r>
      <w:r w:rsidRPr="00BD7721">
        <w:rPr>
          <w:lang w:val="en-GB"/>
        </w:rPr>
        <w:t xml:space="preserve"> and</w:t>
      </w:r>
      <w:r w:rsidRPr="00BD7721">
        <w:rPr>
          <w:color w:val="000000"/>
          <w:lang w:val="en-GB"/>
        </w:rPr>
        <w:t xml:space="preserve"> governance at all levels, including transboun</w:t>
      </w:r>
      <w:r w:rsidRPr="00BD7721">
        <w:rPr>
          <w:lang w:val="en-GB"/>
        </w:rPr>
        <w:t>dary governance, as appropriate,</w:t>
      </w:r>
      <w:r w:rsidRPr="00BD7721">
        <w:rPr>
          <w:color w:val="000000"/>
          <w:lang w:val="en-GB"/>
        </w:rPr>
        <w:t xml:space="preserve"> and including the role of Indigenous Peoples and local communities. The chapter will also explore the role of adaptive management in managing biodiversity over time. Analyses will focus on conservation, restoration and resource management planning and decisions that incorporate risk management and appropriate methods and tools for considering potential future climate conditions and adaptation costs, and that prioritize options for reducing vulnerability to environmental, social and economic impacts of various drivers of change. The chapter will also consider regulatory and financial instruments that support the planning and implementation of policies and actions that create an enabling environment. The chapter will identify and assess existing capacity and financial and technological gaps and constraints that hamper the implementation of spatial planning and ecological connectivity interventions, in</w:t>
      </w:r>
      <w:r w:rsidRPr="00BD7721">
        <w:rPr>
          <w:lang w:val="en-GB"/>
        </w:rPr>
        <w:t>cluding the challenges of</w:t>
      </w:r>
      <w:r w:rsidRPr="00BD7721">
        <w:rPr>
          <w:color w:val="000000"/>
          <w:lang w:val="en-GB"/>
        </w:rPr>
        <w:t xml:space="preserve"> developing </w:t>
      </w:r>
      <w:r w:rsidRPr="00BD7721">
        <w:rPr>
          <w:lang w:val="en-GB"/>
        </w:rPr>
        <w:t>countries</w:t>
      </w:r>
      <w:r w:rsidRPr="00BD7721">
        <w:rPr>
          <w:color w:val="000000"/>
          <w:lang w:val="en-GB"/>
        </w:rPr>
        <w:t>, and it will identify tools and pathways for bridging those gaps.</w:t>
      </w:r>
    </w:p>
    <w:p w14:paraId="4AF1B569" w14:textId="77777777" w:rsidR="00992A45" w:rsidRPr="00BD7721" w:rsidRDefault="00992A45" w:rsidP="00992A45">
      <w:pPr>
        <w:pStyle w:val="CH1"/>
        <w:rPr>
          <w:lang w:val="en-GB"/>
        </w:rPr>
      </w:pPr>
      <w:r w:rsidRPr="00BD7721">
        <w:rPr>
          <w:lang w:val="en-GB"/>
        </w:rPr>
        <w:tab/>
        <w:t>III.</w:t>
      </w:r>
      <w:r w:rsidRPr="00BD7721">
        <w:rPr>
          <w:lang w:val="en-GB"/>
        </w:rPr>
        <w:tab/>
        <w:t>Timetable</w:t>
      </w:r>
    </w:p>
    <w:tbl>
      <w:tblPr>
        <w:tblW w:w="8310" w:type="dxa"/>
        <w:jc w:val="right"/>
        <w:tblBorders>
          <w:insideH w:val="nil"/>
          <w:insideV w:val="nil"/>
        </w:tblBorders>
        <w:tblLayout w:type="fixed"/>
        <w:tblLook w:val="0400" w:firstRow="0" w:lastRow="0" w:firstColumn="0" w:lastColumn="0" w:noHBand="0" w:noVBand="1"/>
      </w:tblPr>
      <w:tblGrid>
        <w:gridCol w:w="1660"/>
        <w:gridCol w:w="6650"/>
      </w:tblGrid>
      <w:tr w:rsidR="00992A45" w:rsidRPr="00BD7721" w14:paraId="72604C48" w14:textId="77777777" w:rsidTr="006E0261">
        <w:trPr>
          <w:trHeight w:val="57"/>
          <w:tblHeader/>
          <w:jc w:val="right"/>
        </w:trPr>
        <w:tc>
          <w:tcPr>
            <w:tcW w:w="1660" w:type="dxa"/>
            <w:tcBorders>
              <w:top w:val="single" w:sz="4" w:space="0" w:color="000000"/>
              <w:left w:val="nil"/>
              <w:bottom w:val="single" w:sz="12" w:space="0" w:color="000000"/>
              <w:right w:val="nil"/>
            </w:tcBorders>
            <w:hideMark/>
          </w:tcPr>
          <w:p w14:paraId="35C95B68"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Date</w:t>
            </w:r>
          </w:p>
        </w:tc>
        <w:tc>
          <w:tcPr>
            <w:tcW w:w="6650" w:type="dxa"/>
            <w:tcBorders>
              <w:top w:val="single" w:sz="4" w:space="0" w:color="000000"/>
              <w:left w:val="nil"/>
              <w:bottom w:val="single" w:sz="12" w:space="0" w:color="000000"/>
              <w:right w:val="nil"/>
            </w:tcBorders>
            <w:hideMark/>
          </w:tcPr>
          <w:p w14:paraId="08C46B98"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Actions and institutional arrangements</w:t>
            </w:r>
          </w:p>
        </w:tc>
      </w:tr>
      <w:tr w:rsidR="00992A45" w:rsidRPr="00BD7721" w14:paraId="2596A80D" w14:textId="77777777" w:rsidTr="006E0261">
        <w:trPr>
          <w:trHeight w:val="57"/>
          <w:jc w:val="right"/>
        </w:trPr>
        <w:tc>
          <w:tcPr>
            <w:tcW w:w="8310" w:type="dxa"/>
            <w:gridSpan w:val="2"/>
            <w:tcBorders>
              <w:top w:val="single" w:sz="4" w:space="0" w:color="000000"/>
              <w:left w:val="nil"/>
              <w:bottom w:val="single" w:sz="4" w:space="0" w:color="000000"/>
              <w:right w:val="nil"/>
            </w:tcBorders>
            <w:hideMark/>
          </w:tcPr>
          <w:p w14:paraId="0C01368E" w14:textId="77777777" w:rsidR="00992A45" w:rsidRPr="00BD7721" w:rsidRDefault="00992A45" w:rsidP="004E48D5">
            <w:pPr>
              <w:pStyle w:val="Normal-pool"/>
              <w:spacing w:before="40" w:after="40"/>
              <w:rPr>
                <w:sz w:val="18"/>
                <w:szCs w:val="18"/>
                <w:lang w:val="en-GB"/>
              </w:rPr>
            </w:pPr>
            <w:r w:rsidRPr="00BD7721">
              <w:rPr>
                <w:b/>
                <w:sz w:val="18"/>
                <w:szCs w:val="18"/>
                <w:lang w:val="en-GB"/>
              </w:rPr>
              <w:t>2024</w:t>
            </w:r>
          </w:p>
        </w:tc>
      </w:tr>
      <w:tr w:rsidR="00992A45" w:rsidRPr="00BD7721" w14:paraId="35816178" w14:textId="77777777" w:rsidTr="006E0261">
        <w:trPr>
          <w:trHeight w:val="57"/>
          <w:jc w:val="right"/>
        </w:trPr>
        <w:tc>
          <w:tcPr>
            <w:tcW w:w="1660" w:type="dxa"/>
            <w:tcBorders>
              <w:top w:val="single" w:sz="4" w:space="0" w:color="000000"/>
              <w:left w:val="nil"/>
              <w:bottom w:val="single" w:sz="4" w:space="0" w:color="000000"/>
              <w:right w:val="nil"/>
            </w:tcBorders>
            <w:hideMark/>
          </w:tcPr>
          <w:p w14:paraId="1FB9B29F" w14:textId="77777777" w:rsidR="00992A45" w:rsidRPr="00BD7721" w:rsidRDefault="00992A45" w:rsidP="004E48D5">
            <w:pPr>
              <w:pStyle w:val="Normal-pool"/>
              <w:spacing w:before="40" w:after="40"/>
              <w:rPr>
                <w:sz w:val="18"/>
                <w:szCs w:val="18"/>
                <w:lang w:val="en-GB"/>
              </w:rPr>
            </w:pPr>
            <w:r w:rsidRPr="00BD7721">
              <w:rPr>
                <w:sz w:val="18"/>
                <w:szCs w:val="18"/>
                <w:lang w:val="en-GB"/>
              </w:rPr>
              <w:t>Third quarter</w:t>
            </w:r>
          </w:p>
        </w:tc>
        <w:tc>
          <w:tcPr>
            <w:tcW w:w="6650" w:type="dxa"/>
            <w:tcBorders>
              <w:top w:val="single" w:sz="4" w:space="0" w:color="000000"/>
              <w:left w:val="nil"/>
              <w:bottom w:val="single" w:sz="4" w:space="0" w:color="000000"/>
              <w:right w:val="nil"/>
            </w:tcBorders>
            <w:hideMark/>
          </w:tcPr>
          <w:p w14:paraId="32064492" w14:textId="77777777" w:rsidR="00992A45" w:rsidRPr="00BD7721" w:rsidRDefault="00992A45" w:rsidP="004E48D5">
            <w:pPr>
              <w:pStyle w:val="Normal-pool"/>
              <w:spacing w:before="40" w:after="40"/>
              <w:rPr>
                <w:strike/>
                <w:sz w:val="18"/>
                <w:szCs w:val="18"/>
                <w:lang w:val="en-GB"/>
              </w:rPr>
            </w:pPr>
            <w:r w:rsidRPr="00BD7721">
              <w:rPr>
                <w:sz w:val="18"/>
                <w:szCs w:val="18"/>
                <w:lang w:val="en-GB"/>
              </w:rPr>
              <w:t>The Multidisciplinary Expert Panel, through the secretariat, requests nominations of experts by Governments and other stakeholders</w:t>
            </w:r>
          </w:p>
        </w:tc>
      </w:tr>
      <w:tr w:rsidR="00992A45" w:rsidRPr="00BD7721" w14:paraId="6AF3AE1A" w14:textId="77777777" w:rsidTr="006E0261">
        <w:trPr>
          <w:trHeight w:val="57"/>
          <w:jc w:val="right"/>
        </w:trPr>
        <w:tc>
          <w:tcPr>
            <w:tcW w:w="8310" w:type="dxa"/>
            <w:gridSpan w:val="2"/>
            <w:tcBorders>
              <w:top w:val="single" w:sz="4" w:space="0" w:color="000000"/>
              <w:left w:val="nil"/>
              <w:bottom w:val="single" w:sz="4" w:space="0" w:color="000000"/>
              <w:right w:val="nil"/>
            </w:tcBorders>
            <w:hideMark/>
          </w:tcPr>
          <w:p w14:paraId="3F84F68F" w14:textId="77777777" w:rsidR="00992A45" w:rsidRPr="00BD7721" w:rsidRDefault="00992A45" w:rsidP="004E48D5">
            <w:pPr>
              <w:pStyle w:val="Normal-pool"/>
              <w:spacing w:before="40" w:after="40"/>
              <w:rPr>
                <w:b/>
                <w:sz w:val="18"/>
                <w:szCs w:val="18"/>
                <w:lang w:val="en-GB"/>
              </w:rPr>
            </w:pPr>
            <w:r w:rsidRPr="00BD7721">
              <w:rPr>
                <w:b/>
                <w:sz w:val="18"/>
                <w:szCs w:val="18"/>
                <w:lang w:val="en-GB"/>
              </w:rPr>
              <w:t>2025</w:t>
            </w:r>
          </w:p>
        </w:tc>
      </w:tr>
      <w:tr w:rsidR="00992A45" w:rsidRPr="00BD7721" w14:paraId="520CEEEC" w14:textId="77777777" w:rsidTr="006E0261">
        <w:trPr>
          <w:trHeight w:val="57"/>
          <w:jc w:val="right"/>
        </w:trPr>
        <w:tc>
          <w:tcPr>
            <w:tcW w:w="1660" w:type="dxa"/>
            <w:tcBorders>
              <w:top w:val="single" w:sz="4" w:space="0" w:color="000000"/>
              <w:left w:val="nil"/>
              <w:bottom w:val="nil"/>
              <w:right w:val="nil"/>
            </w:tcBorders>
            <w:hideMark/>
          </w:tcPr>
          <w:p w14:paraId="216B19B4" w14:textId="77777777" w:rsidR="00992A45" w:rsidRPr="00BD7721" w:rsidRDefault="00992A45" w:rsidP="004E48D5">
            <w:pPr>
              <w:pStyle w:val="Normal-pool"/>
              <w:spacing w:before="40" w:after="40"/>
              <w:rPr>
                <w:sz w:val="18"/>
                <w:szCs w:val="18"/>
                <w:lang w:val="en-GB"/>
              </w:rPr>
            </w:pPr>
            <w:r w:rsidRPr="00BD7721">
              <w:rPr>
                <w:sz w:val="18"/>
                <w:szCs w:val="18"/>
                <w:lang w:val="en-GB"/>
              </w:rPr>
              <w:t>First quarter</w:t>
            </w:r>
          </w:p>
        </w:tc>
        <w:tc>
          <w:tcPr>
            <w:tcW w:w="6650" w:type="dxa"/>
            <w:tcBorders>
              <w:top w:val="single" w:sz="4" w:space="0" w:color="000000"/>
              <w:left w:val="nil"/>
              <w:bottom w:val="nil"/>
              <w:right w:val="nil"/>
            </w:tcBorders>
            <w:hideMark/>
          </w:tcPr>
          <w:p w14:paraId="24C5C46A" w14:textId="77777777" w:rsidR="00992A45" w:rsidRPr="00BD7721" w:rsidRDefault="00992A45" w:rsidP="004E48D5">
            <w:pPr>
              <w:pStyle w:val="Normal-pool"/>
              <w:spacing w:before="40" w:after="40"/>
              <w:rPr>
                <w:sz w:val="18"/>
                <w:szCs w:val="18"/>
                <w:lang w:val="en-GB"/>
              </w:rPr>
            </w:pPr>
            <w:r w:rsidRPr="00BD7721">
              <w:rPr>
                <w:sz w:val="18"/>
                <w:szCs w:val="18"/>
                <w:lang w:val="en-GB"/>
              </w:rPr>
              <w:t>The Multidisciplinary Expert Panel selects the assessment co-chairs, coordinating lead authors, lead authors and review editors, in line with the procedures for the preparation of Platform deliverables, including by implementing the procedure for filling gaps in expertise</w:t>
            </w:r>
          </w:p>
        </w:tc>
      </w:tr>
      <w:tr w:rsidR="00992A45" w:rsidRPr="00BD7721" w14:paraId="12E4817D" w14:textId="77777777" w:rsidTr="006E0261">
        <w:trPr>
          <w:trHeight w:val="57"/>
          <w:jc w:val="right"/>
        </w:trPr>
        <w:tc>
          <w:tcPr>
            <w:tcW w:w="1660" w:type="dxa"/>
            <w:tcBorders>
              <w:top w:val="nil"/>
              <w:left w:val="nil"/>
              <w:bottom w:val="single" w:sz="4" w:space="0" w:color="000000"/>
              <w:right w:val="nil"/>
            </w:tcBorders>
            <w:hideMark/>
          </w:tcPr>
          <w:p w14:paraId="5536BA76" w14:textId="77777777" w:rsidR="00992A45" w:rsidRPr="00BD7721" w:rsidRDefault="00992A45" w:rsidP="004E48D5">
            <w:pPr>
              <w:pStyle w:val="Normal-pool"/>
              <w:spacing w:before="40" w:after="40"/>
              <w:rPr>
                <w:sz w:val="18"/>
                <w:szCs w:val="18"/>
                <w:lang w:val="en-GB"/>
              </w:rPr>
            </w:pPr>
            <w:r w:rsidRPr="00BD7721">
              <w:rPr>
                <w:sz w:val="18"/>
                <w:szCs w:val="18"/>
                <w:lang w:val="en-GB"/>
              </w:rPr>
              <w:t>Third quarter</w:t>
            </w:r>
          </w:p>
        </w:tc>
        <w:tc>
          <w:tcPr>
            <w:tcW w:w="6650" w:type="dxa"/>
            <w:tcBorders>
              <w:top w:val="nil"/>
              <w:left w:val="nil"/>
              <w:bottom w:val="single" w:sz="4" w:space="0" w:color="000000"/>
              <w:right w:val="nil"/>
            </w:tcBorders>
            <w:hideMark/>
          </w:tcPr>
          <w:p w14:paraId="2F9C1BD5" w14:textId="77777777" w:rsidR="00992A45" w:rsidRPr="00BD7721" w:rsidRDefault="00992A45" w:rsidP="004E48D5">
            <w:pPr>
              <w:pStyle w:val="Normal-pool"/>
              <w:spacing w:before="40" w:after="40"/>
              <w:rPr>
                <w:sz w:val="18"/>
                <w:szCs w:val="18"/>
                <w:lang w:val="en-GB"/>
              </w:rPr>
            </w:pPr>
            <w:r w:rsidRPr="00BD7721">
              <w:rPr>
                <w:sz w:val="18"/>
                <w:szCs w:val="18"/>
                <w:lang w:val="en-GB"/>
              </w:rPr>
              <w:t>First author meeting with the co-chairs, coordinating lead authors, lead authors, review editors and members of the Bureau and the Multidisciplinary Expert Panel who are part of the management committee for the assessment</w:t>
            </w:r>
          </w:p>
        </w:tc>
      </w:tr>
      <w:tr w:rsidR="00992A45" w:rsidRPr="00BD7721" w14:paraId="69BEDC2D" w14:textId="77777777" w:rsidTr="006E0261">
        <w:trPr>
          <w:trHeight w:val="57"/>
          <w:jc w:val="right"/>
        </w:trPr>
        <w:tc>
          <w:tcPr>
            <w:tcW w:w="8310" w:type="dxa"/>
            <w:gridSpan w:val="2"/>
            <w:tcBorders>
              <w:top w:val="single" w:sz="4" w:space="0" w:color="000000"/>
              <w:left w:val="nil"/>
              <w:bottom w:val="single" w:sz="4" w:space="0" w:color="000000"/>
              <w:right w:val="nil"/>
            </w:tcBorders>
            <w:hideMark/>
          </w:tcPr>
          <w:p w14:paraId="63485A58" w14:textId="77777777" w:rsidR="00992A45" w:rsidRPr="00BD7721" w:rsidRDefault="00992A45" w:rsidP="004E48D5">
            <w:pPr>
              <w:pStyle w:val="Normal-pool"/>
              <w:spacing w:before="40" w:after="40"/>
              <w:rPr>
                <w:b/>
                <w:sz w:val="18"/>
                <w:szCs w:val="18"/>
                <w:lang w:val="en-GB"/>
              </w:rPr>
            </w:pPr>
            <w:r w:rsidRPr="00BD7721">
              <w:rPr>
                <w:b/>
                <w:sz w:val="18"/>
                <w:szCs w:val="18"/>
                <w:lang w:val="en-GB"/>
              </w:rPr>
              <w:t>2026</w:t>
            </w:r>
          </w:p>
        </w:tc>
      </w:tr>
      <w:tr w:rsidR="00992A45" w:rsidRPr="00BD7721" w14:paraId="7A04F63C" w14:textId="77777777" w:rsidTr="006E0261">
        <w:trPr>
          <w:trHeight w:val="57"/>
          <w:jc w:val="right"/>
        </w:trPr>
        <w:tc>
          <w:tcPr>
            <w:tcW w:w="1660" w:type="dxa"/>
            <w:tcBorders>
              <w:top w:val="single" w:sz="4" w:space="0" w:color="000000"/>
              <w:left w:val="nil"/>
              <w:bottom w:val="nil"/>
              <w:right w:val="nil"/>
            </w:tcBorders>
            <w:hideMark/>
          </w:tcPr>
          <w:p w14:paraId="5A118E00" w14:textId="77777777" w:rsidR="00992A45" w:rsidRPr="00BD7721" w:rsidRDefault="00992A45" w:rsidP="004E48D5">
            <w:pPr>
              <w:pStyle w:val="Normal-pool"/>
              <w:spacing w:before="40" w:after="40"/>
              <w:rPr>
                <w:sz w:val="18"/>
                <w:szCs w:val="18"/>
                <w:lang w:val="en-GB"/>
              </w:rPr>
            </w:pPr>
            <w:r w:rsidRPr="00BD7721">
              <w:rPr>
                <w:sz w:val="18"/>
                <w:szCs w:val="18"/>
                <w:lang w:val="en-GB"/>
              </w:rPr>
              <w:t>First quarter</w:t>
            </w:r>
          </w:p>
        </w:tc>
        <w:tc>
          <w:tcPr>
            <w:tcW w:w="6650" w:type="dxa"/>
            <w:tcBorders>
              <w:top w:val="single" w:sz="4" w:space="0" w:color="000000"/>
              <w:left w:val="nil"/>
              <w:bottom w:val="nil"/>
              <w:right w:val="nil"/>
            </w:tcBorders>
            <w:hideMark/>
          </w:tcPr>
          <w:p w14:paraId="6E81862A" w14:textId="77777777" w:rsidR="00992A45" w:rsidRPr="00BD7721" w:rsidRDefault="00992A45" w:rsidP="004E48D5">
            <w:pPr>
              <w:pStyle w:val="Normal-pool"/>
              <w:spacing w:before="40" w:after="40"/>
              <w:rPr>
                <w:sz w:val="18"/>
                <w:szCs w:val="18"/>
                <w:lang w:val="en-GB"/>
              </w:rPr>
            </w:pPr>
            <w:r w:rsidRPr="00BD7721">
              <w:rPr>
                <w:sz w:val="18"/>
                <w:szCs w:val="18"/>
                <w:lang w:val="en-GB"/>
              </w:rPr>
              <w:t>Meeting to advance the preparation of the summary for policymakers with the co-chairs, coordinating lead authors and members of the Bureau and the Multidisciplinary Expert Panel who are part of the management committee for the assessment</w:t>
            </w:r>
          </w:p>
        </w:tc>
      </w:tr>
      <w:tr w:rsidR="00992A45" w:rsidRPr="00BD7721" w14:paraId="319DB20F" w14:textId="77777777" w:rsidTr="006E0261">
        <w:trPr>
          <w:trHeight w:val="57"/>
          <w:jc w:val="right"/>
        </w:trPr>
        <w:tc>
          <w:tcPr>
            <w:tcW w:w="1660" w:type="dxa"/>
            <w:tcBorders>
              <w:top w:val="nil"/>
              <w:left w:val="nil"/>
              <w:bottom w:val="nil"/>
              <w:right w:val="nil"/>
            </w:tcBorders>
            <w:hideMark/>
          </w:tcPr>
          <w:p w14:paraId="2B675B1A" w14:textId="77777777" w:rsidR="00992A45" w:rsidRPr="00BD7721" w:rsidRDefault="00992A45" w:rsidP="004E48D5">
            <w:pPr>
              <w:pStyle w:val="Normal-pool"/>
              <w:spacing w:before="40" w:after="40"/>
              <w:rPr>
                <w:sz w:val="18"/>
                <w:szCs w:val="18"/>
                <w:lang w:val="en-GB"/>
              </w:rPr>
            </w:pPr>
            <w:r w:rsidRPr="00BD7721">
              <w:rPr>
                <w:sz w:val="18"/>
                <w:szCs w:val="18"/>
                <w:lang w:val="en-GB"/>
              </w:rPr>
              <w:t>Second quarter</w:t>
            </w:r>
          </w:p>
        </w:tc>
        <w:tc>
          <w:tcPr>
            <w:tcW w:w="6650" w:type="dxa"/>
            <w:tcBorders>
              <w:top w:val="nil"/>
              <w:left w:val="nil"/>
              <w:bottom w:val="nil"/>
              <w:right w:val="nil"/>
            </w:tcBorders>
            <w:hideMark/>
          </w:tcPr>
          <w:p w14:paraId="371EBF4D" w14:textId="77777777" w:rsidR="00992A45" w:rsidRPr="00BD7721" w:rsidRDefault="00992A45" w:rsidP="004E48D5">
            <w:pPr>
              <w:pStyle w:val="Normal-pool"/>
              <w:spacing w:before="40" w:after="40"/>
              <w:rPr>
                <w:sz w:val="18"/>
                <w:szCs w:val="18"/>
                <w:lang w:val="en-GB"/>
              </w:rPr>
            </w:pPr>
            <w:r w:rsidRPr="00BD7721">
              <w:rPr>
                <w:sz w:val="18"/>
                <w:szCs w:val="18"/>
                <w:lang w:val="en-GB"/>
              </w:rPr>
              <w:t>First external review (eight weeks) – draft chapters and draft summary for policymakers are made available for review by Governments and experts</w:t>
            </w:r>
          </w:p>
        </w:tc>
      </w:tr>
      <w:tr w:rsidR="00992A45" w:rsidRPr="00BD7721" w14:paraId="3318454D" w14:textId="77777777" w:rsidTr="006E0261">
        <w:trPr>
          <w:trHeight w:val="57"/>
          <w:jc w:val="right"/>
        </w:trPr>
        <w:tc>
          <w:tcPr>
            <w:tcW w:w="1660" w:type="dxa"/>
            <w:tcBorders>
              <w:top w:val="nil"/>
              <w:left w:val="nil"/>
              <w:bottom w:val="nil"/>
              <w:right w:val="nil"/>
            </w:tcBorders>
            <w:hideMark/>
          </w:tcPr>
          <w:p w14:paraId="09C4AF10" w14:textId="77777777" w:rsidR="00992A45" w:rsidRPr="00BD7721" w:rsidRDefault="00992A45" w:rsidP="004E48D5">
            <w:pPr>
              <w:pStyle w:val="Normal-pool"/>
              <w:spacing w:before="40" w:after="40"/>
              <w:rPr>
                <w:sz w:val="18"/>
                <w:szCs w:val="18"/>
                <w:lang w:val="en-GB"/>
              </w:rPr>
            </w:pPr>
            <w:r w:rsidRPr="00BD7721">
              <w:rPr>
                <w:sz w:val="18"/>
                <w:szCs w:val="18"/>
                <w:lang w:val="en-GB"/>
              </w:rPr>
              <w:t>Third quarter</w:t>
            </w:r>
          </w:p>
        </w:tc>
        <w:tc>
          <w:tcPr>
            <w:tcW w:w="6650" w:type="dxa"/>
            <w:tcBorders>
              <w:top w:val="nil"/>
              <w:left w:val="nil"/>
              <w:bottom w:val="nil"/>
              <w:right w:val="nil"/>
            </w:tcBorders>
            <w:hideMark/>
          </w:tcPr>
          <w:p w14:paraId="597CA279" w14:textId="77777777" w:rsidR="00992A45" w:rsidRPr="00BD7721" w:rsidRDefault="00992A45" w:rsidP="004E48D5">
            <w:pPr>
              <w:pStyle w:val="Normal-pool"/>
              <w:spacing w:before="40" w:after="40"/>
              <w:rPr>
                <w:sz w:val="18"/>
                <w:szCs w:val="18"/>
                <w:lang w:val="en-GB"/>
              </w:rPr>
            </w:pPr>
            <w:r w:rsidRPr="00BD7721">
              <w:rPr>
                <w:sz w:val="18"/>
                <w:szCs w:val="18"/>
                <w:lang w:val="en-GB"/>
              </w:rPr>
              <w:t xml:space="preserve">Second author meeting with the co-chairs, coordinating lead authors, lead authors, review editors and members of the Bureau and the Multidisciplinary Expert Panel who are part of the management committee for the </w:t>
            </w:r>
            <w:proofErr w:type="gramStart"/>
            <w:r w:rsidRPr="00BD7721">
              <w:rPr>
                <w:sz w:val="18"/>
                <w:szCs w:val="18"/>
                <w:lang w:val="en-GB"/>
              </w:rPr>
              <w:t>assessment</w:t>
            </w:r>
            <w:proofErr w:type="gramEnd"/>
          </w:p>
          <w:p w14:paraId="1D71D580" w14:textId="77777777" w:rsidR="00992A45" w:rsidRPr="00BD7721" w:rsidRDefault="00992A45" w:rsidP="004E48D5">
            <w:pPr>
              <w:pStyle w:val="Normal-pool"/>
              <w:spacing w:before="40" w:after="40"/>
              <w:rPr>
                <w:sz w:val="18"/>
                <w:szCs w:val="18"/>
                <w:lang w:val="en-GB"/>
              </w:rPr>
            </w:pPr>
            <w:r w:rsidRPr="00BD7721">
              <w:rPr>
                <w:sz w:val="18"/>
                <w:szCs w:val="18"/>
                <w:lang w:val="en-GB"/>
              </w:rPr>
              <w:t>Back to back with the second author meeting: meeting to advance the preparation of the summary for policymakers with the co-chairs, coordinating lead authors and members of the Bureau and the Multidisciplinary Expert Panel who are part of the management committee for the assessment</w:t>
            </w:r>
          </w:p>
        </w:tc>
      </w:tr>
      <w:tr w:rsidR="00992A45" w:rsidRPr="00BD7721" w14:paraId="1C4590C5" w14:textId="77777777" w:rsidTr="006E0261">
        <w:trPr>
          <w:trHeight w:val="57"/>
          <w:jc w:val="right"/>
        </w:trPr>
        <w:tc>
          <w:tcPr>
            <w:tcW w:w="1660" w:type="dxa"/>
            <w:tcBorders>
              <w:top w:val="nil"/>
              <w:left w:val="nil"/>
              <w:bottom w:val="single" w:sz="4" w:space="0" w:color="000000"/>
              <w:right w:val="nil"/>
            </w:tcBorders>
            <w:hideMark/>
          </w:tcPr>
          <w:p w14:paraId="45275E7C" w14:textId="77777777" w:rsidR="00992A45" w:rsidRPr="00BD7721" w:rsidRDefault="00992A45" w:rsidP="004E48D5">
            <w:pPr>
              <w:pStyle w:val="Normal-pool"/>
              <w:spacing w:before="40" w:after="40"/>
              <w:rPr>
                <w:sz w:val="18"/>
                <w:szCs w:val="18"/>
                <w:lang w:val="en-GB"/>
              </w:rPr>
            </w:pPr>
            <w:r w:rsidRPr="00BD7721">
              <w:rPr>
                <w:sz w:val="18"/>
                <w:szCs w:val="18"/>
                <w:lang w:val="en-GB"/>
              </w:rPr>
              <w:t>Fourth quarter</w:t>
            </w:r>
          </w:p>
        </w:tc>
        <w:tc>
          <w:tcPr>
            <w:tcW w:w="6650" w:type="dxa"/>
            <w:tcBorders>
              <w:top w:val="nil"/>
              <w:left w:val="nil"/>
              <w:bottom w:val="single" w:sz="4" w:space="0" w:color="000000"/>
              <w:right w:val="nil"/>
            </w:tcBorders>
            <w:hideMark/>
          </w:tcPr>
          <w:p w14:paraId="126087C7" w14:textId="77777777" w:rsidR="00992A45" w:rsidRPr="00BD7721" w:rsidRDefault="00992A45" w:rsidP="004E48D5">
            <w:pPr>
              <w:pStyle w:val="Normal-pool"/>
              <w:spacing w:before="40" w:after="40"/>
              <w:rPr>
                <w:sz w:val="18"/>
                <w:szCs w:val="18"/>
                <w:lang w:val="en-GB"/>
              </w:rPr>
            </w:pPr>
            <w:r w:rsidRPr="00BD7721">
              <w:rPr>
                <w:sz w:val="18"/>
                <w:szCs w:val="18"/>
                <w:lang w:val="en-GB"/>
              </w:rPr>
              <w:t>Additional external review of summary for policymakers (eight weeks) – draft of the summary for policymakers is made available for review by Governments and experts</w:t>
            </w:r>
          </w:p>
        </w:tc>
      </w:tr>
      <w:tr w:rsidR="00992A45" w:rsidRPr="00BD7721" w14:paraId="404FA88D" w14:textId="77777777" w:rsidTr="006E0261">
        <w:trPr>
          <w:trHeight w:val="57"/>
          <w:jc w:val="right"/>
        </w:trPr>
        <w:tc>
          <w:tcPr>
            <w:tcW w:w="8310" w:type="dxa"/>
            <w:gridSpan w:val="2"/>
            <w:tcBorders>
              <w:top w:val="single" w:sz="4" w:space="0" w:color="000000"/>
              <w:left w:val="nil"/>
              <w:bottom w:val="single" w:sz="4" w:space="0" w:color="000000"/>
              <w:right w:val="nil"/>
            </w:tcBorders>
            <w:hideMark/>
          </w:tcPr>
          <w:p w14:paraId="33CFA73D" w14:textId="77777777" w:rsidR="00992A45" w:rsidRPr="00BD7721" w:rsidRDefault="00992A45" w:rsidP="004E48D5">
            <w:pPr>
              <w:pStyle w:val="Normal-pool"/>
              <w:spacing w:before="40" w:after="40"/>
              <w:rPr>
                <w:b/>
                <w:sz w:val="18"/>
                <w:szCs w:val="18"/>
                <w:lang w:val="en-GB"/>
              </w:rPr>
            </w:pPr>
            <w:r w:rsidRPr="00BD7721">
              <w:rPr>
                <w:b/>
                <w:sz w:val="18"/>
                <w:szCs w:val="18"/>
                <w:lang w:val="en-GB"/>
              </w:rPr>
              <w:t>2027</w:t>
            </w:r>
          </w:p>
        </w:tc>
      </w:tr>
      <w:tr w:rsidR="00992A45" w:rsidRPr="00BD7721" w14:paraId="0AF9A763" w14:textId="77777777" w:rsidTr="006E0261">
        <w:trPr>
          <w:trHeight w:val="57"/>
          <w:jc w:val="right"/>
        </w:trPr>
        <w:tc>
          <w:tcPr>
            <w:tcW w:w="1660" w:type="dxa"/>
            <w:tcBorders>
              <w:top w:val="single" w:sz="4" w:space="0" w:color="000000"/>
              <w:left w:val="nil"/>
              <w:bottom w:val="nil"/>
              <w:right w:val="nil"/>
            </w:tcBorders>
            <w:hideMark/>
          </w:tcPr>
          <w:p w14:paraId="4B01F773" w14:textId="77777777" w:rsidR="00992A45" w:rsidRPr="00BD7721" w:rsidRDefault="00992A45" w:rsidP="004E48D5">
            <w:pPr>
              <w:pStyle w:val="Normal-pool"/>
              <w:spacing w:before="40" w:after="40"/>
              <w:rPr>
                <w:sz w:val="18"/>
                <w:szCs w:val="18"/>
                <w:lang w:val="en-GB"/>
              </w:rPr>
            </w:pPr>
            <w:r w:rsidRPr="00BD7721">
              <w:rPr>
                <w:sz w:val="18"/>
                <w:szCs w:val="18"/>
                <w:lang w:val="en-GB"/>
              </w:rPr>
              <w:t>First quarter</w:t>
            </w:r>
          </w:p>
        </w:tc>
        <w:tc>
          <w:tcPr>
            <w:tcW w:w="6650" w:type="dxa"/>
            <w:tcBorders>
              <w:top w:val="single" w:sz="4" w:space="0" w:color="000000"/>
              <w:left w:val="nil"/>
              <w:bottom w:val="nil"/>
              <w:right w:val="nil"/>
            </w:tcBorders>
            <w:hideMark/>
          </w:tcPr>
          <w:p w14:paraId="257EC288" w14:textId="77777777" w:rsidR="00992A45" w:rsidRPr="00BD7721" w:rsidRDefault="00992A45" w:rsidP="004E48D5">
            <w:pPr>
              <w:pStyle w:val="Normal-pool"/>
              <w:spacing w:before="40" w:after="40"/>
              <w:rPr>
                <w:sz w:val="18"/>
                <w:szCs w:val="18"/>
                <w:lang w:val="en-GB"/>
              </w:rPr>
            </w:pPr>
            <w:r w:rsidRPr="00BD7721">
              <w:rPr>
                <w:sz w:val="18"/>
                <w:szCs w:val="18"/>
                <w:lang w:val="en-GB"/>
              </w:rPr>
              <w:t>Online writing workshop to advance the preparation of the summary for policymakers with the co-chairs, coordinating lead authors and members of the Bureau and the Multidisciplinary Expert Panel who are part of the management committee for the assessment</w:t>
            </w:r>
          </w:p>
        </w:tc>
      </w:tr>
      <w:tr w:rsidR="00992A45" w:rsidRPr="00BD7721" w14:paraId="176E0852" w14:textId="77777777" w:rsidTr="006E0261">
        <w:trPr>
          <w:trHeight w:val="57"/>
          <w:jc w:val="right"/>
        </w:trPr>
        <w:tc>
          <w:tcPr>
            <w:tcW w:w="1660" w:type="dxa"/>
            <w:tcBorders>
              <w:top w:val="nil"/>
              <w:left w:val="nil"/>
              <w:bottom w:val="nil"/>
              <w:right w:val="nil"/>
            </w:tcBorders>
            <w:hideMark/>
          </w:tcPr>
          <w:p w14:paraId="26973B7C" w14:textId="77777777" w:rsidR="00992A45" w:rsidRPr="00BD7721" w:rsidRDefault="00992A45" w:rsidP="004E48D5">
            <w:pPr>
              <w:pStyle w:val="Normal-pool"/>
              <w:spacing w:before="40" w:after="40"/>
              <w:rPr>
                <w:sz w:val="18"/>
                <w:szCs w:val="18"/>
                <w:lang w:val="en-GB"/>
              </w:rPr>
            </w:pPr>
            <w:r w:rsidRPr="00BD7721">
              <w:rPr>
                <w:sz w:val="18"/>
                <w:szCs w:val="18"/>
                <w:lang w:val="en-GB"/>
              </w:rPr>
              <w:t>Third quarter</w:t>
            </w:r>
          </w:p>
        </w:tc>
        <w:tc>
          <w:tcPr>
            <w:tcW w:w="6650" w:type="dxa"/>
            <w:tcBorders>
              <w:top w:val="nil"/>
              <w:left w:val="nil"/>
              <w:bottom w:val="nil"/>
              <w:right w:val="nil"/>
            </w:tcBorders>
            <w:hideMark/>
          </w:tcPr>
          <w:p w14:paraId="12D1D892" w14:textId="77777777" w:rsidR="00992A45" w:rsidRPr="00BD7721" w:rsidRDefault="00992A45" w:rsidP="004E48D5">
            <w:pPr>
              <w:pStyle w:val="Normal-pool"/>
              <w:spacing w:before="40" w:after="40"/>
              <w:rPr>
                <w:sz w:val="18"/>
                <w:szCs w:val="18"/>
                <w:lang w:val="en-GB"/>
              </w:rPr>
            </w:pPr>
            <w:r w:rsidRPr="00BD7721">
              <w:rPr>
                <w:sz w:val="18"/>
                <w:szCs w:val="18"/>
                <w:lang w:val="en-GB"/>
              </w:rPr>
              <w:t>Final review (aiming at eight weeks) – final drafts of the chapters and the summary for policymakers are made available for review by Governments</w:t>
            </w:r>
          </w:p>
        </w:tc>
      </w:tr>
      <w:tr w:rsidR="00992A45" w:rsidRPr="00BD7721" w14:paraId="0D350EE7" w14:textId="77777777" w:rsidTr="006E0261">
        <w:trPr>
          <w:trHeight w:val="57"/>
          <w:jc w:val="right"/>
        </w:trPr>
        <w:tc>
          <w:tcPr>
            <w:tcW w:w="1660" w:type="dxa"/>
            <w:vMerge w:val="restart"/>
            <w:tcBorders>
              <w:top w:val="nil"/>
              <w:left w:val="nil"/>
              <w:bottom w:val="single" w:sz="12" w:space="0" w:color="auto"/>
              <w:right w:val="nil"/>
            </w:tcBorders>
            <w:hideMark/>
          </w:tcPr>
          <w:p w14:paraId="7341FCDD" w14:textId="77777777" w:rsidR="00992A45" w:rsidRPr="00BD7721" w:rsidRDefault="00992A45" w:rsidP="004E48D5">
            <w:pPr>
              <w:pStyle w:val="Normal-pool"/>
              <w:spacing w:before="40" w:after="40"/>
              <w:rPr>
                <w:sz w:val="18"/>
                <w:szCs w:val="18"/>
                <w:lang w:val="en-GB"/>
              </w:rPr>
            </w:pPr>
            <w:r w:rsidRPr="00BD7721">
              <w:rPr>
                <w:sz w:val="18"/>
                <w:szCs w:val="18"/>
                <w:lang w:val="en-GB"/>
              </w:rPr>
              <w:t>Fourth quarter</w:t>
            </w:r>
          </w:p>
        </w:tc>
        <w:tc>
          <w:tcPr>
            <w:tcW w:w="6650" w:type="dxa"/>
            <w:tcBorders>
              <w:top w:val="nil"/>
              <w:left w:val="nil"/>
              <w:bottom w:val="nil"/>
              <w:right w:val="nil"/>
            </w:tcBorders>
            <w:hideMark/>
          </w:tcPr>
          <w:p w14:paraId="458EAAA3" w14:textId="77777777" w:rsidR="00992A45" w:rsidRPr="00BD7721" w:rsidRDefault="00992A45" w:rsidP="004E48D5">
            <w:pPr>
              <w:pStyle w:val="Normal-pool"/>
              <w:spacing w:before="40" w:after="40"/>
              <w:rPr>
                <w:sz w:val="18"/>
                <w:szCs w:val="18"/>
                <w:lang w:val="en-GB"/>
              </w:rPr>
            </w:pPr>
            <w:r w:rsidRPr="00BD7721">
              <w:rPr>
                <w:sz w:val="18"/>
                <w:szCs w:val="18"/>
                <w:lang w:val="en-GB"/>
              </w:rPr>
              <w:t xml:space="preserve">Consideration by the Plenary, </w:t>
            </w:r>
            <w:proofErr w:type="gramStart"/>
            <w:r w:rsidRPr="00BD7721">
              <w:rPr>
                <w:sz w:val="18"/>
                <w:szCs w:val="18"/>
                <w:lang w:val="en-GB"/>
              </w:rPr>
              <w:t>at its fourteenth session,</w:t>
            </w:r>
            <w:proofErr w:type="gramEnd"/>
            <w:r w:rsidRPr="00BD7721">
              <w:rPr>
                <w:sz w:val="18"/>
                <w:szCs w:val="18"/>
                <w:lang w:val="en-GB"/>
              </w:rPr>
              <w:t xml:space="preserve"> of the summary for policymakers for approval, and of the chapters for acceptance</w:t>
            </w:r>
          </w:p>
        </w:tc>
      </w:tr>
      <w:tr w:rsidR="00992A45" w:rsidRPr="00BD7721" w14:paraId="2713C8B1" w14:textId="77777777" w:rsidTr="006E0261">
        <w:trPr>
          <w:trHeight w:val="57"/>
          <w:jc w:val="right"/>
        </w:trPr>
        <w:tc>
          <w:tcPr>
            <w:tcW w:w="1660" w:type="dxa"/>
            <w:vMerge/>
            <w:tcBorders>
              <w:top w:val="nil"/>
              <w:left w:val="nil"/>
              <w:bottom w:val="single" w:sz="12" w:space="0" w:color="auto"/>
              <w:right w:val="nil"/>
            </w:tcBorders>
            <w:vAlign w:val="center"/>
            <w:hideMark/>
          </w:tcPr>
          <w:p w14:paraId="478965AC" w14:textId="77777777" w:rsidR="00992A45" w:rsidRPr="00BD7721" w:rsidRDefault="00992A45" w:rsidP="004E48D5">
            <w:pPr>
              <w:rPr>
                <w:sz w:val="18"/>
                <w:szCs w:val="18"/>
              </w:rPr>
            </w:pPr>
          </w:p>
        </w:tc>
        <w:tc>
          <w:tcPr>
            <w:tcW w:w="6650" w:type="dxa"/>
            <w:tcBorders>
              <w:top w:val="nil"/>
              <w:left w:val="nil"/>
              <w:bottom w:val="single" w:sz="12" w:space="0" w:color="auto"/>
              <w:right w:val="nil"/>
            </w:tcBorders>
            <w:hideMark/>
          </w:tcPr>
          <w:p w14:paraId="7D0E4256" w14:textId="77777777" w:rsidR="00992A45" w:rsidRPr="00BD7721" w:rsidRDefault="00992A45" w:rsidP="004E48D5">
            <w:pPr>
              <w:pStyle w:val="Normal-pool"/>
              <w:spacing w:before="40" w:after="40"/>
              <w:rPr>
                <w:sz w:val="18"/>
                <w:szCs w:val="18"/>
                <w:lang w:val="en-GB"/>
              </w:rPr>
            </w:pPr>
            <w:r w:rsidRPr="00BD7721">
              <w:rPr>
                <w:sz w:val="18"/>
                <w:szCs w:val="18"/>
                <w:lang w:val="en-GB"/>
              </w:rPr>
              <w:t>Communication activities in relation to the assessment (including fact sheets)</w:t>
            </w:r>
          </w:p>
        </w:tc>
      </w:tr>
    </w:tbl>
    <w:p w14:paraId="0B9A41EA" w14:textId="77777777" w:rsidR="008C3AAF" w:rsidRPr="00BD7721" w:rsidRDefault="008C3AAF" w:rsidP="008C3AAF">
      <w:pPr>
        <w:pStyle w:val="Normal-pool"/>
        <w:rPr>
          <w:lang w:val="en-GB"/>
        </w:rPr>
      </w:pPr>
    </w:p>
    <w:p w14:paraId="04CF7072" w14:textId="77777777" w:rsidR="008C3AAF" w:rsidRPr="00BD7721" w:rsidRDefault="008C3AAF" w:rsidP="008C3AAF">
      <w:pPr>
        <w:pStyle w:val="Normal-pool"/>
        <w:rPr>
          <w:lang w:val="en-GB"/>
        </w:rPr>
        <w:sectPr w:rsidR="008C3AAF" w:rsidRPr="00BD7721" w:rsidSect="00942630">
          <w:footnotePr>
            <w:numRestart w:val="eachSect"/>
          </w:footnotePr>
          <w:pgSz w:w="11907" w:h="16839" w:code="9"/>
          <w:pgMar w:top="907" w:right="992" w:bottom="1418" w:left="1418" w:header="539" w:footer="975" w:gutter="0"/>
          <w:cols w:space="539"/>
          <w:docGrid w:linePitch="360"/>
        </w:sectPr>
      </w:pPr>
    </w:p>
    <w:p w14:paraId="2AC2EB8D" w14:textId="72603006" w:rsidR="00992A45" w:rsidRPr="00BD7721" w:rsidRDefault="002F7662" w:rsidP="00D70826">
      <w:pPr>
        <w:pStyle w:val="CH1"/>
        <w:spacing w:before="120"/>
        <w:rPr>
          <w:lang w:val="en-GB"/>
        </w:rPr>
      </w:pPr>
      <w:r w:rsidRPr="00BD7721">
        <w:rPr>
          <w:lang w:val="en-GB"/>
        </w:rPr>
        <w:tab/>
      </w:r>
      <w:r w:rsidRPr="00BD7721">
        <w:rPr>
          <w:lang w:val="en-GB"/>
        </w:rPr>
        <w:tab/>
      </w:r>
      <w:r w:rsidR="00992A45" w:rsidRPr="00BD7721">
        <w:rPr>
          <w:lang w:val="en-GB"/>
        </w:rPr>
        <w:t>Annex III to decision IPBES-10/1</w:t>
      </w:r>
    </w:p>
    <w:p w14:paraId="12D35C50" w14:textId="25A2D985" w:rsidR="00992A45" w:rsidRPr="00BD7721" w:rsidRDefault="005F7821" w:rsidP="00D70826">
      <w:pPr>
        <w:pStyle w:val="CH1"/>
        <w:spacing w:before="200"/>
        <w:rPr>
          <w:lang w:val="en-GB"/>
        </w:rPr>
      </w:pPr>
      <w:r w:rsidRPr="00BD7721">
        <w:rPr>
          <w:lang w:val="en-GB"/>
        </w:rPr>
        <w:tab/>
      </w:r>
      <w:r w:rsidRPr="00BD7721">
        <w:rPr>
          <w:lang w:val="en-GB"/>
        </w:rPr>
        <w:tab/>
      </w:r>
      <w:r w:rsidR="00992A45" w:rsidRPr="00BD7721">
        <w:rPr>
          <w:lang w:val="en-GB"/>
        </w:rPr>
        <w:t>Workplan for objective 2: building capacity, for the intersessional period 2023–</w:t>
      </w:r>
      <w:proofErr w:type="gramStart"/>
      <w:r w:rsidR="00992A45" w:rsidRPr="00BD7721">
        <w:rPr>
          <w:lang w:val="en-GB"/>
        </w:rPr>
        <w:t>2024</w:t>
      </w:r>
      <w:proofErr w:type="gramEnd"/>
    </w:p>
    <w:p w14:paraId="5189259B" w14:textId="5A24E16A" w:rsidR="00992A45" w:rsidRPr="00BD7721" w:rsidRDefault="00992A45" w:rsidP="000F71FD">
      <w:pPr>
        <w:pStyle w:val="NormalNonumber"/>
        <w:numPr>
          <w:ilvl w:val="6"/>
          <w:numId w:val="199"/>
        </w:numPr>
        <w:tabs>
          <w:tab w:val="clear" w:pos="1247"/>
          <w:tab w:val="clear" w:pos="1871"/>
          <w:tab w:val="clear" w:pos="2495"/>
          <w:tab w:val="clear" w:pos="3119"/>
          <w:tab w:val="clear" w:pos="3742"/>
          <w:tab w:val="clear" w:pos="4366"/>
        </w:tabs>
        <w:ind w:left="1247" w:firstLine="0"/>
        <w:rPr>
          <w:lang w:val="en-GB"/>
        </w:rPr>
      </w:pPr>
      <w:r w:rsidRPr="00BD7721">
        <w:rPr>
          <w:lang w:val="en-GB"/>
        </w:rPr>
        <w:t xml:space="preserve">A task force on capacity-building will oversee and take part in the implementation of the following workplan for objective 2, supported by the secretariat, including a dedicated technical support unit. </w:t>
      </w:r>
    </w:p>
    <w:p w14:paraId="15747C29" w14:textId="53E87E24" w:rsidR="00992A45" w:rsidRPr="00BD7721" w:rsidRDefault="00992A45" w:rsidP="000F71FD">
      <w:pPr>
        <w:pStyle w:val="NormalNonumber"/>
        <w:numPr>
          <w:ilvl w:val="6"/>
          <w:numId w:val="199"/>
        </w:numPr>
        <w:tabs>
          <w:tab w:val="clear" w:pos="1247"/>
          <w:tab w:val="clear" w:pos="1871"/>
          <w:tab w:val="clear" w:pos="2495"/>
          <w:tab w:val="clear" w:pos="3119"/>
          <w:tab w:val="clear" w:pos="3742"/>
          <w:tab w:val="clear" w:pos="4366"/>
        </w:tabs>
        <w:ind w:left="1247" w:firstLine="0"/>
        <w:rPr>
          <w:lang w:val="en-GB"/>
        </w:rPr>
      </w:pPr>
      <w:r w:rsidRPr="00BD7721">
        <w:rPr>
          <w:lang w:val="en-GB"/>
        </w:rPr>
        <w:t xml:space="preserve">The task force will undertake activities to ensure effective implementation of the workplan, including continuing the development and monitoring of a set of relevant indicators for measuring effectiveness. The set of indicators developed will be presented to the Plenary, at its eleventh session, as part of the draft workplan for the intersessional period 2024–2025. </w:t>
      </w:r>
    </w:p>
    <w:p w14:paraId="30CBE3FF" w14:textId="77777777" w:rsidR="00992A45" w:rsidRPr="00BD7721" w:rsidRDefault="00992A45" w:rsidP="00992A45">
      <w:pPr>
        <w:pStyle w:val="CH1"/>
        <w:rPr>
          <w:lang w:val="en-GB"/>
        </w:rPr>
      </w:pPr>
      <w:r w:rsidRPr="00BD7721">
        <w:rPr>
          <w:lang w:val="en-GB"/>
        </w:rPr>
        <w:tab/>
        <w:t>I.</w:t>
      </w:r>
      <w:r w:rsidRPr="00BD7721">
        <w:rPr>
          <w:lang w:val="en-GB"/>
        </w:rPr>
        <w:tab/>
        <w:t>Objective 2 (a): enhanced learning and engagement</w:t>
      </w:r>
    </w:p>
    <w:p w14:paraId="18F682D5" w14:textId="11C2085E" w:rsidR="00992A45" w:rsidRPr="00BD7721" w:rsidRDefault="00992A45" w:rsidP="00D70826">
      <w:pPr>
        <w:pStyle w:val="NormalNonumber"/>
        <w:numPr>
          <w:ilvl w:val="6"/>
          <w:numId w:val="199"/>
        </w:numPr>
        <w:tabs>
          <w:tab w:val="clear" w:pos="1247"/>
          <w:tab w:val="clear" w:pos="1871"/>
          <w:tab w:val="clear" w:pos="2495"/>
          <w:tab w:val="clear" w:pos="3119"/>
          <w:tab w:val="clear" w:pos="3742"/>
          <w:tab w:val="clear" w:pos="4366"/>
        </w:tabs>
        <w:spacing w:after="100"/>
        <w:ind w:left="1247" w:firstLine="0"/>
        <w:rPr>
          <w:color w:val="000000"/>
          <w:lang w:val="en-GB"/>
        </w:rPr>
      </w:pPr>
      <w:r w:rsidRPr="00BD7721">
        <w:rPr>
          <w:lang w:val="en-GB"/>
        </w:rPr>
        <w:t>Activities</w:t>
      </w:r>
      <w:r w:rsidRPr="00BD7721">
        <w:rPr>
          <w:color w:val="000000"/>
          <w:lang w:val="en-GB"/>
        </w:rPr>
        <w:t xml:space="preserve"> for the implementation of the fellowship programme will include: </w:t>
      </w:r>
    </w:p>
    <w:p w14:paraId="4405ED03" w14:textId="0D6542F4" w:rsidR="00992A45" w:rsidRPr="00BD7721" w:rsidRDefault="00992A45" w:rsidP="00D70826">
      <w:pPr>
        <w:pStyle w:val="NormalNonumber"/>
        <w:numPr>
          <w:ilvl w:val="7"/>
          <w:numId w:val="200"/>
        </w:numPr>
        <w:tabs>
          <w:tab w:val="clear" w:pos="1247"/>
          <w:tab w:val="clear" w:pos="1871"/>
          <w:tab w:val="clear" w:pos="2495"/>
          <w:tab w:val="clear" w:pos="3119"/>
          <w:tab w:val="clear" w:pos="3742"/>
          <w:tab w:val="clear" w:pos="4366"/>
        </w:tabs>
        <w:spacing w:after="100"/>
        <w:ind w:left="1247" w:firstLine="624"/>
        <w:rPr>
          <w:lang w:val="en-GB"/>
        </w:rPr>
      </w:pPr>
      <w:r w:rsidRPr="00BD7721">
        <w:rPr>
          <w:lang w:val="en-GB"/>
        </w:rPr>
        <w:t>For the business and biodiversity assessment: organization of an “induction day” and participation of fellows (12 fellows, to be selected in 2023) in the first author meeting of the assessment (third quarter of 2023), as well as the second author meeting (fourth quarter of 2024</w:t>
      </w:r>
      <w:proofErr w:type="gramStart"/>
      <w:r w:rsidRPr="00BD7721">
        <w:rPr>
          <w:lang w:val="en-GB"/>
        </w:rPr>
        <w:t>);</w:t>
      </w:r>
      <w:proofErr w:type="gramEnd"/>
      <w:r w:rsidRPr="00BD7721">
        <w:rPr>
          <w:lang w:val="en-GB"/>
        </w:rPr>
        <w:t xml:space="preserve"> </w:t>
      </w:r>
    </w:p>
    <w:p w14:paraId="32625871" w14:textId="4D5C3C25" w:rsidR="00992A45" w:rsidRPr="00BD7721" w:rsidRDefault="00992A45" w:rsidP="00D70826">
      <w:pPr>
        <w:pStyle w:val="NormalNonumber"/>
        <w:numPr>
          <w:ilvl w:val="7"/>
          <w:numId w:val="200"/>
        </w:numPr>
        <w:tabs>
          <w:tab w:val="clear" w:pos="1247"/>
          <w:tab w:val="clear" w:pos="1871"/>
          <w:tab w:val="clear" w:pos="2495"/>
          <w:tab w:val="clear" w:pos="3119"/>
          <w:tab w:val="clear" w:pos="3742"/>
          <w:tab w:val="clear" w:pos="4366"/>
        </w:tabs>
        <w:spacing w:after="100"/>
        <w:ind w:left="1247" w:firstLine="624"/>
        <w:rPr>
          <w:lang w:val="en-GB"/>
        </w:rPr>
      </w:pPr>
      <w:r w:rsidRPr="00BD7721">
        <w:rPr>
          <w:lang w:val="en-GB"/>
        </w:rPr>
        <w:t xml:space="preserve">Issuance of a call for the nomination of early-career individuals by Governments and organizations for any new assessments and for the task force on scenarios and models, and selection of up to 12 fellows by the assessment management committee and </w:t>
      </w:r>
      <w:r w:rsidR="00151C2A" w:rsidRPr="00BD7721">
        <w:rPr>
          <w:lang w:val="en-GB"/>
        </w:rPr>
        <w:t xml:space="preserve">2 </w:t>
      </w:r>
      <w:r w:rsidRPr="00BD7721">
        <w:rPr>
          <w:lang w:val="en-GB"/>
        </w:rPr>
        <w:t>fellows by the management committee of the task force on scenarios and models (second half of 2023</w:t>
      </w:r>
      <w:proofErr w:type="gramStart"/>
      <w:r w:rsidRPr="00BD7721">
        <w:rPr>
          <w:lang w:val="en-GB"/>
        </w:rPr>
        <w:t>);</w:t>
      </w:r>
      <w:proofErr w:type="gramEnd"/>
      <w:r w:rsidRPr="00BD7721">
        <w:rPr>
          <w:lang w:val="en-GB"/>
        </w:rPr>
        <w:t xml:space="preserve"> </w:t>
      </w:r>
    </w:p>
    <w:p w14:paraId="01E7C46A" w14:textId="1C81F03F" w:rsidR="00992A45" w:rsidRPr="00BD7721" w:rsidRDefault="00992A45" w:rsidP="00D70826">
      <w:pPr>
        <w:pStyle w:val="NormalNonumber"/>
        <w:numPr>
          <w:ilvl w:val="7"/>
          <w:numId w:val="200"/>
        </w:numPr>
        <w:tabs>
          <w:tab w:val="clear" w:pos="1247"/>
          <w:tab w:val="clear" w:pos="1871"/>
          <w:tab w:val="clear" w:pos="2495"/>
          <w:tab w:val="clear" w:pos="3119"/>
          <w:tab w:val="clear" w:pos="3742"/>
          <w:tab w:val="clear" w:pos="4366"/>
        </w:tabs>
        <w:spacing w:after="100"/>
        <w:ind w:left="1247" w:firstLine="624"/>
        <w:rPr>
          <w:lang w:val="en-GB"/>
        </w:rPr>
      </w:pPr>
      <w:r w:rsidRPr="00BD7721">
        <w:rPr>
          <w:lang w:val="en-GB"/>
        </w:rPr>
        <w:t>For any new assessments: organization of an “induction day” and participation of fellows in the first author meeting (fourth quarter of 2024</w:t>
      </w:r>
      <w:proofErr w:type="gramStart"/>
      <w:r w:rsidRPr="00BD7721">
        <w:rPr>
          <w:lang w:val="en-GB"/>
        </w:rPr>
        <w:t>);</w:t>
      </w:r>
      <w:proofErr w:type="gramEnd"/>
    </w:p>
    <w:p w14:paraId="3366D66C" w14:textId="05F610E8" w:rsidR="00992A45" w:rsidRPr="00BD7721" w:rsidRDefault="00992A45" w:rsidP="00D70826">
      <w:pPr>
        <w:pStyle w:val="NormalNonumber"/>
        <w:numPr>
          <w:ilvl w:val="7"/>
          <w:numId w:val="200"/>
        </w:numPr>
        <w:tabs>
          <w:tab w:val="clear" w:pos="1247"/>
          <w:tab w:val="clear" w:pos="1871"/>
          <w:tab w:val="clear" w:pos="2495"/>
          <w:tab w:val="clear" w:pos="3119"/>
          <w:tab w:val="clear" w:pos="3742"/>
          <w:tab w:val="clear" w:pos="4366"/>
        </w:tabs>
        <w:spacing w:after="100"/>
        <w:ind w:left="1247" w:firstLine="624"/>
        <w:rPr>
          <w:lang w:val="en-GB"/>
        </w:rPr>
      </w:pPr>
      <w:r w:rsidRPr="00BD7721">
        <w:rPr>
          <w:lang w:val="en-GB"/>
        </w:rPr>
        <w:t>For the nexus assessment: participation of fellows (13 fellows selected in 2021) in the third author meeting of the assessment (first quarter of 2024</w:t>
      </w:r>
      <w:proofErr w:type="gramStart"/>
      <w:r w:rsidRPr="00BD7721">
        <w:rPr>
          <w:lang w:val="en-GB"/>
        </w:rPr>
        <w:t>);</w:t>
      </w:r>
      <w:proofErr w:type="gramEnd"/>
      <w:r w:rsidRPr="00BD7721">
        <w:rPr>
          <w:lang w:val="en-GB"/>
        </w:rPr>
        <w:t xml:space="preserve"> </w:t>
      </w:r>
    </w:p>
    <w:p w14:paraId="0B3CC4C2" w14:textId="107E7AA3" w:rsidR="00992A45" w:rsidRPr="00BD7721" w:rsidRDefault="00992A45" w:rsidP="00D70826">
      <w:pPr>
        <w:pStyle w:val="NormalNonumber"/>
        <w:numPr>
          <w:ilvl w:val="7"/>
          <w:numId w:val="200"/>
        </w:numPr>
        <w:tabs>
          <w:tab w:val="clear" w:pos="1247"/>
          <w:tab w:val="clear" w:pos="1871"/>
          <w:tab w:val="clear" w:pos="2495"/>
          <w:tab w:val="clear" w:pos="3119"/>
          <w:tab w:val="clear" w:pos="3742"/>
          <w:tab w:val="clear" w:pos="4366"/>
        </w:tabs>
        <w:spacing w:after="100"/>
        <w:ind w:left="1247" w:firstLine="624"/>
        <w:rPr>
          <w:lang w:val="en-GB"/>
        </w:rPr>
      </w:pPr>
      <w:r w:rsidRPr="00BD7721">
        <w:rPr>
          <w:lang w:val="en-GB"/>
        </w:rPr>
        <w:t>For the transformative change assessment: participation of fellows (12 fellows selected in 2021) in the third author meeting of the assessment (first quarter of 2024</w:t>
      </w:r>
      <w:proofErr w:type="gramStart"/>
      <w:r w:rsidRPr="00BD7721">
        <w:rPr>
          <w:lang w:val="en-GB"/>
        </w:rPr>
        <w:t>);</w:t>
      </w:r>
      <w:proofErr w:type="gramEnd"/>
      <w:r w:rsidRPr="00BD7721">
        <w:rPr>
          <w:lang w:val="en-GB"/>
        </w:rPr>
        <w:t xml:space="preserve"> </w:t>
      </w:r>
    </w:p>
    <w:p w14:paraId="3554F096" w14:textId="113FC648" w:rsidR="00992A45" w:rsidRPr="00BD7721" w:rsidRDefault="00992A45" w:rsidP="00D70826">
      <w:pPr>
        <w:pStyle w:val="NormalNonumber"/>
        <w:numPr>
          <w:ilvl w:val="7"/>
          <w:numId w:val="200"/>
        </w:numPr>
        <w:tabs>
          <w:tab w:val="clear" w:pos="1247"/>
          <w:tab w:val="clear" w:pos="1871"/>
          <w:tab w:val="clear" w:pos="2495"/>
          <w:tab w:val="clear" w:pos="3119"/>
          <w:tab w:val="clear" w:pos="3742"/>
          <w:tab w:val="clear" w:pos="4366"/>
        </w:tabs>
        <w:spacing w:after="100"/>
        <w:ind w:left="1247" w:firstLine="624"/>
        <w:rPr>
          <w:lang w:val="en-GB"/>
        </w:rPr>
      </w:pPr>
      <w:r w:rsidRPr="00BD7721">
        <w:rPr>
          <w:lang w:val="en-GB"/>
        </w:rPr>
        <w:t>Organization of an annual training workshop for fellows involved in ongoing assessments and in the task force on scenarios and models. The workshop will enhance the capacity of fellows regarding key topics relevant to their activities in IPBES and will provide an opportunity for peer engagement and learning among the fellows, both within and between the various cohorts of fellows (second half of 2024</w:t>
      </w:r>
      <w:proofErr w:type="gramStart"/>
      <w:r w:rsidRPr="00BD7721">
        <w:rPr>
          <w:lang w:val="en-GB"/>
        </w:rPr>
        <w:t>);</w:t>
      </w:r>
      <w:proofErr w:type="gramEnd"/>
    </w:p>
    <w:p w14:paraId="169E877B" w14:textId="05148567" w:rsidR="00992A45" w:rsidRPr="00BD7721" w:rsidRDefault="00992A45" w:rsidP="00D70826">
      <w:pPr>
        <w:pStyle w:val="NormalNonumber"/>
        <w:numPr>
          <w:ilvl w:val="7"/>
          <w:numId w:val="200"/>
        </w:numPr>
        <w:tabs>
          <w:tab w:val="clear" w:pos="1247"/>
          <w:tab w:val="clear" w:pos="1871"/>
          <w:tab w:val="clear" w:pos="2495"/>
          <w:tab w:val="clear" w:pos="3119"/>
          <w:tab w:val="clear" w:pos="3742"/>
          <w:tab w:val="clear" w:pos="4366"/>
        </w:tabs>
        <w:spacing w:after="100"/>
        <w:ind w:left="1247" w:firstLine="624"/>
        <w:rPr>
          <w:lang w:val="en-GB"/>
        </w:rPr>
      </w:pPr>
      <w:r w:rsidRPr="00BD7721">
        <w:rPr>
          <w:lang w:val="en-GB"/>
        </w:rPr>
        <w:t>Provision of support to the IPBES fellows and alumni network, including through promoting the engagement of fellows and alumni in activities supporting the implementation of objective</w:t>
      </w:r>
      <w:r w:rsidR="004212A9" w:rsidRPr="00BD7721">
        <w:rPr>
          <w:lang w:val="en-GB"/>
        </w:rPr>
        <w:t xml:space="preserve"> </w:t>
      </w:r>
      <w:r w:rsidRPr="00BD7721">
        <w:rPr>
          <w:lang w:val="en-GB"/>
        </w:rPr>
        <w:t>2, mapping and further developing activities of the network, and organizing an online meeting to facilitate knowledge exchange across the various cohorts of the fellowship programme (fourth</w:t>
      </w:r>
      <w:r w:rsidR="004212A9" w:rsidRPr="00BD7721">
        <w:rPr>
          <w:lang w:val="en-GB"/>
        </w:rPr>
        <w:t xml:space="preserve"> </w:t>
      </w:r>
      <w:r w:rsidRPr="00BD7721">
        <w:rPr>
          <w:lang w:val="en-GB"/>
        </w:rPr>
        <w:t>quarter of 2023).</w:t>
      </w:r>
    </w:p>
    <w:p w14:paraId="5AC03D1E" w14:textId="6D250758" w:rsidR="00992A45" w:rsidRPr="00BD7721" w:rsidRDefault="00992A45" w:rsidP="00D70826">
      <w:pPr>
        <w:pStyle w:val="NormalNonumber"/>
        <w:numPr>
          <w:ilvl w:val="6"/>
          <w:numId w:val="199"/>
        </w:numPr>
        <w:tabs>
          <w:tab w:val="clear" w:pos="1247"/>
          <w:tab w:val="clear" w:pos="1871"/>
          <w:tab w:val="clear" w:pos="2495"/>
          <w:tab w:val="clear" w:pos="3119"/>
          <w:tab w:val="clear" w:pos="3742"/>
          <w:tab w:val="clear" w:pos="4366"/>
        </w:tabs>
        <w:spacing w:after="100"/>
        <w:ind w:left="1247" w:firstLine="0"/>
        <w:rPr>
          <w:color w:val="000000"/>
          <w:lang w:val="en-GB"/>
        </w:rPr>
      </w:pPr>
      <w:r w:rsidRPr="00BD7721">
        <w:rPr>
          <w:color w:val="000000"/>
          <w:lang w:val="en-GB"/>
        </w:rPr>
        <w:t xml:space="preserve">Activities for the implementation of the training and familiarization programme for IPBES experts </w:t>
      </w:r>
      <w:r w:rsidRPr="00BD7721">
        <w:rPr>
          <w:lang w:val="en-GB"/>
        </w:rPr>
        <w:t>and</w:t>
      </w:r>
      <w:r w:rsidRPr="00BD7721">
        <w:rPr>
          <w:color w:val="000000"/>
          <w:lang w:val="en-GB"/>
        </w:rPr>
        <w:t xml:space="preserve"> </w:t>
      </w:r>
      <w:r w:rsidRPr="00BD7721">
        <w:rPr>
          <w:lang w:val="en-GB"/>
        </w:rPr>
        <w:t xml:space="preserve">stakeholders, </w:t>
      </w:r>
      <w:r w:rsidRPr="00BD7721">
        <w:rPr>
          <w:color w:val="000000"/>
          <w:lang w:val="en-GB"/>
        </w:rPr>
        <w:t>including youth a</w:t>
      </w:r>
      <w:r w:rsidRPr="00BD7721">
        <w:rPr>
          <w:lang w:val="en-GB"/>
        </w:rPr>
        <w:t xml:space="preserve">nd </w:t>
      </w:r>
      <w:r w:rsidRPr="00BD7721">
        <w:rPr>
          <w:color w:val="000000"/>
          <w:lang w:val="en-GB"/>
        </w:rPr>
        <w:t>other</w:t>
      </w:r>
      <w:r w:rsidRPr="00BD7721">
        <w:rPr>
          <w:lang w:val="en-GB"/>
        </w:rPr>
        <w:t xml:space="preserve"> experts</w:t>
      </w:r>
      <w:r w:rsidRPr="00BD7721">
        <w:rPr>
          <w:color w:val="000000"/>
          <w:lang w:val="en-GB"/>
        </w:rPr>
        <w:t>, involved in the science-policy interface</w:t>
      </w:r>
      <w:r w:rsidRPr="00BD7721">
        <w:rPr>
          <w:lang w:val="en-GB"/>
        </w:rPr>
        <w:t xml:space="preserve"> </w:t>
      </w:r>
      <w:r w:rsidRPr="00BD7721">
        <w:rPr>
          <w:color w:val="000000"/>
          <w:lang w:val="en-GB"/>
        </w:rPr>
        <w:t xml:space="preserve">will </w:t>
      </w:r>
      <w:r w:rsidRPr="00BD7721">
        <w:rPr>
          <w:lang w:val="en-GB"/>
        </w:rPr>
        <w:t>include</w:t>
      </w:r>
      <w:r w:rsidRPr="00BD7721">
        <w:rPr>
          <w:color w:val="000000"/>
          <w:lang w:val="en-GB"/>
        </w:rPr>
        <w:t xml:space="preserve">: </w:t>
      </w:r>
    </w:p>
    <w:p w14:paraId="1BF59406" w14:textId="6DA37E7B" w:rsidR="00992A45" w:rsidRPr="00BD7721" w:rsidRDefault="00992A45" w:rsidP="00D70826">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lang w:val="en-GB"/>
        </w:rPr>
      </w:pPr>
      <w:r w:rsidRPr="00BD7721">
        <w:rPr>
          <w:color w:val="000000"/>
          <w:lang w:val="en-GB"/>
        </w:rPr>
        <w:t xml:space="preserve">Further development and promotion of the IPBES webinar series, online tools and videos on the functioning of IPBES, with a focus on approved IPBES assessment reports and other products, including finalization of the pilot educational interface on the findings of the invasive alien species </w:t>
      </w:r>
      <w:proofErr w:type="gramStart"/>
      <w:r w:rsidRPr="00BD7721">
        <w:rPr>
          <w:color w:val="000000"/>
          <w:lang w:val="en-GB"/>
        </w:rPr>
        <w:t>assessment;</w:t>
      </w:r>
      <w:proofErr w:type="gramEnd"/>
      <w:r w:rsidRPr="00BD7721">
        <w:rPr>
          <w:color w:val="000000"/>
          <w:lang w:val="en-GB"/>
        </w:rPr>
        <w:t xml:space="preserve"> </w:t>
      </w:r>
    </w:p>
    <w:p w14:paraId="373C61C7" w14:textId="3CF10D49" w:rsidR="00992A45" w:rsidRPr="00BD7721" w:rsidRDefault="00992A45" w:rsidP="00D70826">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lang w:val="en-GB"/>
        </w:rPr>
      </w:pPr>
      <w:r w:rsidRPr="00BD7721">
        <w:rPr>
          <w:color w:val="000000"/>
          <w:lang w:val="en-GB"/>
        </w:rPr>
        <w:t>Further provision of support for relevant training activities tailored to IPBES needs, catalysed by IPBES and developed by other organizations and institutions (e.g., printed and/or electronic materials, feedback on draft agendas, contact details for relevant IPBES experts</w:t>
      </w:r>
      <w:proofErr w:type="gramStart"/>
      <w:r w:rsidRPr="00BD7721">
        <w:rPr>
          <w:color w:val="000000"/>
          <w:lang w:val="en-GB"/>
        </w:rPr>
        <w:t>);</w:t>
      </w:r>
      <w:proofErr w:type="gramEnd"/>
    </w:p>
    <w:p w14:paraId="227FE098" w14:textId="47475423" w:rsidR="00992A45" w:rsidRPr="00BD7721" w:rsidRDefault="00992A45" w:rsidP="00D70826">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lang w:val="en-GB"/>
        </w:rPr>
      </w:pPr>
      <w:r w:rsidRPr="00BD7721">
        <w:rPr>
          <w:color w:val="000000"/>
          <w:lang w:val="en-GB"/>
        </w:rPr>
        <w:t>Organization of a youth workshop to strengthen the engagement of young people in the work of IPBES and provision of support to the uptake of assessments among young people, other individuals and organizations (second quarter of 2024),</w:t>
      </w:r>
      <w:r w:rsidR="004779C1" w:rsidRPr="00BD7721">
        <w:rPr>
          <w:color w:val="000000"/>
          <w:lang w:val="en-GB"/>
        </w:rPr>
        <w:t xml:space="preserve"> </w:t>
      </w:r>
      <w:r w:rsidR="004779C1" w:rsidRPr="00BD7721">
        <w:rPr>
          <w:color w:val="000000"/>
          <w:vertAlign w:val="superscript"/>
          <w:lang w:val="en-GB"/>
        </w:rPr>
        <w:footnoteReference w:id="27"/>
      </w:r>
      <w:r w:rsidRPr="00BD7721">
        <w:rPr>
          <w:color w:val="000000"/>
          <w:lang w:val="en-GB"/>
        </w:rPr>
        <w:t xml:space="preserve"> subject to the availability of resources,</w:t>
      </w:r>
      <w:r w:rsidRPr="00BD7721">
        <w:rPr>
          <w:color w:val="000000"/>
          <w:vertAlign w:val="superscript"/>
          <w:lang w:val="en-GB"/>
        </w:rPr>
        <w:t xml:space="preserve"> </w:t>
      </w:r>
      <w:r w:rsidRPr="00BD7721">
        <w:rPr>
          <w:color w:val="000000"/>
          <w:lang w:val="en-GB"/>
        </w:rPr>
        <w:t xml:space="preserve">and catalysation of additional capacity-building activities for youth by collaborative </w:t>
      </w:r>
      <w:proofErr w:type="gramStart"/>
      <w:r w:rsidRPr="00BD7721">
        <w:rPr>
          <w:color w:val="000000"/>
          <w:lang w:val="en-GB"/>
        </w:rPr>
        <w:t>supporters;</w:t>
      </w:r>
      <w:proofErr w:type="gramEnd"/>
    </w:p>
    <w:p w14:paraId="1ED7DDC5" w14:textId="2A62E0A9" w:rsidR="00992A45" w:rsidRPr="00BD7721" w:rsidRDefault="00992A45" w:rsidP="00564376">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lang w:val="en-GB"/>
        </w:rPr>
      </w:pPr>
      <w:r w:rsidRPr="00BD7721">
        <w:rPr>
          <w:color w:val="000000"/>
          <w:lang w:val="en-GB"/>
        </w:rPr>
        <w:t>Collaboration with the task force on Indigenous and local knowledge in the organization of workshops and webinars as part of the implementation of the approach to recognizing and working with Indigenous and local knowledge in IPBES.</w:t>
      </w:r>
    </w:p>
    <w:p w14:paraId="5A638B08" w14:textId="75131D84" w:rsidR="00992A45" w:rsidRPr="00BD7721" w:rsidRDefault="00992A45" w:rsidP="00564376">
      <w:pPr>
        <w:pStyle w:val="NormalNonumber"/>
        <w:numPr>
          <w:ilvl w:val="6"/>
          <w:numId w:val="199"/>
        </w:numPr>
        <w:tabs>
          <w:tab w:val="clear" w:pos="1247"/>
          <w:tab w:val="clear" w:pos="1871"/>
          <w:tab w:val="clear" w:pos="2495"/>
          <w:tab w:val="clear" w:pos="3119"/>
          <w:tab w:val="clear" w:pos="3742"/>
          <w:tab w:val="clear" w:pos="4366"/>
        </w:tabs>
        <w:spacing w:after="100"/>
        <w:ind w:left="1247" w:firstLine="0"/>
        <w:rPr>
          <w:lang w:val="en-GB"/>
        </w:rPr>
      </w:pPr>
      <w:r w:rsidRPr="00BD7721">
        <w:rPr>
          <w:color w:val="000000"/>
          <w:lang w:val="en-GB"/>
        </w:rPr>
        <w:t xml:space="preserve">An in-person dialogue meeting with national focal points will be organized to further enhance the </w:t>
      </w:r>
      <w:r w:rsidRPr="00BD7721">
        <w:rPr>
          <w:lang w:val="en-GB"/>
        </w:rPr>
        <w:t>capacity of Governments to participate in the development of ongoing IPBES assessments and other work programme deliverables and to use completed IPBES assessments and other IPBES work in policy</w:t>
      </w:r>
      <w:r w:rsidR="00151C2A" w:rsidRPr="00BD7721">
        <w:rPr>
          <w:lang w:val="en-GB"/>
        </w:rPr>
        <w:t>making</w:t>
      </w:r>
      <w:r w:rsidRPr="00BD7721">
        <w:rPr>
          <w:lang w:val="en-GB"/>
        </w:rPr>
        <w:t xml:space="preserve"> and decision-making (see annex VII), and to share knowledge gaps identified in completed IPBES assessments, with a view to supporting Governments in facilitating the generation of new knowledge (see annex V; fourth quarter of 2023).</w:t>
      </w:r>
    </w:p>
    <w:p w14:paraId="37D9A226" w14:textId="7D6150EF" w:rsidR="00992A45" w:rsidRPr="00BD7721" w:rsidRDefault="00992A45" w:rsidP="00564376">
      <w:pPr>
        <w:pStyle w:val="NormalNonumber"/>
        <w:numPr>
          <w:ilvl w:val="6"/>
          <w:numId w:val="199"/>
        </w:numPr>
        <w:tabs>
          <w:tab w:val="clear" w:pos="1247"/>
          <w:tab w:val="clear" w:pos="1871"/>
          <w:tab w:val="clear" w:pos="2495"/>
          <w:tab w:val="clear" w:pos="3119"/>
          <w:tab w:val="clear" w:pos="3742"/>
          <w:tab w:val="clear" w:pos="4366"/>
        </w:tabs>
        <w:spacing w:after="100"/>
        <w:ind w:left="1247" w:firstLine="0"/>
        <w:rPr>
          <w:color w:val="000000"/>
          <w:lang w:val="en-GB"/>
        </w:rPr>
      </w:pPr>
      <w:r w:rsidRPr="00BD7721">
        <w:rPr>
          <w:lang w:val="en-GB"/>
        </w:rPr>
        <w:t>Online</w:t>
      </w:r>
      <w:r w:rsidRPr="00BD7721">
        <w:rPr>
          <w:color w:val="000000"/>
          <w:lang w:val="en-GB"/>
        </w:rPr>
        <w:t xml:space="preserve"> dialogues with national focal points and stakeholders, including with the objective of increasing the policy relevance of, and contributions of practitioners to, the assessments (see annex VII), will be organized in the context of any scoping process (2024), the second external review of the nexus and </w:t>
      </w:r>
      <w:r w:rsidRPr="00BD7721">
        <w:rPr>
          <w:lang w:val="en-GB"/>
        </w:rPr>
        <w:t>transformative</w:t>
      </w:r>
      <w:r w:rsidRPr="00BD7721">
        <w:rPr>
          <w:color w:val="000000"/>
          <w:lang w:val="en-GB"/>
        </w:rPr>
        <w:t xml:space="preserve"> change assessments (fourth quarter of 2023 and first quarter of 2024) and the external review of the business and biodiversity assessment (third quarter of 2024).</w:t>
      </w:r>
    </w:p>
    <w:p w14:paraId="332E6964" w14:textId="77777777" w:rsidR="00992A45" w:rsidRPr="00BD7721" w:rsidRDefault="00992A45" w:rsidP="00992A45">
      <w:pPr>
        <w:pStyle w:val="CH1"/>
        <w:rPr>
          <w:lang w:val="en-GB"/>
        </w:rPr>
      </w:pPr>
      <w:r w:rsidRPr="00BD7721">
        <w:rPr>
          <w:lang w:val="en-GB"/>
        </w:rPr>
        <w:tab/>
        <w:t>II.</w:t>
      </w:r>
      <w:r w:rsidRPr="00BD7721">
        <w:rPr>
          <w:lang w:val="en-GB"/>
        </w:rPr>
        <w:tab/>
        <w:t>Objective 2 (b): facilitated access to expertise and information</w:t>
      </w:r>
    </w:p>
    <w:p w14:paraId="168DF626" w14:textId="2CE93392" w:rsidR="00992A45" w:rsidRPr="00BD7721" w:rsidRDefault="00992A45" w:rsidP="00564376">
      <w:pPr>
        <w:pStyle w:val="NormalNonumber"/>
        <w:numPr>
          <w:ilvl w:val="6"/>
          <w:numId w:val="199"/>
        </w:numPr>
        <w:tabs>
          <w:tab w:val="clear" w:pos="1247"/>
          <w:tab w:val="clear" w:pos="1871"/>
          <w:tab w:val="clear" w:pos="2495"/>
          <w:tab w:val="clear" w:pos="3119"/>
          <w:tab w:val="clear" w:pos="3742"/>
          <w:tab w:val="clear" w:pos="4366"/>
        </w:tabs>
        <w:spacing w:after="100"/>
        <w:ind w:left="1247" w:firstLine="0"/>
        <w:rPr>
          <w:color w:val="000000"/>
          <w:lang w:val="en-GB"/>
        </w:rPr>
      </w:pPr>
      <w:r w:rsidRPr="00BD7721">
        <w:rPr>
          <w:color w:val="000000"/>
          <w:lang w:val="en-GB"/>
        </w:rPr>
        <w:t xml:space="preserve">Activities to support the uptake of approved assessment findings and other deliverables and encourage the </w:t>
      </w:r>
      <w:r w:rsidRPr="00BD7721">
        <w:rPr>
          <w:lang w:val="en-GB"/>
        </w:rPr>
        <w:t>development</w:t>
      </w:r>
      <w:r w:rsidRPr="00BD7721">
        <w:rPr>
          <w:color w:val="000000"/>
          <w:lang w:val="en-GB"/>
        </w:rPr>
        <w:t xml:space="preserve"> of communities of practice around them will include:</w:t>
      </w:r>
    </w:p>
    <w:p w14:paraId="5F28DAF5" w14:textId="3167BC66" w:rsidR="00992A45" w:rsidRPr="00BD7721" w:rsidRDefault="00992A45" w:rsidP="00564376">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lang w:val="en-GB"/>
        </w:rPr>
      </w:pPr>
      <w:r w:rsidRPr="00BD7721">
        <w:rPr>
          <w:color w:val="000000"/>
          <w:lang w:val="en-GB"/>
        </w:rPr>
        <w:t>Dissemination of calls for the nomination of experts for any scoping processes</w:t>
      </w:r>
      <w:r w:rsidR="00482A26" w:rsidRPr="00BD7721">
        <w:rPr>
          <w:color w:val="000000"/>
          <w:lang w:val="en-GB"/>
        </w:rPr>
        <w:t xml:space="preserve"> </w:t>
      </w:r>
      <w:r w:rsidRPr="00BD7721">
        <w:rPr>
          <w:color w:val="000000"/>
          <w:lang w:val="en-GB"/>
        </w:rPr>
        <w:t xml:space="preserve">starting after the tenth session of the Plenary, through relevant networks so as to encourage applications from as wide a range of experts as possible, and provision of assistance to the Multidisciplinary Expert Panel in the implementation of the process for filling gaps in expertise for the expert group, where </w:t>
      </w:r>
      <w:proofErr w:type="gramStart"/>
      <w:r w:rsidRPr="00BD7721">
        <w:rPr>
          <w:color w:val="000000"/>
          <w:lang w:val="en-GB"/>
        </w:rPr>
        <w:t>required;</w:t>
      </w:r>
      <w:proofErr w:type="gramEnd"/>
    </w:p>
    <w:p w14:paraId="3D64C9F6" w14:textId="6C8D2EA8" w:rsidR="00992A45" w:rsidRPr="00BD7721" w:rsidRDefault="00992A45" w:rsidP="00564376">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lang w:val="en-GB"/>
        </w:rPr>
      </w:pPr>
      <w:r w:rsidRPr="00BD7721">
        <w:rPr>
          <w:color w:val="000000"/>
          <w:lang w:val="en-GB"/>
        </w:rPr>
        <w:t>Issuance of a call for contributions to support the uptake of approved IPBES assessment reports and other products in both national and international decision-making (Sept. 2023</w:t>
      </w:r>
      <w:proofErr w:type="gramStart"/>
      <w:r w:rsidRPr="00BD7721">
        <w:rPr>
          <w:color w:val="000000"/>
          <w:lang w:val="en-GB"/>
        </w:rPr>
        <w:t>);</w:t>
      </w:r>
      <w:proofErr w:type="gramEnd"/>
    </w:p>
    <w:p w14:paraId="5EA4BDDA" w14:textId="7A7BE947" w:rsidR="00992A45" w:rsidRPr="00BD7721" w:rsidRDefault="00992A45" w:rsidP="00564376">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lang w:val="en-GB"/>
        </w:rPr>
      </w:pPr>
      <w:r w:rsidRPr="00BD7721">
        <w:rPr>
          <w:color w:val="000000"/>
          <w:lang w:val="en-GB"/>
        </w:rPr>
        <w:t>Provision of support for uptake activities for IPBES deliverables organized by other organizations (e.g., printed and/or electronic materials, feedback on draft agendas, contact details for relevant IPBES experts</w:t>
      </w:r>
      <w:proofErr w:type="gramStart"/>
      <w:r w:rsidRPr="00BD7721">
        <w:rPr>
          <w:color w:val="000000"/>
          <w:lang w:val="en-GB"/>
        </w:rPr>
        <w:t>);</w:t>
      </w:r>
      <w:proofErr w:type="gramEnd"/>
    </w:p>
    <w:p w14:paraId="71144C14" w14:textId="40019B9E" w:rsidR="00992A45" w:rsidRPr="00BD7721" w:rsidRDefault="00992A45" w:rsidP="00564376">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lang w:val="en-GB"/>
        </w:rPr>
      </w:pPr>
      <w:r w:rsidRPr="00BD7721">
        <w:rPr>
          <w:color w:val="000000"/>
          <w:lang w:val="en-GB"/>
        </w:rPr>
        <w:t>Further encouragement of the development of communities of practice</w:t>
      </w:r>
      <w:r w:rsidRPr="00BD7721">
        <w:rPr>
          <w:color w:val="000000"/>
          <w:vertAlign w:val="superscript"/>
          <w:lang w:val="en-GB"/>
        </w:rPr>
        <w:footnoteReference w:id="28"/>
      </w:r>
      <w:r w:rsidRPr="00BD7721">
        <w:rPr>
          <w:color w:val="000000"/>
          <w:lang w:val="en-GB"/>
        </w:rPr>
        <w:t xml:space="preserve"> to facilitate access to expertise and information relevant to </w:t>
      </w:r>
      <w:proofErr w:type="gramStart"/>
      <w:r w:rsidRPr="00BD7721">
        <w:rPr>
          <w:color w:val="000000"/>
          <w:lang w:val="en-GB"/>
        </w:rPr>
        <w:t>IPBES;</w:t>
      </w:r>
      <w:proofErr w:type="gramEnd"/>
    </w:p>
    <w:p w14:paraId="32B78D15" w14:textId="32108766" w:rsidR="00992A45" w:rsidRPr="00BD7721" w:rsidRDefault="00992A45" w:rsidP="00564376">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lang w:val="en-GB"/>
        </w:rPr>
      </w:pPr>
      <w:r w:rsidRPr="00BD7721">
        <w:rPr>
          <w:color w:val="000000"/>
          <w:lang w:val="en-GB"/>
        </w:rPr>
        <w:t>Collaboration with the other task forces in catalysing activities to further build capacity relating to IPBES approaches and processes, including the approach to recognizing and working with Indigenous and local knowledge in IPBES.</w:t>
      </w:r>
    </w:p>
    <w:p w14:paraId="46AC352C" w14:textId="26047F00" w:rsidR="00992A45" w:rsidRPr="00BD7721" w:rsidRDefault="00992A45" w:rsidP="00564376">
      <w:pPr>
        <w:pStyle w:val="NormalNonumber"/>
        <w:numPr>
          <w:ilvl w:val="6"/>
          <w:numId w:val="199"/>
        </w:numPr>
        <w:tabs>
          <w:tab w:val="clear" w:pos="1247"/>
          <w:tab w:val="clear" w:pos="1871"/>
          <w:tab w:val="clear" w:pos="2495"/>
          <w:tab w:val="clear" w:pos="3119"/>
          <w:tab w:val="clear" w:pos="3742"/>
          <w:tab w:val="clear" w:pos="4366"/>
        </w:tabs>
        <w:spacing w:after="100"/>
        <w:ind w:left="1247" w:firstLine="0"/>
        <w:rPr>
          <w:color w:val="000000"/>
          <w:lang w:val="en-GB"/>
        </w:rPr>
      </w:pPr>
      <w:r w:rsidRPr="00BD7721">
        <w:rPr>
          <w:color w:val="000000"/>
          <w:lang w:val="en-GB"/>
        </w:rPr>
        <w:t xml:space="preserve">A seventh meeting of the capacity-building forum will be convened to facilitate engagement with, and to </w:t>
      </w:r>
      <w:r w:rsidRPr="00BD7721">
        <w:rPr>
          <w:lang w:val="en-GB"/>
        </w:rPr>
        <w:t>build</w:t>
      </w:r>
      <w:r w:rsidRPr="00BD7721">
        <w:rPr>
          <w:color w:val="000000"/>
          <w:lang w:val="en-GB"/>
        </w:rPr>
        <w:t xml:space="preserve"> and further enhance collaboration among, organizations and institutions for the implementation of the IPBES capacity-building rolling plan. The specific theme of the forum meeting will be </w:t>
      </w:r>
      <w:r w:rsidRPr="00BD7721">
        <w:rPr>
          <w:lang w:val="en-GB"/>
        </w:rPr>
        <w:t>identified</w:t>
      </w:r>
      <w:r w:rsidRPr="00BD7721">
        <w:rPr>
          <w:color w:val="000000"/>
          <w:lang w:val="en-GB"/>
        </w:rPr>
        <w:t xml:space="preserve"> by the task force and agreed on by the Bureau, </w:t>
      </w:r>
      <w:proofErr w:type="gramStart"/>
      <w:r w:rsidRPr="00BD7721">
        <w:rPr>
          <w:color w:val="000000"/>
          <w:lang w:val="en-GB"/>
        </w:rPr>
        <w:t>taking into account</w:t>
      </w:r>
      <w:proofErr w:type="gramEnd"/>
      <w:r w:rsidRPr="00BD7721">
        <w:rPr>
          <w:color w:val="000000"/>
          <w:lang w:val="en-GB"/>
        </w:rPr>
        <w:t xml:space="preserve"> members’ priorities and needs in terms of capacity-building (second quarter of 2024).</w:t>
      </w:r>
    </w:p>
    <w:p w14:paraId="5780AAF4" w14:textId="77777777" w:rsidR="00992A45" w:rsidRPr="00BD7721" w:rsidRDefault="00992A45" w:rsidP="00992A45">
      <w:pPr>
        <w:pStyle w:val="CH1"/>
        <w:rPr>
          <w:lang w:val="en-GB"/>
        </w:rPr>
      </w:pPr>
      <w:r w:rsidRPr="00BD7721">
        <w:rPr>
          <w:lang w:val="en-GB"/>
        </w:rPr>
        <w:tab/>
        <w:t>III.</w:t>
      </w:r>
      <w:r w:rsidRPr="00BD7721">
        <w:rPr>
          <w:lang w:val="en-GB"/>
        </w:rPr>
        <w:tab/>
        <w:t xml:space="preserve">Objective 2 (c): strengthened national and regional capacities </w:t>
      </w:r>
    </w:p>
    <w:p w14:paraId="7E2B47E6" w14:textId="5AFC7887" w:rsidR="00992A45" w:rsidRPr="00BD7721" w:rsidRDefault="00992A45" w:rsidP="000F71FD">
      <w:pPr>
        <w:pStyle w:val="NormalNonumber"/>
        <w:numPr>
          <w:ilvl w:val="6"/>
          <w:numId w:val="199"/>
        </w:numPr>
        <w:tabs>
          <w:tab w:val="clear" w:pos="1247"/>
          <w:tab w:val="clear" w:pos="1871"/>
          <w:tab w:val="clear" w:pos="2495"/>
          <w:tab w:val="clear" w:pos="3119"/>
          <w:tab w:val="clear" w:pos="3742"/>
          <w:tab w:val="clear" w:pos="4366"/>
        </w:tabs>
        <w:ind w:left="1247" w:firstLine="0"/>
        <w:rPr>
          <w:lang w:val="en-GB"/>
        </w:rPr>
      </w:pPr>
      <w:r w:rsidRPr="00BD7721">
        <w:rPr>
          <w:color w:val="000000"/>
          <w:lang w:val="en-GB"/>
        </w:rPr>
        <w:t xml:space="preserve">The task force will continue to encourage, collaborate with and strengthen national, regional and subregional science-policy platforms, networks and assessments related to biodiversity and ecosystem </w:t>
      </w:r>
      <w:r w:rsidRPr="00BD7721">
        <w:rPr>
          <w:lang w:val="en-GB"/>
        </w:rPr>
        <w:t>services</w:t>
      </w:r>
      <w:r w:rsidRPr="00BD7721">
        <w:rPr>
          <w:color w:val="000000"/>
          <w:lang w:val="en-GB"/>
        </w:rPr>
        <w:t xml:space="preserve">. Activities undertaken will focus on </w:t>
      </w:r>
      <w:r w:rsidRPr="00BD7721">
        <w:rPr>
          <w:lang w:val="en-GB"/>
        </w:rPr>
        <w:t>facilitating</w:t>
      </w:r>
      <w:r w:rsidRPr="00BD7721">
        <w:rPr>
          <w:color w:val="000000"/>
          <w:lang w:val="en-GB"/>
        </w:rPr>
        <w:t xml:space="preserve"> sharing of knowledge and best practices among existing national and (sub-)regional science-policy platforms, those interested in establishing new platforms, and organizations and institutions that could support the establishment of new platforms. An online dialogue workshop will be organized as part of this work (second quarter of 2024).</w:t>
      </w:r>
    </w:p>
    <w:p w14:paraId="74C9C51B" w14:textId="77777777" w:rsidR="008C3AAF" w:rsidRPr="00BD7721" w:rsidRDefault="008C3AAF" w:rsidP="00942630">
      <w:pPr>
        <w:pStyle w:val="Normal-pool"/>
        <w:rPr>
          <w:lang w:val="en-GB"/>
        </w:rPr>
      </w:pPr>
    </w:p>
    <w:p w14:paraId="615C8095" w14:textId="77777777" w:rsidR="00942630" w:rsidRPr="00BD7721" w:rsidRDefault="00942630" w:rsidP="00942630">
      <w:pPr>
        <w:pStyle w:val="Normal-pool"/>
        <w:rPr>
          <w:lang w:val="en-GB"/>
        </w:rPr>
        <w:sectPr w:rsidR="00942630" w:rsidRPr="00BD7721" w:rsidSect="008C3AAF">
          <w:footnotePr>
            <w:numRestart w:val="eachSect"/>
          </w:footnotePr>
          <w:pgSz w:w="11907" w:h="16839" w:code="9"/>
          <w:pgMar w:top="907" w:right="992" w:bottom="1418" w:left="1418" w:header="539" w:footer="975" w:gutter="0"/>
          <w:cols w:space="539"/>
          <w:docGrid w:linePitch="360"/>
        </w:sectPr>
      </w:pPr>
    </w:p>
    <w:p w14:paraId="79028A88" w14:textId="6D4F1921" w:rsidR="00992A45" w:rsidRPr="00BD7721" w:rsidRDefault="00C43F80" w:rsidP="00C43F80">
      <w:pPr>
        <w:pStyle w:val="CH1"/>
        <w:rPr>
          <w:lang w:val="en-GB"/>
        </w:rPr>
      </w:pPr>
      <w:r w:rsidRPr="00BD7721">
        <w:rPr>
          <w:lang w:val="en-GB"/>
        </w:rPr>
        <w:tab/>
      </w:r>
      <w:r w:rsidRPr="00BD7721">
        <w:rPr>
          <w:lang w:val="en-GB"/>
        </w:rPr>
        <w:tab/>
      </w:r>
      <w:r w:rsidR="00992A45" w:rsidRPr="00BD7721">
        <w:rPr>
          <w:lang w:val="en-GB"/>
        </w:rPr>
        <w:t>Annex IV to decision IPBES-10/1</w:t>
      </w:r>
    </w:p>
    <w:p w14:paraId="7189743F" w14:textId="4FF8A539" w:rsidR="00992A45" w:rsidRPr="00BD7721" w:rsidRDefault="00AA6E1F" w:rsidP="00AA6E1F">
      <w:pPr>
        <w:pStyle w:val="CH1"/>
        <w:rPr>
          <w:lang w:val="en-GB"/>
        </w:rPr>
      </w:pPr>
      <w:r w:rsidRPr="00BD7721">
        <w:rPr>
          <w:lang w:val="en-GB"/>
        </w:rPr>
        <w:tab/>
      </w:r>
      <w:r w:rsidRPr="00BD7721">
        <w:rPr>
          <w:lang w:val="en-GB"/>
        </w:rPr>
        <w:tab/>
      </w:r>
      <w:r w:rsidR="00992A45" w:rsidRPr="00BD7721">
        <w:rPr>
          <w:lang w:val="en-GB"/>
        </w:rPr>
        <w:t>Workplan for objective 3 (a): advanced work on knowledge and data – data and knowledge management, for the intersessional period 2023–2024</w:t>
      </w:r>
    </w:p>
    <w:p w14:paraId="413D8401" w14:textId="378D56B5" w:rsidR="00992A45" w:rsidRPr="00BD7721" w:rsidRDefault="00992A45" w:rsidP="006E26B4">
      <w:pPr>
        <w:pStyle w:val="NormalNonumber"/>
        <w:numPr>
          <w:ilvl w:val="6"/>
          <w:numId w:val="201"/>
        </w:numPr>
        <w:tabs>
          <w:tab w:val="clear" w:pos="1247"/>
          <w:tab w:val="clear" w:pos="1871"/>
          <w:tab w:val="clear" w:pos="2495"/>
          <w:tab w:val="clear" w:pos="3119"/>
          <w:tab w:val="clear" w:pos="3742"/>
          <w:tab w:val="clear" w:pos="4366"/>
        </w:tabs>
        <w:ind w:left="1247" w:firstLine="0"/>
        <w:rPr>
          <w:lang w:val="en-GB"/>
        </w:rPr>
      </w:pPr>
      <w:r w:rsidRPr="00BD7721">
        <w:rPr>
          <w:lang w:val="en-GB"/>
        </w:rPr>
        <w:t>A task force on data and knowledge management will oversee and take part in the implementation of the following workplan for the data and knowledge management aspect of objective 3 (a), supported by the secretariat, including a dedicated technical support unit.</w:t>
      </w:r>
      <w:r w:rsidR="00F96DD5" w:rsidRPr="00BD7721">
        <w:rPr>
          <w:lang w:val="en-GB"/>
        </w:rPr>
        <w:t xml:space="preserve"> </w:t>
      </w:r>
    </w:p>
    <w:p w14:paraId="6FFE0296" w14:textId="4745ED38" w:rsidR="00992A45" w:rsidRPr="00BD7721" w:rsidRDefault="00992A45" w:rsidP="006E26B4">
      <w:pPr>
        <w:pStyle w:val="NormalNonumber"/>
        <w:numPr>
          <w:ilvl w:val="6"/>
          <w:numId w:val="201"/>
        </w:numPr>
        <w:tabs>
          <w:tab w:val="clear" w:pos="1247"/>
          <w:tab w:val="clear" w:pos="1871"/>
          <w:tab w:val="clear" w:pos="2495"/>
          <w:tab w:val="clear" w:pos="3119"/>
          <w:tab w:val="clear" w:pos="3742"/>
          <w:tab w:val="clear" w:pos="4366"/>
        </w:tabs>
        <w:ind w:left="1247" w:firstLine="0"/>
        <w:rPr>
          <w:color w:val="000000"/>
          <w:lang w:val="en-GB"/>
        </w:rPr>
      </w:pPr>
      <w:r w:rsidRPr="00BD7721">
        <w:rPr>
          <w:lang w:val="en-GB"/>
        </w:rPr>
        <w:t>Activities</w:t>
      </w:r>
      <w:r w:rsidRPr="00BD7721">
        <w:rPr>
          <w:color w:val="000000"/>
          <w:lang w:val="en-GB"/>
        </w:rPr>
        <w:t xml:space="preserve"> for the maintenance of the data and knowledge management policy and further development of the long-term vision for data and knowledge management will include:</w:t>
      </w:r>
    </w:p>
    <w:p w14:paraId="7EB627BA" w14:textId="3B98C85E" w:rsidR="00992A45" w:rsidRPr="00BD7721" w:rsidRDefault="00992A45" w:rsidP="006E26B4">
      <w:pPr>
        <w:pStyle w:val="NormalNonumber"/>
        <w:numPr>
          <w:ilvl w:val="7"/>
          <w:numId w:val="202"/>
        </w:numPr>
        <w:tabs>
          <w:tab w:val="clear" w:pos="1247"/>
          <w:tab w:val="clear" w:pos="1871"/>
          <w:tab w:val="clear" w:pos="2495"/>
          <w:tab w:val="clear" w:pos="3119"/>
          <w:tab w:val="clear" w:pos="3742"/>
          <w:tab w:val="clear" w:pos="4366"/>
        </w:tabs>
        <w:ind w:left="1247" w:firstLine="624"/>
        <w:rPr>
          <w:lang w:val="en-GB"/>
        </w:rPr>
      </w:pPr>
      <w:r w:rsidRPr="00BD7721">
        <w:rPr>
          <w:lang w:val="en-GB"/>
        </w:rPr>
        <w:t xml:space="preserve">Review and revision of the IPBES data and knowledge management policy, as necessary, thereby giving full consideration to existing and evolving principles and guidelines for the applicability and ethical and responsible use of advances in data </w:t>
      </w:r>
      <w:proofErr w:type="gramStart"/>
      <w:r w:rsidRPr="00BD7721">
        <w:rPr>
          <w:lang w:val="en-GB"/>
        </w:rPr>
        <w:t>technology;</w:t>
      </w:r>
      <w:proofErr w:type="gramEnd"/>
    </w:p>
    <w:p w14:paraId="2D1F18DC" w14:textId="60DD3F8A" w:rsidR="00992A45" w:rsidRPr="00BD7721" w:rsidRDefault="00992A45" w:rsidP="006E26B4">
      <w:pPr>
        <w:pStyle w:val="NormalNonumber"/>
        <w:numPr>
          <w:ilvl w:val="7"/>
          <w:numId w:val="202"/>
        </w:numPr>
        <w:tabs>
          <w:tab w:val="clear" w:pos="1247"/>
          <w:tab w:val="clear" w:pos="1871"/>
          <w:tab w:val="clear" w:pos="2495"/>
          <w:tab w:val="clear" w:pos="3119"/>
          <w:tab w:val="clear" w:pos="3742"/>
          <w:tab w:val="clear" w:pos="4366"/>
        </w:tabs>
        <w:ind w:left="1247" w:firstLine="624"/>
        <w:rPr>
          <w:lang w:val="en-GB"/>
        </w:rPr>
      </w:pPr>
      <w:r w:rsidRPr="00BD7721">
        <w:rPr>
          <w:lang w:val="en-GB"/>
        </w:rPr>
        <w:t xml:space="preserve">Review and revision of the long-term vision on data and knowledge management, as </w:t>
      </w:r>
      <w:proofErr w:type="gramStart"/>
      <w:r w:rsidRPr="00BD7721">
        <w:rPr>
          <w:lang w:val="en-GB"/>
        </w:rPr>
        <w:t>necessary;</w:t>
      </w:r>
      <w:proofErr w:type="gramEnd"/>
    </w:p>
    <w:p w14:paraId="1D09875E" w14:textId="0B694A28" w:rsidR="00992A45" w:rsidRPr="00BD7721" w:rsidRDefault="00992A45" w:rsidP="006E26B4">
      <w:pPr>
        <w:pStyle w:val="NormalNonumber"/>
        <w:numPr>
          <w:ilvl w:val="7"/>
          <w:numId w:val="202"/>
        </w:numPr>
        <w:tabs>
          <w:tab w:val="clear" w:pos="1247"/>
          <w:tab w:val="clear" w:pos="1871"/>
          <w:tab w:val="clear" w:pos="2495"/>
          <w:tab w:val="clear" w:pos="3119"/>
          <w:tab w:val="clear" w:pos="3742"/>
          <w:tab w:val="clear" w:pos="4366"/>
        </w:tabs>
        <w:ind w:left="1247" w:firstLine="624"/>
        <w:rPr>
          <w:lang w:val="en-GB"/>
        </w:rPr>
      </w:pPr>
      <w:r w:rsidRPr="00BD7721">
        <w:rPr>
          <w:lang w:val="en-GB"/>
        </w:rPr>
        <w:t>Further development of the draft workplan for the intersessional period 2024−2025 in line with the revised long-term vision on data and knowledge management, with regard to its targets up to 2025.</w:t>
      </w:r>
    </w:p>
    <w:p w14:paraId="119AD3A7" w14:textId="5D80D120" w:rsidR="00992A45" w:rsidRPr="00BD7721" w:rsidRDefault="00992A45" w:rsidP="006E26B4">
      <w:pPr>
        <w:pStyle w:val="NormalNonumber"/>
        <w:numPr>
          <w:ilvl w:val="6"/>
          <w:numId w:val="201"/>
        </w:numPr>
        <w:tabs>
          <w:tab w:val="clear" w:pos="1247"/>
          <w:tab w:val="clear" w:pos="1871"/>
          <w:tab w:val="clear" w:pos="2495"/>
          <w:tab w:val="clear" w:pos="3119"/>
          <w:tab w:val="clear" w:pos="3742"/>
          <w:tab w:val="clear" w:pos="4366"/>
        </w:tabs>
        <w:ind w:left="1247" w:firstLine="0"/>
        <w:rPr>
          <w:color w:val="000000"/>
          <w:lang w:val="en-GB"/>
        </w:rPr>
      </w:pPr>
      <w:r w:rsidRPr="00BD7721">
        <w:rPr>
          <w:lang w:val="en-GB"/>
        </w:rPr>
        <w:t>Activities</w:t>
      </w:r>
      <w:r w:rsidRPr="00BD7721">
        <w:rPr>
          <w:color w:val="000000"/>
          <w:lang w:val="en-GB"/>
        </w:rPr>
        <w:t xml:space="preserve"> for the provision of support to assessment authors on aspects relating to the data and knowledge management policy and the management, handling and delivery of IPBES products will include:</w:t>
      </w:r>
    </w:p>
    <w:p w14:paraId="7BB6717A" w14:textId="55660405" w:rsidR="00992A45" w:rsidRPr="00BD7721" w:rsidRDefault="00992A45" w:rsidP="007A4597">
      <w:pPr>
        <w:pStyle w:val="NormalNonumber"/>
        <w:numPr>
          <w:ilvl w:val="7"/>
          <w:numId w:val="201"/>
        </w:numPr>
        <w:tabs>
          <w:tab w:val="clear" w:pos="1247"/>
          <w:tab w:val="clear" w:pos="1871"/>
          <w:tab w:val="clear" w:pos="2495"/>
          <w:tab w:val="clear" w:pos="3119"/>
          <w:tab w:val="clear" w:pos="3742"/>
          <w:tab w:val="clear" w:pos="4366"/>
        </w:tabs>
        <w:ind w:left="1247" w:firstLine="624"/>
        <w:rPr>
          <w:lang w:val="en-GB"/>
        </w:rPr>
      </w:pPr>
      <w:r w:rsidRPr="00BD7721">
        <w:rPr>
          <w:lang w:val="en-GB"/>
        </w:rPr>
        <w:t xml:space="preserve">Following the completion of the invasive alien species assessment, provision of support on aspects relating to the completion, documenting and archiving of the work carried out during the development of the </w:t>
      </w:r>
      <w:proofErr w:type="gramStart"/>
      <w:r w:rsidRPr="00BD7721">
        <w:rPr>
          <w:lang w:val="en-GB"/>
        </w:rPr>
        <w:t>assessment;</w:t>
      </w:r>
      <w:proofErr w:type="gramEnd"/>
    </w:p>
    <w:p w14:paraId="212C3DEC" w14:textId="57B5B53D" w:rsidR="00992A45" w:rsidRPr="00BD7721" w:rsidRDefault="00992A45" w:rsidP="007A4597">
      <w:pPr>
        <w:pStyle w:val="NormalNonumber"/>
        <w:numPr>
          <w:ilvl w:val="7"/>
          <w:numId w:val="201"/>
        </w:numPr>
        <w:tabs>
          <w:tab w:val="clear" w:pos="1247"/>
          <w:tab w:val="clear" w:pos="1871"/>
          <w:tab w:val="clear" w:pos="2495"/>
          <w:tab w:val="clear" w:pos="3119"/>
          <w:tab w:val="clear" w:pos="3742"/>
          <w:tab w:val="clear" w:pos="4366"/>
        </w:tabs>
        <w:ind w:left="1247" w:firstLine="624"/>
        <w:rPr>
          <w:lang w:val="en-GB"/>
        </w:rPr>
      </w:pPr>
      <w:r w:rsidRPr="00BD7721">
        <w:rPr>
          <w:lang w:val="en-GB"/>
        </w:rPr>
        <w:t xml:space="preserve">Provision of support for the nexus, transformative change and business and biodiversity assessments, as well as any new assessment, with guidelines, tutorials and materials on the implementation of the data and knowledge management policy, as well as on aspects relating to the documentation of knowledge gaps, advanced data technologies and archiving of the work carried out during the development of the </w:t>
      </w:r>
      <w:proofErr w:type="gramStart"/>
      <w:r w:rsidRPr="00BD7721">
        <w:rPr>
          <w:lang w:val="en-GB"/>
        </w:rPr>
        <w:t>assessments;</w:t>
      </w:r>
      <w:proofErr w:type="gramEnd"/>
    </w:p>
    <w:p w14:paraId="39505017" w14:textId="43CC4EB8" w:rsidR="00992A45" w:rsidRPr="00BD7721" w:rsidRDefault="00992A45" w:rsidP="007A4597">
      <w:pPr>
        <w:pStyle w:val="NormalNonumber"/>
        <w:numPr>
          <w:ilvl w:val="7"/>
          <w:numId w:val="201"/>
        </w:numPr>
        <w:tabs>
          <w:tab w:val="clear" w:pos="1247"/>
          <w:tab w:val="clear" w:pos="1871"/>
          <w:tab w:val="clear" w:pos="2495"/>
          <w:tab w:val="clear" w:pos="3119"/>
          <w:tab w:val="clear" w:pos="3742"/>
          <w:tab w:val="clear" w:pos="4366"/>
        </w:tabs>
        <w:ind w:left="1247" w:firstLine="624"/>
        <w:rPr>
          <w:color w:val="000000"/>
          <w:lang w:val="en-GB"/>
        </w:rPr>
      </w:pPr>
      <w:r w:rsidRPr="00BD7721">
        <w:rPr>
          <w:lang w:val="en-GB"/>
        </w:rPr>
        <w:t>Prov</w:t>
      </w:r>
      <w:r w:rsidRPr="00BD7721">
        <w:rPr>
          <w:color w:val="000000"/>
          <w:lang w:val="en-GB"/>
        </w:rPr>
        <w:t xml:space="preserve">ision of support for the scoping of any new assessments on aspects relating to data and knowledge </w:t>
      </w:r>
      <w:r w:rsidRPr="00BD7721">
        <w:rPr>
          <w:lang w:val="en-GB"/>
        </w:rPr>
        <w:t>management</w:t>
      </w:r>
      <w:r w:rsidRPr="00BD7721">
        <w:rPr>
          <w:color w:val="000000"/>
          <w:lang w:val="en-GB"/>
        </w:rPr>
        <w:t>.</w:t>
      </w:r>
    </w:p>
    <w:p w14:paraId="591D5586" w14:textId="0B510BAC" w:rsidR="00992A45" w:rsidRPr="00BD7721" w:rsidRDefault="00992A45" w:rsidP="006E26B4">
      <w:pPr>
        <w:pStyle w:val="NormalNonumber"/>
        <w:numPr>
          <w:ilvl w:val="6"/>
          <w:numId w:val="201"/>
        </w:numPr>
        <w:tabs>
          <w:tab w:val="clear" w:pos="1247"/>
          <w:tab w:val="clear" w:pos="1871"/>
          <w:tab w:val="clear" w:pos="2495"/>
          <w:tab w:val="clear" w:pos="3119"/>
          <w:tab w:val="clear" w:pos="3742"/>
          <w:tab w:val="clear" w:pos="4366"/>
        </w:tabs>
        <w:ind w:left="1247" w:firstLine="0"/>
        <w:rPr>
          <w:color w:val="000000"/>
          <w:lang w:val="en-GB"/>
        </w:rPr>
      </w:pPr>
      <w:r w:rsidRPr="00BD7721">
        <w:rPr>
          <w:lang w:val="en-GB"/>
        </w:rPr>
        <w:t>Activities</w:t>
      </w:r>
      <w:r w:rsidRPr="00BD7721">
        <w:rPr>
          <w:color w:val="000000"/>
          <w:lang w:val="en-GB"/>
        </w:rPr>
        <w:t xml:space="preserve"> for engagement, as appropriate, with other entities, initiatives and service providers on data and </w:t>
      </w:r>
      <w:r w:rsidRPr="00BD7721">
        <w:rPr>
          <w:lang w:val="en-GB"/>
        </w:rPr>
        <w:t>knowledge</w:t>
      </w:r>
      <w:r w:rsidRPr="00BD7721">
        <w:rPr>
          <w:color w:val="000000"/>
          <w:lang w:val="en-GB"/>
        </w:rPr>
        <w:t xml:space="preserve"> relevant to IPBES will include:</w:t>
      </w:r>
    </w:p>
    <w:p w14:paraId="5566E758" w14:textId="5B9C5175" w:rsidR="00992A45" w:rsidRPr="00BD7721" w:rsidRDefault="00992A45" w:rsidP="00C147A5">
      <w:pPr>
        <w:pStyle w:val="NormalNonumber"/>
        <w:numPr>
          <w:ilvl w:val="7"/>
          <w:numId w:val="201"/>
        </w:numPr>
        <w:tabs>
          <w:tab w:val="clear" w:pos="1247"/>
          <w:tab w:val="clear" w:pos="1871"/>
          <w:tab w:val="clear" w:pos="2495"/>
          <w:tab w:val="clear" w:pos="3119"/>
          <w:tab w:val="clear" w:pos="3742"/>
          <w:tab w:val="clear" w:pos="4366"/>
        </w:tabs>
        <w:ind w:left="1247" w:firstLine="624"/>
        <w:rPr>
          <w:lang w:val="en-GB"/>
        </w:rPr>
      </w:pPr>
      <w:r w:rsidRPr="00BD7721">
        <w:rPr>
          <w:lang w:val="en-GB"/>
        </w:rPr>
        <w:t xml:space="preserve">Provision of support to IPBES experts concerning access to, handling of and, if needed, processing of a wide range of external data and </w:t>
      </w:r>
      <w:proofErr w:type="gramStart"/>
      <w:r w:rsidRPr="00BD7721">
        <w:rPr>
          <w:lang w:val="en-GB"/>
        </w:rPr>
        <w:t>knowledge;</w:t>
      </w:r>
      <w:proofErr w:type="gramEnd"/>
      <w:r w:rsidRPr="00BD7721">
        <w:rPr>
          <w:lang w:val="en-GB"/>
        </w:rPr>
        <w:t xml:space="preserve"> </w:t>
      </w:r>
    </w:p>
    <w:p w14:paraId="67C609DC" w14:textId="515184FA" w:rsidR="00992A45" w:rsidRPr="00BD7721" w:rsidRDefault="00992A45" w:rsidP="00C147A5">
      <w:pPr>
        <w:pStyle w:val="NormalNonumber"/>
        <w:numPr>
          <w:ilvl w:val="7"/>
          <w:numId w:val="201"/>
        </w:numPr>
        <w:tabs>
          <w:tab w:val="clear" w:pos="1247"/>
          <w:tab w:val="clear" w:pos="1871"/>
          <w:tab w:val="clear" w:pos="2495"/>
          <w:tab w:val="clear" w:pos="3119"/>
          <w:tab w:val="clear" w:pos="3742"/>
          <w:tab w:val="clear" w:pos="4366"/>
        </w:tabs>
        <w:ind w:left="1247" w:firstLine="624"/>
        <w:rPr>
          <w:lang w:val="en-GB"/>
        </w:rPr>
      </w:pPr>
      <w:r w:rsidRPr="00BD7721">
        <w:rPr>
          <w:lang w:val="en-GB"/>
        </w:rPr>
        <w:t xml:space="preserve">Provision of support to IPBES experts concerning the application of advanced data technologies and services offered by other </w:t>
      </w:r>
      <w:proofErr w:type="gramStart"/>
      <w:r w:rsidRPr="00BD7721">
        <w:rPr>
          <w:lang w:val="en-GB"/>
        </w:rPr>
        <w:t>entities;</w:t>
      </w:r>
      <w:proofErr w:type="gramEnd"/>
      <w:r w:rsidRPr="00BD7721">
        <w:rPr>
          <w:lang w:val="en-GB"/>
        </w:rPr>
        <w:t xml:space="preserve"> </w:t>
      </w:r>
    </w:p>
    <w:p w14:paraId="0762963F" w14:textId="051DCB98" w:rsidR="00C147A5" w:rsidRPr="00BD7721" w:rsidRDefault="00C147A5" w:rsidP="00C147A5">
      <w:pPr>
        <w:pStyle w:val="NormalNonumber"/>
        <w:numPr>
          <w:ilvl w:val="7"/>
          <w:numId w:val="201"/>
        </w:numPr>
        <w:tabs>
          <w:tab w:val="clear" w:pos="1247"/>
          <w:tab w:val="clear" w:pos="1871"/>
          <w:tab w:val="clear" w:pos="2495"/>
          <w:tab w:val="clear" w:pos="3119"/>
          <w:tab w:val="clear" w:pos="3742"/>
          <w:tab w:val="clear" w:pos="4366"/>
        </w:tabs>
        <w:ind w:left="1247" w:firstLine="624"/>
        <w:rPr>
          <w:lang w:val="en-GB"/>
        </w:rPr>
      </w:pPr>
      <w:r w:rsidRPr="00BD7721">
        <w:rPr>
          <w:lang w:val="en-GB"/>
        </w:rPr>
        <w:t>Sharing</w:t>
      </w:r>
      <w:r w:rsidRPr="00BD7721">
        <w:rPr>
          <w:color w:val="000000"/>
          <w:lang w:val="en-GB"/>
        </w:rPr>
        <w:t xml:space="preserve"> of relevant information on knowledge and data with capacity-building initiatives under </w:t>
      </w:r>
      <w:r w:rsidRPr="00BD7721">
        <w:rPr>
          <w:lang w:val="en-GB"/>
        </w:rPr>
        <w:t>biodiversity</w:t>
      </w:r>
      <w:r w:rsidRPr="00BD7721">
        <w:rPr>
          <w:color w:val="000000"/>
          <w:lang w:val="en-GB"/>
        </w:rPr>
        <w:t>-related multilateral agreements</w:t>
      </w:r>
      <w:r w:rsidRPr="00BD7721">
        <w:rPr>
          <w:lang w:val="en-GB"/>
        </w:rPr>
        <w:t xml:space="preserve"> </w:t>
      </w:r>
      <w:r w:rsidRPr="00BD7721">
        <w:rPr>
          <w:color w:val="000000"/>
          <w:lang w:val="en-GB"/>
        </w:rPr>
        <w:t>an</w:t>
      </w:r>
      <w:r w:rsidRPr="00BD7721">
        <w:rPr>
          <w:lang w:val="en-GB"/>
        </w:rPr>
        <w:t xml:space="preserve">d with other research centres, </w:t>
      </w:r>
      <w:r w:rsidRPr="00BD7721">
        <w:rPr>
          <w:color w:val="000000"/>
          <w:lang w:val="en-GB"/>
        </w:rPr>
        <w:t>as appropriate</w:t>
      </w:r>
      <w:r w:rsidR="0075787F" w:rsidRPr="00BD7721">
        <w:rPr>
          <w:color w:val="000000"/>
          <w:lang w:val="en-GB"/>
        </w:rPr>
        <w:t>.</w:t>
      </w:r>
    </w:p>
    <w:p w14:paraId="32B9D1AE" w14:textId="6A97E7EE" w:rsidR="00992A45" w:rsidRPr="00BD7721" w:rsidRDefault="00992A45" w:rsidP="006E26B4">
      <w:pPr>
        <w:pStyle w:val="NormalNonumber"/>
        <w:numPr>
          <w:ilvl w:val="6"/>
          <w:numId w:val="201"/>
        </w:numPr>
        <w:tabs>
          <w:tab w:val="clear" w:pos="1247"/>
          <w:tab w:val="clear" w:pos="1871"/>
          <w:tab w:val="clear" w:pos="2495"/>
          <w:tab w:val="clear" w:pos="3119"/>
          <w:tab w:val="clear" w:pos="3742"/>
          <w:tab w:val="clear" w:pos="4366"/>
        </w:tabs>
        <w:ind w:left="1247" w:firstLine="0"/>
        <w:rPr>
          <w:lang w:val="en-GB"/>
        </w:rPr>
      </w:pPr>
      <w:r w:rsidRPr="00BD7721">
        <w:rPr>
          <w:lang w:val="en-GB"/>
        </w:rPr>
        <w:t>Activities to ensure effective implementation of the workplan include continuing the development and monitoring of a set of relevant indicators for measuring effectiveness. The set of indicators developed will be presented to the Plenary, at its eleventh session, as part of the draft workplan for the intersessional period 2024–2025.</w:t>
      </w:r>
    </w:p>
    <w:p w14:paraId="0C0ADF6F" w14:textId="77777777" w:rsidR="008C3AAF" w:rsidRPr="00BD7721" w:rsidRDefault="008C3AAF" w:rsidP="007A4597">
      <w:pPr>
        <w:pStyle w:val="Normal-pool"/>
        <w:rPr>
          <w:lang w:val="en-GB"/>
        </w:rPr>
        <w:sectPr w:rsidR="008C3AAF" w:rsidRPr="00BD7721" w:rsidSect="008C3AAF">
          <w:footnotePr>
            <w:numRestart w:val="eachSect"/>
          </w:footnotePr>
          <w:pgSz w:w="11907" w:h="16839" w:code="9"/>
          <w:pgMar w:top="907" w:right="992" w:bottom="1418" w:left="1418" w:header="539" w:footer="975" w:gutter="0"/>
          <w:cols w:space="539"/>
          <w:docGrid w:linePitch="360"/>
        </w:sectPr>
      </w:pPr>
    </w:p>
    <w:p w14:paraId="72182491" w14:textId="2DF64C76" w:rsidR="00992A45" w:rsidRPr="00BD7721" w:rsidRDefault="00C43F80" w:rsidP="00C43F80">
      <w:pPr>
        <w:pStyle w:val="CH1"/>
        <w:rPr>
          <w:lang w:val="en-GB"/>
        </w:rPr>
      </w:pPr>
      <w:r w:rsidRPr="00BD7721">
        <w:rPr>
          <w:lang w:val="en-GB"/>
        </w:rPr>
        <w:tab/>
      </w:r>
      <w:r w:rsidRPr="00BD7721">
        <w:rPr>
          <w:lang w:val="en-GB"/>
        </w:rPr>
        <w:tab/>
      </w:r>
      <w:r w:rsidR="00992A45" w:rsidRPr="00BD7721">
        <w:rPr>
          <w:lang w:val="en-GB"/>
        </w:rPr>
        <w:t>Annex V to decision IPBES-10/1</w:t>
      </w:r>
    </w:p>
    <w:p w14:paraId="233FD4CD" w14:textId="3DC7B32D" w:rsidR="00992A45" w:rsidRPr="00BD7721" w:rsidRDefault="00D9600D" w:rsidP="00D9600D">
      <w:pPr>
        <w:pStyle w:val="CH1"/>
        <w:rPr>
          <w:lang w:val="en-GB"/>
        </w:rPr>
      </w:pPr>
      <w:r w:rsidRPr="00BD7721">
        <w:rPr>
          <w:lang w:val="en-GB"/>
        </w:rPr>
        <w:tab/>
      </w:r>
      <w:r w:rsidRPr="00BD7721">
        <w:rPr>
          <w:lang w:val="en-GB"/>
        </w:rPr>
        <w:tab/>
      </w:r>
      <w:r w:rsidR="00992A45" w:rsidRPr="00BD7721">
        <w:rPr>
          <w:lang w:val="en-GB"/>
        </w:rPr>
        <w:t>Workplan for objective 3 (a): advanced work on knowledge and data – knowledge generation catalysis, for the intersessional period 2023–2024</w:t>
      </w:r>
    </w:p>
    <w:p w14:paraId="62D37557" w14:textId="17DC2B2B" w:rsidR="00992A45" w:rsidRPr="00BD7721" w:rsidRDefault="00992A45" w:rsidP="0075787F">
      <w:pPr>
        <w:pStyle w:val="NormalNonumber"/>
        <w:numPr>
          <w:ilvl w:val="6"/>
          <w:numId w:val="203"/>
        </w:numPr>
        <w:tabs>
          <w:tab w:val="clear" w:pos="1247"/>
          <w:tab w:val="clear" w:pos="1871"/>
          <w:tab w:val="clear" w:pos="2495"/>
          <w:tab w:val="clear" w:pos="3119"/>
          <w:tab w:val="clear" w:pos="3742"/>
          <w:tab w:val="clear" w:pos="4366"/>
        </w:tabs>
        <w:ind w:left="1247" w:firstLine="0"/>
        <w:rPr>
          <w:lang w:val="en-GB"/>
        </w:rPr>
      </w:pPr>
      <w:r w:rsidRPr="00BD7721">
        <w:rPr>
          <w:color w:val="000000"/>
          <w:lang w:val="en-GB"/>
        </w:rPr>
        <w:t>The</w:t>
      </w:r>
      <w:r w:rsidRPr="00BD7721">
        <w:rPr>
          <w:lang w:val="en-GB"/>
        </w:rPr>
        <w:t xml:space="preserve"> Multidisciplinary Expert Panel and the Bureau will oversee and take part, within the scope of their respective mandates, in the implementation of the following workplan</w:t>
      </w:r>
      <w:r w:rsidRPr="00BD7721">
        <w:rPr>
          <w:color w:val="000000"/>
          <w:lang w:val="en-GB"/>
        </w:rPr>
        <w:t xml:space="preserve"> for the knowledge generation catalysis aspect of objective</w:t>
      </w:r>
      <w:r w:rsidR="004212A9" w:rsidRPr="00BD7721">
        <w:rPr>
          <w:color w:val="000000"/>
          <w:lang w:val="en-GB"/>
        </w:rPr>
        <w:t xml:space="preserve"> </w:t>
      </w:r>
      <w:r w:rsidRPr="00BD7721">
        <w:rPr>
          <w:color w:val="000000"/>
          <w:lang w:val="en-GB"/>
        </w:rPr>
        <w:t>3</w:t>
      </w:r>
      <w:r w:rsidR="004212A9" w:rsidRPr="00BD7721">
        <w:rPr>
          <w:color w:val="000000"/>
          <w:lang w:val="en-GB"/>
        </w:rPr>
        <w:t xml:space="preserve"> </w:t>
      </w:r>
      <w:r w:rsidRPr="00BD7721">
        <w:rPr>
          <w:color w:val="000000"/>
          <w:lang w:val="en-GB"/>
        </w:rPr>
        <w:t>(a)</w:t>
      </w:r>
      <w:r w:rsidRPr="00BD7721">
        <w:rPr>
          <w:lang w:val="en-GB"/>
        </w:rPr>
        <w:t xml:space="preserve">, supported by the secretariat, including a dedicated technical support unit. </w:t>
      </w:r>
    </w:p>
    <w:p w14:paraId="654985A3" w14:textId="63244DA2" w:rsidR="00992A45" w:rsidRPr="00BD7721" w:rsidRDefault="00992A45" w:rsidP="0075787F">
      <w:pPr>
        <w:pStyle w:val="NormalNonumber"/>
        <w:numPr>
          <w:ilvl w:val="6"/>
          <w:numId w:val="203"/>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Activities for the review and further development, based on lessons learned from ongoing assessments, of the process for catalysing the generation of new knowledge, the living guidelines to support assessment authors in identifying knowledge gaps and the template for the collection of knowledge gaps will include the development of a proposal to enhance the early and efficient communication of knowledge gaps related to upcoming and ongoing IPBES assessments</w:t>
      </w:r>
      <w:r w:rsidRPr="00BD7721">
        <w:rPr>
          <w:lang w:val="en-GB"/>
        </w:rPr>
        <w:t xml:space="preserve"> in collaboration with the task forces for scenarios and models and for Indigenous and local knowledge.</w:t>
      </w:r>
    </w:p>
    <w:p w14:paraId="5098A1CB" w14:textId="02C326BB" w:rsidR="00992A45" w:rsidRPr="00BD7721" w:rsidRDefault="00992A45" w:rsidP="0075787F">
      <w:pPr>
        <w:pStyle w:val="NormalNonumber"/>
        <w:numPr>
          <w:ilvl w:val="6"/>
          <w:numId w:val="203"/>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Activities for the provision of support to assessment authors in identifying knowledge gaps, including in producing a list of knowledge gaps as part of the assessments, using the guidelines and template, will include overseeing the technical support provided to assessment experts in the process of knowledge gap identification, presentation and collection.</w:t>
      </w:r>
    </w:p>
    <w:p w14:paraId="0A83D1F3" w14:textId="13B19679" w:rsidR="00992A45" w:rsidRPr="00BD7721" w:rsidRDefault="00992A45" w:rsidP="0075787F">
      <w:pPr>
        <w:pStyle w:val="NormalNonumber"/>
        <w:numPr>
          <w:ilvl w:val="6"/>
          <w:numId w:val="203"/>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Activities for the promotion of actions by relevant external organizations and initiatives to address identified knowledge gaps will include:</w:t>
      </w:r>
    </w:p>
    <w:p w14:paraId="7E1A0BA6" w14:textId="703E8163" w:rsidR="00992A45" w:rsidRPr="00BD7721" w:rsidRDefault="00992A45" w:rsidP="009C3F45">
      <w:pPr>
        <w:pStyle w:val="NormalNonumber"/>
        <w:numPr>
          <w:ilvl w:val="7"/>
          <w:numId w:val="203"/>
        </w:numPr>
        <w:tabs>
          <w:tab w:val="clear" w:pos="1247"/>
          <w:tab w:val="clear" w:pos="1871"/>
          <w:tab w:val="clear" w:pos="2495"/>
          <w:tab w:val="clear" w:pos="3119"/>
          <w:tab w:val="clear" w:pos="3742"/>
          <w:tab w:val="clear" w:pos="4366"/>
        </w:tabs>
        <w:ind w:left="1247" w:firstLine="624"/>
        <w:rPr>
          <w:color w:val="000000"/>
          <w:lang w:val="en-GB"/>
        </w:rPr>
      </w:pPr>
      <w:r w:rsidRPr="00BD7721">
        <w:rPr>
          <w:color w:val="000000"/>
          <w:lang w:val="en-GB"/>
        </w:rPr>
        <w:t xml:space="preserve">Overseeing the development of a space on the IPBES website where knowledge gaps identified in completed IPBES assessments can be easily accessed, filtered and </w:t>
      </w:r>
      <w:proofErr w:type="gramStart"/>
      <w:r w:rsidRPr="00BD7721">
        <w:rPr>
          <w:color w:val="000000"/>
          <w:lang w:val="en-GB"/>
        </w:rPr>
        <w:t>searched;</w:t>
      </w:r>
      <w:proofErr w:type="gramEnd"/>
    </w:p>
    <w:p w14:paraId="483DDE3C" w14:textId="68957C22" w:rsidR="00992A45" w:rsidRPr="00BD7721" w:rsidRDefault="00992A45" w:rsidP="009C3F45">
      <w:pPr>
        <w:pStyle w:val="NormalNonumber"/>
        <w:numPr>
          <w:ilvl w:val="7"/>
          <w:numId w:val="203"/>
        </w:numPr>
        <w:tabs>
          <w:tab w:val="clear" w:pos="1247"/>
          <w:tab w:val="clear" w:pos="1871"/>
          <w:tab w:val="clear" w:pos="2495"/>
          <w:tab w:val="clear" w:pos="3119"/>
          <w:tab w:val="clear" w:pos="3742"/>
          <w:tab w:val="clear" w:pos="4366"/>
        </w:tabs>
        <w:ind w:left="1247" w:firstLine="624"/>
        <w:rPr>
          <w:color w:val="000000"/>
          <w:lang w:val="en-GB"/>
        </w:rPr>
      </w:pPr>
      <w:r w:rsidRPr="00BD7721">
        <w:rPr>
          <w:color w:val="000000"/>
          <w:lang w:val="en-GB"/>
        </w:rPr>
        <w:t xml:space="preserve">Overseeing the issuance of a notification by the secretariat communicating the knowledge gaps identified in the assessment of invasive alien species to IPBES members and </w:t>
      </w:r>
      <w:proofErr w:type="gramStart"/>
      <w:r w:rsidRPr="00BD7721">
        <w:rPr>
          <w:color w:val="000000"/>
          <w:lang w:val="en-GB"/>
        </w:rPr>
        <w:t>stakeholders;</w:t>
      </w:r>
      <w:proofErr w:type="gramEnd"/>
    </w:p>
    <w:p w14:paraId="08837240" w14:textId="1CA83730" w:rsidR="00992A45" w:rsidRPr="00BD7721" w:rsidRDefault="00992A45" w:rsidP="009C3F45">
      <w:pPr>
        <w:pStyle w:val="NormalNonumber"/>
        <w:numPr>
          <w:ilvl w:val="7"/>
          <w:numId w:val="203"/>
        </w:numPr>
        <w:tabs>
          <w:tab w:val="clear" w:pos="1247"/>
          <w:tab w:val="clear" w:pos="1871"/>
          <w:tab w:val="clear" w:pos="2495"/>
          <w:tab w:val="clear" w:pos="3119"/>
          <w:tab w:val="clear" w:pos="3742"/>
          <w:tab w:val="clear" w:pos="4366"/>
        </w:tabs>
        <w:ind w:left="1247" w:firstLine="624"/>
        <w:rPr>
          <w:color w:val="000000"/>
          <w:lang w:val="en-GB"/>
        </w:rPr>
      </w:pPr>
      <w:r w:rsidRPr="00BD7721">
        <w:rPr>
          <w:color w:val="000000"/>
          <w:lang w:val="en-GB"/>
        </w:rPr>
        <w:t>Providing input to dialogue meetings with national focal points to share knowledge gaps identified in completed IPBES assessments with a view to supporting Governments in facilitating the generation of new knowledge (see annex</w:t>
      </w:r>
      <w:r w:rsidR="00D06244" w:rsidRPr="00BD7721">
        <w:rPr>
          <w:color w:val="000000"/>
          <w:lang w:val="en-GB"/>
        </w:rPr>
        <w:t>es</w:t>
      </w:r>
      <w:r w:rsidRPr="00BD7721">
        <w:rPr>
          <w:color w:val="000000"/>
          <w:lang w:val="en-GB"/>
        </w:rPr>
        <w:t xml:space="preserve"> III and VII</w:t>
      </w:r>
      <w:proofErr w:type="gramStart"/>
      <w:r w:rsidRPr="00BD7721">
        <w:rPr>
          <w:color w:val="000000"/>
          <w:lang w:val="en-GB"/>
        </w:rPr>
        <w:t>);</w:t>
      </w:r>
      <w:proofErr w:type="gramEnd"/>
      <w:r w:rsidRPr="00BD7721">
        <w:rPr>
          <w:color w:val="000000"/>
          <w:lang w:val="en-GB"/>
        </w:rPr>
        <w:t xml:space="preserve"> </w:t>
      </w:r>
    </w:p>
    <w:p w14:paraId="35C2BB8C" w14:textId="47C740C3" w:rsidR="00992A45" w:rsidRPr="00BD7721" w:rsidRDefault="00992A45" w:rsidP="009C3F45">
      <w:pPr>
        <w:pStyle w:val="NormalNonumber"/>
        <w:numPr>
          <w:ilvl w:val="7"/>
          <w:numId w:val="203"/>
        </w:numPr>
        <w:tabs>
          <w:tab w:val="clear" w:pos="1247"/>
          <w:tab w:val="clear" w:pos="1871"/>
          <w:tab w:val="clear" w:pos="2495"/>
          <w:tab w:val="clear" w:pos="3119"/>
          <w:tab w:val="clear" w:pos="3742"/>
          <w:tab w:val="clear" w:pos="4366"/>
        </w:tabs>
        <w:ind w:left="1247" w:firstLine="624"/>
        <w:rPr>
          <w:color w:val="000000"/>
          <w:lang w:val="en-GB"/>
        </w:rPr>
      </w:pPr>
      <w:r w:rsidRPr="00BD7721">
        <w:rPr>
          <w:color w:val="000000"/>
          <w:lang w:val="en-GB"/>
        </w:rPr>
        <w:t xml:space="preserve">Providing input to (online) workshops organized by regional networks of research programmers and funders or the biodiversity and ecosystem services research community to communicate knowledge gaps identified in completed IPBES assessments to those networks and their </w:t>
      </w:r>
      <w:proofErr w:type="gramStart"/>
      <w:r w:rsidRPr="00BD7721">
        <w:rPr>
          <w:color w:val="000000"/>
          <w:lang w:val="en-GB"/>
        </w:rPr>
        <w:t>members;</w:t>
      </w:r>
      <w:proofErr w:type="gramEnd"/>
    </w:p>
    <w:p w14:paraId="0AA1A97A" w14:textId="066FC1BA" w:rsidR="00992A45" w:rsidRPr="00BD7721" w:rsidRDefault="00992A45" w:rsidP="009C3F45">
      <w:pPr>
        <w:pStyle w:val="NormalNonumber"/>
        <w:numPr>
          <w:ilvl w:val="7"/>
          <w:numId w:val="203"/>
        </w:numPr>
        <w:tabs>
          <w:tab w:val="clear" w:pos="1247"/>
          <w:tab w:val="clear" w:pos="1871"/>
          <w:tab w:val="clear" w:pos="2495"/>
          <w:tab w:val="clear" w:pos="3119"/>
          <w:tab w:val="clear" w:pos="3742"/>
          <w:tab w:val="clear" w:pos="4366"/>
        </w:tabs>
        <w:ind w:left="1247" w:firstLine="624"/>
        <w:rPr>
          <w:color w:val="000000"/>
          <w:lang w:val="en-GB"/>
        </w:rPr>
      </w:pPr>
      <w:r w:rsidRPr="00BD7721">
        <w:rPr>
          <w:color w:val="000000"/>
          <w:lang w:val="en-GB"/>
        </w:rPr>
        <w:t>Development of an outreach stra</w:t>
      </w:r>
      <w:r w:rsidRPr="00BD7721">
        <w:rPr>
          <w:lang w:val="en-GB"/>
        </w:rPr>
        <w:t xml:space="preserve">tegy </w:t>
      </w:r>
      <w:r w:rsidRPr="00BD7721">
        <w:rPr>
          <w:color w:val="000000"/>
          <w:lang w:val="en-GB"/>
        </w:rPr>
        <w:t xml:space="preserve">and engagement </w:t>
      </w:r>
      <w:r w:rsidRPr="00BD7721">
        <w:rPr>
          <w:lang w:val="en-GB"/>
        </w:rPr>
        <w:t xml:space="preserve">plan </w:t>
      </w:r>
      <w:r w:rsidRPr="00BD7721">
        <w:rPr>
          <w:color w:val="000000"/>
          <w:lang w:val="en-GB"/>
        </w:rPr>
        <w:t>to communicate knowledge gaps to research</w:t>
      </w:r>
      <w:r w:rsidRPr="00BD7721">
        <w:rPr>
          <w:lang w:val="en-GB"/>
        </w:rPr>
        <w:t xml:space="preserve"> programming and</w:t>
      </w:r>
      <w:r w:rsidRPr="00BD7721">
        <w:rPr>
          <w:color w:val="000000"/>
          <w:lang w:val="en-GB"/>
        </w:rPr>
        <w:t xml:space="preserve"> funding organizations.</w:t>
      </w:r>
      <w:r w:rsidRPr="00BD7721">
        <w:rPr>
          <w:lang w:val="en-GB"/>
        </w:rPr>
        <w:t xml:space="preserve"> </w:t>
      </w:r>
    </w:p>
    <w:p w14:paraId="76EF68F6" w14:textId="7B1442FB" w:rsidR="00992A45" w:rsidRPr="00BD7721" w:rsidRDefault="00992A45" w:rsidP="0075787F">
      <w:pPr>
        <w:pStyle w:val="NormalNonumber"/>
        <w:numPr>
          <w:ilvl w:val="6"/>
          <w:numId w:val="203"/>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The impact of knowledge generation catalysis efforts to effectively fill the identified gaps will be monitored and evaluated.</w:t>
      </w:r>
    </w:p>
    <w:p w14:paraId="599A95AF" w14:textId="7DD12251" w:rsidR="00992A45" w:rsidRPr="00BD7721" w:rsidRDefault="00992A45" w:rsidP="0075787F">
      <w:pPr>
        <w:pStyle w:val="NormalNonumber"/>
        <w:numPr>
          <w:ilvl w:val="6"/>
          <w:numId w:val="203"/>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Activities to ensure effective implementation of the workplan include the development and monitoring of a set of relevant indicators for measuring effectiveness. The set of indicators developed will be presented to the Plenary, at its eleventh session, as part of the draft workplan for the intersessional period 2024–2025.</w:t>
      </w:r>
    </w:p>
    <w:p w14:paraId="1A6D3F35" w14:textId="310D6B1D" w:rsidR="00992A45" w:rsidRPr="00BD7721" w:rsidRDefault="00992A45" w:rsidP="0075787F">
      <w:pPr>
        <w:pStyle w:val="NormalNonumber"/>
        <w:numPr>
          <w:ilvl w:val="6"/>
          <w:numId w:val="203"/>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A call for submissions on ways to strengthen the ambition of the work of IPBES on knowledge generation catalysis will be issued after the tenth session of the Plenary. The submissions will be considered in the development of the draft workplans for the intersessional periods 2024–2025 and 2025–2026, for the implementation of the knowledge generation catalysis element of objective 3 (a), which the Plenary will consider at its eleventh session.</w:t>
      </w:r>
    </w:p>
    <w:p w14:paraId="5955BB07" w14:textId="77777777" w:rsidR="00923F50" w:rsidRPr="00BD7721" w:rsidRDefault="00923F50" w:rsidP="00923F50">
      <w:pPr>
        <w:pStyle w:val="Normal-pool"/>
        <w:rPr>
          <w:lang w:val="en-GB"/>
        </w:rPr>
      </w:pPr>
    </w:p>
    <w:p w14:paraId="6AAD00ED" w14:textId="77777777" w:rsidR="00923F50" w:rsidRPr="00BD7721" w:rsidRDefault="00923F50" w:rsidP="00923F50">
      <w:pPr>
        <w:pStyle w:val="Normal-pool"/>
        <w:rPr>
          <w:lang w:val="en-GB"/>
        </w:rPr>
        <w:sectPr w:rsidR="00923F50" w:rsidRPr="00BD7721" w:rsidSect="008C3AAF">
          <w:footnotePr>
            <w:numRestart w:val="eachSect"/>
          </w:footnotePr>
          <w:pgSz w:w="11907" w:h="16839" w:code="9"/>
          <w:pgMar w:top="907" w:right="992" w:bottom="1418" w:left="1418" w:header="539" w:footer="975" w:gutter="0"/>
          <w:cols w:space="539"/>
          <w:docGrid w:linePitch="360"/>
        </w:sectPr>
      </w:pPr>
    </w:p>
    <w:p w14:paraId="07569004" w14:textId="2049C5EB" w:rsidR="00992A45" w:rsidRPr="00BD7721" w:rsidRDefault="00C43F80" w:rsidP="00C43F80">
      <w:pPr>
        <w:pStyle w:val="CH1"/>
        <w:rPr>
          <w:lang w:val="en-GB"/>
        </w:rPr>
      </w:pPr>
      <w:r w:rsidRPr="00BD7721">
        <w:rPr>
          <w:lang w:val="en-GB"/>
        </w:rPr>
        <w:tab/>
      </w:r>
      <w:r w:rsidRPr="00BD7721">
        <w:rPr>
          <w:lang w:val="en-GB"/>
        </w:rPr>
        <w:tab/>
      </w:r>
      <w:r w:rsidR="00992A45" w:rsidRPr="00BD7721">
        <w:rPr>
          <w:lang w:val="en-GB"/>
        </w:rPr>
        <w:t>Annex VI to decision IPBES-10/1</w:t>
      </w:r>
    </w:p>
    <w:p w14:paraId="1EDF985C" w14:textId="7C59F005" w:rsidR="00992A45" w:rsidRPr="00BD7721" w:rsidRDefault="00D9600D" w:rsidP="00D9600D">
      <w:pPr>
        <w:pStyle w:val="CH1"/>
        <w:rPr>
          <w:lang w:val="en-GB"/>
        </w:rPr>
      </w:pPr>
      <w:r w:rsidRPr="00BD7721">
        <w:rPr>
          <w:lang w:val="en-GB"/>
        </w:rPr>
        <w:tab/>
      </w:r>
      <w:r w:rsidRPr="00BD7721">
        <w:rPr>
          <w:lang w:val="en-GB"/>
        </w:rPr>
        <w:tab/>
      </w:r>
      <w:r w:rsidR="00992A45" w:rsidRPr="00BD7721">
        <w:rPr>
          <w:lang w:val="en-GB"/>
        </w:rPr>
        <w:t xml:space="preserve">Workplan for objective 3 (b): enhanced recognition of and work with Indigenous and local knowledge systems, for the intersessional period 2023–2024 </w:t>
      </w:r>
    </w:p>
    <w:p w14:paraId="02E4D007" w14:textId="77777777" w:rsidR="00992A45" w:rsidRPr="00BD7721" w:rsidRDefault="00992A45" w:rsidP="00FA2526">
      <w:pPr>
        <w:pStyle w:val="Normalnumber"/>
        <w:numPr>
          <w:ilvl w:val="0"/>
          <w:numId w:val="60"/>
        </w:numPr>
        <w:ind w:left="1247"/>
        <w:rPr>
          <w:lang w:val="en-GB"/>
        </w:rPr>
      </w:pPr>
      <w:r w:rsidRPr="00BD7721">
        <w:rPr>
          <w:lang w:val="en-GB"/>
        </w:rPr>
        <w:t>A task force on Indigenous and local knowledge will implement the following workplan for objective 3 (b), supported by the secretariat, including a dedicated technical support unit.</w:t>
      </w:r>
    </w:p>
    <w:p w14:paraId="1F0D3E6A" w14:textId="77777777" w:rsidR="00992A45" w:rsidRPr="00BD7721" w:rsidRDefault="00992A45" w:rsidP="00FA2526">
      <w:pPr>
        <w:pStyle w:val="Normalnumber"/>
        <w:numPr>
          <w:ilvl w:val="0"/>
          <w:numId w:val="21"/>
        </w:numPr>
        <w:ind w:left="1247"/>
        <w:rPr>
          <w:lang w:val="en-GB"/>
        </w:rPr>
      </w:pPr>
      <w:r w:rsidRPr="00BD7721">
        <w:rPr>
          <w:lang w:val="en-GB"/>
        </w:rPr>
        <w:t>Activities for the implementation of the approach to recognizing and working with Indigenous and local knowledge in IPBES will include the following:</w:t>
      </w:r>
    </w:p>
    <w:p w14:paraId="5A201FE2" w14:textId="2159E9E0" w:rsidR="00992A45" w:rsidRPr="00BD7721" w:rsidRDefault="00992A45" w:rsidP="005C1273">
      <w:pPr>
        <w:pStyle w:val="Normalnumber"/>
        <w:numPr>
          <w:ilvl w:val="1"/>
          <w:numId w:val="21"/>
        </w:numPr>
        <w:tabs>
          <w:tab w:val="clear" w:pos="2495"/>
        </w:tabs>
        <w:ind w:left="1247" w:firstLine="624"/>
        <w:rPr>
          <w:lang w:val="en-GB"/>
        </w:rPr>
      </w:pPr>
      <w:r w:rsidRPr="00BD7721">
        <w:rPr>
          <w:lang w:val="en-GB"/>
        </w:rPr>
        <w:t>Based on the report</w:t>
      </w:r>
      <w:r w:rsidRPr="00BD7721">
        <w:rPr>
          <w:vertAlign w:val="superscript"/>
          <w:lang w:val="en-GB"/>
        </w:rPr>
        <w:footnoteReference w:id="29"/>
      </w:r>
      <w:r w:rsidRPr="00BD7721">
        <w:rPr>
          <w:lang w:val="en-GB"/>
        </w:rPr>
        <w:t xml:space="preserve"> of the review of inclusion of Indigenous and local knowledge in IPBES functions and deliverables, the task force on Indigenous and local knowledge will draft a workplan. The workplan will be made available for external review by Governments and stakeholders, including Indigenous peoples and local </w:t>
      </w:r>
      <w:r w:rsidRPr="00BD7721">
        <w:rPr>
          <w:color w:val="000000"/>
          <w:lang w:val="en-GB"/>
        </w:rPr>
        <w:t>communities</w:t>
      </w:r>
      <w:r w:rsidRPr="00BD7721">
        <w:rPr>
          <w:lang w:val="en-GB"/>
        </w:rPr>
        <w:t xml:space="preserve">, the International Indigenous Forum on Biodiversity and Ecosystem Services, and other relevant actors (including knowledge holders and rights holders) and presented for approval to the Plenary at its eleventh </w:t>
      </w:r>
      <w:proofErr w:type="gramStart"/>
      <w:r w:rsidRPr="00BD7721">
        <w:rPr>
          <w:lang w:val="en-GB"/>
        </w:rPr>
        <w:t>session</w:t>
      </w:r>
      <w:r w:rsidR="004C1335" w:rsidRPr="00BD7721">
        <w:rPr>
          <w:lang w:val="en-GB"/>
        </w:rPr>
        <w:t>;</w:t>
      </w:r>
      <w:proofErr w:type="gramEnd"/>
    </w:p>
    <w:p w14:paraId="1D73F480" w14:textId="77777777" w:rsidR="00992A45" w:rsidRPr="00BD7721" w:rsidRDefault="00992A45" w:rsidP="00FA2526">
      <w:pPr>
        <w:pStyle w:val="Normalnumber"/>
        <w:numPr>
          <w:ilvl w:val="1"/>
          <w:numId w:val="21"/>
        </w:numPr>
        <w:tabs>
          <w:tab w:val="clear" w:pos="2495"/>
        </w:tabs>
        <w:ind w:left="1247" w:firstLine="624"/>
        <w:rPr>
          <w:color w:val="000000"/>
          <w:lang w:val="en-GB"/>
        </w:rPr>
      </w:pPr>
      <w:r w:rsidRPr="00BD7721">
        <w:rPr>
          <w:color w:val="000000"/>
          <w:lang w:val="en-GB"/>
        </w:rPr>
        <w:t xml:space="preserve">Support </w:t>
      </w:r>
      <w:r w:rsidRPr="00BD7721">
        <w:rPr>
          <w:lang w:val="en-GB"/>
        </w:rPr>
        <w:t>for</w:t>
      </w:r>
      <w:r w:rsidRPr="00BD7721">
        <w:rPr>
          <w:color w:val="000000"/>
          <w:lang w:val="en-GB"/>
        </w:rPr>
        <w:t xml:space="preserve"> Indigenous and local knowledge liaison groups</w:t>
      </w:r>
      <w:r w:rsidRPr="00BD7721">
        <w:rPr>
          <w:color w:val="000000"/>
          <w:vertAlign w:val="superscript"/>
          <w:lang w:val="en-GB"/>
        </w:rPr>
        <w:footnoteReference w:id="30"/>
      </w:r>
      <w:r w:rsidRPr="00BD7721">
        <w:rPr>
          <w:color w:val="000000"/>
          <w:lang w:val="en-GB"/>
        </w:rPr>
        <w:t xml:space="preserve"> for assessments: </w:t>
      </w:r>
    </w:p>
    <w:p w14:paraId="04778C59" w14:textId="77777777" w:rsidR="00992A45" w:rsidRPr="00BD7721" w:rsidRDefault="00992A45" w:rsidP="00FA2526">
      <w:pPr>
        <w:pStyle w:val="Normalnumber"/>
        <w:numPr>
          <w:ilvl w:val="2"/>
          <w:numId w:val="21"/>
        </w:numPr>
        <w:tabs>
          <w:tab w:val="clear" w:pos="3119"/>
        </w:tabs>
        <w:rPr>
          <w:lang w:val="en-GB"/>
        </w:rPr>
      </w:pPr>
      <w:r w:rsidRPr="00BD7721">
        <w:rPr>
          <w:color w:val="000000"/>
          <w:lang w:val="en-GB"/>
        </w:rPr>
        <w:t xml:space="preserve">Provision of capacity-building and training with regard to recognizing and working with </w:t>
      </w:r>
      <w:r w:rsidRPr="00BD7721">
        <w:rPr>
          <w:lang w:val="en-GB"/>
        </w:rPr>
        <w:t>Indigenous and local knowledge to the Indigenous and local knowledge liaison groups for the nexus, transformative change and business and biodiversity assessments, in collaboration with the task force on capacity</w:t>
      </w:r>
      <w:r w:rsidRPr="00BD7721">
        <w:rPr>
          <w:lang w:val="en-GB"/>
        </w:rPr>
        <w:noBreakHyphen/>
        <w:t xml:space="preserve">building, where </w:t>
      </w:r>
      <w:proofErr w:type="gramStart"/>
      <w:r w:rsidRPr="00BD7721">
        <w:rPr>
          <w:lang w:val="en-GB"/>
        </w:rPr>
        <w:t>appropriate;</w:t>
      </w:r>
      <w:proofErr w:type="gramEnd"/>
    </w:p>
    <w:p w14:paraId="794FEE7F" w14:textId="77777777" w:rsidR="00992A45" w:rsidRPr="00BD7721" w:rsidRDefault="00992A45" w:rsidP="00FA2526">
      <w:pPr>
        <w:pStyle w:val="Normalnumber"/>
        <w:numPr>
          <w:ilvl w:val="2"/>
          <w:numId w:val="21"/>
        </w:numPr>
        <w:tabs>
          <w:tab w:val="clear" w:pos="3119"/>
        </w:tabs>
        <w:rPr>
          <w:lang w:val="en-GB"/>
        </w:rPr>
      </w:pPr>
      <w:r w:rsidRPr="00BD7721">
        <w:rPr>
          <w:lang w:val="en-GB"/>
        </w:rPr>
        <w:t xml:space="preserve">Provision of ongoing support to Indigenous and local knowledge liaison groups in using multiple types of evidence relating to Indigenous and local knowledge and in identifying and addressing gaps in the mobilization of existing Indigenous and local </w:t>
      </w:r>
      <w:proofErr w:type="gramStart"/>
      <w:r w:rsidRPr="00BD7721">
        <w:rPr>
          <w:lang w:val="en-GB"/>
        </w:rPr>
        <w:t>knowledge;</w:t>
      </w:r>
      <w:proofErr w:type="gramEnd"/>
    </w:p>
    <w:p w14:paraId="0A7D78DF" w14:textId="116E0C2C" w:rsidR="00992A45" w:rsidRPr="00BD7721" w:rsidRDefault="00992A45" w:rsidP="00FA2526">
      <w:pPr>
        <w:pStyle w:val="Normalnumber"/>
        <w:numPr>
          <w:ilvl w:val="2"/>
          <w:numId w:val="21"/>
        </w:numPr>
        <w:tabs>
          <w:tab w:val="clear" w:pos="3119"/>
        </w:tabs>
        <w:rPr>
          <w:lang w:val="en-GB"/>
        </w:rPr>
      </w:pPr>
      <w:r w:rsidRPr="00BD7721">
        <w:rPr>
          <w:lang w:val="en-GB"/>
        </w:rPr>
        <w:t xml:space="preserve">Provision of support to the scoping expert groups of any new </w:t>
      </w:r>
      <w:proofErr w:type="gramStart"/>
      <w:r w:rsidRPr="00BD7721">
        <w:rPr>
          <w:lang w:val="en-GB"/>
        </w:rPr>
        <w:t>assessments;</w:t>
      </w:r>
      <w:proofErr w:type="gramEnd"/>
    </w:p>
    <w:p w14:paraId="0A92CADF" w14:textId="77777777" w:rsidR="00992A45" w:rsidRPr="00BD7721" w:rsidRDefault="00992A45" w:rsidP="00FA2526">
      <w:pPr>
        <w:pStyle w:val="Normalnumber"/>
        <w:numPr>
          <w:ilvl w:val="1"/>
          <w:numId w:val="21"/>
        </w:numPr>
        <w:tabs>
          <w:tab w:val="clear" w:pos="2495"/>
        </w:tabs>
        <w:ind w:left="1247" w:firstLine="624"/>
        <w:rPr>
          <w:color w:val="000000"/>
          <w:lang w:val="en-GB"/>
        </w:rPr>
      </w:pPr>
      <w:r w:rsidRPr="00BD7721">
        <w:rPr>
          <w:color w:val="000000"/>
          <w:lang w:val="en-GB"/>
        </w:rPr>
        <w:t xml:space="preserve">Dialogue workshops with members of Indigenous Peoples and local communities and experts on Indigenous </w:t>
      </w:r>
      <w:r w:rsidRPr="00BD7721">
        <w:rPr>
          <w:lang w:val="en-GB"/>
        </w:rPr>
        <w:t>and</w:t>
      </w:r>
      <w:r w:rsidRPr="00BD7721">
        <w:rPr>
          <w:color w:val="000000"/>
          <w:lang w:val="en-GB"/>
        </w:rPr>
        <w:t xml:space="preserve"> local knowledge: </w:t>
      </w:r>
    </w:p>
    <w:p w14:paraId="3C7D87E8" w14:textId="77777777" w:rsidR="00992A45" w:rsidRPr="00BD7721" w:rsidRDefault="00992A45" w:rsidP="00FA2526">
      <w:pPr>
        <w:pStyle w:val="Normalnumber"/>
        <w:numPr>
          <w:ilvl w:val="2"/>
          <w:numId w:val="21"/>
        </w:numPr>
        <w:tabs>
          <w:tab w:val="clear" w:pos="3119"/>
        </w:tabs>
        <w:rPr>
          <w:color w:val="000000"/>
          <w:lang w:val="en-GB"/>
        </w:rPr>
      </w:pPr>
      <w:r w:rsidRPr="00BD7721">
        <w:rPr>
          <w:color w:val="000000"/>
          <w:lang w:val="en-GB"/>
        </w:rPr>
        <w:t>In-person, hybrid or online dialogue workshops for the second external review of the nexus and transformative change assessments (fourth quarter of 2023</w:t>
      </w:r>
      <w:proofErr w:type="gramStart"/>
      <w:r w:rsidRPr="00BD7721">
        <w:rPr>
          <w:color w:val="000000"/>
          <w:lang w:val="en-GB"/>
        </w:rPr>
        <w:t>);</w:t>
      </w:r>
      <w:proofErr w:type="gramEnd"/>
    </w:p>
    <w:p w14:paraId="36D3A048" w14:textId="77777777" w:rsidR="00992A45" w:rsidRPr="00BD7721" w:rsidRDefault="00992A45" w:rsidP="00FA2526">
      <w:pPr>
        <w:pStyle w:val="Normalnumber"/>
        <w:numPr>
          <w:ilvl w:val="2"/>
          <w:numId w:val="21"/>
        </w:numPr>
        <w:tabs>
          <w:tab w:val="clear" w:pos="3119"/>
        </w:tabs>
        <w:rPr>
          <w:color w:val="000000"/>
          <w:lang w:val="en-GB"/>
        </w:rPr>
      </w:pPr>
      <w:r w:rsidRPr="00BD7721">
        <w:rPr>
          <w:color w:val="000000"/>
          <w:lang w:val="en-GB"/>
        </w:rPr>
        <w:t>In-person, hybrid or online dialogue workshop for developing key Indigenous and local knowledge questions for the business and biodiversity assessment (third quarter of 2023</w:t>
      </w:r>
      <w:proofErr w:type="gramStart"/>
      <w:r w:rsidRPr="00BD7721">
        <w:rPr>
          <w:color w:val="000000"/>
          <w:lang w:val="en-GB"/>
        </w:rPr>
        <w:t>);</w:t>
      </w:r>
      <w:proofErr w:type="gramEnd"/>
    </w:p>
    <w:p w14:paraId="6FB8AB31" w14:textId="77777777" w:rsidR="00992A45" w:rsidRPr="00BD7721" w:rsidRDefault="00992A45" w:rsidP="00FA2526">
      <w:pPr>
        <w:pStyle w:val="Normalnumber"/>
        <w:numPr>
          <w:ilvl w:val="2"/>
          <w:numId w:val="21"/>
        </w:numPr>
        <w:tabs>
          <w:tab w:val="clear" w:pos="3119"/>
        </w:tabs>
        <w:rPr>
          <w:color w:val="000000"/>
          <w:lang w:val="en-GB"/>
        </w:rPr>
      </w:pPr>
      <w:r w:rsidRPr="00BD7721">
        <w:rPr>
          <w:color w:val="000000"/>
          <w:lang w:val="en-GB"/>
        </w:rPr>
        <w:t>Online dialogue workshop for scoping of any new assessments (second quarter of 2024</w:t>
      </w:r>
      <w:proofErr w:type="gramStart"/>
      <w:r w:rsidRPr="00BD7721">
        <w:rPr>
          <w:color w:val="000000"/>
          <w:lang w:val="en-GB"/>
        </w:rPr>
        <w:t>);</w:t>
      </w:r>
      <w:proofErr w:type="gramEnd"/>
    </w:p>
    <w:p w14:paraId="1A8C6A1E" w14:textId="77777777" w:rsidR="00992A45" w:rsidRPr="00BD7721" w:rsidRDefault="00992A45" w:rsidP="00FA2526">
      <w:pPr>
        <w:pStyle w:val="Normalnumber"/>
        <w:numPr>
          <w:ilvl w:val="2"/>
          <w:numId w:val="21"/>
        </w:numPr>
        <w:tabs>
          <w:tab w:val="clear" w:pos="3119"/>
        </w:tabs>
        <w:rPr>
          <w:color w:val="000000"/>
          <w:lang w:val="en-GB"/>
        </w:rPr>
      </w:pPr>
      <w:r w:rsidRPr="00BD7721">
        <w:rPr>
          <w:color w:val="000000"/>
          <w:lang w:val="en-GB"/>
        </w:rPr>
        <w:t>In-person, hybrid or online dialogue workshop for the external review of the business and biodiversity assessment (third quarter of 2024</w:t>
      </w:r>
      <w:proofErr w:type="gramStart"/>
      <w:r w:rsidRPr="00BD7721">
        <w:rPr>
          <w:color w:val="000000"/>
          <w:lang w:val="en-GB"/>
        </w:rPr>
        <w:t>);</w:t>
      </w:r>
      <w:proofErr w:type="gramEnd"/>
    </w:p>
    <w:p w14:paraId="17CFC95B" w14:textId="77777777" w:rsidR="00992A45" w:rsidRPr="00BD7721" w:rsidRDefault="00992A45" w:rsidP="00FA2526">
      <w:pPr>
        <w:pStyle w:val="Normalnumber"/>
        <w:numPr>
          <w:ilvl w:val="1"/>
          <w:numId w:val="21"/>
        </w:numPr>
        <w:tabs>
          <w:tab w:val="clear" w:pos="2495"/>
        </w:tabs>
        <w:ind w:left="1247" w:firstLine="624"/>
        <w:rPr>
          <w:lang w:val="en-GB"/>
        </w:rPr>
      </w:pPr>
      <w:r w:rsidRPr="00BD7721">
        <w:rPr>
          <w:color w:val="000000"/>
          <w:lang w:val="en-GB"/>
        </w:rPr>
        <w:t>Scoping</w:t>
      </w:r>
      <w:r w:rsidRPr="00BD7721">
        <w:rPr>
          <w:lang w:val="en-GB"/>
        </w:rPr>
        <w:t xml:space="preserve"> process:</w:t>
      </w:r>
    </w:p>
    <w:p w14:paraId="196C7457" w14:textId="45D5A6A3" w:rsidR="00992A45" w:rsidRPr="00BD7721" w:rsidRDefault="00992A45" w:rsidP="00FA2526">
      <w:pPr>
        <w:pStyle w:val="Normalnumber"/>
        <w:numPr>
          <w:ilvl w:val="2"/>
          <w:numId w:val="21"/>
        </w:numPr>
        <w:tabs>
          <w:tab w:val="clear" w:pos="3119"/>
        </w:tabs>
        <w:rPr>
          <w:lang w:val="en-GB"/>
        </w:rPr>
      </w:pPr>
      <w:r w:rsidRPr="00BD7721">
        <w:rPr>
          <w:lang w:val="en-GB"/>
        </w:rPr>
        <w:t xml:space="preserve">Collaborate with the Multidisciplinary Expert Panel in the development of Indigenous and local knowledge conceptual and methodological approaches to orient how </w:t>
      </w:r>
      <w:r w:rsidRPr="00BD7721">
        <w:rPr>
          <w:color w:val="000000"/>
          <w:lang w:val="en-GB"/>
        </w:rPr>
        <w:t>to</w:t>
      </w:r>
      <w:r w:rsidRPr="00BD7721">
        <w:rPr>
          <w:lang w:val="en-GB"/>
        </w:rPr>
        <w:t xml:space="preserve"> work with Indigenous and local knowledge systems, which will be annexed to the scoping report of any new IPBES assessment, and to provide support for their integration. The collaboration will take into account free, prior and informed consent and the need to include and provide benefit to knowledge holders as persons situated in the collective knowledge systems of Indigenous Peoples and local </w:t>
      </w:r>
      <w:proofErr w:type="gramStart"/>
      <w:r w:rsidRPr="00BD7721">
        <w:rPr>
          <w:lang w:val="en-GB"/>
        </w:rPr>
        <w:t>communities;</w:t>
      </w:r>
      <w:proofErr w:type="gramEnd"/>
    </w:p>
    <w:p w14:paraId="70B7DDA2" w14:textId="77777777" w:rsidR="00992A45" w:rsidRPr="00BD7721" w:rsidRDefault="00992A45" w:rsidP="009C3F45">
      <w:pPr>
        <w:pStyle w:val="Normalnumber"/>
        <w:keepNext/>
        <w:keepLines/>
        <w:numPr>
          <w:ilvl w:val="1"/>
          <w:numId w:val="21"/>
        </w:numPr>
        <w:tabs>
          <w:tab w:val="clear" w:pos="2495"/>
        </w:tabs>
        <w:ind w:left="1247" w:firstLine="624"/>
        <w:rPr>
          <w:color w:val="000000"/>
          <w:lang w:val="en-GB"/>
        </w:rPr>
      </w:pPr>
      <w:r w:rsidRPr="00BD7721">
        <w:rPr>
          <w:color w:val="000000"/>
          <w:lang w:val="en-GB"/>
        </w:rPr>
        <w:t>Peer review of assessment reports:</w:t>
      </w:r>
    </w:p>
    <w:p w14:paraId="58BE7A40" w14:textId="77777777" w:rsidR="00992A45" w:rsidRPr="00BD7721" w:rsidRDefault="00992A45" w:rsidP="00FA2526">
      <w:pPr>
        <w:pStyle w:val="Normalnumber"/>
        <w:numPr>
          <w:ilvl w:val="2"/>
          <w:numId w:val="21"/>
        </w:numPr>
        <w:tabs>
          <w:tab w:val="clear" w:pos="3119"/>
        </w:tabs>
        <w:rPr>
          <w:color w:val="000000"/>
          <w:lang w:val="en-GB"/>
        </w:rPr>
      </w:pPr>
      <w:r w:rsidRPr="00BD7721">
        <w:rPr>
          <w:color w:val="000000"/>
          <w:lang w:val="en-GB"/>
        </w:rPr>
        <w:t xml:space="preserve">Peer review by the task force of the first draft of the summary for policymakers, and the second drafts of the chapters, of the nexus and transformative change assessments, and of the first drafts of the chapters of the business and biodiversity </w:t>
      </w:r>
      <w:proofErr w:type="gramStart"/>
      <w:r w:rsidRPr="00BD7721">
        <w:rPr>
          <w:color w:val="000000"/>
          <w:lang w:val="en-GB"/>
        </w:rPr>
        <w:t>assessment;</w:t>
      </w:r>
      <w:proofErr w:type="gramEnd"/>
    </w:p>
    <w:p w14:paraId="1E64C065" w14:textId="30668CF6" w:rsidR="00992A45" w:rsidRPr="00BD7721" w:rsidRDefault="00992A45" w:rsidP="00FA2526">
      <w:pPr>
        <w:pStyle w:val="Normalnumber"/>
        <w:numPr>
          <w:ilvl w:val="2"/>
          <w:numId w:val="21"/>
        </w:numPr>
        <w:tabs>
          <w:tab w:val="clear" w:pos="3119"/>
        </w:tabs>
        <w:rPr>
          <w:color w:val="000000"/>
          <w:lang w:val="en-GB"/>
        </w:rPr>
      </w:pPr>
      <w:r w:rsidRPr="00BD7721">
        <w:rPr>
          <w:color w:val="000000"/>
          <w:lang w:val="en-GB"/>
        </w:rPr>
        <w:t xml:space="preserve">Dissemination of invitations to review assessment drafts through relevant networks, partly with the aim of mobilizing additional relevant Indigenous and local knowledge in order to fill potential knowledge mobilization </w:t>
      </w:r>
      <w:proofErr w:type="gramStart"/>
      <w:r w:rsidRPr="00BD7721">
        <w:rPr>
          <w:color w:val="000000"/>
          <w:lang w:val="en-GB"/>
        </w:rPr>
        <w:t>gaps;</w:t>
      </w:r>
      <w:proofErr w:type="gramEnd"/>
    </w:p>
    <w:p w14:paraId="1A359FB0" w14:textId="77777777" w:rsidR="00992A45" w:rsidRPr="00BD7721" w:rsidRDefault="00992A45" w:rsidP="00FA2526">
      <w:pPr>
        <w:pStyle w:val="Normalnumber"/>
        <w:numPr>
          <w:ilvl w:val="2"/>
          <w:numId w:val="21"/>
        </w:numPr>
        <w:tabs>
          <w:tab w:val="clear" w:pos="3119"/>
        </w:tabs>
        <w:rPr>
          <w:color w:val="000000"/>
          <w:lang w:val="en-GB"/>
        </w:rPr>
      </w:pPr>
      <w:r w:rsidRPr="00BD7721">
        <w:rPr>
          <w:color w:val="000000"/>
          <w:lang w:val="en-GB"/>
        </w:rPr>
        <w:t>In collaboration with the task force on capacity-building, provision of support regarding content related to Indigenous and local knowledge for the dialogue workshops for national focal points and stakeholders organized during the relevant external review periods (see annex III</w:t>
      </w:r>
      <w:proofErr w:type="gramStart"/>
      <w:r w:rsidRPr="00BD7721">
        <w:rPr>
          <w:color w:val="000000"/>
          <w:lang w:val="en-GB"/>
        </w:rPr>
        <w:t>);</w:t>
      </w:r>
      <w:proofErr w:type="gramEnd"/>
      <w:r w:rsidRPr="00BD7721">
        <w:rPr>
          <w:color w:val="000000"/>
          <w:lang w:val="en-GB"/>
        </w:rPr>
        <w:t xml:space="preserve"> </w:t>
      </w:r>
    </w:p>
    <w:p w14:paraId="163BD0DF" w14:textId="77777777" w:rsidR="00992A45" w:rsidRPr="00BD7721" w:rsidRDefault="00992A45" w:rsidP="00FA2526">
      <w:pPr>
        <w:pStyle w:val="Normalnumber"/>
        <w:numPr>
          <w:ilvl w:val="1"/>
          <w:numId w:val="21"/>
        </w:numPr>
        <w:tabs>
          <w:tab w:val="clear" w:pos="2495"/>
        </w:tabs>
        <w:ind w:left="1247" w:firstLine="624"/>
        <w:rPr>
          <w:color w:val="000000"/>
          <w:lang w:val="en-GB"/>
        </w:rPr>
      </w:pPr>
      <w:r w:rsidRPr="00BD7721">
        <w:rPr>
          <w:color w:val="000000"/>
          <w:lang w:val="en-GB"/>
        </w:rPr>
        <w:t xml:space="preserve">Post-assessment activities: </w:t>
      </w:r>
    </w:p>
    <w:p w14:paraId="0FC8BBC1" w14:textId="3E5C75C2" w:rsidR="00992A45" w:rsidRPr="00BD7721" w:rsidRDefault="00992A45" w:rsidP="00FA2526">
      <w:pPr>
        <w:pStyle w:val="Normalnumber"/>
        <w:numPr>
          <w:ilvl w:val="2"/>
          <w:numId w:val="21"/>
        </w:numPr>
        <w:tabs>
          <w:tab w:val="clear" w:pos="3119"/>
        </w:tabs>
        <w:rPr>
          <w:color w:val="000000"/>
          <w:lang w:val="en-GB"/>
        </w:rPr>
      </w:pPr>
      <w:r w:rsidRPr="00BD7721">
        <w:rPr>
          <w:color w:val="000000"/>
          <w:lang w:val="en-GB"/>
        </w:rPr>
        <w:t xml:space="preserve">Collation and dissemination, </w:t>
      </w:r>
      <w:proofErr w:type="gramStart"/>
      <w:r w:rsidRPr="00BD7721">
        <w:rPr>
          <w:color w:val="000000"/>
          <w:lang w:val="en-GB"/>
        </w:rPr>
        <w:t xml:space="preserve">in </w:t>
      </w:r>
      <w:r w:rsidR="00F96CA7" w:rsidRPr="00BD7721">
        <w:rPr>
          <w:color w:val="000000"/>
          <w:lang w:val="en-GB"/>
        </w:rPr>
        <w:t xml:space="preserve">the </w:t>
      </w:r>
      <w:r w:rsidRPr="00BD7721">
        <w:rPr>
          <w:color w:val="000000"/>
          <w:lang w:val="en-GB"/>
        </w:rPr>
        <w:t>six official</w:t>
      </w:r>
      <w:r w:rsidR="00F96CA7" w:rsidRPr="00BD7721">
        <w:rPr>
          <w:color w:val="000000"/>
          <w:lang w:val="en-GB"/>
        </w:rPr>
        <w:t xml:space="preserve"> languages of the</w:t>
      </w:r>
      <w:r w:rsidRPr="00BD7721">
        <w:rPr>
          <w:color w:val="000000"/>
          <w:lang w:val="en-GB"/>
        </w:rPr>
        <w:t xml:space="preserve"> United</w:t>
      </w:r>
      <w:r w:rsidR="00BD7721">
        <w:rPr>
          <w:color w:val="000000"/>
          <w:lang w:val="en-GB"/>
        </w:rPr>
        <w:t> </w:t>
      </w:r>
      <w:r w:rsidRPr="00BD7721">
        <w:rPr>
          <w:color w:val="000000"/>
          <w:lang w:val="en-GB"/>
        </w:rPr>
        <w:t>Nations,</w:t>
      </w:r>
      <w:proofErr w:type="gramEnd"/>
      <w:r w:rsidRPr="00BD7721">
        <w:rPr>
          <w:color w:val="000000"/>
          <w:lang w:val="en-GB"/>
        </w:rPr>
        <w:t xml:space="preserve"> of materials of relevance to Indigenous Peoples and local communities from the invasive alien species assessment report, including, in collaboration with the task force on capacity-building, dissemination to national and regional platforms on biodiversity and ecosystem services and to Indigenous Peoples and local communities;</w:t>
      </w:r>
    </w:p>
    <w:p w14:paraId="22D78C32" w14:textId="77777777" w:rsidR="00992A45" w:rsidRPr="00BD7721" w:rsidRDefault="00992A45" w:rsidP="00FA2526">
      <w:pPr>
        <w:pStyle w:val="Normalnumber"/>
        <w:numPr>
          <w:ilvl w:val="2"/>
          <w:numId w:val="21"/>
        </w:numPr>
        <w:tabs>
          <w:tab w:val="clear" w:pos="3119"/>
        </w:tabs>
        <w:rPr>
          <w:color w:val="000000"/>
          <w:lang w:val="en-GB"/>
        </w:rPr>
      </w:pPr>
      <w:r w:rsidRPr="00BD7721">
        <w:rPr>
          <w:color w:val="000000"/>
          <w:lang w:val="en-GB"/>
        </w:rPr>
        <w:t xml:space="preserve">With the task force on capacity-building, provision of support for the development of materials from completed assessments by other organizations and institutions, and for related uptake and outreach activities by other organizations and </w:t>
      </w:r>
      <w:proofErr w:type="gramStart"/>
      <w:r w:rsidRPr="00BD7721">
        <w:rPr>
          <w:color w:val="000000"/>
          <w:lang w:val="en-GB"/>
        </w:rPr>
        <w:t>institutions;</w:t>
      </w:r>
      <w:proofErr w:type="gramEnd"/>
    </w:p>
    <w:p w14:paraId="422A0CAA" w14:textId="77777777" w:rsidR="00992A45" w:rsidRPr="00BD7721" w:rsidRDefault="00992A45" w:rsidP="00FA2526">
      <w:pPr>
        <w:pStyle w:val="Normalnumber"/>
        <w:numPr>
          <w:ilvl w:val="2"/>
          <w:numId w:val="21"/>
        </w:numPr>
        <w:tabs>
          <w:tab w:val="clear" w:pos="3119"/>
        </w:tabs>
        <w:rPr>
          <w:color w:val="000000"/>
          <w:lang w:val="en-GB"/>
        </w:rPr>
      </w:pPr>
      <w:r w:rsidRPr="00BD7721">
        <w:rPr>
          <w:color w:val="000000"/>
          <w:lang w:val="en-GB"/>
        </w:rPr>
        <w:t>Support to the Multidisciplinary Expert Panel and the Bureau in communicating Indigenous and local knowledge mobilization gaps identified in completed IPBES assessments (see annex V), with a view to mobilizing and catalysing</w:t>
      </w:r>
      <w:r w:rsidRPr="00BD7721">
        <w:rPr>
          <w:lang w:val="en-GB"/>
        </w:rPr>
        <w:t xml:space="preserve"> </w:t>
      </w:r>
      <w:r w:rsidRPr="00BD7721">
        <w:rPr>
          <w:color w:val="000000"/>
          <w:lang w:val="en-GB"/>
        </w:rPr>
        <w:t xml:space="preserve">Indigenous and local </w:t>
      </w:r>
      <w:proofErr w:type="gramStart"/>
      <w:r w:rsidRPr="00BD7721">
        <w:rPr>
          <w:color w:val="000000"/>
          <w:lang w:val="en-GB"/>
        </w:rPr>
        <w:t>knowledge;</w:t>
      </w:r>
      <w:proofErr w:type="gramEnd"/>
    </w:p>
    <w:p w14:paraId="6234BFEE" w14:textId="77777777" w:rsidR="00992A45" w:rsidRPr="00BD7721" w:rsidRDefault="00992A45" w:rsidP="00FA2526">
      <w:pPr>
        <w:pStyle w:val="Normalnumber"/>
        <w:numPr>
          <w:ilvl w:val="1"/>
          <w:numId w:val="21"/>
        </w:numPr>
        <w:tabs>
          <w:tab w:val="clear" w:pos="2495"/>
        </w:tabs>
        <w:ind w:left="1247" w:firstLine="624"/>
        <w:rPr>
          <w:color w:val="000000"/>
          <w:lang w:val="en-GB"/>
        </w:rPr>
      </w:pPr>
      <w:r w:rsidRPr="00BD7721">
        <w:rPr>
          <w:color w:val="000000"/>
          <w:lang w:val="en-GB"/>
        </w:rPr>
        <w:t xml:space="preserve">Provision of support for the work of other task forces regarding aspects related to Indigenous and local </w:t>
      </w:r>
      <w:proofErr w:type="gramStart"/>
      <w:r w:rsidRPr="00BD7721">
        <w:rPr>
          <w:color w:val="000000"/>
          <w:lang w:val="en-GB"/>
        </w:rPr>
        <w:t>knowledge;</w:t>
      </w:r>
      <w:proofErr w:type="gramEnd"/>
    </w:p>
    <w:p w14:paraId="1CB3F610" w14:textId="77777777" w:rsidR="00992A45" w:rsidRPr="00BD7721" w:rsidRDefault="00992A45" w:rsidP="00FA2526">
      <w:pPr>
        <w:pStyle w:val="Normalnumber"/>
        <w:numPr>
          <w:ilvl w:val="1"/>
          <w:numId w:val="21"/>
        </w:numPr>
        <w:tabs>
          <w:tab w:val="clear" w:pos="2495"/>
        </w:tabs>
        <w:ind w:left="1247" w:firstLine="624"/>
        <w:rPr>
          <w:color w:val="000000"/>
          <w:lang w:val="en-GB"/>
        </w:rPr>
      </w:pPr>
      <w:r w:rsidRPr="00BD7721">
        <w:rPr>
          <w:color w:val="000000"/>
          <w:lang w:val="en-GB"/>
        </w:rPr>
        <w:t xml:space="preserve">Further development of the methodological guidance on the implementation of the approach to recognizing and working with Indigenous and local knowledge in IPBES, based on experience from completed and ongoing assessments and the activities described in this workplan, with a focus on enhancing the dialogue within IPBES between Indigenous and local knowledge systems and </w:t>
      </w:r>
      <w:proofErr w:type="gramStart"/>
      <w:r w:rsidRPr="00BD7721">
        <w:rPr>
          <w:color w:val="000000"/>
          <w:lang w:val="en-GB"/>
        </w:rPr>
        <w:t>science;</w:t>
      </w:r>
      <w:proofErr w:type="gramEnd"/>
    </w:p>
    <w:p w14:paraId="3EF38D2B" w14:textId="77777777" w:rsidR="00992A45" w:rsidRPr="00BD7721" w:rsidRDefault="00992A45" w:rsidP="00FA2526">
      <w:pPr>
        <w:pStyle w:val="Normalnumber"/>
        <w:numPr>
          <w:ilvl w:val="1"/>
          <w:numId w:val="21"/>
        </w:numPr>
        <w:tabs>
          <w:tab w:val="clear" w:pos="2495"/>
        </w:tabs>
        <w:ind w:left="1247" w:firstLine="624"/>
        <w:rPr>
          <w:color w:val="000000"/>
          <w:lang w:val="en-GB"/>
        </w:rPr>
      </w:pPr>
      <w:r w:rsidRPr="00BD7721">
        <w:rPr>
          <w:color w:val="000000"/>
          <w:lang w:val="en-GB"/>
        </w:rPr>
        <w:t>Extension of the review of Indigenous and local knowledge in IPBES</w:t>
      </w:r>
      <w:r w:rsidRPr="00BD7721">
        <w:rPr>
          <w:color w:val="000000"/>
          <w:vertAlign w:val="superscript"/>
          <w:lang w:val="en-GB"/>
        </w:rPr>
        <w:footnoteReference w:id="31"/>
      </w:r>
      <w:r w:rsidRPr="00BD7721">
        <w:rPr>
          <w:color w:val="000000"/>
          <w:lang w:val="en-GB"/>
        </w:rPr>
        <w:t xml:space="preserve"> to include information on the invasive alien species assessment.</w:t>
      </w:r>
    </w:p>
    <w:p w14:paraId="207B7DCB" w14:textId="77777777" w:rsidR="00992A45" w:rsidRPr="00BD7721" w:rsidRDefault="00992A45" w:rsidP="007117E5">
      <w:pPr>
        <w:pStyle w:val="Normalnumber"/>
        <w:numPr>
          <w:ilvl w:val="0"/>
          <w:numId w:val="21"/>
        </w:numPr>
        <w:ind w:left="1247"/>
        <w:rPr>
          <w:color w:val="000000"/>
          <w:lang w:val="en-GB"/>
        </w:rPr>
      </w:pPr>
      <w:r w:rsidRPr="00BD7721">
        <w:rPr>
          <w:lang w:val="en-GB"/>
        </w:rPr>
        <w:t>Activities</w:t>
      </w:r>
      <w:r w:rsidRPr="00BD7721">
        <w:rPr>
          <w:color w:val="000000"/>
          <w:lang w:val="en-GB"/>
        </w:rPr>
        <w:t xml:space="preserve"> for strengthening the implementation of the participatory mechanism will include:</w:t>
      </w:r>
    </w:p>
    <w:p w14:paraId="3C95A00D" w14:textId="77777777" w:rsidR="00992A45" w:rsidRPr="00BD7721" w:rsidRDefault="00992A45" w:rsidP="00241902">
      <w:pPr>
        <w:pStyle w:val="Normalnumber"/>
        <w:numPr>
          <w:ilvl w:val="1"/>
          <w:numId w:val="21"/>
        </w:numPr>
        <w:tabs>
          <w:tab w:val="clear" w:pos="2495"/>
        </w:tabs>
        <w:ind w:left="1247" w:firstLine="624"/>
        <w:rPr>
          <w:lang w:val="en-GB"/>
        </w:rPr>
      </w:pPr>
      <w:r w:rsidRPr="00BD7721">
        <w:rPr>
          <w:lang w:val="en-GB"/>
        </w:rPr>
        <w:t xml:space="preserve">Collaboration between the Multidisciplinary Expert Panel and the task force on Indigenous and local knowledge in the implementation of the participatory mechanism, including by considering the results of the review of the implementation of the approach to recognizing and working with Indigenous and local knowledge in IPBES, which was carried out in the previous intersessional </w:t>
      </w:r>
      <w:proofErr w:type="gramStart"/>
      <w:r w:rsidRPr="00BD7721">
        <w:rPr>
          <w:lang w:val="en-GB"/>
        </w:rPr>
        <w:t>period;</w:t>
      </w:r>
      <w:proofErr w:type="gramEnd"/>
    </w:p>
    <w:p w14:paraId="5329DB41" w14:textId="77777777" w:rsidR="00992A45" w:rsidRPr="00BD7721" w:rsidRDefault="00992A45" w:rsidP="00241902">
      <w:pPr>
        <w:pStyle w:val="Normalnumber"/>
        <w:numPr>
          <w:ilvl w:val="1"/>
          <w:numId w:val="21"/>
        </w:numPr>
        <w:tabs>
          <w:tab w:val="clear" w:pos="2495"/>
        </w:tabs>
        <w:ind w:left="1247" w:firstLine="624"/>
        <w:rPr>
          <w:lang w:val="en-GB"/>
        </w:rPr>
      </w:pPr>
      <w:r w:rsidRPr="00BD7721">
        <w:rPr>
          <w:lang w:val="en-GB"/>
        </w:rPr>
        <w:t xml:space="preserve">Engagement with and capacity-building for Indigenous Peoples and local communities through webinars and side events at relevant meetings, both online and in-person, including provision of information on how to participate in IPBES activities, in order to inform Indigenous Peoples and local communities about the work of IPBES, enhance the benefits they receive from that work, and stimulate discussion and contributions of Indigenous and local </w:t>
      </w:r>
      <w:proofErr w:type="gramStart"/>
      <w:r w:rsidRPr="00BD7721">
        <w:rPr>
          <w:lang w:val="en-GB"/>
        </w:rPr>
        <w:t>knowledge;</w:t>
      </w:r>
      <w:proofErr w:type="gramEnd"/>
    </w:p>
    <w:p w14:paraId="07CD1FDD" w14:textId="77777777" w:rsidR="00992A45" w:rsidRPr="00BD7721" w:rsidRDefault="00992A45" w:rsidP="00241902">
      <w:pPr>
        <w:pStyle w:val="Normalnumber"/>
        <w:numPr>
          <w:ilvl w:val="1"/>
          <w:numId w:val="21"/>
        </w:numPr>
        <w:tabs>
          <w:tab w:val="clear" w:pos="2495"/>
        </w:tabs>
        <w:ind w:left="1247" w:firstLine="624"/>
        <w:rPr>
          <w:lang w:val="en-GB"/>
        </w:rPr>
      </w:pPr>
      <w:r w:rsidRPr="00BD7721">
        <w:rPr>
          <w:lang w:val="en-GB"/>
        </w:rPr>
        <w:t xml:space="preserve">Further development of the Indigenous and local knowledge section of the IPBES website to improve usability and the display of </w:t>
      </w:r>
      <w:proofErr w:type="gramStart"/>
      <w:r w:rsidRPr="00BD7721">
        <w:rPr>
          <w:lang w:val="en-GB"/>
        </w:rPr>
        <w:t>information;</w:t>
      </w:r>
      <w:proofErr w:type="gramEnd"/>
    </w:p>
    <w:p w14:paraId="634C0D31" w14:textId="77777777" w:rsidR="00992A45" w:rsidRPr="00BD7721" w:rsidRDefault="00992A45" w:rsidP="00241902">
      <w:pPr>
        <w:pStyle w:val="Normalnumber"/>
        <w:numPr>
          <w:ilvl w:val="1"/>
          <w:numId w:val="21"/>
        </w:numPr>
        <w:tabs>
          <w:tab w:val="clear" w:pos="2495"/>
        </w:tabs>
        <w:ind w:left="1247" w:firstLine="624"/>
        <w:rPr>
          <w:lang w:val="en-GB"/>
        </w:rPr>
      </w:pPr>
      <w:r w:rsidRPr="00BD7721">
        <w:rPr>
          <w:lang w:val="en-GB"/>
        </w:rPr>
        <w:t>Further development of the communications and engagement strategy for strategic partners and collaborative supporters (e.g., the International Indigenous Forum on Biodiversity and Ecosystem Services</w:t>
      </w:r>
      <w:proofErr w:type="gramStart"/>
      <w:r w:rsidRPr="00BD7721">
        <w:rPr>
          <w:lang w:val="en-GB"/>
        </w:rPr>
        <w:t>);</w:t>
      </w:r>
      <w:proofErr w:type="gramEnd"/>
    </w:p>
    <w:p w14:paraId="77A2FB92" w14:textId="77777777" w:rsidR="00992A45" w:rsidRPr="00BD7721" w:rsidRDefault="00992A45" w:rsidP="00241902">
      <w:pPr>
        <w:pStyle w:val="Normalnumber"/>
        <w:numPr>
          <w:ilvl w:val="1"/>
          <w:numId w:val="21"/>
        </w:numPr>
        <w:tabs>
          <w:tab w:val="clear" w:pos="2495"/>
        </w:tabs>
        <w:ind w:left="1247" w:firstLine="624"/>
        <w:rPr>
          <w:lang w:val="en-GB"/>
        </w:rPr>
      </w:pPr>
      <w:r w:rsidRPr="00BD7721">
        <w:rPr>
          <w:lang w:val="en-GB"/>
        </w:rPr>
        <w:t xml:space="preserve">Monitoring of participation by Indigenous Peoples and local communities and experts on Indigenous and local knowledge in IPBES </w:t>
      </w:r>
      <w:proofErr w:type="gramStart"/>
      <w:r w:rsidRPr="00BD7721">
        <w:rPr>
          <w:lang w:val="en-GB"/>
        </w:rPr>
        <w:t>processes;</w:t>
      </w:r>
      <w:proofErr w:type="gramEnd"/>
    </w:p>
    <w:p w14:paraId="429A0A06" w14:textId="010CF1F0" w:rsidR="00992A45" w:rsidRPr="00BD7721" w:rsidRDefault="00992A45" w:rsidP="00241902">
      <w:pPr>
        <w:pStyle w:val="Normalnumber"/>
        <w:numPr>
          <w:ilvl w:val="1"/>
          <w:numId w:val="21"/>
        </w:numPr>
        <w:tabs>
          <w:tab w:val="clear" w:pos="2495"/>
        </w:tabs>
        <w:ind w:left="1247" w:firstLine="624"/>
        <w:rPr>
          <w:lang w:val="en-GB"/>
        </w:rPr>
      </w:pPr>
      <w:r w:rsidRPr="00BD7721">
        <w:rPr>
          <w:lang w:val="en-GB"/>
        </w:rPr>
        <w:t xml:space="preserve">Engagement with relevant IPBES-related networks, including </w:t>
      </w:r>
      <w:r w:rsidR="00C43F39" w:rsidRPr="00BD7721">
        <w:rPr>
          <w:lang w:val="en-GB"/>
        </w:rPr>
        <w:t>the Biodiversity and Ecosystem Services Network (</w:t>
      </w:r>
      <w:r w:rsidRPr="00BD7721">
        <w:rPr>
          <w:lang w:val="en-GB"/>
        </w:rPr>
        <w:t>BES</w:t>
      </w:r>
      <w:r w:rsidR="00C43F39" w:rsidRPr="00BD7721">
        <w:rPr>
          <w:lang w:val="en-GB"/>
        </w:rPr>
        <w:t>-</w:t>
      </w:r>
      <w:r w:rsidRPr="00BD7721">
        <w:rPr>
          <w:lang w:val="en-GB"/>
        </w:rPr>
        <w:t>net</w:t>
      </w:r>
      <w:r w:rsidR="00C43F39" w:rsidRPr="00BD7721">
        <w:rPr>
          <w:lang w:val="en-GB"/>
        </w:rPr>
        <w:t>)</w:t>
      </w:r>
      <w:r w:rsidRPr="00BD7721">
        <w:rPr>
          <w:lang w:val="en-GB"/>
        </w:rPr>
        <w:t>, in order to strengthen the approach of working with Indigenous and local knowledge systems.</w:t>
      </w:r>
    </w:p>
    <w:p w14:paraId="2A7F56EE" w14:textId="77777777" w:rsidR="00992A45" w:rsidRPr="00BD7721" w:rsidRDefault="00992A45" w:rsidP="007117E5">
      <w:pPr>
        <w:pStyle w:val="Normalnumber"/>
        <w:numPr>
          <w:ilvl w:val="0"/>
          <w:numId w:val="21"/>
        </w:numPr>
        <w:ind w:left="1247"/>
        <w:rPr>
          <w:lang w:val="en-GB"/>
        </w:rPr>
      </w:pPr>
      <w:r w:rsidRPr="00BD7721">
        <w:rPr>
          <w:color w:val="000000"/>
          <w:lang w:val="en-GB"/>
        </w:rPr>
        <w:t xml:space="preserve">Activities to ensure effective implementation of the workplan include the development and monitoring of a set of relevant indicators for measuring effectiveness. The set of indicators developed will be </w:t>
      </w:r>
      <w:r w:rsidRPr="00BD7721">
        <w:rPr>
          <w:lang w:val="en-GB"/>
        </w:rPr>
        <w:t>presented</w:t>
      </w:r>
      <w:r w:rsidRPr="00BD7721">
        <w:rPr>
          <w:color w:val="000000"/>
          <w:lang w:val="en-GB"/>
        </w:rPr>
        <w:t xml:space="preserve"> to the Plenary, at its eleventh session, as part of the draft workplan for the intersessional period 2024–2025.</w:t>
      </w:r>
    </w:p>
    <w:p w14:paraId="0FC707B6" w14:textId="77777777" w:rsidR="00C16A89" w:rsidRPr="00BD7721" w:rsidRDefault="00C16A89" w:rsidP="00992A45">
      <w:pPr>
        <w:pStyle w:val="Normal-pool"/>
        <w:rPr>
          <w:lang w:val="en-GB"/>
        </w:rPr>
        <w:sectPr w:rsidR="00C16A89" w:rsidRPr="00BD7721" w:rsidSect="00923F50">
          <w:footnotePr>
            <w:numRestart w:val="eachSect"/>
          </w:footnotePr>
          <w:pgSz w:w="11907" w:h="16839" w:code="9"/>
          <w:pgMar w:top="907" w:right="992" w:bottom="1418" w:left="1418" w:header="539" w:footer="975" w:gutter="0"/>
          <w:cols w:space="539"/>
          <w:docGrid w:linePitch="360"/>
        </w:sectPr>
      </w:pPr>
    </w:p>
    <w:p w14:paraId="2ACA031E" w14:textId="401DA715" w:rsidR="00992A45" w:rsidRPr="00BD7721" w:rsidRDefault="00C43F80" w:rsidP="00C43F80">
      <w:pPr>
        <w:pStyle w:val="CH1"/>
        <w:rPr>
          <w:lang w:val="en-GB"/>
        </w:rPr>
      </w:pPr>
      <w:r w:rsidRPr="00BD7721">
        <w:rPr>
          <w:lang w:val="en-GB"/>
        </w:rPr>
        <w:tab/>
      </w:r>
      <w:r w:rsidRPr="00BD7721">
        <w:rPr>
          <w:lang w:val="en-GB"/>
        </w:rPr>
        <w:tab/>
      </w:r>
      <w:r w:rsidR="00992A45" w:rsidRPr="00BD7721">
        <w:rPr>
          <w:lang w:val="en-GB"/>
        </w:rPr>
        <w:t>Annex VII to decision IPBES-10/1</w:t>
      </w:r>
    </w:p>
    <w:p w14:paraId="22E64D46" w14:textId="1B126EF1" w:rsidR="00992A45" w:rsidRPr="00BD7721" w:rsidRDefault="00241902" w:rsidP="00241902">
      <w:pPr>
        <w:pStyle w:val="CH1"/>
        <w:rPr>
          <w:lang w:val="en-GB"/>
        </w:rPr>
      </w:pPr>
      <w:r w:rsidRPr="00BD7721">
        <w:rPr>
          <w:lang w:val="en-GB"/>
        </w:rPr>
        <w:tab/>
      </w:r>
      <w:r w:rsidRPr="00BD7721">
        <w:rPr>
          <w:lang w:val="en-GB"/>
        </w:rPr>
        <w:tab/>
      </w:r>
      <w:r w:rsidR="00992A45" w:rsidRPr="00BD7721">
        <w:rPr>
          <w:lang w:val="en-GB"/>
        </w:rPr>
        <w:t>Workplan for objective 4 (a): advanced work on policy instruments, policy support tools and methodologies, for the intersessional period 2023–2024</w:t>
      </w:r>
    </w:p>
    <w:p w14:paraId="782F32D2" w14:textId="77777777" w:rsidR="00992A45" w:rsidRPr="00BD7721" w:rsidRDefault="00992A45" w:rsidP="00241902">
      <w:pPr>
        <w:pStyle w:val="Normalnumber"/>
        <w:numPr>
          <w:ilvl w:val="0"/>
          <w:numId w:val="66"/>
        </w:numPr>
        <w:ind w:left="1247"/>
        <w:rPr>
          <w:color w:val="000000"/>
          <w:lang w:val="en-GB"/>
        </w:rPr>
      </w:pPr>
      <w:r w:rsidRPr="00BD7721">
        <w:rPr>
          <w:color w:val="000000"/>
          <w:lang w:val="en-GB"/>
        </w:rPr>
        <w:t xml:space="preserve">The </w:t>
      </w:r>
      <w:r w:rsidRPr="00BD7721">
        <w:rPr>
          <w:lang w:val="en-GB"/>
        </w:rPr>
        <w:t>Multidisciplinary Expert Panel and the Bureau will oversee and take part, within the scope of their respective mandates, in the implementation of the following workplan until the eleventh session of the Plenary, supported by the secretariat, including a dedicated technical support unit</w:t>
      </w:r>
      <w:r w:rsidRPr="00BD7721">
        <w:rPr>
          <w:color w:val="000000"/>
          <w:lang w:val="en-GB"/>
        </w:rPr>
        <w:t>, in</w:t>
      </w:r>
      <w:r w:rsidRPr="00BD7721">
        <w:rPr>
          <w:lang w:val="en-GB"/>
        </w:rPr>
        <w:t xml:space="preserve"> collaboration with the other task force technical support units. </w:t>
      </w:r>
    </w:p>
    <w:p w14:paraId="45BD8B90" w14:textId="77777777" w:rsidR="00992A45" w:rsidRPr="00BD7721" w:rsidRDefault="00992A45" w:rsidP="00241902">
      <w:pPr>
        <w:pStyle w:val="Normalnumber"/>
        <w:numPr>
          <w:ilvl w:val="0"/>
          <w:numId w:val="21"/>
        </w:numPr>
        <w:ind w:left="1247"/>
        <w:rPr>
          <w:lang w:val="en-GB"/>
        </w:rPr>
      </w:pPr>
      <w:r w:rsidRPr="00BD7721">
        <w:rPr>
          <w:lang w:val="en-GB"/>
        </w:rPr>
        <w:t>Activities to facilitate a dialogue process on the future role of the policy support function and its related objectives in the work programme during the intersessional period 2023–2024 will include:</w:t>
      </w:r>
    </w:p>
    <w:p w14:paraId="139FF519" w14:textId="16F1C547" w:rsidR="00992A45" w:rsidRPr="00BD7721" w:rsidRDefault="00992A45" w:rsidP="00241902">
      <w:pPr>
        <w:pStyle w:val="Normalnumber"/>
        <w:numPr>
          <w:ilvl w:val="1"/>
          <w:numId w:val="21"/>
        </w:numPr>
        <w:tabs>
          <w:tab w:val="clear" w:pos="2495"/>
        </w:tabs>
        <w:ind w:left="1247" w:firstLine="624"/>
        <w:rPr>
          <w:lang w:val="en-GB"/>
        </w:rPr>
      </w:pPr>
      <w:r w:rsidRPr="00BD7721">
        <w:rPr>
          <w:lang w:val="en-GB"/>
        </w:rPr>
        <w:t xml:space="preserve">Issuance by the secretariat of a timely call </w:t>
      </w:r>
      <w:r w:rsidR="00C43F39" w:rsidRPr="00BD7721">
        <w:rPr>
          <w:lang w:val="en-GB"/>
        </w:rPr>
        <w:t xml:space="preserve">to IPBES members, experts and relevant stakeholders </w:t>
      </w:r>
      <w:r w:rsidRPr="00BD7721">
        <w:rPr>
          <w:lang w:val="en-GB"/>
        </w:rPr>
        <w:t>for inputs on the future role of the policy support function, institutional arrangements, proposals for draft terms of reference, and ways to strengthen the implementation of objective 4 (a)</w:t>
      </w:r>
      <w:r w:rsidR="00C43F39" w:rsidRPr="00BD7721">
        <w:rPr>
          <w:lang w:val="en-GB"/>
        </w:rPr>
        <w:t xml:space="preserve"> </w:t>
      </w:r>
      <w:r w:rsidRPr="00BD7721">
        <w:rPr>
          <w:lang w:val="en-GB"/>
        </w:rPr>
        <w:t>(fourth quarter of 2023</w:t>
      </w:r>
      <w:proofErr w:type="gramStart"/>
      <w:r w:rsidRPr="00BD7721">
        <w:rPr>
          <w:lang w:val="en-GB"/>
        </w:rPr>
        <w:t>)</w:t>
      </w:r>
      <w:r w:rsidR="00C43F39" w:rsidRPr="00BD7721">
        <w:rPr>
          <w:lang w:val="en-GB"/>
        </w:rPr>
        <w:t>;</w:t>
      </w:r>
      <w:proofErr w:type="gramEnd"/>
    </w:p>
    <w:p w14:paraId="7A8A7521" w14:textId="28FF6011" w:rsidR="00992A45" w:rsidRPr="00BD7721" w:rsidRDefault="00992A45" w:rsidP="00241902">
      <w:pPr>
        <w:pStyle w:val="Normalnumber"/>
        <w:numPr>
          <w:ilvl w:val="1"/>
          <w:numId w:val="21"/>
        </w:numPr>
        <w:tabs>
          <w:tab w:val="clear" w:pos="2495"/>
        </w:tabs>
        <w:ind w:left="1247" w:firstLine="624"/>
        <w:rPr>
          <w:lang w:val="en-GB"/>
        </w:rPr>
      </w:pPr>
      <w:r w:rsidRPr="00BD7721">
        <w:rPr>
          <w:lang w:val="en-GB"/>
        </w:rPr>
        <w:t>Facilitation of online dialogues with national focal points, experts and other relevant stakeholders and initiation of dialogues at relevant in-person meetings, including specific sessions on future institutional arrangements and draft terms of reference (e.g., as part of the in-person dialogue meeting with national focal points</w:t>
      </w:r>
      <w:r w:rsidR="0047198B" w:rsidRPr="00BD7721">
        <w:rPr>
          <w:lang w:val="en-GB"/>
        </w:rPr>
        <w:t xml:space="preserve"> (</w:t>
      </w:r>
      <w:r w:rsidRPr="00BD7721">
        <w:rPr>
          <w:lang w:val="en-GB"/>
        </w:rPr>
        <w:t>see annex III)</w:t>
      </w:r>
      <w:proofErr w:type="gramStart"/>
      <w:r w:rsidR="0047198B" w:rsidRPr="00BD7721">
        <w:rPr>
          <w:lang w:val="en-GB"/>
        </w:rPr>
        <w:t>)</w:t>
      </w:r>
      <w:r w:rsidR="00C43F39" w:rsidRPr="00BD7721">
        <w:rPr>
          <w:lang w:val="en-GB"/>
        </w:rPr>
        <w:t>;</w:t>
      </w:r>
      <w:proofErr w:type="gramEnd"/>
    </w:p>
    <w:p w14:paraId="2CBC63E8" w14:textId="0ED92AEB" w:rsidR="00992A45" w:rsidRPr="00BD7721" w:rsidRDefault="00992A45" w:rsidP="00241902">
      <w:pPr>
        <w:pStyle w:val="Normalnumber"/>
        <w:numPr>
          <w:ilvl w:val="1"/>
          <w:numId w:val="21"/>
        </w:numPr>
        <w:tabs>
          <w:tab w:val="clear" w:pos="2495"/>
        </w:tabs>
        <w:ind w:left="1247" w:firstLine="624"/>
        <w:rPr>
          <w:lang w:val="en-GB"/>
        </w:rPr>
      </w:pPr>
      <w:r w:rsidRPr="00BD7721">
        <w:rPr>
          <w:lang w:val="en-GB"/>
        </w:rPr>
        <w:t xml:space="preserve">Development of a concept note on the future role of the policy support function and ways to strengthen the implementation of objective 4 (a) based on the received inputs for external review by IPBES members, experts and relevant </w:t>
      </w:r>
      <w:proofErr w:type="gramStart"/>
      <w:r w:rsidRPr="00BD7721">
        <w:rPr>
          <w:lang w:val="en-GB"/>
        </w:rPr>
        <w:t>stakeholders</w:t>
      </w:r>
      <w:r w:rsidR="0047198B" w:rsidRPr="00BD7721">
        <w:rPr>
          <w:lang w:val="en-GB"/>
        </w:rPr>
        <w:t>;</w:t>
      </w:r>
      <w:proofErr w:type="gramEnd"/>
    </w:p>
    <w:p w14:paraId="52518AEE" w14:textId="6CD21B9C" w:rsidR="00992A45" w:rsidRPr="00BD7721" w:rsidRDefault="00992A45" w:rsidP="00241902">
      <w:pPr>
        <w:pStyle w:val="Normalnumber"/>
        <w:numPr>
          <w:ilvl w:val="1"/>
          <w:numId w:val="21"/>
        </w:numPr>
        <w:tabs>
          <w:tab w:val="clear" w:pos="2495"/>
        </w:tabs>
        <w:ind w:left="1247" w:firstLine="624"/>
        <w:rPr>
          <w:lang w:val="en-GB"/>
        </w:rPr>
      </w:pPr>
      <w:r w:rsidRPr="00BD7721">
        <w:rPr>
          <w:lang w:val="en-GB"/>
        </w:rPr>
        <w:t xml:space="preserve">Presentation of options for ways to strengthen the implementation of objective 4 (a) and options for future institutional arrangements that, at a minimum, include draft terms of reference for a task force on policy tools and policy support, to be considered for adoption </w:t>
      </w:r>
      <w:r w:rsidR="0047198B" w:rsidRPr="00BD7721">
        <w:rPr>
          <w:lang w:val="en-GB"/>
        </w:rPr>
        <w:t xml:space="preserve">by the Plenary </w:t>
      </w:r>
      <w:r w:rsidRPr="00BD7721">
        <w:rPr>
          <w:lang w:val="en-GB"/>
        </w:rPr>
        <w:t xml:space="preserve">at </w:t>
      </w:r>
      <w:r w:rsidR="0047198B" w:rsidRPr="00BD7721">
        <w:rPr>
          <w:lang w:val="en-GB"/>
        </w:rPr>
        <w:t xml:space="preserve">its </w:t>
      </w:r>
      <w:r w:rsidRPr="00BD7721">
        <w:rPr>
          <w:lang w:val="en-GB"/>
        </w:rPr>
        <w:t>eleventh session.</w:t>
      </w:r>
    </w:p>
    <w:p w14:paraId="1D4BA986" w14:textId="77777777" w:rsidR="00992A45" w:rsidRPr="00BD7721" w:rsidRDefault="00992A45" w:rsidP="006132B0">
      <w:pPr>
        <w:pStyle w:val="Normalnumber"/>
        <w:numPr>
          <w:ilvl w:val="0"/>
          <w:numId w:val="66"/>
        </w:numPr>
        <w:ind w:left="1247"/>
        <w:rPr>
          <w:color w:val="000000"/>
          <w:lang w:val="en-GB"/>
        </w:rPr>
      </w:pPr>
      <w:r w:rsidRPr="00BD7721">
        <w:rPr>
          <w:color w:val="000000"/>
          <w:lang w:val="en-GB"/>
        </w:rPr>
        <w:t>Activities to increase the policy relevance of IPBES assessments will include:</w:t>
      </w:r>
    </w:p>
    <w:p w14:paraId="7AB34415" w14:textId="77777777" w:rsidR="00992A45" w:rsidRPr="00BD7721" w:rsidRDefault="00992A45" w:rsidP="00992A45">
      <w:pPr>
        <w:pStyle w:val="Normalnumber"/>
        <w:numPr>
          <w:ilvl w:val="1"/>
          <w:numId w:val="21"/>
        </w:numPr>
        <w:ind w:left="1247" w:firstLine="624"/>
        <w:rPr>
          <w:lang w:val="en-GB"/>
        </w:rPr>
      </w:pPr>
      <w:r w:rsidRPr="00BD7721">
        <w:rPr>
          <w:lang w:val="en-GB"/>
        </w:rPr>
        <w:t xml:space="preserve">Provision of support to assessment experts with a view to increasing the policy relevance of IPBES </w:t>
      </w:r>
      <w:proofErr w:type="gramStart"/>
      <w:r w:rsidRPr="00BD7721">
        <w:rPr>
          <w:lang w:val="en-GB"/>
        </w:rPr>
        <w:t>assessments;</w:t>
      </w:r>
      <w:proofErr w:type="gramEnd"/>
    </w:p>
    <w:p w14:paraId="4A47C1A1" w14:textId="77777777" w:rsidR="00992A45" w:rsidRPr="00BD7721" w:rsidRDefault="00992A45" w:rsidP="00992A45">
      <w:pPr>
        <w:pStyle w:val="Normalnumber"/>
        <w:numPr>
          <w:ilvl w:val="1"/>
          <w:numId w:val="21"/>
        </w:numPr>
        <w:ind w:left="1247" w:firstLine="624"/>
        <w:rPr>
          <w:lang w:val="en-GB"/>
        </w:rPr>
      </w:pPr>
      <w:r w:rsidRPr="00BD7721">
        <w:rPr>
          <w:lang w:val="en-GB"/>
        </w:rPr>
        <w:t>Organization of an online dialogue workshop with practitioners to facilitate the contribution of practitioners to the scoping of any new assessments (as part of the dialogue workshops referred to in annex III; first quarter of 2024</w:t>
      </w:r>
      <w:proofErr w:type="gramStart"/>
      <w:r w:rsidRPr="00BD7721">
        <w:rPr>
          <w:lang w:val="en-GB"/>
        </w:rPr>
        <w:t>);</w:t>
      </w:r>
      <w:proofErr w:type="gramEnd"/>
    </w:p>
    <w:p w14:paraId="3DDC1BD3" w14:textId="537A2EE6" w:rsidR="00992A45" w:rsidRPr="00BD7721" w:rsidRDefault="00992A45" w:rsidP="00992A45">
      <w:pPr>
        <w:pStyle w:val="Normalnumber"/>
        <w:numPr>
          <w:ilvl w:val="1"/>
          <w:numId w:val="21"/>
        </w:numPr>
        <w:ind w:left="1247" w:firstLine="624"/>
        <w:rPr>
          <w:lang w:val="en-GB"/>
        </w:rPr>
      </w:pPr>
      <w:r w:rsidRPr="00BD7721">
        <w:rPr>
          <w:lang w:val="en-GB"/>
        </w:rPr>
        <w:t>Online dialogues with national focal points and stakeholders with the objective of increasing the policy relevance of the assessments in the context of the second external review of the nexus and transformative change assessments and the external review of the business and biodiversity assessment (as part of the dialogues referred to in annex III</w:t>
      </w:r>
      <w:proofErr w:type="gramStart"/>
      <w:r w:rsidRPr="00BD7721">
        <w:rPr>
          <w:lang w:val="en-GB"/>
        </w:rPr>
        <w:t>);</w:t>
      </w:r>
      <w:proofErr w:type="gramEnd"/>
    </w:p>
    <w:p w14:paraId="40243B6E" w14:textId="116617E2" w:rsidR="00992A45" w:rsidRPr="00BD7721" w:rsidRDefault="00992A45" w:rsidP="00992A45">
      <w:pPr>
        <w:pStyle w:val="Normalnumber"/>
        <w:numPr>
          <w:ilvl w:val="1"/>
          <w:numId w:val="21"/>
        </w:numPr>
        <w:ind w:left="1247" w:right="-57" w:firstLine="624"/>
        <w:rPr>
          <w:color w:val="000000"/>
          <w:shd w:val="clear" w:color="auto" w:fill="D9D9D9"/>
          <w:lang w:val="en-GB"/>
        </w:rPr>
      </w:pPr>
      <w:r w:rsidRPr="00BD7721">
        <w:rPr>
          <w:lang w:val="en-GB"/>
        </w:rPr>
        <w:t>Fostering of the participation of policy practitioners in IPBES assessments through the online dialogue</w:t>
      </w:r>
      <w:r w:rsidRPr="00BD7721">
        <w:rPr>
          <w:color w:val="000000"/>
          <w:lang w:val="en-GB"/>
        </w:rPr>
        <w:t xml:space="preserve"> workshops with stakeholders being organized for ongoing assessments (see annex </w:t>
      </w:r>
      <w:r w:rsidRPr="00BD7721">
        <w:rPr>
          <w:lang w:val="en-GB"/>
        </w:rPr>
        <w:t>III</w:t>
      </w:r>
      <w:r w:rsidRPr="00BD7721">
        <w:rPr>
          <w:color w:val="000000"/>
          <w:lang w:val="en-GB"/>
        </w:rPr>
        <w:t>).</w:t>
      </w:r>
      <w:r w:rsidRPr="00BD7721">
        <w:rPr>
          <w:color w:val="000000"/>
          <w:shd w:val="clear" w:color="auto" w:fill="D9D9D9"/>
          <w:lang w:val="en-GB"/>
        </w:rPr>
        <w:t xml:space="preserve"> </w:t>
      </w:r>
    </w:p>
    <w:p w14:paraId="4908B344" w14:textId="77777777" w:rsidR="00992A45" w:rsidRPr="00BD7721" w:rsidRDefault="00992A45" w:rsidP="006132B0">
      <w:pPr>
        <w:pStyle w:val="Normalnumber"/>
        <w:numPr>
          <w:ilvl w:val="0"/>
          <w:numId w:val="66"/>
        </w:numPr>
        <w:ind w:left="1247"/>
        <w:rPr>
          <w:color w:val="000000"/>
          <w:lang w:val="en-GB"/>
        </w:rPr>
      </w:pPr>
      <w:r w:rsidRPr="00BD7721">
        <w:rPr>
          <w:color w:val="000000"/>
          <w:lang w:val="en-GB"/>
        </w:rPr>
        <w:t xml:space="preserve">Activities to promote and support the use of IPBES products in decision-making will include: </w:t>
      </w:r>
    </w:p>
    <w:p w14:paraId="6DD21C67" w14:textId="5E19F317" w:rsidR="00992A45" w:rsidRPr="00BD7721" w:rsidRDefault="00992A45" w:rsidP="00BC336E">
      <w:pPr>
        <w:pStyle w:val="Normal-pool"/>
        <w:numPr>
          <w:ilvl w:val="1"/>
          <w:numId w:val="21"/>
        </w:numPr>
        <w:tabs>
          <w:tab w:val="clear" w:pos="1247"/>
          <w:tab w:val="clear" w:pos="1871"/>
          <w:tab w:val="clear" w:pos="2495"/>
          <w:tab w:val="clear" w:pos="3119"/>
          <w:tab w:val="clear" w:pos="3742"/>
          <w:tab w:val="clear" w:pos="4366"/>
        </w:tabs>
        <w:spacing w:after="120"/>
        <w:ind w:left="1247" w:firstLine="624"/>
        <w:rPr>
          <w:lang w:val="en-GB"/>
        </w:rPr>
      </w:pPr>
      <w:r w:rsidRPr="00BD7721">
        <w:rPr>
          <w:lang w:val="en-GB"/>
        </w:rPr>
        <w:t>Finalization of fact sheets on the assessment on invasive alien species and their control</w:t>
      </w:r>
      <w:r w:rsidR="0073366C" w:rsidRPr="00BD7721">
        <w:rPr>
          <w:lang w:val="en-GB"/>
        </w:rPr>
        <w:t>, including</w:t>
      </w:r>
      <w:r w:rsidRPr="00BD7721">
        <w:rPr>
          <w:lang w:val="en-GB"/>
        </w:rPr>
        <w:t xml:space="preserve"> on data on trends and impacts; the role of business in management and governance;</w:t>
      </w:r>
      <w:r w:rsidRPr="00BD7721" w:rsidDel="005A3333">
        <w:rPr>
          <w:lang w:val="en-GB"/>
        </w:rPr>
        <w:t xml:space="preserve"> </w:t>
      </w:r>
      <w:r w:rsidRPr="00BD7721">
        <w:rPr>
          <w:lang w:val="en-GB"/>
        </w:rPr>
        <w:t xml:space="preserve">biological invasions affecting protected areas and most natural ecosystems; (management and policy options and biological invasions on </w:t>
      </w:r>
      <w:proofErr w:type="gramStart"/>
      <w:r w:rsidRPr="00BD7721">
        <w:rPr>
          <w:lang w:val="en-GB"/>
        </w:rPr>
        <w:t>islands;</w:t>
      </w:r>
      <w:proofErr w:type="gramEnd"/>
    </w:p>
    <w:p w14:paraId="3098A06B" w14:textId="77777777" w:rsidR="00992A45" w:rsidRPr="00BD7721" w:rsidRDefault="00992A45" w:rsidP="00BC336E">
      <w:pPr>
        <w:pStyle w:val="Normalnumber"/>
        <w:numPr>
          <w:ilvl w:val="1"/>
          <w:numId w:val="21"/>
        </w:numPr>
        <w:tabs>
          <w:tab w:val="clear" w:pos="2495"/>
        </w:tabs>
        <w:ind w:left="1247" w:firstLine="624"/>
        <w:rPr>
          <w:color w:val="000000"/>
          <w:lang w:val="en-GB"/>
        </w:rPr>
      </w:pPr>
      <w:r w:rsidRPr="00BD7721">
        <w:rPr>
          <w:color w:val="000000"/>
          <w:lang w:val="en-GB"/>
        </w:rPr>
        <w:t xml:space="preserve">Preparation (coordinated by the secretariat) of draft fact sheets for the nexus and transformative change assessments that are targeted to specific </w:t>
      </w:r>
      <w:proofErr w:type="gramStart"/>
      <w:r w:rsidRPr="00BD7721">
        <w:rPr>
          <w:color w:val="000000"/>
          <w:lang w:val="en-GB"/>
        </w:rPr>
        <w:t>sectors;</w:t>
      </w:r>
      <w:proofErr w:type="gramEnd"/>
      <w:r w:rsidRPr="00BD7721">
        <w:rPr>
          <w:color w:val="000000"/>
          <w:lang w:val="en-GB"/>
        </w:rPr>
        <w:t xml:space="preserve"> </w:t>
      </w:r>
    </w:p>
    <w:p w14:paraId="6A4EEC3B" w14:textId="32651E78" w:rsidR="00992A45" w:rsidRPr="00BD7721" w:rsidRDefault="00992A45" w:rsidP="00BC336E">
      <w:pPr>
        <w:pStyle w:val="Normalnumber"/>
        <w:numPr>
          <w:ilvl w:val="1"/>
          <w:numId w:val="21"/>
        </w:numPr>
        <w:tabs>
          <w:tab w:val="clear" w:pos="2495"/>
        </w:tabs>
        <w:ind w:left="1247" w:firstLine="624"/>
        <w:rPr>
          <w:color w:val="000000"/>
          <w:lang w:val="en-GB"/>
        </w:rPr>
      </w:pPr>
      <w:r w:rsidRPr="00BD7721">
        <w:rPr>
          <w:color w:val="000000"/>
          <w:lang w:val="en-GB"/>
        </w:rPr>
        <w:t>An in-person dialogue meeting with national focal points to further enhance the capacity of Governments to use completed IPBES assessments and other IPBES outputs in policy</w:t>
      </w:r>
      <w:r w:rsidR="0047198B" w:rsidRPr="00BD7721">
        <w:rPr>
          <w:color w:val="000000"/>
          <w:lang w:val="en-GB"/>
        </w:rPr>
        <w:t>making</w:t>
      </w:r>
      <w:r w:rsidRPr="00BD7721">
        <w:rPr>
          <w:color w:val="000000"/>
          <w:lang w:val="en-GB"/>
        </w:rPr>
        <w:t xml:space="preserve"> and decision-making (as part of the workshop referred to in annex III</w:t>
      </w:r>
      <w:proofErr w:type="gramStart"/>
      <w:r w:rsidRPr="00BD7721">
        <w:rPr>
          <w:color w:val="000000"/>
          <w:lang w:val="en-GB"/>
        </w:rPr>
        <w:t>);</w:t>
      </w:r>
      <w:proofErr w:type="gramEnd"/>
      <w:r w:rsidRPr="00BD7721">
        <w:rPr>
          <w:color w:val="000000"/>
          <w:lang w:val="en-GB"/>
        </w:rPr>
        <w:t xml:space="preserve"> </w:t>
      </w:r>
    </w:p>
    <w:p w14:paraId="70C97896" w14:textId="65F2F5D2" w:rsidR="00992A45" w:rsidRPr="00BD7721" w:rsidRDefault="00992A45" w:rsidP="00BC336E">
      <w:pPr>
        <w:pStyle w:val="Normalnumber"/>
        <w:numPr>
          <w:ilvl w:val="1"/>
          <w:numId w:val="21"/>
        </w:numPr>
        <w:tabs>
          <w:tab w:val="clear" w:pos="2495"/>
        </w:tabs>
        <w:ind w:left="1247" w:firstLine="624"/>
        <w:rPr>
          <w:color w:val="000000"/>
          <w:lang w:val="en-GB"/>
        </w:rPr>
      </w:pPr>
      <w:r w:rsidRPr="00BD7721">
        <w:rPr>
          <w:color w:val="000000"/>
          <w:lang w:val="en-GB"/>
        </w:rPr>
        <w:t>Strengthening of the role of national and (sub)regional science-policy platforms, networks and assessments related to biodiversity and ecosystem services in promoting the use of IPBES deliverables in policy</w:t>
      </w:r>
      <w:r w:rsidR="0047198B" w:rsidRPr="00BD7721">
        <w:rPr>
          <w:color w:val="000000"/>
          <w:lang w:val="en-GB"/>
        </w:rPr>
        <w:t>making</w:t>
      </w:r>
      <w:r w:rsidRPr="00BD7721">
        <w:rPr>
          <w:color w:val="000000"/>
          <w:lang w:val="en-GB"/>
        </w:rPr>
        <w:t xml:space="preserve"> and decision-making and in enhancing their policy relevance (as part of the online dialogue workshop referred to in annex III</w:t>
      </w:r>
      <w:proofErr w:type="gramStart"/>
      <w:r w:rsidRPr="00BD7721">
        <w:rPr>
          <w:color w:val="000000"/>
          <w:lang w:val="en-GB"/>
        </w:rPr>
        <w:t>);</w:t>
      </w:r>
      <w:proofErr w:type="gramEnd"/>
    </w:p>
    <w:p w14:paraId="7C23F492" w14:textId="46E928E8" w:rsidR="00992A45" w:rsidRPr="00BD7721" w:rsidRDefault="00992A45" w:rsidP="00BC336E">
      <w:pPr>
        <w:pStyle w:val="Normalnumber"/>
        <w:numPr>
          <w:ilvl w:val="1"/>
          <w:numId w:val="21"/>
        </w:numPr>
        <w:tabs>
          <w:tab w:val="clear" w:pos="2495"/>
        </w:tabs>
        <w:ind w:left="1247" w:firstLine="624"/>
        <w:rPr>
          <w:color w:val="000000"/>
          <w:lang w:val="en-GB"/>
        </w:rPr>
      </w:pPr>
      <w:r w:rsidRPr="00BD7721">
        <w:rPr>
          <w:color w:val="000000"/>
          <w:lang w:val="en-GB"/>
        </w:rPr>
        <w:t>Regional online dialogue meetings with actors at the science-policy interface, including IPBES national focal points and focal points of other relevant biodiversity-related multilateral environmental agreements, to promote the use of completed IPBES assessment reports in policy</w:t>
      </w:r>
      <w:r w:rsidR="0047198B" w:rsidRPr="00BD7721">
        <w:rPr>
          <w:color w:val="000000"/>
          <w:lang w:val="en-GB"/>
        </w:rPr>
        <w:t>making</w:t>
      </w:r>
      <w:r w:rsidRPr="00BD7721">
        <w:rPr>
          <w:color w:val="000000"/>
          <w:lang w:val="en-GB"/>
        </w:rPr>
        <w:t xml:space="preserve"> and decision-making through lessons learned, best practices and the sharing of </w:t>
      </w:r>
      <w:proofErr w:type="gramStart"/>
      <w:r w:rsidRPr="00BD7721">
        <w:rPr>
          <w:color w:val="000000"/>
          <w:lang w:val="en-GB"/>
        </w:rPr>
        <w:t>experiences;</w:t>
      </w:r>
      <w:proofErr w:type="gramEnd"/>
      <w:r w:rsidRPr="00BD7721">
        <w:rPr>
          <w:color w:val="000000"/>
          <w:lang w:val="en-GB"/>
        </w:rPr>
        <w:t xml:space="preserve"> </w:t>
      </w:r>
    </w:p>
    <w:p w14:paraId="0A6A7C67" w14:textId="79D3243E" w:rsidR="00992A45" w:rsidRPr="00BD7721" w:rsidRDefault="00992A45" w:rsidP="00BC336E">
      <w:pPr>
        <w:pStyle w:val="Normalnumber"/>
        <w:numPr>
          <w:ilvl w:val="1"/>
          <w:numId w:val="21"/>
        </w:numPr>
        <w:tabs>
          <w:tab w:val="clear" w:pos="2495"/>
        </w:tabs>
        <w:ind w:left="1247" w:firstLine="624"/>
        <w:rPr>
          <w:color w:val="000000"/>
          <w:lang w:val="en-GB"/>
        </w:rPr>
      </w:pPr>
      <w:r w:rsidRPr="00BD7721">
        <w:rPr>
          <w:color w:val="000000"/>
          <w:lang w:val="en-GB"/>
        </w:rPr>
        <w:t>Conduct of a second edition of the survey on the use of IPBES assessments in policymaking at national and subnational levels to gather information relating to new IPBES assessments (fourth quarter 2023</w:t>
      </w:r>
      <w:proofErr w:type="gramStart"/>
      <w:r w:rsidRPr="00BD7721">
        <w:rPr>
          <w:color w:val="000000"/>
          <w:lang w:val="en-GB"/>
        </w:rPr>
        <w:t>);</w:t>
      </w:r>
      <w:proofErr w:type="gramEnd"/>
    </w:p>
    <w:p w14:paraId="32333C88" w14:textId="3422682B" w:rsidR="00992A45" w:rsidRPr="00BD7721" w:rsidRDefault="00992A45" w:rsidP="00BC336E">
      <w:pPr>
        <w:pStyle w:val="Normalnumber"/>
        <w:numPr>
          <w:ilvl w:val="1"/>
          <w:numId w:val="21"/>
        </w:numPr>
        <w:tabs>
          <w:tab w:val="clear" w:pos="2495"/>
        </w:tabs>
        <w:ind w:left="1247" w:firstLine="624"/>
        <w:rPr>
          <w:color w:val="000000"/>
          <w:lang w:val="en-GB"/>
        </w:rPr>
      </w:pPr>
      <w:r w:rsidRPr="00BD7721">
        <w:rPr>
          <w:color w:val="000000"/>
          <w:lang w:val="en-GB"/>
        </w:rPr>
        <w:t>Encouragement of the addition of examples of the successful use of completed IPBES assessments in policy</w:t>
      </w:r>
      <w:r w:rsidR="0047198B" w:rsidRPr="00BD7721">
        <w:rPr>
          <w:color w:val="000000"/>
          <w:lang w:val="en-GB"/>
        </w:rPr>
        <w:t>making</w:t>
      </w:r>
      <w:r w:rsidRPr="00BD7721">
        <w:rPr>
          <w:color w:val="000000"/>
          <w:lang w:val="en-GB"/>
        </w:rPr>
        <w:t xml:space="preserve"> and decision-making to the IPBES impact-tracking database (TRACK).</w:t>
      </w:r>
      <w:r w:rsidRPr="00BD7721">
        <w:rPr>
          <w:vertAlign w:val="superscript"/>
          <w:lang w:val="en-GB"/>
        </w:rPr>
        <w:footnoteReference w:id="32"/>
      </w:r>
      <w:r w:rsidRPr="00BD7721">
        <w:rPr>
          <w:color w:val="000000"/>
          <w:lang w:val="en-GB"/>
        </w:rPr>
        <w:t xml:space="preserve"> </w:t>
      </w:r>
    </w:p>
    <w:p w14:paraId="72A60153" w14:textId="77777777" w:rsidR="00992A45" w:rsidRPr="00BD7721" w:rsidRDefault="00992A45" w:rsidP="006132B0">
      <w:pPr>
        <w:pStyle w:val="Normalnumber"/>
        <w:numPr>
          <w:ilvl w:val="0"/>
          <w:numId w:val="66"/>
        </w:numPr>
        <w:ind w:left="1247"/>
        <w:rPr>
          <w:color w:val="000000"/>
          <w:lang w:val="en-GB"/>
        </w:rPr>
      </w:pPr>
      <w:r w:rsidRPr="00BD7721">
        <w:rPr>
          <w:color w:val="000000"/>
          <w:lang w:val="en-GB"/>
        </w:rPr>
        <w:t>Activities to ensure effective implementation of the workplan include the development and monitoring of a set of relevant indicators for measuring effectiveness. The set of indicators developed will be presented to the Plenary, at its eleventh session, as part of the draft workplan for the intersessional period 2024–2025.</w:t>
      </w:r>
    </w:p>
    <w:p w14:paraId="060F796E" w14:textId="77777777" w:rsidR="00564376" w:rsidRPr="00BD7721" w:rsidRDefault="00564376" w:rsidP="00564376">
      <w:pPr>
        <w:pStyle w:val="Normal-pool"/>
        <w:rPr>
          <w:lang w:val="en-GB"/>
        </w:rPr>
        <w:sectPr w:rsidR="00564376" w:rsidRPr="00BD7721" w:rsidSect="00D70826">
          <w:footnotePr>
            <w:numRestart w:val="eachSect"/>
          </w:footnotePr>
          <w:pgSz w:w="11907" w:h="16839" w:code="9"/>
          <w:pgMar w:top="907" w:right="992" w:bottom="1418" w:left="1418" w:header="539" w:footer="975" w:gutter="0"/>
          <w:cols w:space="539"/>
          <w:docGrid w:linePitch="360"/>
        </w:sectPr>
      </w:pPr>
    </w:p>
    <w:p w14:paraId="51897EFD" w14:textId="6932DB05" w:rsidR="00992A45" w:rsidRPr="00BD7721" w:rsidRDefault="00C43F80" w:rsidP="00C43F80">
      <w:pPr>
        <w:pStyle w:val="CH1"/>
        <w:rPr>
          <w:lang w:val="en-GB"/>
        </w:rPr>
      </w:pPr>
      <w:r w:rsidRPr="00BD7721">
        <w:rPr>
          <w:lang w:val="en-GB"/>
        </w:rPr>
        <w:tab/>
      </w:r>
      <w:r w:rsidRPr="00BD7721">
        <w:rPr>
          <w:lang w:val="en-GB"/>
        </w:rPr>
        <w:tab/>
      </w:r>
      <w:r w:rsidR="00992A45" w:rsidRPr="00BD7721">
        <w:rPr>
          <w:lang w:val="en-GB"/>
        </w:rPr>
        <w:t>Annex VIII to decision IPBES-10/1</w:t>
      </w:r>
    </w:p>
    <w:p w14:paraId="0F977024" w14:textId="15F2D46B" w:rsidR="00992A45" w:rsidRPr="00BD7721" w:rsidRDefault="00DB406B" w:rsidP="00DB406B">
      <w:pPr>
        <w:pStyle w:val="CH1"/>
        <w:rPr>
          <w:lang w:val="en-GB"/>
        </w:rPr>
      </w:pPr>
      <w:r w:rsidRPr="00BD7721">
        <w:rPr>
          <w:lang w:val="en-GB"/>
        </w:rPr>
        <w:tab/>
      </w:r>
      <w:r w:rsidRPr="00BD7721">
        <w:rPr>
          <w:lang w:val="en-GB"/>
        </w:rPr>
        <w:tab/>
      </w:r>
      <w:r w:rsidR="00992A45" w:rsidRPr="00BD7721">
        <w:rPr>
          <w:lang w:val="en-GB"/>
        </w:rPr>
        <w:t xml:space="preserve">Workplan for objective 4 (b): advanced work on scenarios and models, for the intersessional period 2023–2024 </w:t>
      </w:r>
    </w:p>
    <w:p w14:paraId="3FB5C03D" w14:textId="30D3DA0B" w:rsidR="00992A45" w:rsidRPr="00BD7721" w:rsidRDefault="00992A45" w:rsidP="00DB406B">
      <w:pPr>
        <w:pStyle w:val="Normalnumber"/>
        <w:numPr>
          <w:ilvl w:val="0"/>
          <w:numId w:val="67"/>
        </w:numPr>
        <w:ind w:left="1247"/>
        <w:rPr>
          <w:lang w:val="en-GB"/>
        </w:rPr>
      </w:pPr>
      <w:r w:rsidRPr="00BD7721">
        <w:rPr>
          <w:lang w:val="en-GB"/>
        </w:rPr>
        <w:t>A task force on scenarios and models will implement the following workplan for objective 4</w:t>
      </w:r>
      <w:r w:rsidR="004212A9" w:rsidRPr="00BD7721">
        <w:rPr>
          <w:lang w:val="en-GB"/>
        </w:rPr>
        <w:t xml:space="preserve"> </w:t>
      </w:r>
      <w:r w:rsidRPr="00BD7721">
        <w:rPr>
          <w:lang w:val="en-GB"/>
        </w:rPr>
        <w:t>(b), supported by the secretariat, including a dedicated technical support unit.</w:t>
      </w:r>
    </w:p>
    <w:p w14:paraId="3A9CAF9D" w14:textId="77777777" w:rsidR="00992A45" w:rsidRPr="00BD7721" w:rsidRDefault="00992A45" w:rsidP="00DB406B">
      <w:pPr>
        <w:pStyle w:val="Normalnumber"/>
        <w:numPr>
          <w:ilvl w:val="0"/>
          <w:numId w:val="21"/>
        </w:numPr>
        <w:ind w:left="1247"/>
        <w:rPr>
          <w:lang w:val="en-GB"/>
        </w:rPr>
      </w:pPr>
      <w:r w:rsidRPr="00BD7721">
        <w:rPr>
          <w:lang w:val="en-GB"/>
        </w:rPr>
        <w:t>While progress has been made in the development of the methodological guidance on the Nature Futures Framework, a flexible tool to support the development of scenarios and models of desirable futures for people, nature and Mother Earth,</w:t>
      </w:r>
      <w:r w:rsidRPr="00BD7721">
        <w:rPr>
          <w:rStyle w:val="FootnoteReference"/>
          <w:lang w:val="en-GB"/>
        </w:rPr>
        <w:footnoteReference w:id="33"/>
      </w:r>
      <w:r w:rsidRPr="00BD7721">
        <w:rPr>
          <w:lang w:val="en-GB"/>
        </w:rPr>
        <w:t xml:space="preserve"> there is a need to further develop the methodological guidance, including for Mother Earth-centric scenarios and models.</w:t>
      </w:r>
    </w:p>
    <w:p w14:paraId="2809F081" w14:textId="77777777" w:rsidR="00992A45" w:rsidRPr="00BD7721" w:rsidRDefault="00992A45" w:rsidP="00DB406B">
      <w:pPr>
        <w:pStyle w:val="Normalnumber"/>
        <w:numPr>
          <w:ilvl w:val="0"/>
          <w:numId w:val="21"/>
        </w:numPr>
        <w:ind w:left="1247"/>
        <w:rPr>
          <w:lang w:val="en-GB"/>
        </w:rPr>
      </w:pPr>
      <w:r w:rsidRPr="00BD7721">
        <w:rPr>
          <w:lang w:val="en-GB"/>
        </w:rPr>
        <w:t>Activities to provide support for scenarios and models for IPBES assessments will include:</w:t>
      </w:r>
    </w:p>
    <w:p w14:paraId="205C4FDE" w14:textId="6F36CB3E" w:rsidR="00992A45" w:rsidRPr="00BD7721" w:rsidRDefault="00992A45" w:rsidP="00536F17">
      <w:pPr>
        <w:pStyle w:val="Normalnumber"/>
        <w:numPr>
          <w:ilvl w:val="1"/>
          <w:numId w:val="21"/>
        </w:numPr>
        <w:tabs>
          <w:tab w:val="clear" w:pos="2495"/>
        </w:tabs>
        <w:ind w:left="1247" w:firstLine="624"/>
        <w:rPr>
          <w:lang w:val="en-GB"/>
        </w:rPr>
      </w:pPr>
      <w:r w:rsidRPr="00BD7721">
        <w:rPr>
          <w:lang w:val="en-GB"/>
        </w:rPr>
        <w:t>Peer review by the task force of drafts of the nexus and transformative change assessments (fourth quarter of 2023) and drafts of the business and biodiversity assessment (third quarter of 2024</w:t>
      </w:r>
      <w:proofErr w:type="gramStart"/>
      <w:r w:rsidRPr="00BD7721">
        <w:rPr>
          <w:lang w:val="en-GB"/>
        </w:rPr>
        <w:t>);</w:t>
      </w:r>
      <w:proofErr w:type="gramEnd"/>
    </w:p>
    <w:p w14:paraId="1070CAAC" w14:textId="242004C8" w:rsidR="00992A45" w:rsidRPr="00BD7721" w:rsidRDefault="00992A45" w:rsidP="00536F17">
      <w:pPr>
        <w:pStyle w:val="Normalnumber"/>
        <w:numPr>
          <w:ilvl w:val="1"/>
          <w:numId w:val="21"/>
        </w:numPr>
        <w:tabs>
          <w:tab w:val="clear" w:pos="2495"/>
        </w:tabs>
        <w:ind w:left="1247" w:firstLine="624"/>
        <w:rPr>
          <w:lang w:val="en-GB"/>
        </w:rPr>
      </w:pPr>
      <w:r w:rsidRPr="00BD7721">
        <w:rPr>
          <w:lang w:val="en-GB"/>
        </w:rPr>
        <w:t>Mobilizing experts in scenarios and models and other futures studies beyond the task force to encourage them to contribute to upcoming assessments (e.g., by disseminating calls for nominations, as well as notifications on the external review of IPBES assessments</w:t>
      </w:r>
      <w:proofErr w:type="gramStart"/>
      <w:r w:rsidRPr="00BD7721">
        <w:rPr>
          <w:lang w:val="en-GB"/>
        </w:rPr>
        <w:t>);</w:t>
      </w:r>
      <w:proofErr w:type="gramEnd"/>
    </w:p>
    <w:p w14:paraId="521BE5DA" w14:textId="77777777" w:rsidR="00992A45" w:rsidRPr="00BD7721" w:rsidRDefault="00992A45" w:rsidP="00536F17">
      <w:pPr>
        <w:pStyle w:val="Normalnumber"/>
        <w:numPr>
          <w:ilvl w:val="1"/>
          <w:numId w:val="21"/>
        </w:numPr>
        <w:tabs>
          <w:tab w:val="clear" w:pos="2495"/>
        </w:tabs>
        <w:ind w:left="1247" w:firstLine="624"/>
        <w:rPr>
          <w:lang w:val="en-GB"/>
        </w:rPr>
      </w:pPr>
      <w:r w:rsidRPr="00BD7721">
        <w:rPr>
          <w:lang w:val="en-GB"/>
        </w:rPr>
        <w:t>Providing advice and input on scenarios and models to IPBES assessment author groups, including the engagement of task force members as contributing authors, or through the provision of materials and the organization of webinars, upon request (first quarter of 2024 onwards</w:t>
      </w:r>
      <w:proofErr w:type="gramStart"/>
      <w:r w:rsidRPr="00BD7721">
        <w:rPr>
          <w:lang w:val="en-GB"/>
        </w:rPr>
        <w:t>);</w:t>
      </w:r>
      <w:proofErr w:type="gramEnd"/>
    </w:p>
    <w:p w14:paraId="134DACF9" w14:textId="77777777" w:rsidR="00992A45" w:rsidRPr="00BD7721" w:rsidRDefault="00992A45" w:rsidP="00536F17">
      <w:pPr>
        <w:pStyle w:val="Normalnumber"/>
        <w:numPr>
          <w:ilvl w:val="1"/>
          <w:numId w:val="21"/>
        </w:numPr>
        <w:tabs>
          <w:tab w:val="clear" w:pos="2495"/>
        </w:tabs>
        <w:ind w:left="1247" w:firstLine="624"/>
        <w:rPr>
          <w:lang w:val="en-GB"/>
        </w:rPr>
      </w:pPr>
      <w:r w:rsidRPr="00BD7721">
        <w:rPr>
          <w:lang w:val="en-GB"/>
        </w:rPr>
        <w:t xml:space="preserve">Engaging with scenarios and </w:t>
      </w:r>
      <w:proofErr w:type="gramStart"/>
      <w:r w:rsidRPr="00BD7721">
        <w:rPr>
          <w:lang w:val="en-GB"/>
        </w:rPr>
        <w:t>models</w:t>
      </w:r>
      <w:proofErr w:type="gramEnd"/>
      <w:r w:rsidRPr="00BD7721">
        <w:rPr>
          <w:lang w:val="en-GB"/>
        </w:rPr>
        <w:t xml:space="preserve"> experts of other intergovernmental processes to foster coherence and an exchange of ideas among assessment processes;</w:t>
      </w:r>
    </w:p>
    <w:p w14:paraId="25F17897" w14:textId="7B643ED9" w:rsidR="00992A45" w:rsidRPr="00BD7721" w:rsidRDefault="00992A45" w:rsidP="00536F17">
      <w:pPr>
        <w:pStyle w:val="Normalnumber"/>
        <w:numPr>
          <w:ilvl w:val="1"/>
          <w:numId w:val="21"/>
        </w:numPr>
        <w:tabs>
          <w:tab w:val="clear" w:pos="2495"/>
        </w:tabs>
        <w:ind w:left="1247" w:firstLine="624"/>
        <w:rPr>
          <w:lang w:val="en-GB"/>
        </w:rPr>
      </w:pPr>
      <w:r w:rsidRPr="00BD7721">
        <w:rPr>
          <w:lang w:val="en-GB"/>
        </w:rPr>
        <w:t>Organizing an in-person workshop to contribute to the reflection on scenarios and models that better account for different knowledge systems, including Indigenous and local knowledge systems, and Mother Earth-centric scenarios and models, as included in the Nature Futures Framework, between the tenth and twelfth sessions of the Plenary, and presenting a report, including additional methodological guidance at the twelfth session.</w:t>
      </w:r>
    </w:p>
    <w:p w14:paraId="3BAC122C" w14:textId="77777777" w:rsidR="00992A45" w:rsidRPr="00BD7721" w:rsidRDefault="00992A45" w:rsidP="00536F17">
      <w:pPr>
        <w:pStyle w:val="Normalnumber"/>
        <w:numPr>
          <w:ilvl w:val="0"/>
          <w:numId w:val="67"/>
        </w:numPr>
        <w:ind w:left="1247"/>
        <w:rPr>
          <w:color w:val="000000"/>
          <w:shd w:val="clear" w:color="auto" w:fill="D9D9D9"/>
          <w:lang w:val="en-GB"/>
        </w:rPr>
      </w:pPr>
      <w:r w:rsidRPr="00BD7721">
        <w:rPr>
          <w:color w:val="000000"/>
          <w:lang w:val="en-GB"/>
        </w:rPr>
        <w:t>Activities to promote dialogue between IPBES and the communities of practice</w:t>
      </w:r>
      <w:r w:rsidRPr="00BD7721">
        <w:rPr>
          <w:color w:val="000000"/>
          <w:vertAlign w:val="superscript"/>
          <w:lang w:val="en-GB"/>
        </w:rPr>
        <w:footnoteReference w:id="34"/>
      </w:r>
      <w:r w:rsidRPr="00BD7721">
        <w:rPr>
          <w:color w:val="000000"/>
          <w:lang w:val="en-GB"/>
        </w:rPr>
        <w:t xml:space="preserve"> on scenarios and models, </w:t>
      </w:r>
      <w:r w:rsidRPr="00BD7721">
        <w:rPr>
          <w:lang w:val="en-GB"/>
        </w:rPr>
        <w:t>including</w:t>
      </w:r>
      <w:r w:rsidRPr="00BD7721">
        <w:rPr>
          <w:color w:val="000000"/>
          <w:lang w:val="en-GB"/>
        </w:rPr>
        <w:t xml:space="preserve"> both nature-centred and Mother Earth-centred</w:t>
      </w:r>
      <w:r w:rsidRPr="00BD7721">
        <w:rPr>
          <w:lang w:val="en-GB"/>
        </w:rPr>
        <w:t xml:space="preserve"> scenarios and models,</w:t>
      </w:r>
      <w:r w:rsidRPr="00BD7721">
        <w:rPr>
          <w:color w:val="000000"/>
          <w:lang w:val="en-GB"/>
        </w:rPr>
        <w:t xml:space="preserve"> and to catalyse the further development of scenarios and models for future IPBES assessments, will include:</w:t>
      </w:r>
      <w:r w:rsidRPr="00BD7721">
        <w:rPr>
          <w:color w:val="000000"/>
          <w:shd w:val="clear" w:color="auto" w:fill="D9D9D9"/>
          <w:lang w:val="en-GB"/>
        </w:rPr>
        <w:t xml:space="preserve"> </w:t>
      </w:r>
    </w:p>
    <w:p w14:paraId="5341E93E" w14:textId="77777777" w:rsidR="00992A45" w:rsidRPr="00BD7721" w:rsidRDefault="00992A45" w:rsidP="00ED3673">
      <w:pPr>
        <w:pStyle w:val="Normalnumber"/>
        <w:numPr>
          <w:ilvl w:val="1"/>
          <w:numId w:val="21"/>
        </w:numPr>
        <w:tabs>
          <w:tab w:val="clear" w:pos="2495"/>
        </w:tabs>
        <w:ind w:left="1247" w:firstLine="624"/>
        <w:rPr>
          <w:color w:val="000000"/>
          <w:lang w:val="en-GB"/>
        </w:rPr>
      </w:pPr>
      <w:r w:rsidRPr="00BD7721">
        <w:rPr>
          <w:color w:val="000000"/>
          <w:lang w:val="en-GB"/>
        </w:rPr>
        <w:t>Mobilizing existing communities on scenarios and models and other futures studies to facilitate the development of scenarios and models relevant to the work of IPBES and thereby also support the work of biodiversity-related multilateral environmental agreements, including through a call for relevant organizations to conduct workshops to catalyse further work (third quarter of 2023</w:t>
      </w:r>
      <w:proofErr w:type="gramStart"/>
      <w:r w:rsidRPr="00BD7721">
        <w:rPr>
          <w:color w:val="000000"/>
          <w:lang w:val="en-GB"/>
        </w:rPr>
        <w:t>);</w:t>
      </w:r>
      <w:proofErr w:type="gramEnd"/>
    </w:p>
    <w:p w14:paraId="229DBF66" w14:textId="77777777" w:rsidR="00992A45" w:rsidRPr="00BD7721" w:rsidRDefault="00992A45" w:rsidP="00ED3673">
      <w:pPr>
        <w:pStyle w:val="Normalnumber"/>
        <w:numPr>
          <w:ilvl w:val="1"/>
          <w:numId w:val="21"/>
        </w:numPr>
        <w:tabs>
          <w:tab w:val="clear" w:pos="2495"/>
        </w:tabs>
        <w:ind w:left="1247" w:firstLine="624"/>
        <w:rPr>
          <w:color w:val="000000"/>
          <w:lang w:val="en-GB"/>
        </w:rPr>
      </w:pPr>
      <w:r w:rsidRPr="00BD7721">
        <w:rPr>
          <w:color w:val="000000"/>
          <w:lang w:val="en-GB"/>
        </w:rPr>
        <w:t xml:space="preserve">Providing guidance and information on the work of IPBES with regard to scenarios and models, including on the use, opportunities and limits of the Nature Futures Framework, at workshops organized by existing communities on scenarios and models and other futures </w:t>
      </w:r>
      <w:proofErr w:type="gramStart"/>
      <w:r w:rsidRPr="00BD7721">
        <w:rPr>
          <w:color w:val="000000"/>
          <w:lang w:val="en-GB"/>
        </w:rPr>
        <w:t>studies;</w:t>
      </w:r>
      <w:proofErr w:type="gramEnd"/>
      <w:r w:rsidRPr="00BD7721">
        <w:rPr>
          <w:color w:val="000000"/>
          <w:lang w:val="en-GB"/>
        </w:rPr>
        <w:t xml:space="preserve"> </w:t>
      </w:r>
    </w:p>
    <w:p w14:paraId="18C477A9" w14:textId="77777777" w:rsidR="00992A45" w:rsidRPr="00BD7721" w:rsidRDefault="00992A45" w:rsidP="00ED3673">
      <w:pPr>
        <w:pStyle w:val="Normalnumber"/>
        <w:numPr>
          <w:ilvl w:val="1"/>
          <w:numId w:val="21"/>
        </w:numPr>
        <w:tabs>
          <w:tab w:val="clear" w:pos="2495"/>
        </w:tabs>
        <w:ind w:left="1247" w:firstLine="624"/>
        <w:rPr>
          <w:color w:val="000000"/>
          <w:lang w:val="en-GB"/>
        </w:rPr>
      </w:pPr>
      <w:r w:rsidRPr="00BD7721">
        <w:rPr>
          <w:color w:val="000000"/>
          <w:lang w:val="en-GB"/>
        </w:rPr>
        <w:t xml:space="preserve">Catalysing the production of scenarios and models in various places and at various scales by encouraging the global communities of practice to work at the regional </w:t>
      </w:r>
      <w:proofErr w:type="gramStart"/>
      <w:r w:rsidRPr="00BD7721">
        <w:rPr>
          <w:color w:val="000000"/>
          <w:lang w:val="en-GB"/>
        </w:rPr>
        <w:t>scale;</w:t>
      </w:r>
      <w:proofErr w:type="gramEnd"/>
    </w:p>
    <w:p w14:paraId="442F4C6F" w14:textId="77777777" w:rsidR="00992A45" w:rsidRPr="00BD7721" w:rsidRDefault="00992A45" w:rsidP="00ED3673">
      <w:pPr>
        <w:pStyle w:val="Normalnumber"/>
        <w:numPr>
          <w:ilvl w:val="1"/>
          <w:numId w:val="21"/>
        </w:numPr>
        <w:tabs>
          <w:tab w:val="clear" w:pos="2495"/>
        </w:tabs>
        <w:ind w:left="1247" w:firstLine="624"/>
        <w:rPr>
          <w:color w:val="000000"/>
          <w:lang w:val="en-GB"/>
        </w:rPr>
      </w:pPr>
      <w:r w:rsidRPr="00BD7721">
        <w:rPr>
          <w:color w:val="000000"/>
          <w:lang w:val="en-GB"/>
        </w:rPr>
        <w:t>Preparing a compilation of gaps and needs regarding nature-centred scenarios and models set out in completed IPBES assessments and using it to communicate to the scientific community IPBES needs with respect to the adjustment of existing scenarios and models and the development of new scenarios and models, including those based on the different knowledge systems and world views, including through a dedicated space on the IPBES website (third quarter of 2024</w:t>
      </w:r>
      <w:proofErr w:type="gramStart"/>
      <w:r w:rsidRPr="00BD7721">
        <w:rPr>
          <w:color w:val="000000"/>
          <w:lang w:val="en-GB"/>
        </w:rPr>
        <w:t>);</w:t>
      </w:r>
      <w:proofErr w:type="gramEnd"/>
    </w:p>
    <w:p w14:paraId="65942772" w14:textId="77777777" w:rsidR="00992A45" w:rsidRPr="00BD7721" w:rsidRDefault="00992A45" w:rsidP="00ED3673">
      <w:pPr>
        <w:pStyle w:val="Normalnumber"/>
        <w:numPr>
          <w:ilvl w:val="1"/>
          <w:numId w:val="21"/>
        </w:numPr>
        <w:tabs>
          <w:tab w:val="clear" w:pos="2495"/>
        </w:tabs>
        <w:ind w:left="1247" w:firstLine="624"/>
        <w:rPr>
          <w:color w:val="000000"/>
          <w:lang w:val="en-GB"/>
        </w:rPr>
      </w:pPr>
      <w:r w:rsidRPr="00BD7721">
        <w:rPr>
          <w:color w:val="000000"/>
          <w:lang w:val="en-GB"/>
        </w:rPr>
        <w:t>Collecting examples</w:t>
      </w:r>
      <w:r w:rsidRPr="00BD7721">
        <w:rPr>
          <w:color w:val="000000"/>
          <w:vertAlign w:val="superscript"/>
          <w:lang w:val="en-GB"/>
        </w:rPr>
        <w:footnoteReference w:id="35"/>
      </w:r>
      <w:r w:rsidRPr="00BD7721">
        <w:rPr>
          <w:color w:val="000000"/>
          <w:lang w:val="en-GB"/>
        </w:rPr>
        <w:t xml:space="preserve"> of the development of scenarios using the Nature Futures Framework in various places and at various scales for different thematic contexts, including those developed based on</w:t>
      </w:r>
      <w:r w:rsidRPr="00BD7721">
        <w:rPr>
          <w:lang w:val="en-GB"/>
        </w:rPr>
        <w:t xml:space="preserve"> </w:t>
      </w:r>
      <w:r w:rsidRPr="00BD7721">
        <w:rPr>
          <w:color w:val="000000"/>
          <w:lang w:val="en-GB"/>
        </w:rPr>
        <w:t>different</w:t>
      </w:r>
      <w:r w:rsidRPr="00BD7721">
        <w:rPr>
          <w:lang w:val="en-GB"/>
        </w:rPr>
        <w:t xml:space="preserve"> knowledge systems and world views, through a call for submission of examples,</w:t>
      </w:r>
      <w:r w:rsidRPr="00BD7721">
        <w:rPr>
          <w:color w:val="000000"/>
          <w:lang w:val="en-GB"/>
        </w:rPr>
        <w:t xml:space="preserve"> and identifying remaining gaps and compiling related information, including comments and critiques contributing to further development and refining of </w:t>
      </w:r>
      <w:proofErr w:type="gramStart"/>
      <w:r w:rsidRPr="00BD7721">
        <w:rPr>
          <w:color w:val="000000"/>
          <w:lang w:val="en-GB"/>
        </w:rPr>
        <w:t>methodologies;</w:t>
      </w:r>
      <w:proofErr w:type="gramEnd"/>
    </w:p>
    <w:p w14:paraId="7FBA3A8B" w14:textId="77777777" w:rsidR="00992A45" w:rsidRPr="00BD7721" w:rsidRDefault="00992A45" w:rsidP="00ED3673">
      <w:pPr>
        <w:pStyle w:val="Normalnumber"/>
        <w:numPr>
          <w:ilvl w:val="1"/>
          <w:numId w:val="21"/>
        </w:numPr>
        <w:tabs>
          <w:tab w:val="clear" w:pos="2495"/>
        </w:tabs>
        <w:ind w:left="1247" w:firstLine="624"/>
        <w:rPr>
          <w:color w:val="000000"/>
          <w:lang w:val="en-GB"/>
        </w:rPr>
      </w:pPr>
      <w:r w:rsidRPr="00BD7721">
        <w:rPr>
          <w:color w:val="000000"/>
          <w:lang w:val="en-GB"/>
        </w:rPr>
        <w:t>Engaging with various stakeholders, including those with backgrounds in modelling, social sciences and the humanities and in Indigenous and local knowledge, as well as policymakers and private-sector actors, through participation in relevant international meetings and conferences</w:t>
      </w:r>
      <w:r w:rsidRPr="00BD7721">
        <w:rPr>
          <w:lang w:val="en-GB"/>
        </w:rPr>
        <w:t xml:space="preserve">, including planned Indigenous and local knowledge dialogues where relevant, to disseminate, </w:t>
      </w:r>
      <w:r w:rsidRPr="00BD7721">
        <w:rPr>
          <w:color w:val="000000"/>
          <w:lang w:val="en-GB"/>
        </w:rPr>
        <w:t xml:space="preserve">discuss and further develop IPBES work on scenarios and models. </w:t>
      </w:r>
    </w:p>
    <w:p w14:paraId="2664E98C" w14:textId="77777777" w:rsidR="00992A45" w:rsidRPr="00BD7721" w:rsidRDefault="00992A45" w:rsidP="00992A45">
      <w:pPr>
        <w:pStyle w:val="Normalnumber"/>
        <w:numPr>
          <w:ilvl w:val="0"/>
          <w:numId w:val="21"/>
        </w:numPr>
        <w:rPr>
          <w:color w:val="000000"/>
          <w:lang w:val="en-GB"/>
        </w:rPr>
      </w:pPr>
      <w:r w:rsidRPr="00BD7721">
        <w:rPr>
          <w:color w:val="000000"/>
          <w:lang w:val="en-GB"/>
        </w:rPr>
        <w:t>Activities to ensure effective implementation of the workplan include the development and monitoring of a set of relevant indicators for measuring effectiveness. The set of indicators developed will be presented to the Plenary, at its eleventh session, as part of the draft workplan for the intersessional period 2024–2025.</w:t>
      </w:r>
    </w:p>
    <w:p w14:paraId="6F786E90" w14:textId="77777777" w:rsidR="0010281C" w:rsidRPr="00BD7721" w:rsidRDefault="0010281C" w:rsidP="00992A45">
      <w:pPr>
        <w:pStyle w:val="Normal-pool"/>
        <w:rPr>
          <w:lang w:val="en-GB"/>
        </w:rPr>
      </w:pPr>
    </w:p>
    <w:p w14:paraId="6D1D4693" w14:textId="77777777" w:rsidR="00207105" w:rsidRPr="00BD7721" w:rsidRDefault="00207105" w:rsidP="00992A45">
      <w:pPr>
        <w:pStyle w:val="Normal-pool"/>
        <w:rPr>
          <w:lang w:val="en-GB"/>
        </w:rPr>
        <w:sectPr w:rsidR="00207105" w:rsidRPr="00BD7721" w:rsidSect="00D70826">
          <w:footnotePr>
            <w:numRestart w:val="eachSect"/>
          </w:footnotePr>
          <w:pgSz w:w="11907" w:h="16839" w:code="9"/>
          <w:pgMar w:top="907" w:right="992" w:bottom="1418" w:left="1418" w:header="539" w:footer="975" w:gutter="0"/>
          <w:cols w:space="539"/>
          <w:docGrid w:linePitch="360"/>
        </w:sectPr>
      </w:pPr>
    </w:p>
    <w:p w14:paraId="0EECB8E5" w14:textId="07E4B9D8" w:rsidR="00992A45" w:rsidRPr="00BD7721" w:rsidRDefault="0010281C" w:rsidP="0010281C">
      <w:pPr>
        <w:pStyle w:val="CH1"/>
        <w:rPr>
          <w:lang w:val="en-GB"/>
        </w:rPr>
      </w:pPr>
      <w:r w:rsidRPr="00BD7721">
        <w:rPr>
          <w:lang w:val="en-GB"/>
        </w:rPr>
        <w:tab/>
      </w:r>
      <w:r w:rsidRPr="00BD7721">
        <w:rPr>
          <w:lang w:val="en-GB"/>
        </w:rPr>
        <w:tab/>
      </w:r>
      <w:r w:rsidR="00992A45" w:rsidRPr="00BD7721">
        <w:rPr>
          <w:lang w:val="en-GB"/>
        </w:rPr>
        <w:t>Annex IX to decision IPBES-10/1</w:t>
      </w:r>
    </w:p>
    <w:p w14:paraId="2A7DE24A" w14:textId="634E78BD" w:rsidR="00992A45" w:rsidRPr="00BD7721" w:rsidRDefault="00ED3673" w:rsidP="00ED3673">
      <w:pPr>
        <w:pStyle w:val="CH1"/>
        <w:rPr>
          <w:lang w:val="en-GB"/>
        </w:rPr>
      </w:pPr>
      <w:r w:rsidRPr="00BD7721">
        <w:rPr>
          <w:lang w:val="en-GB"/>
        </w:rPr>
        <w:tab/>
      </w:r>
      <w:r w:rsidRPr="00BD7721">
        <w:rPr>
          <w:lang w:val="en-GB"/>
        </w:rPr>
        <w:tab/>
      </w:r>
      <w:r w:rsidR="003036F0" w:rsidRPr="00BD7721">
        <w:rPr>
          <w:lang w:val="en-GB"/>
        </w:rPr>
        <w:t>T</w:t>
      </w:r>
      <w:r w:rsidR="00992A45" w:rsidRPr="00BD7721">
        <w:rPr>
          <w:lang w:val="en-GB"/>
        </w:rPr>
        <w:t>erms of reference for the midterm review of the rolling work programme of the Intergovernmental Science-Policy Platform on Biodiversity and Ecosystem Services</w:t>
      </w:r>
      <w:r w:rsidR="00D80AD0" w:rsidRPr="00BD7721">
        <w:rPr>
          <w:lang w:val="en-GB"/>
        </w:rPr>
        <w:t xml:space="preserve"> up to 2030</w:t>
      </w:r>
    </w:p>
    <w:p w14:paraId="3A5EF418" w14:textId="77777777" w:rsidR="00992A45" w:rsidRPr="00BD7721" w:rsidRDefault="00992A45" w:rsidP="00992A45">
      <w:pPr>
        <w:pStyle w:val="CH1"/>
        <w:rPr>
          <w:lang w:val="en-GB"/>
        </w:rPr>
      </w:pPr>
      <w:r w:rsidRPr="00BD7721">
        <w:rPr>
          <w:lang w:val="en-GB"/>
        </w:rPr>
        <w:tab/>
        <w:t>I.</w:t>
      </w:r>
      <w:r w:rsidRPr="00BD7721">
        <w:rPr>
          <w:lang w:val="en-GB"/>
        </w:rPr>
        <w:tab/>
        <w:t xml:space="preserve">Objectives, timing and expected outputs of the review </w:t>
      </w:r>
    </w:p>
    <w:p w14:paraId="67C713EF" w14:textId="547ADF66" w:rsidR="00992A45" w:rsidRPr="00BD7721" w:rsidRDefault="00992A45" w:rsidP="00992A45">
      <w:pPr>
        <w:pStyle w:val="Normalnumber"/>
        <w:numPr>
          <w:ilvl w:val="0"/>
          <w:numId w:val="51"/>
        </w:numPr>
        <w:tabs>
          <w:tab w:val="left" w:pos="624"/>
        </w:tabs>
        <w:ind w:left="1247" w:firstLine="0"/>
        <w:rPr>
          <w:lang w:val="en-GB"/>
        </w:rPr>
      </w:pPr>
      <w:r w:rsidRPr="00BD7721">
        <w:rPr>
          <w:lang w:val="en-GB"/>
        </w:rPr>
        <w:t xml:space="preserve">A midterm review of the </w:t>
      </w:r>
      <w:r w:rsidR="00EA2A97" w:rsidRPr="00BD7721">
        <w:rPr>
          <w:lang w:val="en-GB"/>
        </w:rPr>
        <w:t xml:space="preserve">rolling </w:t>
      </w:r>
      <w:r w:rsidRPr="00BD7721">
        <w:rPr>
          <w:lang w:val="en-GB"/>
        </w:rPr>
        <w:t>work programme</w:t>
      </w:r>
      <w:r w:rsidR="00EA2A97" w:rsidRPr="00BD7721">
        <w:rPr>
          <w:lang w:val="en-GB"/>
        </w:rPr>
        <w:t xml:space="preserve"> up to 2030</w:t>
      </w:r>
      <w:r w:rsidRPr="00BD7721">
        <w:rPr>
          <w:lang w:val="en-GB"/>
        </w:rPr>
        <w:t xml:space="preserve"> will be conducted between the tenth and twelfth sessions of the Plenary of the Intergovernmental Science-Policy Platform on Biodiversity and Ecosystem Services (IPBES), with an internal review conducted between the tenth and eleventh sessions of the Plenary, and an external review conducted between the eleventh and twelfth sessions of the Plenary.</w:t>
      </w:r>
    </w:p>
    <w:p w14:paraId="5B54A225" w14:textId="77777777" w:rsidR="00992A45" w:rsidRPr="00BD7721" w:rsidRDefault="00992A45" w:rsidP="00992A45">
      <w:pPr>
        <w:pStyle w:val="Normalnumber"/>
        <w:numPr>
          <w:ilvl w:val="0"/>
          <w:numId w:val="51"/>
        </w:numPr>
        <w:tabs>
          <w:tab w:val="left" w:pos="624"/>
        </w:tabs>
        <w:ind w:left="1247" w:firstLine="0"/>
        <w:rPr>
          <w:color w:val="000000"/>
          <w:lang w:val="en-GB"/>
        </w:rPr>
      </w:pPr>
      <w:r w:rsidRPr="00BD7721">
        <w:rPr>
          <w:lang w:val="en-GB"/>
        </w:rPr>
        <w:t>The review</w:t>
      </w:r>
      <w:r w:rsidRPr="00BD7721">
        <w:rPr>
          <w:color w:val="000000"/>
          <w:lang w:val="en-GB"/>
        </w:rPr>
        <w:t xml:space="preserve"> </w:t>
      </w:r>
      <w:r w:rsidRPr="00BD7721">
        <w:rPr>
          <w:lang w:val="en-GB"/>
        </w:rPr>
        <w:t>will</w:t>
      </w:r>
      <w:r w:rsidRPr="00BD7721">
        <w:rPr>
          <w:color w:val="000000"/>
          <w:lang w:val="en-GB"/>
        </w:rPr>
        <w:t xml:space="preserve"> evaluate:</w:t>
      </w:r>
    </w:p>
    <w:p w14:paraId="58DD5BFA" w14:textId="77777777" w:rsidR="00992A45" w:rsidRPr="00BD7721" w:rsidRDefault="00992A45" w:rsidP="00ED3673">
      <w:pPr>
        <w:pStyle w:val="Normalnumber"/>
        <w:numPr>
          <w:ilvl w:val="0"/>
          <w:numId w:val="0"/>
        </w:numPr>
        <w:tabs>
          <w:tab w:val="left" w:pos="624"/>
        </w:tabs>
        <w:ind w:left="1247" w:firstLine="624"/>
        <w:rPr>
          <w:color w:val="000000"/>
          <w:lang w:val="en-GB"/>
        </w:rPr>
      </w:pPr>
      <w:r w:rsidRPr="00BD7721">
        <w:rPr>
          <w:color w:val="000000"/>
          <w:lang w:val="en-GB"/>
        </w:rPr>
        <w:t>(a)</w:t>
      </w:r>
      <w:r w:rsidRPr="00BD7721">
        <w:rPr>
          <w:color w:val="000000"/>
          <w:lang w:val="en-GB"/>
        </w:rPr>
        <w:tab/>
        <w:t xml:space="preserve">The </w:t>
      </w:r>
      <w:r w:rsidRPr="00BD7721">
        <w:rPr>
          <w:lang w:val="en-GB"/>
        </w:rPr>
        <w:t>effectiveness</w:t>
      </w:r>
      <w:r w:rsidRPr="00BD7721">
        <w:rPr>
          <w:color w:val="000000"/>
          <w:lang w:val="en-GB"/>
        </w:rPr>
        <w:t xml:space="preserve"> of the institutional arrangements of IPBES and its secretariat, in particular of:</w:t>
      </w:r>
    </w:p>
    <w:p w14:paraId="3F1E6D4C" w14:textId="77777777" w:rsidR="00992A45" w:rsidRPr="00BD7721" w:rsidRDefault="00992A45" w:rsidP="0010281C">
      <w:pPr>
        <w:pStyle w:val="Normalnumber"/>
        <w:numPr>
          <w:ilvl w:val="0"/>
          <w:numId w:val="0"/>
        </w:numPr>
        <w:tabs>
          <w:tab w:val="left" w:pos="624"/>
        </w:tabs>
        <w:ind w:left="3119" w:hanging="624"/>
        <w:rPr>
          <w:color w:val="000000"/>
          <w:lang w:val="en-GB"/>
        </w:rPr>
      </w:pPr>
      <w:r w:rsidRPr="00BD7721">
        <w:rPr>
          <w:color w:val="000000"/>
          <w:lang w:val="en-GB"/>
        </w:rPr>
        <w:t>(i)</w:t>
      </w:r>
      <w:r w:rsidRPr="00BD7721">
        <w:rPr>
          <w:color w:val="000000"/>
          <w:lang w:val="en-GB"/>
        </w:rPr>
        <w:tab/>
        <w:t xml:space="preserve">The work and sessions of the Plenary, in particular various mechanisms to facilitate consensus, including preparatory </w:t>
      </w:r>
      <w:proofErr w:type="gramStart"/>
      <w:r w:rsidRPr="00BD7721">
        <w:rPr>
          <w:color w:val="000000"/>
          <w:lang w:val="en-GB"/>
        </w:rPr>
        <w:t>processes;</w:t>
      </w:r>
      <w:proofErr w:type="gramEnd"/>
    </w:p>
    <w:p w14:paraId="0D53D088" w14:textId="77777777" w:rsidR="00992A45" w:rsidRPr="00BD7721" w:rsidRDefault="00992A45" w:rsidP="0010281C">
      <w:pPr>
        <w:pStyle w:val="Normalnumber"/>
        <w:numPr>
          <w:ilvl w:val="0"/>
          <w:numId w:val="0"/>
        </w:numPr>
        <w:tabs>
          <w:tab w:val="left" w:pos="624"/>
        </w:tabs>
        <w:ind w:left="3119" w:hanging="624"/>
        <w:rPr>
          <w:color w:val="000000"/>
          <w:lang w:val="en-GB"/>
        </w:rPr>
      </w:pPr>
      <w:r w:rsidRPr="00BD7721">
        <w:rPr>
          <w:color w:val="000000"/>
          <w:lang w:val="en-GB"/>
        </w:rPr>
        <w:t>(ii)</w:t>
      </w:r>
      <w:r w:rsidRPr="00BD7721">
        <w:rPr>
          <w:color w:val="000000"/>
          <w:lang w:val="en-GB"/>
        </w:rPr>
        <w:tab/>
        <w:t xml:space="preserve">The implementation of objectives 2, 3 and 4, including the work and structure of IPBES task forces, including their interactions with each other and with the technical support units and the </w:t>
      </w:r>
      <w:proofErr w:type="gramStart"/>
      <w:r w:rsidRPr="00BD7721">
        <w:rPr>
          <w:color w:val="000000"/>
          <w:lang w:val="en-GB"/>
        </w:rPr>
        <w:t>secretariat;</w:t>
      </w:r>
      <w:proofErr w:type="gramEnd"/>
      <w:r w:rsidRPr="00BD7721">
        <w:rPr>
          <w:color w:val="000000"/>
          <w:lang w:val="en-GB"/>
        </w:rPr>
        <w:t xml:space="preserve"> </w:t>
      </w:r>
    </w:p>
    <w:p w14:paraId="6373B5AA" w14:textId="77777777" w:rsidR="00992A45" w:rsidRPr="00BD7721" w:rsidRDefault="00992A45" w:rsidP="0010281C">
      <w:pPr>
        <w:pStyle w:val="Normalnumber"/>
        <w:numPr>
          <w:ilvl w:val="0"/>
          <w:numId w:val="0"/>
        </w:numPr>
        <w:tabs>
          <w:tab w:val="left" w:pos="624"/>
        </w:tabs>
        <w:ind w:left="3119" w:hanging="624"/>
        <w:rPr>
          <w:color w:val="000000"/>
          <w:lang w:val="en-GB"/>
        </w:rPr>
      </w:pPr>
      <w:r w:rsidRPr="00BD7721">
        <w:rPr>
          <w:color w:val="000000"/>
          <w:lang w:val="en-GB"/>
        </w:rPr>
        <w:t>(iii)</w:t>
      </w:r>
      <w:r w:rsidRPr="00BD7721">
        <w:rPr>
          <w:color w:val="000000"/>
          <w:lang w:val="en-GB"/>
        </w:rPr>
        <w:tab/>
        <w:t xml:space="preserve">The work of the Bureau and the Multidisciplinary Expert </w:t>
      </w:r>
      <w:proofErr w:type="gramStart"/>
      <w:r w:rsidRPr="00BD7721">
        <w:rPr>
          <w:color w:val="000000"/>
          <w:lang w:val="en-GB"/>
        </w:rPr>
        <w:t>Panel;</w:t>
      </w:r>
      <w:proofErr w:type="gramEnd"/>
    </w:p>
    <w:p w14:paraId="690D26CD" w14:textId="77777777" w:rsidR="00992A45" w:rsidRPr="00BD7721" w:rsidRDefault="00992A45" w:rsidP="0010281C">
      <w:pPr>
        <w:pStyle w:val="Normalnumber"/>
        <w:numPr>
          <w:ilvl w:val="0"/>
          <w:numId w:val="0"/>
        </w:numPr>
        <w:tabs>
          <w:tab w:val="left" w:pos="624"/>
        </w:tabs>
        <w:ind w:left="3119" w:hanging="624"/>
        <w:rPr>
          <w:color w:val="000000"/>
          <w:lang w:val="en-GB"/>
        </w:rPr>
      </w:pPr>
      <w:r w:rsidRPr="00BD7721">
        <w:rPr>
          <w:color w:val="000000"/>
          <w:lang w:val="en-GB"/>
        </w:rPr>
        <w:t>(iv)</w:t>
      </w:r>
      <w:r w:rsidRPr="00BD7721">
        <w:rPr>
          <w:color w:val="000000"/>
          <w:lang w:val="en-GB"/>
        </w:rPr>
        <w:tab/>
        <w:t xml:space="preserve">The financial and budgetary arrangements of </w:t>
      </w:r>
      <w:proofErr w:type="gramStart"/>
      <w:r w:rsidRPr="00BD7721">
        <w:rPr>
          <w:color w:val="000000"/>
          <w:lang w:val="en-GB"/>
        </w:rPr>
        <w:t>IPBES;</w:t>
      </w:r>
      <w:proofErr w:type="gramEnd"/>
    </w:p>
    <w:p w14:paraId="389683D4" w14:textId="77777777" w:rsidR="00992A45" w:rsidRPr="00BD7721" w:rsidRDefault="00992A45" w:rsidP="0010281C">
      <w:pPr>
        <w:pStyle w:val="Normalnumber"/>
        <w:numPr>
          <w:ilvl w:val="0"/>
          <w:numId w:val="0"/>
        </w:numPr>
        <w:tabs>
          <w:tab w:val="left" w:pos="624"/>
        </w:tabs>
        <w:ind w:left="3119" w:hanging="624"/>
        <w:rPr>
          <w:lang w:val="en-GB"/>
        </w:rPr>
      </w:pPr>
      <w:r w:rsidRPr="00BD7721">
        <w:rPr>
          <w:color w:val="000000"/>
          <w:lang w:val="en-GB"/>
        </w:rPr>
        <w:t>(v)</w:t>
      </w:r>
      <w:r w:rsidRPr="00BD7721">
        <w:rPr>
          <w:color w:val="000000"/>
          <w:lang w:val="en-GB"/>
        </w:rPr>
        <w:tab/>
        <w:t xml:space="preserve">The communications and outreach work of </w:t>
      </w:r>
      <w:proofErr w:type="gramStart"/>
      <w:r w:rsidRPr="00BD7721">
        <w:rPr>
          <w:color w:val="000000"/>
          <w:lang w:val="en-GB"/>
        </w:rPr>
        <w:t>IPBES;</w:t>
      </w:r>
      <w:proofErr w:type="gramEnd"/>
    </w:p>
    <w:p w14:paraId="014C3170" w14:textId="77777777" w:rsidR="00992A45" w:rsidRPr="00BD7721" w:rsidRDefault="00992A45" w:rsidP="00ED3673">
      <w:pPr>
        <w:pStyle w:val="Normalnumber"/>
        <w:numPr>
          <w:ilvl w:val="0"/>
          <w:numId w:val="0"/>
        </w:numPr>
        <w:tabs>
          <w:tab w:val="left" w:pos="624"/>
        </w:tabs>
        <w:ind w:left="1247" w:firstLine="624"/>
        <w:rPr>
          <w:color w:val="000000"/>
          <w:lang w:val="en-GB"/>
        </w:rPr>
      </w:pPr>
      <w:r w:rsidRPr="00BD7721">
        <w:rPr>
          <w:color w:val="000000"/>
          <w:lang w:val="en-GB"/>
        </w:rPr>
        <w:t>(b)</w:t>
      </w:r>
      <w:r w:rsidRPr="00BD7721">
        <w:rPr>
          <w:color w:val="000000"/>
          <w:lang w:val="en-GB"/>
        </w:rPr>
        <w:tab/>
        <w:t>The effectiveness of the procedures for the preparation of IPBES deliverables, in particular with regard to:</w:t>
      </w:r>
    </w:p>
    <w:p w14:paraId="63114BDC" w14:textId="08D925BF" w:rsidR="00992A45" w:rsidRPr="00BD7721" w:rsidRDefault="00992A45" w:rsidP="00ED3673">
      <w:pPr>
        <w:pStyle w:val="Normalnumber"/>
        <w:numPr>
          <w:ilvl w:val="0"/>
          <w:numId w:val="0"/>
        </w:numPr>
        <w:tabs>
          <w:tab w:val="left" w:pos="624"/>
        </w:tabs>
        <w:ind w:left="3119" w:hanging="624"/>
        <w:rPr>
          <w:color w:val="000000"/>
          <w:lang w:val="en-GB"/>
        </w:rPr>
      </w:pPr>
      <w:r w:rsidRPr="00BD7721">
        <w:rPr>
          <w:color w:val="000000"/>
          <w:lang w:val="en-GB"/>
        </w:rPr>
        <w:t>(i)</w:t>
      </w:r>
      <w:r w:rsidRPr="00BD7721">
        <w:rPr>
          <w:color w:val="000000"/>
          <w:lang w:val="en-GB"/>
        </w:rPr>
        <w:tab/>
        <w:t>Options for addressing emerging urgent matters in a timely manner, including the role and impact of workshops and other IPBES deliverables as well as options to enhance their impact, inc</w:t>
      </w:r>
      <w:r w:rsidRPr="00BD7721">
        <w:rPr>
          <w:lang w:val="en-GB"/>
        </w:rPr>
        <w:t xml:space="preserve">luding through potential review of workshop reports by IPBES members and </w:t>
      </w:r>
      <w:proofErr w:type="gramStart"/>
      <w:r w:rsidRPr="00BD7721">
        <w:rPr>
          <w:lang w:val="en-GB"/>
        </w:rPr>
        <w:t>observers</w:t>
      </w:r>
      <w:r w:rsidRPr="00BD7721">
        <w:rPr>
          <w:color w:val="000000"/>
          <w:lang w:val="en-GB"/>
        </w:rPr>
        <w:t>;</w:t>
      </w:r>
      <w:proofErr w:type="gramEnd"/>
    </w:p>
    <w:p w14:paraId="29981D47" w14:textId="77777777" w:rsidR="00992A45" w:rsidRPr="00BD7721" w:rsidRDefault="00992A45" w:rsidP="00ED3673">
      <w:pPr>
        <w:pStyle w:val="Normalnumber"/>
        <w:numPr>
          <w:ilvl w:val="0"/>
          <w:numId w:val="0"/>
        </w:numPr>
        <w:tabs>
          <w:tab w:val="left" w:pos="624"/>
        </w:tabs>
        <w:ind w:left="3119" w:hanging="624"/>
        <w:rPr>
          <w:color w:val="000000"/>
          <w:lang w:val="en-GB"/>
        </w:rPr>
      </w:pPr>
      <w:r w:rsidRPr="00BD7721">
        <w:rPr>
          <w:color w:val="000000"/>
          <w:lang w:val="en-GB"/>
        </w:rPr>
        <w:t>(ii)</w:t>
      </w:r>
      <w:r w:rsidRPr="00BD7721">
        <w:rPr>
          <w:color w:val="000000"/>
          <w:lang w:val="en-GB"/>
        </w:rPr>
        <w:tab/>
        <w:t xml:space="preserve">Enhancing participation in the external review processes regarding IPBES </w:t>
      </w:r>
      <w:proofErr w:type="gramStart"/>
      <w:r w:rsidRPr="00BD7721">
        <w:rPr>
          <w:color w:val="000000"/>
          <w:lang w:val="en-GB"/>
        </w:rPr>
        <w:t>assessments;</w:t>
      </w:r>
      <w:proofErr w:type="gramEnd"/>
      <w:r w:rsidRPr="00BD7721">
        <w:rPr>
          <w:color w:val="000000"/>
          <w:lang w:val="en-GB"/>
        </w:rPr>
        <w:t xml:space="preserve"> </w:t>
      </w:r>
    </w:p>
    <w:p w14:paraId="4BA7F061" w14:textId="77777777" w:rsidR="00992A45" w:rsidRPr="00BD7721" w:rsidRDefault="00992A45" w:rsidP="00ED3673">
      <w:pPr>
        <w:pStyle w:val="Normalnumber"/>
        <w:numPr>
          <w:ilvl w:val="0"/>
          <w:numId w:val="0"/>
        </w:numPr>
        <w:tabs>
          <w:tab w:val="left" w:pos="624"/>
        </w:tabs>
        <w:ind w:left="3119" w:hanging="624"/>
        <w:rPr>
          <w:color w:val="000000"/>
          <w:lang w:val="en-GB"/>
        </w:rPr>
      </w:pPr>
      <w:r w:rsidRPr="00BD7721">
        <w:rPr>
          <w:color w:val="000000"/>
          <w:lang w:val="en-GB"/>
        </w:rPr>
        <w:t>(iii)</w:t>
      </w:r>
      <w:r w:rsidRPr="00BD7721">
        <w:rPr>
          <w:color w:val="000000"/>
          <w:lang w:val="en-GB"/>
        </w:rPr>
        <w:tab/>
        <w:t xml:space="preserve">Engagement with other entities, including other science-policy </w:t>
      </w:r>
      <w:proofErr w:type="gramStart"/>
      <w:r w:rsidRPr="00BD7721">
        <w:rPr>
          <w:color w:val="000000"/>
          <w:lang w:val="en-GB"/>
        </w:rPr>
        <w:t>mechanisms;</w:t>
      </w:r>
      <w:proofErr w:type="gramEnd"/>
      <w:r w:rsidRPr="00BD7721">
        <w:rPr>
          <w:color w:val="000000"/>
          <w:lang w:val="en-GB"/>
        </w:rPr>
        <w:t xml:space="preserve"> </w:t>
      </w:r>
    </w:p>
    <w:p w14:paraId="04BD8CF0" w14:textId="0D89D420" w:rsidR="00992A45" w:rsidRPr="00BD7721" w:rsidRDefault="00992A45" w:rsidP="00ED3673">
      <w:pPr>
        <w:pStyle w:val="Normalnumber"/>
        <w:numPr>
          <w:ilvl w:val="0"/>
          <w:numId w:val="0"/>
        </w:numPr>
        <w:tabs>
          <w:tab w:val="left" w:pos="624"/>
        </w:tabs>
        <w:ind w:left="3119" w:hanging="624"/>
        <w:rPr>
          <w:color w:val="000000"/>
          <w:lang w:val="en-GB"/>
        </w:rPr>
      </w:pPr>
      <w:r w:rsidRPr="00BD7721">
        <w:rPr>
          <w:color w:val="000000"/>
          <w:lang w:val="en-GB"/>
        </w:rPr>
        <w:t>(iv)</w:t>
      </w:r>
      <w:r w:rsidRPr="00BD7721">
        <w:rPr>
          <w:color w:val="000000"/>
          <w:lang w:val="en-GB"/>
        </w:rPr>
        <w:tab/>
        <w:t xml:space="preserve">The nomination and selection process of experts for different roles, taking into account regional and gender balance as well as representation from multidisciplinary backgrounds and Indigenous Peoples and local </w:t>
      </w:r>
      <w:proofErr w:type="gramStart"/>
      <w:r w:rsidRPr="00BD7721">
        <w:rPr>
          <w:color w:val="000000"/>
          <w:lang w:val="en-GB"/>
        </w:rPr>
        <w:t>communities;</w:t>
      </w:r>
      <w:proofErr w:type="gramEnd"/>
      <w:r w:rsidRPr="00BD7721">
        <w:rPr>
          <w:color w:val="000000"/>
          <w:lang w:val="en-GB"/>
        </w:rPr>
        <w:t xml:space="preserve"> </w:t>
      </w:r>
    </w:p>
    <w:p w14:paraId="76D4828A" w14:textId="77777777" w:rsidR="00992A45" w:rsidRPr="00BD7721" w:rsidRDefault="00992A45" w:rsidP="00ED3673">
      <w:pPr>
        <w:pStyle w:val="Normalnumber"/>
        <w:numPr>
          <w:ilvl w:val="0"/>
          <w:numId w:val="0"/>
        </w:numPr>
        <w:tabs>
          <w:tab w:val="left" w:pos="624"/>
        </w:tabs>
        <w:ind w:left="3119" w:hanging="624"/>
        <w:rPr>
          <w:color w:val="000000"/>
          <w:lang w:val="en-GB"/>
        </w:rPr>
      </w:pPr>
      <w:r w:rsidRPr="00BD7721">
        <w:rPr>
          <w:color w:val="000000"/>
          <w:lang w:val="en-GB"/>
        </w:rPr>
        <w:t>(v)</w:t>
      </w:r>
      <w:r w:rsidRPr="00BD7721">
        <w:rPr>
          <w:color w:val="000000"/>
          <w:lang w:val="en-GB"/>
        </w:rPr>
        <w:tab/>
        <w:t xml:space="preserve">The inclusion of other knowledge systems and Indigenous and local knowledge in IPBES assessments and other </w:t>
      </w:r>
      <w:proofErr w:type="gramStart"/>
      <w:r w:rsidRPr="00BD7721">
        <w:rPr>
          <w:color w:val="000000"/>
          <w:lang w:val="en-GB"/>
        </w:rPr>
        <w:t>deliverables;</w:t>
      </w:r>
      <w:proofErr w:type="gramEnd"/>
    </w:p>
    <w:p w14:paraId="51A0E08B" w14:textId="77777777" w:rsidR="00992A45" w:rsidRPr="00BD7721" w:rsidRDefault="00992A45" w:rsidP="00ED3673">
      <w:pPr>
        <w:pStyle w:val="Normalnumber"/>
        <w:numPr>
          <w:ilvl w:val="0"/>
          <w:numId w:val="0"/>
        </w:numPr>
        <w:tabs>
          <w:tab w:val="left" w:pos="624"/>
        </w:tabs>
        <w:ind w:left="3119" w:hanging="624"/>
        <w:rPr>
          <w:lang w:val="en-GB"/>
        </w:rPr>
      </w:pPr>
      <w:r w:rsidRPr="00BD7721">
        <w:rPr>
          <w:color w:val="000000"/>
          <w:lang w:val="en-GB"/>
        </w:rPr>
        <w:t>(vi)</w:t>
      </w:r>
      <w:r w:rsidRPr="00BD7721">
        <w:rPr>
          <w:color w:val="000000"/>
          <w:lang w:val="en-GB"/>
        </w:rPr>
        <w:tab/>
        <w:t>The fulfilment</w:t>
      </w:r>
      <w:r w:rsidRPr="00BD7721">
        <w:rPr>
          <w:lang w:val="en-GB"/>
        </w:rPr>
        <w:t xml:space="preserve"> of the IPBES operating principles.</w:t>
      </w:r>
    </w:p>
    <w:p w14:paraId="23D30A71" w14:textId="77777777" w:rsidR="00992A45" w:rsidRPr="00BD7721" w:rsidRDefault="00992A45" w:rsidP="00ED3673">
      <w:pPr>
        <w:pStyle w:val="Normalnumber"/>
        <w:numPr>
          <w:ilvl w:val="0"/>
          <w:numId w:val="0"/>
        </w:numPr>
        <w:tabs>
          <w:tab w:val="left" w:pos="624"/>
        </w:tabs>
        <w:ind w:left="1247" w:firstLine="624"/>
        <w:rPr>
          <w:color w:val="000000"/>
          <w:lang w:val="en-GB"/>
        </w:rPr>
      </w:pPr>
      <w:r w:rsidRPr="00BD7721">
        <w:rPr>
          <w:color w:val="000000"/>
          <w:lang w:val="en-GB"/>
        </w:rPr>
        <w:t>(c)</w:t>
      </w:r>
      <w:r w:rsidRPr="00BD7721">
        <w:rPr>
          <w:color w:val="000000"/>
          <w:lang w:val="en-GB"/>
        </w:rPr>
        <w:tab/>
        <w:t>Online working arrangements, in particular during the coronavirus disease (COVID</w:t>
      </w:r>
      <w:r w:rsidRPr="00BD7721">
        <w:rPr>
          <w:color w:val="000000"/>
          <w:lang w:val="en-GB"/>
        </w:rPr>
        <w:noBreakHyphen/>
        <w:t xml:space="preserve">19) pandemic, and useful lessons for the future work of </w:t>
      </w:r>
      <w:proofErr w:type="gramStart"/>
      <w:r w:rsidRPr="00BD7721">
        <w:rPr>
          <w:color w:val="000000"/>
          <w:lang w:val="en-GB"/>
        </w:rPr>
        <w:t>IPBES;</w:t>
      </w:r>
      <w:proofErr w:type="gramEnd"/>
      <w:r w:rsidRPr="00BD7721">
        <w:rPr>
          <w:color w:val="000000"/>
          <w:lang w:val="en-GB"/>
        </w:rPr>
        <w:t xml:space="preserve"> </w:t>
      </w:r>
    </w:p>
    <w:p w14:paraId="724451A3" w14:textId="77777777" w:rsidR="00992A45" w:rsidRPr="00BD7721" w:rsidRDefault="00992A45" w:rsidP="00ED3673">
      <w:pPr>
        <w:pStyle w:val="Normalnumber"/>
        <w:numPr>
          <w:ilvl w:val="0"/>
          <w:numId w:val="0"/>
        </w:numPr>
        <w:tabs>
          <w:tab w:val="left" w:pos="624"/>
        </w:tabs>
        <w:ind w:left="1247" w:firstLine="624"/>
        <w:rPr>
          <w:lang w:val="en-GB"/>
        </w:rPr>
      </w:pPr>
      <w:r w:rsidRPr="00BD7721">
        <w:rPr>
          <w:color w:val="000000"/>
          <w:lang w:val="en-GB"/>
        </w:rPr>
        <w:t>(d)</w:t>
      </w:r>
      <w:r w:rsidRPr="00BD7721">
        <w:rPr>
          <w:color w:val="000000"/>
          <w:lang w:val="en-GB"/>
        </w:rPr>
        <w:tab/>
        <w:t>To the extent possible, the policy impact of the work of IPBES.</w:t>
      </w:r>
    </w:p>
    <w:p w14:paraId="41FCCA15" w14:textId="7B9B8AE4" w:rsidR="00992A45" w:rsidRPr="00BD7721" w:rsidRDefault="00992A45" w:rsidP="00992A45">
      <w:pPr>
        <w:pStyle w:val="Normalnumber"/>
        <w:numPr>
          <w:ilvl w:val="0"/>
          <w:numId w:val="51"/>
        </w:numPr>
        <w:tabs>
          <w:tab w:val="left" w:pos="624"/>
        </w:tabs>
        <w:ind w:left="1247" w:firstLine="0"/>
        <w:rPr>
          <w:lang w:val="en-GB"/>
        </w:rPr>
      </w:pPr>
      <w:r w:rsidRPr="00BD7721">
        <w:rPr>
          <w:lang w:val="en-GB"/>
        </w:rPr>
        <w:t>The Bureau and the Multidisciplinary Expert Panel will prepare a report on the internal review for consideration by the Plenary at its eleventh session. The review panel will take the report on the internal review into account in the external review and will prepare a report on the external review for consideration by the Plenary at its twelfth session. The reports will include specific recommendations for the further implementation of the rolling work programme</w:t>
      </w:r>
      <w:r w:rsidR="00EA2A97" w:rsidRPr="00BD7721">
        <w:rPr>
          <w:lang w:val="en-GB"/>
        </w:rPr>
        <w:t xml:space="preserve"> up to 2030</w:t>
      </w:r>
      <w:r w:rsidRPr="00BD7721">
        <w:rPr>
          <w:lang w:val="en-GB"/>
        </w:rPr>
        <w:t>, including the implementation of all six work programme objectives in line with relevant decisions of and budgets approved by the IPBES Plenary. They will include recommendations responding to the need to facilitate the full and effective participation of all members, observers, experts and stakeholders, including from developing countries, as well as the need for gender equity in all relevant aspects of the work of IPBES.</w:t>
      </w:r>
    </w:p>
    <w:p w14:paraId="19E168D0" w14:textId="77777777" w:rsidR="00992A45" w:rsidRPr="00BD7721" w:rsidRDefault="00992A45" w:rsidP="00992A45">
      <w:pPr>
        <w:pStyle w:val="CH1"/>
        <w:rPr>
          <w:lang w:val="en-GB"/>
        </w:rPr>
      </w:pPr>
      <w:r w:rsidRPr="00BD7721">
        <w:rPr>
          <w:lang w:val="en-GB"/>
        </w:rPr>
        <w:tab/>
        <w:t>II.</w:t>
      </w:r>
      <w:r w:rsidRPr="00BD7721">
        <w:rPr>
          <w:lang w:val="en-GB"/>
        </w:rPr>
        <w:tab/>
        <w:t>Institutional structure of the review</w:t>
      </w:r>
    </w:p>
    <w:p w14:paraId="777EBD97" w14:textId="77777777" w:rsidR="00992A45" w:rsidRPr="00BD7721" w:rsidRDefault="00992A45" w:rsidP="00992A45">
      <w:pPr>
        <w:pStyle w:val="CH2"/>
        <w:rPr>
          <w:lang w:val="en-GB"/>
        </w:rPr>
      </w:pPr>
      <w:r w:rsidRPr="00BD7721">
        <w:rPr>
          <w:lang w:val="en-GB"/>
        </w:rPr>
        <w:tab/>
        <w:t>A.</w:t>
      </w:r>
      <w:r w:rsidRPr="00BD7721">
        <w:rPr>
          <w:lang w:val="en-GB"/>
        </w:rPr>
        <w:tab/>
        <w:t>Internal review</w:t>
      </w:r>
    </w:p>
    <w:p w14:paraId="543C3560" w14:textId="77777777" w:rsidR="00992A45" w:rsidRPr="00BD7721" w:rsidRDefault="00992A45" w:rsidP="00992A45">
      <w:pPr>
        <w:pStyle w:val="Normalnumber"/>
        <w:numPr>
          <w:ilvl w:val="0"/>
          <w:numId w:val="51"/>
        </w:numPr>
        <w:tabs>
          <w:tab w:val="left" w:pos="624"/>
        </w:tabs>
        <w:ind w:left="1247" w:firstLine="0"/>
        <w:rPr>
          <w:color w:val="000000"/>
          <w:lang w:val="en-GB"/>
        </w:rPr>
      </w:pPr>
      <w:r w:rsidRPr="00BD7721">
        <w:rPr>
          <w:color w:val="000000"/>
          <w:lang w:val="en-GB"/>
        </w:rPr>
        <w:t xml:space="preserve">The </w:t>
      </w:r>
      <w:r w:rsidRPr="00BD7721">
        <w:rPr>
          <w:lang w:val="en-GB"/>
        </w:rPr>
        <w:t>Bureau</w:t>
      </w:r>
      <w:r w:rsidRPr="00BD7721">
        <w:rPr>
          <w:color w:val="000000"/>
          <w:lang w:val="en-GB"/>
        </w:rPr>
        <w:t xml:space="preserve"> and the Multidisciplinary Expert Panel will conduct an internal review of the elements </w:t>
      </w:r>
      <w:r w:rsidRPr="00BD7721">
        <w:rPr>
          <w:lang w:val="en-GB"/>
        </w:rPr>
        <w:t>listed</w:t>
      </w:r>
      <w:r w:rsidRPr="00BD7721">
        <w:rPr>
          <w:color w:val="000000"/>
          <w:lang w:val="en-GB"/>
        </w:rPr>
        <w:t xml:space="preserve"> in paragraph 2 above between the tenth and eleventh sessions of the Plenary. As part of the internal </w:t>
      </w:r>
      <w:r w:rsidRPr="00BD7721">
        <w:rPr>
          <w:lang w:val="en-GB"/>
        </w:rPr>
        <w:t>review</w:t>
      </w:r>
      <w:r w:rsidRPr="00BD7721">
        <w:rPr>
          <w:color w:val="000000"/>
          <w:lang w:val="en-GB"/>
        </w:rPr>
        <w:t xml:space="preserve">, they will </w:t>
      </w:r>
      <w:r w:rsidRPr="00BD7721">
        <w:rPr>
          <w:lang w:val="en-GB"/>
        </w:rPr>
        <w:t>seek</w:t>
      </w:r>
      <w:r w:rsidRPr="00BD7721">
        <w:rPr>
          <w:color w:val="000000"/>
          <w:lang w:val="en-GB"/>
        </w:rPr>
        <w:t xml:space="preserve"> the views of members of relevant bodies within IPBES, as well as those of former members of the Bureau and the Multidisciplinary Expert Panel. </w:t>
      </w:r>
    </w:p>
    <w:p w14:paraId="24D896E4" w14:textId="77777777" w:rsidR="00992A45" w:rsidRPr="00BD7721" w:rsidRDefault="00992A45" w:rsidP="00992A45">
      <w:pPr>
        <w:pStyle w:val="CH2"/>
        <w:rPr>
          <w:lang w:val="en-GB"/>
        </w:rPr>
      </w:pPr>
      <w:r w:rsidRPr="00BD7721">
        <w:rPr>
          <w:lang w:val="en-GB"/>
        </w:rPr>
        <w:tab/>
        <w:t>B.</w:t>
      </w:r>
      <w:r w:rsidRPr="00BD7721">
        <w:rPr>
          <w:lang w:val="en-GB"/>
        </w:rPr>
        <w:tab/>
        <w:t>External review</w:t>
      </w:r>
    </w:p>
    <w:p w14:paraId="24217BB3" w14:textId="77777777" w:rsidR="00992A45" w:rsidRPr="00BD7721" w:rsidRDefault="00992A45" w:rsidP="00992A45">
      <w:pPr>
        <w:pStyle w:val="Normalnumber"/>
        <w:numPr>
          <w:ilvl w:val="0"/>
          <w:numId w:val="51"/>
        </w:numPr>
        <w:tabs>
          <w:tab w:val="left" w:pos="624"/>
        </w:tabs>
        <w:ind w:left="1247" w:firstLine="0"/>
        <w:rPr>
          <w:lang w:val="en-GB"/>
        </w:rPr>
      </w:pPr>
      <w:r w:rsidRPr="00BD7721">
        <w:rPr>
          <w:color w:val="000000"/>
          <w:lang w:val="en-GB"/>
        </w:rPr>
        <w:t xml:space="preserve">An external review of the elements listed in paragraph 2 above will be conducted between the eleventh </w:t>
      </w:r>
      <w:r w:rsidRPr="00BD7721">
        <w:rPr>
          <w:lang w:val="en-GB"/>
        </w:rPr>
        <w:t xml:space="preserve">and twelfth sessions of the Plenary, </w:t>
      </w:r>
      <w:proofErr w:type="gramStart"/>
      <w:r w:rsidRPr="00BD7721">
        <w:rPr>
          <w:lang w:val="en-GB"/>
        </w:rPr>
        <w:t>taking into account</w:t>
      </w:r>
      <w:proofErr w:type="gramEnd"/>
      <w:r w:rsidRPr="00BD7721">
        <w:rPr>
          <w:lang w:val="en-GB"/>
        </w:rPr>
        <w:t xml:space="preserve"> the findings of the internal review. The external review will be conducted by a review panel. The members of the review panel will be subject to the IPBES conflict-of-interest policy. </w:t>
      </w:r>
    </w:p>
    <w:p w14:paraId="339357D2" w14:textId="77777777" w:rsidR="00992A45" w:rsidRPr="00BD7721" w:rsidRDefault="00992A45" w:rsidP="00992A45">
      <w:pPr>
        <w:pStyle w:val="Normalnumber"/>
        <w:numPr>
          <w:ilvl w:val="0"/>
          <w:numId w:val="51"/>
        </w:numPr>
        <w:tabs>
          <w:tab w:val="left" w:pos="624"/>
        </w:tabs>
        <w:ind w:left="1247" w:firstLine="0"/>
        <w:rPr>
          <w:lang w:val="en-GB"/>
        </w:rPr>
      </w:pPr>
      <w:r w:rsidRPr="00BD7721">
        <w:rPr>
          <w:lang w:val="en-GB"/>
        </w:rPr>
        <w:t xml:space="preserve">The review panel will comprise 15 members with multidisciplinary expertise, expertise in outreach and implementation, and familiarity with the work of IPBES, selected by the Bureau on the basis of nominations from Governments, </w:t>
      </w:r>
      <w:proofErr w:type="gramStart"/>
      <w:r w:rsidRPr="00BD7721">
        <w:rPr>
          <w:lang w:val="en-GB"/>
        </w:rPr>
        <w:t>taking into account</w:t>
      </w:r>
      <w:proofErr w:type="gramEnd"/>
      <w:r w:rsidRPr="00BD7721">
        <w:rPr>
          <w:lang w:val="en-GB"/>
        </w:rPr>
        <w:t xml:space="preserve"> regional and gender balance as well as the need to achieve representation of different disciplines, Indigenous Peoples and local communities, and youth.</w:t>
      </w:r>
    </w:p>
    <w:p w14:paraId="369CEC4E" w14:textId="77777777" w:rsidR="00992A45" w:rsidRPr="00BD7721" w:rsidRDefault="00992A45" w:rsidP="00992A45">
      <w:pPr>
        <w:pStyle w:val="Normalnumber"/>
        <w:numPr>
          <w:ilvl w:val="0"/>
          <w:numId w:val="51"/>
        </w:numPr>
        <w:tabs>
          <w:tab w:val="left" w:pos="624"/>
        </w:tabs>
        <w:ind w:left="1247" w:firstLine="0"/>
        <w:rPr>
          <w:color w:val="000000"/>
          <w:lang w:val="en-GB"/>
        </w:rPr>
      </w:pPr>
      <w:r w:rsidRPr="00BD7721">
        <w:rPr>
          <w:lang w:val="en-GB"/>
        </w:rPr>
        <w:t>The work of the review panel will be supported by a qualified consultant, recruited by the secretariat through an open call for applications and in consultation with the Bureau and the review panel, based partly at the headquarters of the IPBES secretariat, but independently from the day-to-day business of the secretariat.</w:t>
      </w:r>
      <w:r w:rsidRPr="00BD7721">
        <w:rPr>
          <w:color w:val="000000"/>
          <w:lang w:val="en-GB"/>
        </w:rPr>
        <w:t xml:space="preserve"> The consultant will work directly with the co-chairs of the review panel. This arrangement would ensure that the consultant benefits from direct access to all relevant information, while independently supporting the work of the review panel. </w:t>
      </w:r>
    </w:p>
    <w:p w14:paraId="3D223E15" w14:textId="77777777" w:rsidR="00992A45" w:rsidRPr="00BD7721" w:rsidRDefault="00992A45" w:rsidP="00992A45">
      <w:pPr>
        <w:pStyle w:val="CH1"/>
        <w:rPr>
          <w:lang w:val="en-GB"/>
        </w:rPr>
      </w:pPr>
      <w:r w:rsidRPr="00BD7721">
        <w:rPr>
          <w:lang w:val="en-GB"/>
        </w:rPr>
        <w:tab/>
        <w:t>III.</w:t>
      </w:r>
      <w:r w:rsidRPr="00BD7721">
        <w:rPr>
          <w:lang w:val="en-GB"/>
        </w:rPr>
        <w:tab/>
        <w:t>Methodology</w:t>
      </w:r>
    </w:p>
    <w:p w14:paraId="65B48BFC" w14:textId="77777777" w:rsidR="00992A45" w:rsidRPr="00BD7721" w:rsidRDefault="00992A45" w:rsidP="00992A45">
      <w:pPr>
        <w:pStyle w:val="Normalnumber"/>
        <w:numPr>
          <w:ilvl w:val="0"/>
          <w:numId w:val="51"/>
        </w:numPr>
        <w:tabs>
          <w:tab w:val="left" w:pos="624"/>
        </w:tabs>
        <w:ind w:left="1247" w:firstLine="0"/>
        <w:rPr>
          <w:shd w:val="clear" w:color="auto" w:fill="D9D9D9"/>
          <w:lang w:val="en-GB"/>
        </w:rPr>
      </w:pPr>
      <w:r w:rsidRPr="00BD7721">
        <w:rPr>
          <w:color w:val="000000"/>
          <w:lang w:val="en-GB"/>
        </w:rPr>
        <w:t xml:space="preserve">The review should include the development and conduct of a number of surveys relevant to the matters listed in </w:t>
      </w:r>
      <w:r w:rsidRPr="00BD7721">
        <w:rPr>
          <w:lang w:val="en-GB"/>
        </w:rPr>
        <w:t>paragraph</w:t>
      </w:r>
      <w:r w:rsidRPr="00BD7721">
        <w:rPr>
          <w:color w:val="000000"/>
          <w:lang w:val="en-GB"/>
        </w:rPr>
        <w:t xml:space="preserve"> 2 above. Draft survey questions will be made available for external review before the </w:t>
      </w:r>
      <w:r w:rsidRPr="00BD7721">
        <w:rPr>
          <w:lang w:val="en-GB"/>
        </w:rPr>
        <w:t>surveys</w:t>
      </w:r>
      <w:r w:rsidRPr="00BD7721">
        <w:rPr>
          <w:color w:val="000000"/>
          <w:lang w:val="en-GB"/>
        </w:rPr>
        <w:t xml:space="preserve"> are finalized by the Bureau and the Multidisciplinary Expert Panel (for the internal review) and by the external review panel (for the external review). The review will also include a review of relevant documents and literature, online interviews and online meetings with relevant actors, and a participatory session at the eleventh session of the Plenary. When developing recommendations, the review should also take into consideration relevant lessons learned from other science-policy mechanisms</w:t>
      </w:r>
      <w:r w:rsidRPr="00BD7721">
        <w:rPr>
          <w:lang w:val="en-GB"/>
        </w:rPr>
        <w:t xml:space="preserve"> </w:t>
      </w:r>
      <w:r w:rsidRPr="00BD7721">
        <w:rPr>
          <w:color w:val="000000"/>
          <w:lang w:val="en-GB"/>
        </w:rPr>
        <w:t xml:space="preserve">and, where relevant, multilateral environmental agreements. </w:t>
      </w:r>
    </w:p>
    <w:p w14:paraId="5A6B3303" w14:textId="77777777" w:rsidR="00992A45" w:rsidRPr="00BD7721" w:rsidRDefault="00992A45" w:rsidP="00992A45">
      <w:pPr>
        <w:pStyle w:val="CH1"/>
        <w:rPr>
          <w:lang w:val="en-GB"/>
        </w:rPr>
      </w:pPr>
      <w:r w:rsidRPr="00BD7721">
        <w:rPr>
          <w:lang w:val="en-GB"/>
        </w:rPr>
        <w:tab/>
        <w:t>IV.</w:t>
      </w:r>
      <w:r w:rsidRPr="00BD7721">
        <w:rPr>
          <w:lang w:val="en-GB"/>
        </w:rPr>
        <w:tab/>
        <w:t>Budget</w:t>
      </w:r>
    </w:p>
    <w:p w14:paraId="5D90EC94" w14:textId="77777777" w:rsidR="00992A45" w:rsidRPr="00BD7721" w:rsidRDefault="00992A45" w:rsidP="00992A45">
      <w:pPr>
        <w:pStyle w:val="Normalnumber"/>
        <w:numPr>
          <w:ilvl w:val="0"/>
          <w:numId w:val="51"/>
        </w:numPr>
        <w:tabs>
          <w:tab w:val="left" w:pos="624"/>
        </w:tabs>
        <w:ind w:left="1247" w:firstLine="0"/>
        <w:rPr>
          <w:color w:val="000000"/>
          <w:lang w:val="en-GB"/>
        </w:rPr>
      </w:pPr>
      <w:r w:rsidRPr="00BD7721">
        <w:rPr>
          <w:color w:val="000000"/>
          <w:lang w:val="en-GB"/>
        </w:rPr>
        <w:t xml:space="preserve">It is </w:t>
      </w:r>
      <w:r w:rsidRPr="00BD7721">
        <w:rPr>
          <w:lang w:val="en-GB"/>
        </w:rPr>
        <w:t>assumed</w:t>
      </w:r>
      <w:r w:rsidRPr="00BD7721">
        <w:rPr>
          <w:color w:val="000000"/>
          <w:lang w:val="en-GB"/>
        </w:rPr>
        <w:t xml:space="preserve"> that:</w:t>
      </w:r>
    </w:p>
    <w:p w14:paraId="1BD0D896" w14:textId="77777777" w:rsidR="00992A45" w:rsidRPr="00BD7721" w:rsidRDefault="00992A45" w:rsidP="00992A45">
      <w:pPr>
        <w:pStyle w:val="Normalnumber"/>
        <w:numPr>
          <w:ilvl w:val="1"/>
          <w:numId w:val="51"/>
        </w:numPr>
        <w:ind w:left="1247" w:firstLine="624"/>
        <w:rPr>
          <w:color w:val="000000"/>
          <w:lang w:val="en-GB"/>
        </w:rPr>
      </w:pPr>
      <w:r w:rsidRPr="00BD7721">
        <w:rPr>
          <w:color w:val="000000"/>
          <w:lang w:val="en-GB"/>
        </w:rPr>
        <w:t xml:space="preserve">The members of the review panel performing the external review will provide their services on a pro-bono </w:t>
      </w:r>
      <w:proofErr w:type="gramStart"/>
      <w:r w:rsidRPr="00BD7721">
        <w:rPr>
          <w:color w:val="000000"/>
          <w:lang w:val="en-GB"/>
        </w:rPr>
        <w:t>basis;</w:t>
      </w:r>
      <w:proofErr w:type="gramEnd"/>
      <w:r w:rsidRPr="00BD7721">
        <w:rPr>
          <w:color w:val="000000"/>
          <w:lang w:val="en-GB"/>
        </w:rPr>
        <w:t xml:space="preserve"> </w:t>
      </w:r>
    </w:p>
    <w:p w14:paraId="3611BEC5" w14:textId="0A2E1F16" w:rsidR="00992A45" w:rsidRPr="00BD7721" w:rsidRDefault="00992A45" w:rsidP="00992A45">
      <w:pPr>
        <w:pStyle w:val="Normalnumber"/>
        <w:numPr>
          <w:ilvl w:val="1"/>
          <w:numId w:val="51"/>
        </w:numPr>
        <w:ind w:left="1247" w:firstLine="624"/>
        <w:rPr>
          <w:color w:val="000000"/>
          <w:lang w:val="en-GB"/>
        </w:rPr>
      </w:pPr>
      <w:r w:rsidRPr="00BD7721">
        <w:rPr>
          <w:color w:val="000000"/>
          <w:lang w:val="en-GB"/>
        </w:rPr>
        <w:t xml:space="preserve">The review panel will hold an in-person meeting to begin its work; with a budget of $38,000. Apart from the first meeting, the panel would conduct its work remotely and meet online as </w:t>
      </w:r>
      <w:proofErr w:type="gramStart"/>
      <w:r w:rsidRPr="00BD7721">
        <w:rPr>
          <w:color w:val="000000"/>
          <w:lang w:val="en-GB"/>
        </w:rPr>
        <w:t>needed;</w:t>
      </w:r>
      <w:proofErr w:type="gramEnd"/>
    </w:p>
    <w:p w14:paraId="61D061F5" w14:textId="7AB9B495" w:rsidR="00992A45" w:rsidRPr="00BD7721" w:rsidRDefault="00992A45" w:rsidP="00992A45">
      <w:pPr>
        <w:pStyle w:val="Normalnumber"/>
        <w:numPr>
          <w:ilvl w:val="1"/>
          <w:numId w:val="51"/>
        </w:numPr>
        <w:ind w:left="1247" w:firstLine="624"/>
        <w:rPr>
          <w:lang w:val="en-GB"/>
        </w:rPr>
      </w:pPr>
      <w:r w:rsidRPr="00BD7721">
        <w:rPr>
          <w:color w:val="000000"/>
          <w:lang w:val="en-GB"/>
        </w:rPr>
        <w:t xml:space="preserve">Two representatives of the review panel conducting the external review will be invited to present the report on their work to the Plenary at its twelfth </w:t>
      </w:r>
      <w:proofErr w:type="gramStart"/>
      <w:r w:rsidRPr="00BD7721">
        <w:rPr>
          <w:color w:val="000000"/>
          <w:lang w:val="en-GB"/>
        </w:rPr>
        <w:t>session;</w:t>
      </w:r>
      <w:proofErr w:type="gramEnd"/>
      <w:r w:rsidRPr="00BD7721">
        <w:rPr>
          <w:color w:val="000000"/>
          <w:lang w:val="en-GB"/>
        </w:rPr>
        <w:t xml:space="preserve"> with a travel budget of $7,500. </w:t>
      </w:r>
    </w:p>
    <w:p w14:paraId="124ADE68" w14:textId="77670335" w:rsidR="00992A45" w:rsidRPr="00BD7721" w:rsidRDefault="00992A45" w:rsidP="00992A45">
      <w:pPr>
        <w:pStyle w:val="Normalnumber"/>
        <w:numPr>
          <w:ilvl w:val="0"/>
          <w:numId w:val="51"/>
        </w:numPr>
        <w:tabs>
          <w:tab w:val="left" w:pos="624"/>
        </w:tabs>
        <w:ind w:left="1247" w:firstLine="0"/>
        <w:rPr>
          <w:lang w:val="en-GB"/>
        </w:rPr>
      </w:pPr>
      <w:r w:rsidRPr="00BD7721">
        <w:rPr>
          <w:color w:val="000000"/>
          <w:lang w:val="en-GB"/>
        </w:rPr>
        <w:t xml:space="preserve">A </w:t>
      </w:r>
      <w:r w:rsidRPr="00BD7721">
        <w:rPr>
          <w:lang w:val="en-GB"/>
        </w:rPr>
        <w:t>budget</w:t>
      </w:r>
      <w:r w:rsidRPr="00BD7721">
        <w:rPr>
          <w:color w:val="000000"/>
          <w:lang w:val="en-GB"/>
        </w:rPr>
        <w:t xml:space="preserve"> of $50,000 is foreseen for the recruitment of the qualified consultant.</w:t>
      </w:r>
    </w:p>
    <w:p w14:paraId="741AD543" w14:textId="77777777" w:rsidR="00906E11" w:rsidRPr="00BD7721" w:rsidRDefault="00906E11" w:rsidP="00906E11">
      <w:pPr>
        <w:pStyle w:val="Normal-pool"/>
        <w:rPr>
          <w:lang w:val="en-GB"/>
        </w:rPr>
      </w:pPr>
    </w:p>
    <w:p w14:paraId="160C24F8" w14:textId="77777777" w:rsidR="00906E11" w:rsidRPr="00BD7721" w:rsidRDefault="00906E11" w:rsidP="00906E11">
      <w:pPr>
        <w:pStyle w:val="Normal-pool"/>
        <w:rPr>
          <w:lang w:val="en-GB"/>
        </w:rPr>
        <w:sectPr w:rsidR="00906E11" w:rsidRPr="00BD7721" w:rsidSect="00D70826">
          <w:footnotePr>
            <w:numRestart w:val="eachSect"/>
          </w:footnotePr>
          <w:pgSz w:w="11907" w:h="16839" w:code="9"/>
          <w:pgMar w:top="907" w:right="992" w:bottom="1418" w:left="1418" w:header="539" w:footer="975" w:gutter="0"/>
          <w:cols w:space="539"/>
          <w:docGrid w:linePitch="360"/>
        </w:sectPr>
      </w:pPr>
    </w:p>
    <w:p w14:paraId="049428E2" w14:textId="205846CC" w:rsidR="00992A45" w:rsidRPr="00BD7721" w:rsidRDefault="0010281C" w:rsidP="0010281C">
      <w:pPr>
        <w:pStyle w:val="CH1"/>
        <w:rPr>
          <w:lang w:val="en-GB"/>
        </w:rPr>
      </w:pPr>
      <w:r w:rsidRPr="00BD7721">
        <w:rPr>
          <w:lang w:val="en-GB"/>
        </w:rPr>
        <w:tab/>
      </w:r>
      <w:r w:rsidRPr="00BD7721">
        <w:rPr>
          <w:lang w:val="en-GB"/>
        </w:rPr>
        <w:tab/>
      </w:r>
      <w:r w:rsidR="00992A45" w:rsidRPr="00BD7721">
        <w:rPr>
          <w:lang w:val="en-GB"/>
        </w:rPr>
        <w:t>Annex X to decision IPBES-10/1</w:t>
      </w:r>
    </w:p>
    <w:p w14:paraId="42F11109" w14:textId="7276DD29" w:rsidR="00992A45" w:rsidRPr="00BD7721" w:rsidRDefault="00ED3673" w:rsidP="00ED3673">
      <w:pPr>
        <w:pStyle w:val="CH1"/>
        <w:rPr>
          <w:lang w:val="en-GB"/>
        </w:rPr>
      </w:pPr>
      <w:r w:rsidRPr="00BD7721">
        <w:rPr>
          <w:lang w:val="en-GB"/>
        </w:rPr>
        <w:tab/>
      </w:r>
      <w:r w:rsidRPr="00BD7721">
        <w:rPr>
          <w:lang w:val="en-GB"/>
        </w:rPr>
        <w:tab/>
      </w:r>
      <w:r w:rsidR="00992A45" w:rsidRPr="00BD7721">
        <w:rPr>
          <w:lang w:val="en-GB"/>
        </w:rPr>
        <w:t>Terms of reference for the task force on capacity-building</w:t>
      </w:r>
    </w:p>
    <w:p w14:paraId="3527632E" w14:textId="77777777" w:rsidR="00992A45" w:rsidRPr="00BD7721" w:rsidRDefault="00992A45" w:rsidP="00992A45">
      <w:pPr>
        <w:pStyle w:val="CH1"/>
        <w:rPr>
          <w:lang w:val="en-GB"/>
        </w:rPr>
      </w:pPr>
      <w:r w:rsidRPr="00BD7721">
        <w:rPr>
          <w:lang w:val="en-GB"/>
        </w:rPr>
        <w:tab/>
        <w:t>I.</w:t>
      </w:r>
      <w:r w:rsidRPr="00BD7721">
        <w:rPr>
          <w:lang w:val="en-GB"/>
        </w:rPr>
        <w:tab/>
        <w:t xml:space="preserve">Responsibilities </w:t>
      </w:r>
    </w:p>
    <w:p w14:paraId="4314BE8B" w14:textId="45F2F367" w:rsidR="00992A45" w:rsidRPr="00BD7721" w:rsidRDefault="00992A45" w:rsidP="00C220BE">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lang w:val="en-GB"/>
        </w:rPr>
      </w:pPr>
      <w:r w:rsidRPr="00BD7721">
        <w:rPr>
          <w:lang w:val="en-GB"/>
        </w:rPr>
        <w:t xml:space="preserve">The task force on capacity-building will oversee and take part in the implementation of objective 2 of the </w:t>
      </w:r>
      <w:r w:rsidR="00EA2A97" w:rsidRPr="00BD7721">
        <w:rPr>
          <w:lang w:val="en-GB"/>
        </w:rPr>
        <w:t xml:space="preserve">rolling </w:t>
      </w:r>
      <w:r w:rsidRPr="00BD7721">
        <w:rPr>
          <w:lang w:val="en-GB"/>
        </w:rPr>
        <w:t>work programme of the Intergovernmental Science-Policy Platform on Biodiversity and Ecosystem Services (IPBES)</w:t>
      </w:r>
      <w:r w:rsidR="00CC2860" w:rsidRPr="00BD7721">
        <w:rPr>
          <w:lang w:val="en-GB"/>
        </w:rPr>
        <w:t xml:space="preserve"> up to 2030</w:t>
      </w:r>
      <w:r w:rsidRPr="00BD7721">
        <w:rPr>
          <w:lang w:val="en-GB"/>
        </w:rPr>
        <w:t>,</w:t>
      </w:r>
      <w:r w:rsidRPr="00BD7721">
        <w:rPr>
          <w:rStyle w:val="FootnoteReference"/>
          <w:lang w:val="en-GB"/>
        </w:rPr>
        <w:footnoteReference w:id="36"/>
      </w:r>
      <w:r w:rsidRPr="00BD7721">
        <w:rPr>
          <w:lang w:val="en-GB"/>
        </w:rPr>
        <w:t xml:space="preserve"> “building capacity”, </w:t>
      </w:r>
      <w:r w:rsidRPr="00BD7721">
        <w:rPr>
          <w:color w:val="000000"/>
          <w:lang w:val="en-GB"/>
        </w:rPr>
        <w:t>and act in accordance with relevant decisions by the Plenary of IPBES and its subsidiary bodies, including by building on lessons learned in the implementation of that objective during the period 2019</w:t>
      </w:r>
      <w:r w:rsidRPr="00BD7721">
        <w:rPr>
          <w:rFonts w:ascii="Noto Sans Symbols" w:eastAsia="Noto Sans Symbols" w:hAnsi="Noto Sans Symbols" w:cs="Noto Sans Symbols"/>
          <w:color w:val="000000"/>
          <w:lang w:val="en-GB"/>
        </w:rPr>
        <w:t>−</w:t>
      </w:r>
      <w:r w:rsidRPr="00BD7721">
        <w:rPr>
          <w:color w:val="000000"/>
          <w:lang w:val="en-GB"/>
        </w:rPr>
        <w:t>2023 and of deliverables 1 (a), “priority capacity-building needs to implement the Platform’s work programme matched with resources through catalysing financial and in-kind support”, and 1 (b), “capacities needed to implement the Platform work programme developed”, of the first work programme of IPBES.</w:t>
      </w:r>
      <w:r w:rsidRPr="00BD7721">
        <w:rPr>
          <w:rStyle w:val="FootnoteReference"/>
          <w:lang w:val="en-GB"/>
        </w:rPr>
        <w:footnoteReference w:id="37"/>
      </w:r>
      <w:r w:rsidRPr="00BD7721">
        <w:rPr>
          <w:color w:val="000000"/>
          <w:lang w:val="en-GB"/>
        </w:rPr>
        <w:t xml:space="preserve"> </w:t>
      </w:r>
    </w:p>
    <w:p w14:paraId="0DDEA461" w14:textId="0955D012" w:rsidR="00992A45" w:rsidRPr="00BD7721" w:rsidRDefault="00992A45" w:rsidP="00C220BE">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 xml:space="preserve">The task force will: </w:t>
      </w:r>
    </w:p>
    <w:p w14:paraId="3154D476" w14:textId="147086AB" w:rsidR="00992A45" w:rsidRPr="00BD7721" w:rsidRDefault="00992A45" w:rsidP="00C220BE">
      <w:pPr>
        <w:pStyle w:val="NormalNonumber"/>
        <w:numPr>
          <w:ilvl w:val="7"/>
          <w:numId w:val="204"/>
        </w:numPr>
        <w:tabs>
          <w:tab w:val="clear" w:pos="1247"/>
          <w:tab w:val="clear" w:pos="1871"/>
          <w:tab w:val="clear" w:pos="2495"/>
          <w:tab w:val="clear" w:pos="3119"/>
          <w:tab w:val="clear" w:pos="3742"/>
          <w:tab w:val="clear" w:pos="4366"/>
        </w:tabs>
        <w:ind w:left="1247" w:firstLine="624"/>
        <w:rPr>
          <w:lang w:val="en-GB"/>
        </w:rPr>
      </w:pPr>
      <w:r w:rsidRPr="00BD7721">
        <w:rPr>
          <w:lang w:val="en-GB"/>
        </w:rPr>
        <w:t>Guide the secretariat, including the dedicated technical support unit, in implementing the capacity-building rolling plan,</w:t>
      </w:r>
      <w:r w:rsidRPr="00BD7721">
        <w:rPr>
          <w:vertAlign w:val="superscript"/>
          <w:lang w:val="en-GB"/>
        </w:rPr>
        <w:footnoteReference w:id="38"/>
      </w:r>
      <w:r w:rsidRPr="00BD7721">
        <w:rPr>
          <w:lang w:val="en-GB"/>
        </w:rPr>
        <w:t xml:space="preserve"> which frames the work under objective 2 of the </w:t>
      </w:r>
      <w:r w:rsidR="00EA2A97" w:rsidRPr="00BD7721">
        <w:rPr>
          <w:lang w:val="en-GB"/>
        </w:rPr>
        <w:t xml:space="preserve">rolling </w:t>
      </w:r>
      <w:r w:rsidRPr="00BD7721">
        <w:rPr>
          <w:lang w:val="en-GB"/>
        </w:rPr>
        <w:t>work programme</w:t>
      </w:r>
      <w:r w:rsidR="00CC2860" w:rsidRPr="00BD7721">
        <w:rPr>
          <w:lang w:val="en-GB"/>
        </w:rPr>
        <w:t xml:space="preserve"> up to </w:t>
      </w:r>
      <w:proofErr w:type="gramStart"/>
      <w:r w:rsidR="00CC2860" w:rsidRPr="00BD7721">
        <w:rPr>
          <w:lang w:val="en-GB"/>
        </w:rPr>
        <w:t>2030</w:t>
      </w:r>
      <w:r w:rsidRPr="00BD7721">
        <w:rPr>
          <w:lang w:val="en-GB"/>
        </w:rPr>
        <w:t>;</w:t>
      </w:r>
      <w:proofErr w:type="gramEnd"/>
      <w:r w:rsidRPr="00BD7721">
        <w:rPr>
          <w:lang w:val="en-GB"/>
        </w:rPr>
        <w:t xml:space="preserve"> </w:t>
      </w:r>
    </w:p>
    <w:p w14:paraId="1E6787B0" w14:textId="561853BD" w:rsidR="00992A45" w:rsidRPr="00BD7721" w:rsidRDefault="00992A45" w:rsidP="00C220BE">
      <w:pPr>
        <w:pStyle w:val="NormalNonumber"/>
        <w:numPr>
          <w:ilvl w:val="7"/>
          <w:numId w:val="204"/>
        </w:numPr>
        <w:tabs>
          <w:tab w:val="clear" w:pos="1247"/>
          <w:tab w:val="clear" w:pos="1871"/>
          <w:tab w:val="clear" w:pos="2495"/>
          <w:tab w:val="clear" w:pos="3119"/>
          <w:tab w:val="clear" w:pos="3742"/>
          <w:tab w:val="clear" w:pos="4366"/>
        </w:tabs>
        <w:ind w:left="1247" w:firstLine="624"/>
        <w:rPr>
          <w:color w:val="000000"/>
          <w:lang w:val="en-GB"/>
        </w:rPr>
      </w:pPr>
      <w:r w:rsidRPr="00BD7721">
        <w:rPr>
          <w:lang w:val="en-GB"/>
        </w:rPr>
        <w:t>Periodically</w:t>
      </w:r>
      <w:r w:rsidRPr="00BD7721">
        <w:rPr>
          <w:color w:val="000000"/>
          <w:lang w:val="en-GB"/>
        </w:rPr>
        <w:t xml:space="preserve"> report to the Plenary on progress made.</w:t>
      </w:r>
    </w:p>
    <w:p w14:paraId="04CD3618" w14:textId="12A4A128" w:rsidR="00992A45" w:rsidRPr="00BD7721" w:rsidRDefault="00992A45" w:rsidP="00C220BE">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 xml:space="preserve">The Multidisciplinary Expert Panel and the Bureau will ensure coordination of activities and synergies across all IPBES task forces and expert groups. </w:t>
      </w:r>
    </w:p>
    <w:p w14:paraId="4FA0F150" w14:textId="77777777" w:rsidR="00992A45" w:rsidRPr="00BD7721" w:rsidRDefault="00992A45" w:rsidP="00992A45">
      <w:pPr>
        <w:pStyle w:val="CH1"/>
        <w:rPr>
          <w:lang w:val="en-GB"/>
        </w:rPr>
      </w:pPr>
      <w:r w:rsidRPr="00BD7721">
        <w:rPr>
          <w:lang w:val="en-GB"/>
        </w:rPr>
        <w:tab/>
        <w:t>II.</w:t>
      </w:r>
      <w:r w:rsidRPr="00BD7721">
        <w:rPr>
          <w:lang w:val="en-GB"/>
        </w:rPr>
        <w:tab/>
        <w:t xml:space="preserve">Membership </w:t>
      </w:r>
    </w:p>
    <w:p w14:paraId="6C56658C" w14:textId="75BA1571" w:rsidR="00992A45" w:rsidRPr="00BD7721" w:rsidRDefault="00992A45" w:rsidP="00C220BE">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 xml:space="preserve">The task force will be comprised of up to 18 members covering the five United Nations regions, including up to </w:t>
      </w:r>
      <w:r w:rsidR="00CC2860" w:rsidRPr="00BD7721">
        <w:rPr>
          <w:color w:val="000000"/>
          <w:lang w:val="en-GB"/>
        </w:rPr>
        <w:t xml:space="preserve">3 </w:t>
      </w:r>
      <w:r w:rsidRPr="00BD7721">
        <w:rPr>
          <w:color w:val="000000"/>
          <w:lang w:val="en-GB"/>
        </w:rPr>
        <w:t>members from the Bureau and the Multidisciplinary Expert Panel and the remaining members from one or more of the following categories: (a)</w:t>
      </w:r>
      <w:r w:rsidR="004212A9" w:rsidRPr="00BD7721">
        <w:rPr>
          <w:color w:val="000000"/>
          <w:lang w:val="en-GB"/>
        </w:rPr>
        <w:t xml:space="preserve"> </w:t>
      </w:r>
      <w:r w:rsidRPr="00BD7721">
        <w:rPr>
          <w:color w:val="000000"/>
          <w:lang w:val="en-GB"/>
        </w:rPr>
        <w:t>representatives of qualified national, regional and international scientific and development organizations, centres of excellence and institutions, including experts on Indigenous and local knowledge,</w:t>
      </w:r>
      <w:r w:rsidRPr="00BD7721">
        <w:rPr>
          <w:color w:val="000000"/>
          <w:vertAlign w:val="superscript"/>
          <w:lang w:val="en-GB"/>
        </w:rPr>
        <w:footnoteReference w:id="39"/>
      </w:r>
      <w:r w:rsidRPr="00BD7721">
        <w:rPr>
          <w:color w:val="000000"/>
          <w:lang w:val="en-GB"/>
        </w:rPr>
        <w:t xml:space="preserve"> that are known for their work and expertise on issues related to the mandate of the task force and are existing or prospective partners or collaborative supporters in the capacity-building activities of IPBES; (b)</w:t>
      </w:r>
      <w:r w:rsidR="004212A9" w:rsidRPr="00BD7721">
        <w:rPr>
          <w:color w:val="000000"/>
          <w:lang w:val="en-GB"/>
        </w:rPr>
        <w:t xml:space="preserve"> </w:t>
      </w:r>
      <w:r w:rsidRPr="00BD7721">
        <w:rPr>
          <w:color w:val="000000"/>
          <w:lang w:val="en-GB"/>
        </w:rPr>
        <w:t>recognized individual experts, including Indigenous and local knowledge experts, on matters related to the mandate of the task force.</w:t>
      </w:r>
    </w:p>
    <w:p w14:paraId="4982A3BF" w14:textId="07D1BEC3" w:rsidR="00992A45" w:rsidRPr="00BD7721" w:rsidRDefault="00992A45" w:rsidP="00C220BE">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Members other than those from the Bureau and the Multidisciplinary Expert Panel will be selected in accordance with the selection process outlined in the procedures for the preparation of IPBES deliverables.</w:t>
      </w:r>
      <w:r w:rsidRPr="00BD7721">
        <w:rPr>
          <w:color w:val="000000"/>
          <w:vertAlign w:val="superscript"/>
          <w:lang w:val="en-GB"/>
        </w:rPr>
        <w:footnoteReference w:id="40"/>
      </w:r>
      <w:r w:rsidRPr="00BD7721">
        <w:rPr>
          <w:color w:val="000000"/>
          <w:lang w:val="en-GB"/>
        </w:rPr>
        <w:t xml:space="preserve"> Their terms of office will end at the close of the third session of the Plenary following the selection of the task force, with the possibility of re-election. The selection of members should reflect the need for continuity in the work of the task force. </w:t>
      </w:r>
    </w:p>
    <w:p w14:paraId="33D0A1D7" w14:textId="0CA26CB0" w:rsidR="00992A45" w:rsidRPr="00BD7721" w:rsidRDefault="00992A45" w:rsidP="00C220BE">
      <w:pPr>
        <w:pStyle w:val="NormalNonumber"/>
        <w:numPr>
          <w:ilvl w:val="6"/>
          <w:numId w:val="204"/>
        </w:numPr>
        <w:tabs>
          <w:tab w:val="clear" w:pos="1247"/>
          <w:tab w:val="clear" w:pos="1871"/>
          <w:tab w:val="clear" w:pos="2495"/>
          <w:tab w:val="clear" w:pos="3119"/>
          <w:tab w:val="clear" w:pos="3742"/>
          <w:tab w:val="clear" w:pos="4366"/>
        </w:tabs>
        <w:ind w:left="1247" w:firstLine="0"/>
        <w:rPr>
          <w:lang w:val="en-GB"/>
        </w:rPr>
      </w:pPr>
      <w:r w:rsidRPr="00BD7721">
        <w:rPr>
          <w:color w:val="000000"/>
          <w:lang w:val="en-GB"/>
        </w:rPr>
        <w:t>At the discretion of the co-chairs of the task force and following consultation with the Bureau, a limited number of additional experts may also be invited to participate in the task force as resource persons.</w:t>
      </w:r>
    </w:p>
    <w:p w14:paraId="65DD8B92" w14:textId="77777777" w:rsidR="00992A45" w:rsidRPr="00BD7721" w:rsidRDefault="00992A45" w:rsidP="00992A45">
      <w:pPr>
        <w:pStyle w:val="CH1"/>
        <w:rPr>
          <w:lang w:val="en-GB"/>
        </w:rPr>
      </w:pPr>
      <w:r w:rsidRPr="00BD7721">
        <w:rPr>
          <w:lang w:val="en-GB"/>
        </w:rPr>
        <w:tab/>
        <w:t>III.</w:t>
      </w:r>
      <w:r w:rsidRPr="00BD7721">
        <w:rPr>
          <w:lang w:val="en-GB"/>
        </w:rPr>
        <w:tab/>
        <w:t>Modus operandi</w:t>
      </w:r>
    </w:p>
    <w:p w14:paraId="7F405167" w14:textId="721F76E5" w:rsidR="00992A45" w:rsidRPr="00BD7721" w:rsidRDefault="00992A45" w:rsidP="00C220BE">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The task force will be co-chaired by members of the Bureau. The task force will work through face-to-face meetings, online meetings and other electronic interactions. Products of the task force will be reviewed by the Bureau and the Multidisciplinary Expert Panel and forwarded to the Plenary for its information and consideration, as appropriate. The task force will foster interaction with IPBES national focal points and collaboration with strategic partners and collaborative supporters under the guidance of the Bureau.</w:t>
      </w:r>
    </w:p>
    <w:p w14:paraId="617FD5CD" w14:textId="1AD952ED" w:rsidR="00992A45" w:rsidRPr="00BD7721" w:rsidRDefault="00992A45" w:rsidP="00C220BE">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The task force will be supported by the secretariat, including a dedicated technical support unit.</w:t>
      </w:r>
    </w:p>
    <w:p w14:paraId="785CE69C" w14:textId="77777777" w:rsidR="0010281C" w:rsidRPr="00BD7721" w:rsidRDefault="0010281C" w:rsidP="00ED3673">
      <w:pPr>
        <w:pStyle w:val="Normal-pool"/>
        <w:rPr>
          <w:lang w:val="en-GB"/>
        </w:rPr>
      </w:pPr>
    </w:p>
    <w:p w14:paraId="63C30DAA" w14:textId="77777777" w:rsidR="0010281C" w:rsidRPr="00BD7721" w:rsidRDefault="0010281C" w:rsidP="00992A45">
      <w:pPr>
        <w:pStyle w:val="Normal-pool"/>
        <w:rPr>
          <w:lang w:val="en-GB"/>
        </w:rPr>
        <w:sectPr w:rsidR="0010281C" w:rsidRPr="00BD7721" w:rsidSect="00D70826">
          <w:footnotePr>
            <w:numRestart w:val="eachSect"/>
          </w:footnotePr>
          <w:pgSz w:w="11907" w:h="16839" w:code="9"/>
          <w:pgMar w:top="907" w:right="992" w:bottom="1418" w:left="1418" w:header="539" w:footer="975" w:gutter="0"/>
          <w:cols w:space="539"/>
          <w:docGrid w:linePitch="360"/>
        </w:sectPr>
      </w:pPr>
    </w:p>
    <w:p w14:paraId="1B30F517" w14:textId="587B9A36" w:rsidR="00992A45" w:rsidRPr="00BD7721" w:rsidRDefault="0010281C" w:rsidP="0010281C">
      <w:pPr>
        <w:pStyle w:val="CH1"/>
        <w:rPr>
          <w:lang w:val="en-GB"/>
        </w:rPr>
      </w:pPr>
      <w:r w:rsidRPr="00BD7721">
        <w:rPr>
          <w:lang w:val="en-GB"/>
        </w:rPr>
        <w:tab/>
      </w:r>
      <w:r w:rsidRPr="00BD7721">
        <w:rPr>
          <w:lang w:val="en-GB"/>
        </w:rPr>
        <w:tab/>
      </w:r>
      <w:r w:rsidR="00992A45" w:rsidRPr="00BD7721">
        <w:rPr>
          <w:lang w:val="en-GB"/>
        </w:rPr>
        <w:t>Annex XI to decision IPBES-10/1</w:t>
      </w:r>
    </w:p>
    <w:p w14:paraId="40372F26" w14:textId="44EC5F19" w:rsidR="00992A45" w:rsidRPr="00BD7721" w:rsidRDefault="00ED3673" w:rsidP="00ED3673">
      <w:pPr>
        <w:pStyle w:val="CH1"/>
        <w:rPr>
          <w:lang w:val="en-GB"/>
        </w:rPr>
      </w:pPr>
      <w:r w:rsidRPr="00BD7721">
        <w:rPr>
          <w:lang w:val="en-GB"/>
        </w:rPr>
        <w:tab/>
      </w:r>
      <w:r w:rsidRPr="00BD7721">
        <w:rPr>
          <w:lang w:val="en-GB"/>
        </w:rPr>
        <w:tab/>
      </w:r>
      <w:r w:rsidR="00992A45" w:rsidRPr="00BD7721">
        <w:rPr>
          <w:lang w:val="en-GB"/>
        </w:rPr>
        <w:t>Terms of reference for the task force on data and knowledge management</w:t>
      </w:r>
    </w:p>
    <w:p w14:paraId="20189CB3" w14:textId="77777777" w:rsidR="00992A45" w:rsidRPr="00BD7721" w:rsidRDefault="00992A45" w:rsidP="00992A45">
      <w:pPr>
        <w:pStyle w:val="CH1"/>
        <w:rPr>
          <w:lang w:val="en-GB"/>
        </w:rPr>
      </w:pPr>
      <w:r w:rsidRPr="00BD7721">
        <w:rPr>
          <w:lang w:val="en-GB"/>
        </w:rPr>
        <w:tab/>
        <w:t>I.</w:t>
      </w:r>
      <w:r w:rsidRPr="00BD7721">
        <w:rPr>
          <w:lang w:val="en-GB"/>
        </w:rPr>
        <w:tab/>
        <w:t xml:space="preserve">Responsibilities </w:t>
      </w:r>
    </w:p>
    <w:p w14:paraId="6B4034F9" w14:textId="44BF98B0" w:rsidR="00992A45" w:rsidRPr="00BD7721" w:rsidRDefault="00992A45" w:rsidP="009F12CE">
      <w:pPr>
        <w:pStyle w:val="NormalNonumber"/>
        <w:numPr>
          <w:ilvl w:val="6"/>
          <w:numId w:val="205"/>
        </w:numPr>
        <w:tabs>
          <w:tab w:val="clear" w:pos="1247"/>
          <w:tab w:val="clear" w:pos="1871"/>
          <w:tab w:val="clear" w:pos="2495"/>
          <w:tab w:val="clear" w:pos="3119"/>
          <w:tab w:val="clear" w:pos="3742"/>
          <w:tab w:val="clear" w:pos="4366"/>
        </w:tabs>
        <w:ind w:left="1247" w:firstLine="0"/>
        <w:rPr>
          <w:lang w:val="en-GB"/>
        </w:rPr>
      </w:pPr>
      <w:r w:rsidRPr="00BD7721">
        <w:rPr>
          <w:lang w:val="en-GB"/>
        </w:rPr>
        <w:t xml:space="preserve">The task force on data and knowledge management will oversee and take part in the implementation of objective 3 (a) of the </w:t>
      </w:r>
      <w:r w:rsidR="00EA2A97" w:rsidRPr="00BD7721">
        <w:rPr>
          <w:lang w:val="en-GB"/>
        </w:rPr>
        <w:t xml:space="preserve">rolling </w:t>
      </w:r>
      <w:r w:rsidRPr="00BD7721">
        <w:rPr>
          <w:lang w:val="en-GB"/>
        </w:rPr>
        <w:t>work programme of the Intergovernmental Science</w:t>
      </w:r>
      <w:r w:rsidRPr="00BD7721">
        <w:rPr>
          <w:lang w:val="en-GB"/>
        </w:rPr>
        <w:noBreakHyphen/>
        <w:t>Policy Platform on Biodiversity and Ecosystem Services (IPBES)</w:t>
      </w:r>
      <w:r w:rsidR="00CC2860" w:rsidRPr="00BD7721">
        <w:rPr>
          <w:lang w:val="en-GB"/>
        </w:rPr>
        <w:t xml:space="preserve"> up to 2030</w:t>
      </w:r>
      <w:r w:rsidRPr="00BD7721">
        <w:rPr>
          <w:lang w:val="en-GB"/>
        </w:rPr>
        <w:t>,</w:t>
      </w:r>
      <w:r w:rsidRPr="00BD7721">
        <w:rPr>
          <w:rStyle w:val="FootnoteReference"/>
          <w:lang w:val="en-GB"/>
        </w:rPr>
        <w:footnoteReference w:id="41"/>
      </w:r>
      <w:r w:rsidRPr="00BD7721">
        <w:rPr>
          <w:lang w:val="en-GB"/>
        </w:rPr>
        <w:t xml:space="preserve"> “advanced work on knowledge and data”, and act in accordance with relevant decisions by the Plenary of IPBES and its subsidiary bodies, including by building on lessons learned in the implementation of that objective during the period 2019</w:t>
      </w:r>
      <w:r w:rsidRPr="00BD7721">
        <w:rPr>
          <w:rFonts w:ascii="Noto Sans Symbols" w:eastAsia="Noto Sans Symbols" w:hAnsi="Noto Sans Symbols" w:cs="Noto Sans Symbols"/>
          <w:lang w:val="en-GB"/>
        </w:rPr>
        <w:t>−</w:t>
      </w:r>
      <w:r w:rsidRPr="00BD7721">
        <w:rPr>
          <w:lang w:val="en-GB"/>
        </w:rPr>
        <w:t>2023 and of deliverable 1 (d), “priority knowledge and data needs for policymaking addressed through catalysing efforts to generate new knowledge and networking”, of the first work programme of IPBES.</w:t>
      </w:r>
      <w:r w:rsidRPr="00BD7721">
        <w:rPr>
          <w:rStyle w:val="FootnoteReference"/>
          <w:lang w:val="en-GB"/>
        </w:rPr>
        <w:footnoteReference w:id="42"/>
      </w:r>
    </w:p>
    <w:p w14:paraId="193D2C45" w14:textId="77777777" w:rsidR="00992A45" w:rsidRPr="00BD7721" w:rsidRDefault="00992A45" w:rsidP="009F12CE">
      <w:pPr>
        <w:pStyle w:val="NormalNonumber"/>
        <w:numPr>
          <w:ilvl w:val="6"/>
          <w:numId w:val="205"/>
        </w:numPr>
        <w:tabs>
          <w:tab w:val="clear" w:pos="1247"/>
          <w:tab w:val="clear" w:pos="1871"/>
          <w:tab w:val="clear" w:pos="2495"/>
          <w:tab w:val="clear" w:pos="3119"/>
          <w:tab w:val="clear" w:pos="3742"/>
          <w:tab w:val="clear" w:pos="4366"/>
        </w:tabs>
        <w:ind w:left="1247" w:firstLine="0"/>
        <w:rPr>
          <w:color w:val="000000"/>
          <w:lang w:val="en-GB"/>
        </w:rPr>
      </w:pPr>
      <w:r w:rsidRPr="00BD7721">
        <w:rPr>
          <w:lang w:val="en-GB"/>
        </w:rPr>
        <w:t>The</w:t>
      </w:r>
      <w:r w:rsidRPr="00BD7721">
        <w:rPr>
          <w:color w:val="000000"/>
          <w:lang w:val="en-GB"/>
        </w:rPr>
        <w:t xml:space="preserve"> task force will: </w:t>
      </w:r>
    </w:p>
    <w:p w14:paraId="5AD817A0" w14:textId="77777777" w:rsidR="00992A45" w:rsidRPr="00BD7721" w:rsidRDefault="00992A45" w:rsidP="009F12CE">
      <w:pPr>
        <w:pStyle w:val="NormalNonumber"/>
        <w:numPr>
          <w:ilvl w:val="7"/>
          <w:numId w:val="205"/>
        </w:numPr>
        <w:tabs>
          <w:tab w:val="clear" w:pos="1247"/>
          <w:tab w:val="clear" w:pos="1871"/>
          <w:tab w:val="clear" w:pos="2495"/>
          <w:tab w:val="clear" w:pos="3119"/>
          <w:tab w:val="clear" w:pos="3742"/>
          <w:tab w:val="clear" w:pos="4366"/>
        </w:tabs>
        <w:ind w:left="1247" w:firstLine="624"/>
        <w:rPr>
          <w:lang w:val="en-GB"/>
        </w:rPr>
      </w:pPr>
      <w:r w:rsidRPr="00BD7721">
        <w:rPr>
          <w:lang w:val="en-GB"/>
        </w:rPr>
        <w:t xml:space="preserve">Support assessment experts in identifying, prioritizing and mobilizing existing knowledge and data needed for IPBES </w:t>
      </w:r>
      <w:proofErr w:type="gramStart"/>
      <w:r w:rsidRPr="00BD7721">
        <w:rPr>
          <w:lang w:val="en-GB"/>
        </w:rPr>
        <w:t>assessments;</w:t>
      </w:r>
      <w:proofErr w:type="gramEnd"/>
    </w:p>
    <w:p w14:paraId="2F0F36AF" w14:textId="77777777" w:rsidR="00992A45" w:rsidRPr="00BD7721" w:rsidRDefault="00992A45" w:rsidP="009F12CE">
      <w:pPr>
        <w:pStyle w:val="NormalNonumber"/>
        <w:numPr>
          <w:ilvl w:val="7"/>
          <w:numId w:val="205"/>
        </w:numPr>
        <w:tabs>
          <w:tab w:val="clear" w:pos="1247"/>
          <w:tab w:val="clear" w:pos="1871"/>
          <w:tab w:val="clear" w:pos="2495"/>
          <w:tab w:val="clear" w:pos="3119"/>
          <w:tab w:val="clear" w:pos="3742"/>
          <w:tab w:val="clear" w:pos="4366"/>
        </w:tabs>
        <w:ind w:left="1247" w:firstLine="624"/>
        <w:rPr>
          <w:color w:val="000000"/>
          <w:lang w:val="en-GB"/>
        </w:rPr>
      </w:pPr>
      <w:r w:rsidRPr="00BD7721">
        <w:rPr>
          <w:lang w:val="en-GB"/>
        </w:rPr>
        <w:t>Guide the secretariat, including the dedicated technical support unit, in the management of the data and knowledge</w:t>
      </w:r>
      <w:r w:rsidRPr="00BD7721">
        <w:rPr>
          <w:color w:val="000000"/>
          <w:lang w:val="en-GB"/>
        </w:rPr>
        <w:t xml:space="preserve"> used in IPBES products, to ensure their long-term availability and traceability.</w:t>
      </w:r>
    </w:p>
    <w:p w14:paraId="75B19E14" w14:textId="77777777" w:rsidR="00992A45" w:rsidRPr="00BD7721" w:rsidRDefault="00992A45" w:rsidP="009F12CE">
      <w:pPr>
        <w:pStyle w:val="NormalNonumber"/>
        <w:numPr>
          <w:ilvl w:val="6"/>
          <w:numId w:val="205"/>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 xml:space="preserve">The Multidisciplinary Expert Panel and the Bureau will ensure coordination of activities and synergies </w:t>
      </w:r>
      <w:r w:rsidRPr="00BD7721">
        <w:rPr>
          <w:lang w:val="en-GB"/>
        </w:rPr>
        <w:t>across</w:t>
      </w:r>
      <w:r w:rsidRPr="00BD7721">
        <w:rPr>
          <w:color w:val="000000"/>
          <w:lang w:val="en-GB"/>
        </w:rPr>
        <w:t xml:space="preserve"> all IPBES task forces and expert groups. </w:t>
      </w:r>
    </w:p>
    <w:p w14:paraId="3A0A628C" w14:textId="77777777" w:rsidR="00992A45" w:rsidRPr="00BD7721" w:rsidRDefault="00992A45" w:rsidP="00992A45">
      <w:pPr>
        <w:pStyle w:val="CH1"/>
        <w:rPr>
          <w:lang w:val="en-GB"/>
        </w:rPr>
      </w:pPr>
      <w:r w:rsidRPr="00BD7721">
        <w:rPr>
          <w:lang w:val="en-GB"/>
        </w:rPr>
        <w:tab/>
        <w:t>II.</w:t>
      </w:r>
      <w:r w:rsidRPr="00BD7721">
        <w:rPr>
          <w:lang w:val="en-GB"/>
        </w:rPr>
        <w:tab/>
        <w:t xml:space="preserve">Membership </w:t>
      </w:r>
    </w:p>
    <w:p w14:paraId="3B73634F" w14:textId="6CBE9664" w:rsidR="00992A45" w:rsidRPr="00BD7721" w:rsidRDefault="00992A45" w:rsidP="009F12CE">
      <w:pPr>
        <w:pStyle w:val="NormalNonumber"/>
        <w:numPr>
          <w:ilvl w:val="6"/>
          <w:numId w:val="205"/>
        </w:numPr>
        <w:tabs>
          <w:tab w:val="clear" w:pos="1247"/>
          <w:tab w:val="clear" w:pos="1871"/>
          <w:tab w:val="clear" w:pos="2495"/>
          <w:tab w:val="clear" w:pos="3119"/>
          <w:tab w:val="clear" w:pos="3742"/>
          <w:tab w:val="clear" w:pos="4366"/>
        </w:tabs>
        <w:ind w:left="1247" w:firstLine="0"/>
        <w:rPr>
          <w:lang w:val="en-GB"/>
        </w:rPr>
      </w:pPr>
      <w:r w:rsidRPr="00BD7721">
        <w:rPr>
          <w:color w:val="000000"/>
          <w:lang w:val="en-GB"/>
        </w:rPr>
        <w:t xml:space="preserve">The task force will be comprised of up to 13 members covering the five United Nations regions, </w:t>
      </w:r>
      <w:r w:rsidRPr="00BD7721">
        <w:rPr>
          <w:lang w:val="en-GB"/>
        </w:rPr>
        <w:t>including</w:t>
      </w:r>
      <w:r w:rsidRPr="00BD7721">
        <w:rPr>
          <w:color w:val="000000"/>
          <w:lang w:val="en-GB"/>
        </w:rPr>
        <w:t xml:space="preserve"> up to </w:t>
      </w:r>
      <w:r w:rsidR="00CC2860" w:rsidRPr="00BD7721">
        <w:rPr>
          <w:color w:val="000000"/>
          <w:lang w:val="en-GB"/>
        </w:rPr>
        <w:t xml:space="preserve">3 </w:t>
      </w:r>
      <w:r w:rsidRPr="00BD7721">
        <w:rPr>
          <w:color w:val="000000"/>
          <w:lang w:val="en-GB"/>
        </w:rPr>
        <w:t>members from the Bureau and the Multidisciplinary Expert Panel and the remaining members from one or more of the following categories: (a)</w:t>
      </w:r>
      <w:r w:rsidR="004212A9" w:rsidRPr="00BD7721">
        <w:rPr>
          <w:color w:val="000000"/>
          <w:lang w:val="en-GB"/>
        </w:rPr>
        <w:t xml:space="preserve"> </w:t>
      </w:r>
      <w:r w:rsidRPr="00BD7721">
        <w:rPr>
          <w:color w:val="000000"/>
          <w:lang w:val="en-GB"/>
        </w:rPr>
        <w:t xml:space="preserve">members of expert groups for ongoing </w:t>
      </w:r>
      <w:r w:rsidRPr="00BD7721">
        <w:rPr>
          <w:lang w:val="en-GB"/>
        </w:rPr>
        <w:t>IPBES assessments and other relevant task forces; (b)</w:t>
      </w:r>
      <w:r w:rsidR="004212A9" w:rsidRPr="00BD7721">
        <w:rPr>
          <w:lang w:val="en-GB"/>
        </w:rPr>
        <w:t xml:space="preserve"> </w:t>
      </w:r>
      <w:r w:rsidRPr="00BD7721">
        <w:rPr>
          <w:lang w:val="en-GB"/>
        </w:rPr>
        <w:t>recognized individual experts on matters related to the mandate of the task force, including data experts from the natural sciences, social sciences and humanities and experts in qualitative and quantitative data analysis, as well as Indigenous and local knowledge experts; and (c)</w:t>
      </w:r>
      <w:r w:rsidR="004212A9" w:rsidRPr="00BD7721">
        <w:rPr>
          <w:lang w:val="en-GB"/>
        </w:rPr>
        <w:t xml:space="preserve"> </w:t>
      </w:r>
      <w:r w:rsidRPr="00BD7721">
        <w:rPr>
          <w:lang w:val="en-GB"/>
        </w:rPr>
        <w:t>representatives of qualified national, regional and international scientific organizations, centres of excellence and institutions, including experts on Indigenous and local knowledge,</w:t>
      </w:r>
      <w:r w:rsidRPr="00BD7721">
        <w:rPr>
          <w:color w:val="000000"/>
          <w:vertAlign w:val="superscript"/>
          <w:lang w:val="en-GB"/>
        </w:rPr>
        <w:footnoteReference w:id="43"/>
      </w:r>
      <w:r w:rsidRPr="00BD7721">
        <w:rPr>
          <w:lang w:val="en-GB"/>
        </w:rPr>
        <w:t xml:space="preserve"> known for their work and expertise on issues related to the mandate of the task force. </w:t>
      </w:r>
    </w:p>
    <w:p w14:paraId="54B5AE5B" w14:textId="77777777" w:rsidR="00992A45" w:rsidRPr="00BD7721" w:rsidRDefault="00992A45" w:rsidP="009F12CE">
      <w:pPr>
        <w:pStyle w:val="NormalNonumber"/>
        <w:numPr>
          <w:ilvl w:val="6"/>
          <w:numId w:val="205"/>
        </w:numPr>
        <w:tabs>
          <w:tab w:val="clear" w:pos="1247"/>
          <w:tab w:val="clear" w:pos="1871"/>
          <w:tab w:val="clear" w:pos="2495"/>
          <w:tab w:val="clear" w:pos="3119"/>
          <w:tab w:val="clear" w:pos="3742"/>
          <w:tab w:val="clear" w:pos="4366"/>
        </w:tabs>
        <w:ind w:left="1247" w:firstLine="0"/>
        <w:rPr>
          <w:lang w:val="en-GB"/>
        </w:rPr>
      </w:pPr>
      <w:r w:rsidRPr="00BD7721">
        <w:rPr>
          <w:lang w:val="en-GB"/>
        </w:rPr>
        <w:t>Members</w:t>
      </w:r>
      <w:r w:rsidRPr="00BD7721">
        <w:rPr>
          <w:color w:val="000000"/>
          <w:lang w:val="en-GB"/>
        </w:rPr>
        <w:t xml:space="preserve"> other than those from the Bureau and the Multidisciplinary Expert Panel will be selected in </w:t>
      </w:r>
      <w:r w:rsidRPr="00BD7721">
        <w:rPr>
          <w:lang w:val="en-GB"/>
        </w:rPr>
        <w:t>accordance</w:t>
      </w:r>
      <w:r w:rsidRPr="00BD7721">
        <w:rPr>
          <w:color w:val="000000"/>
          <w:lang w:val="en-GB"/>
        </w:rPr>
        <w:t xml:space="preserve"> with the selection process set out in the procedures for the preparation of IPBES </w:t>
      </w:r>
      <w:r w:rsidRPr="00BD7721">
        <w:rPr>
          <w:lang w:val="en-GB"/>
        </w:rPr>
        <w:t>deliverables</w:t>
      </w:r>
      <w:r w:rsidRPr="00BD7721">
        <w:rPr>
          <w:color w:val="000000"/>
          <w:lang w:val="en-GB"/>
        </w:rPr>
        <w:t>.</w:t>
      </w:r>
      <w:r w:rsidRPr="00BD7721">
        <w:rPr>
          <w:color w:val="000000"/>
          <w:vertAlign w:val="superscript"/>
          <w:lang w:val="en-GB"/>
        </w:rPr>
        <w:footnoteReference w:id="44"/>
      </w:r>
      <w:r w:rsidRPr="00BD7721">
        <w:rPr>
          <w:color w:val="000000"/>
          <w:lang w:val="en-GB"/>
        </w:rPr>
        <w:t xml:space="preserve"> Their terms of </w:t>
      </w:r>
      <w:r w:rsidRPr="00BD7721">
        <w:rPr>
          <w:lang w:val="en-GB"/>
        </w:rPr>
        <w:t xml:space="preserve">office will end at the close of the third session of the Plenary following the selection of the task force, with the possibility of re-election. The selection of members should reflect the need for continuity in the work of the task force. </w:t>
      </w:r>
    </w:p>
    <w:p w14:paraId="58EEBF09" w14:textId="77777777" w:rsidR="00992A45" w:rsidRPr="00BD7721" w:rsidRDefault="00992A45" w:rsidP="009F12CE">
      <w:pPr>
        <w:pStyle w:val="NormalNonumber"/>
        <w:numPr>
          <w:ilvl w:val="6"/>
          <w:numId w:val="205"/>
        </w:numPr>
        <w:tabs>
          <w:tab w:val="clear" w:pos="1247"/>
          <w:tab w:val="clear" w:pos="1871"/>
          <w:tab w:val="clear" w:pos="2495"/>
          <w:tab w:val="clear" w:pos="3119"/>
          <w:tab w:val="clear" w:pos="3742"/>
          <w:tab w:val="clear" w:pos="4366"/>
        </w:tabs>
        <w:ind w:left="1247" w:firstLine="0"/>
        <w:rPr>
          <w:color w:val="000000"/>
          <w:lang w:val="en-GB"/>
        </w:rPr>
      </w:pPr>
      <w:r w:rsidRPr="00BD7721">
        <w:rPr>
          <w:lang w:val="en-GB"/>
        </w:rPr>
        <w:t>At the discretion of the co-chair</w:t>
      </w:r>
      <w:r w:rsidRPr="00BD7721">
        <w:rPr>
          <w:color w:val="000000"/>
          <w:lang w:val="en-GB"/>
        </w:rPr>
        <w:t xml:space="preserve">s of the task force and following consultation with the Bureau, a limited </w:t>
      </w:r>
      <w:r w:rsidRPr="00BD7721">
        <w:rPr>
          <w:lang w:val="en-GB"/>
        </w:rPr>
        <w:t>number</w:t>
      </w:r>
      <w:r w:rsidRPr="00BD7721">
        <w:rPr>
          <w:color w:val="000000"/>
          <w:lang w:val="en-GB"/>
        </w:rPr>
        <w:t xml:space="preserve"> </w:t>
      </w:r>
      <w:r w:rsidRPr="00BD7721">
        <w:rPr>
          <w:lang w:val="en-GB"/>
        </w:rPr>
        <w:t>of</w:t>
      </w:r>
      <w:r w:rsidRPr="00BD7721">
        <w:rPr>
          <w:color w:val="000000"/>
          <w:lang w:val="en-GB"/>
        </w:rPr>
        <w:t xml:space="preserve"> individual experts on data and knowledge management may be invited to participate in the task force as resource persons.</w:t>
      </w:r>
    </w:p>
    <w:p w14:paraId="5A239E46" w14:textId="77777777" w:rsidR="00992A45" w:rsidRPr="00BD7721" w:rsidRDefault="00992A45" w:rsidP="00992A45">
      <w:pPr>
        <w:pStyle w:val="CH1"/>
        <w:rPr>
          <w:lang w:val="en-GB"/>
        </w:rPr>
      </w:pPr>
      <w:r w:rsidRPr="00BD7721">
        <w:rPr>
          <w:lang w:val="en-GB"/>
        </w:rPr>
        <w:tab/>
        <w:t>III.</w:t>
      </w:r>
      <w:r w:rsidRPr="00BD7721">
        <w:rPr>
          <w:lang w:val="en-GB"/>
        </w:rPr>
        <w:tab/>
        <w:t>Modus operandi</w:t>
      </w:r>
    </w:p>
    <w:p w14:paraId="237BD3C0" w14:textId="77777777" w:rsidR="00992A45" w:rsidRPr="00BD7721" w:rsidRDefault="00992A45" w:rsidP="009F12CE">
      <w:pPr>
        <w:pStyle w:val="NormalNonumber"/>
        <w:numPr>
          <w:ilvl w:val="6"/>
          <w:numId w:val="205"/>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 xml:space="preserve">The task force will be co-chaired by members of the Bureau and/or the Multidisciplinary Expert Panel. The </w:t>
      </w:r>
      <w:r w:rsidRPr="00BD7721">
        <w:rPr>
          <w:lang w:val="en-GB"/>
        </w:rPr>
        <w:t>task</w:t>
      </w:r>
      <w:r w:rsidRPr="00BD7721">
        <w:rPr>
          <w:color w:val="000000"/>
          <w:lang w:val="en-GB"/>
        </w:rPr>
        <w:t xml:space="preserve"> force will work through face-to-face meetings, online meetings and other electronic interactions. Products of the task force will be reviewed by the Bureau and the Panel and forwarded to the Plenary for its information and consideration, as appropriate. The task force will foster </w:t>
      </w:r>
      <w:r w:rsidRPr="00BD7721">
        <w:rPr>
          <w:lang w:val="en-GB"/>
        </w:rPr>
        <w:t>collaboration</w:t>
      </w:r>
      <w:r w:rsidRPr="00BD7721">
        <w:rPr>
          <w:color w:val="000000"/>
          <w:lang w:val="en-GB"/>
        </w:rPr>
        <w:t xml:space="preserve"> with strategic partners and collaborative supporters under the guidance of the Bureau.</w:t>
      </w:r>
    </w:p>
    <w:p w14:paraId="60772AF0" w14:textId="77777777" w:rsidR="00992A45" w:rsidRPr="00BD7721" w:rsidRDefault="00992A45" w:rsidP="009F12CE">
      <w:pPr>
        <w:pStyle w:val="NormalNonumber"/>
        <w:numPr>
          <w:ilvl w:val="6"/>
          <w:numId w:val="205"/>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 xml:space="preserve">The task </w:t>
      </w:r>
      <w:r w:rsidRPr="00BD7721">
        <w:rPr>
          <w:lang w:val="en-GB"/>
        </w:rPr>
        <w:t>force</w:t>
      </w:r>
      <w:r w:rsidRPr="00BD7721">
        <w:rPr>
          <w:color w:val="000000"/>
          <w:lang w:val="en-GB"/>
        </w:rPr>
        <w:t xml:space="preserve"> will be supported by the secretariat, including a dedicated technical support unit.</w:t>
      </w:r>
    </w:p>
    <w:p w14:paraId="40CA26C3" w14:textId="77777777" w:rsidR="0010281C" w:rsidRPr="00BD7721" w:rsidRDefault="0010281C" w:rsidP="00E02520">
      <w:pPr>
        <w:pStyle w:val="Normal-pool"/>
        <w:rPr>
          <w:lang w:val="en-GB"/>
        </w:rPr>
      </w:pPr>
    </w:p>
    <w:p w14:paraId="0E37D9A1" w14:textId="77777777" w:rsidR="00E02520" w:rsidRPr="00BD7721" w:rsidRDefault="00E02520" w:rsidP="00E02520">
      <w:pPr>
        <w:pStyle w:val="Normal-pool"/>
        <w:rPr>
          <w:lang w:val="en-GB"/>
        </w:rPr>
        <w:sectPr w:rsidR="00E02520" w:rsidRPr="00BD7721" w:rsidSect="00D70826">
          <w:headerReference w:type="even" r:id="rId25"/>
          <w:headerReference w:type="default" r:id="rId26"/>
          <w:headerReference w:type="first" r:id="rId27"/>
          <w:footerReference w:type="first" r:id="rId28"/>
          <w:footnotePr>
            <w:numRestart w:val="eachSect"/>
          </w:footnotePr>
          <w:pgSz w:w="11907" w:h="16839" w:code="9"/>
          <w:pgMar w:top="907" w:right="992" w:bottom="1418" w:left="1418" w:header="539" w:footer="975" w:gutter="0"/>
          <w:cols w:space="539"/>
          <w:docGrid w:linePitch="360"/>
        </w:sectPr>
      </w:pPr>
    </w:p>
    <w:p w14:paraId="7F354893" w14:textId="437B8800" w:rsidR="00992A45" w:rsidRPr="00BD7721" w:rsidRDefault="0010281C" w:rsidP="00E02520">
      <w:pPr>
        <w:pStyle w:val="CH1"/>
        <w:rPr>
          <w:lang w:val="en-GB"/>
        </w:rPr>
      </w:pPr>
      <w:r w:rsidRPr="00BD7721">
        <w:rPr>
          <w:lang w:val="en-GB"/>
        </w:rPr>
        <w:tab/>
      </w:r>
      <w:r w:rsidRPr="00BD7721">
        <w:rPr>
          <w:lang w:val="en-GB"/>
        </w:rPr>
        <w:tab/>
      </w:r>
      <w:r w:rsidR="00992A45" w:rsidRPr="00BD7721">
        <w:rPr>
          <w:lang w:val="en-GB"/>
        </w:rPr>
        <w:t>Annex XII to decision IPBES-10/1</w:t>
      </w:r>
    </w:p>
    <w:p w14:paraId="3A2E35FA" w14:textId="39FED736" w:rsidR="00992A45" w:rsidRPr="00BD7721" w:rsidRDefault="00E02520" w:rsidP="00E02520">
      <w:pPr>
        <w:pStyle w:val="CH1"/>
        <w:rPr>
          <w:lang w:val="en-GB"/>
        </w:rPr>
      </w:pPr>
      <w:r w:rsidRPr="00BD7721">
        <w:rPr>
          <w:lang w:val="en-GB"/>
        </w:rPr>
        <w:tab/>
      </w:r>
      <w:r w:rsidRPr="00BD7721">
        <w:rPr>
          <w:lang w:val="en-GB"/>
        </w:rPr>
        <w:tab/>
      </w:r>
      <w:r w:rsidR="00992A45" w:rsidRPr="00BD7721">
        <w:rPr>
          <w:lang w:val="en-GB"/>
        </w:rPr>
        <w:t>Terms of reference for the task force on Indigenous and local knowledge</w:t>
      </w:r>
    </w:p>
    <w:p w14:paraId="19D98B11" w14:textId="77777777" w:rsidR="00992A45" w:rsidRPr="00BD7721" w:rsidRDefault="00992A45" w:rsidP="00992A45">
      <w:pPr>
        <w:pStyle w:val="CH1"/>
        <w:rPr>
          <w:lang w:val="en-GB"/>
        </w:rPr>
      </w:pPr>
      <w:r w:rsidRPr="00BD7721">
        <w:rPr>
          <w:lang w:val="en-GB"/>
        </w:rPr>
        <w:tab/>
        <w:t>I.</w:t>
      </w:r>
      <w:r w:rsidRPr="00BD7721">
        <w:rPr>
          <w:lang w:val="en-GB"/>
        </w:rPr>
        <w:tab/>
        <w:t xml:space="preserve">Responsibilities </w:t>
      </w:r>
    </w:p>
    <w:p w14:paraId="49B8DD72" w14:textId="2318F35A" w:rsidR="00992A45" w:rsidRPr="00BD7721" w:rsidRDefault="00992A45" w:rsidP="00E02520">
      <w:pPr>
        <w:pStyle w:val="NormalNonumber"/>
        <w:numPr>
          <w:ilvl w:val="6"/>
          <w:numId w:val="198"/>
        </w:numPr>
        <w:tabs>
          <w:tab w:val="clear" w:pos="1247"/>
          <w:tab w:val="clear" w:pos="1871"/>
          <w:tab w:val="clear" w:pos="2495"/>
          <w:tab w:val="clear" w:pos="3119"/>
          <w:tab w:val="clear" w:pos="3742"/>
          <w:tab w:val="clear" w:pos="4366"/>
        </w:tabs>
        <w:ind w:left="1247" w:firstLine="0"/>
        <w:rPr>
          <w:lang w:val="en-GB"/>
        </w:rPr>
      </w:pPr>
      <w:r w:rsidRPr="00BD7721">
        <w:rPr>
          <w:lang w:val="en-GB"/>
        </w:rPr>
        <w:t xml:space="preserve">The task force on Indigenous and local knowledge will oversee and take part in the implementation of objective 3 (b) of the </w:t>
      </w:r>
      <w:r w:rsidR="00EA2A97" w:rsidRPr="00BD7721">
        <w:rPr>
          <w:lang w:val="en-GB"/>
        </w:rPr>
        <w:t xml:space="preserve">rolling </w:t>
      </w:r>
      <w:r w:rsidRPr="00BD7721">
        <w:rPr>
          <w:lang w:val="en-GB"/>
        </w:rPr>
        <w:t>work programme of the Intergovernmental Science</w:t>
      </w:r>
      <w:r w:rsidRPr="00BD7721">
        <w:rPr>
          <w:lang w:val="en-GB"/>
        </w:rPr>
        <w:noBreakHyphen/>
        <w:t>Policy Platform on Biodiversity and Ecosystem Services (IPBES)</w:t>
      </w:r>
      <w:r w:rsidR="00CC2860" w:rsidRPr="00BD7721">
        <w:rPr>
          <w:lang w:val="en-GB"/>
        </w:rPr>
        <w:t xml:space="preserve"> up to 2030</w:t>
      </w:r>
      <w:r w:rsidRPr="00BD7721">
        <w:rPr>
          <w:lang w:val="en-GB"/>
        </w:rPr>
        <w:t>,</w:t>
      </w:r>
      <w:r w:rsidRPr="00BD7721">
        <w:rPr>
          <w:rStyle w:val="FootnoteReference"/>
          <w:lang w:val="en-GB"/>
        </w:rPr>
        <w:footnoteReference w:id="45"/>
      </w:r>
      <w:r w:rsidRPr="00BD7721">
        <w:rPr>
          <w:lang w:val="en-GB"/>
        </w:rPr>
        <w:t xml:space="preserve"> “enhanced recognition of and work with Indigenous and local knowledge systems”, and act in accordance with relevant decisions by the Plenary of IPBES and its subsidiary bodies, including by building on lessons learned in the </w:t>
      </w:r>
      <w:r w:rsidRPr="00BD7721">
        <w:rPr>
          <w:color w:val="000000"/>
          <w:lang w:val="en-GB"/>
        </w:rPr>
        <w:t>implementation</w:t>
      </w:r>
      <w:r w:rsidRPr="00BD7721">
        <w:rPr>
          <w:lang w:val="en-GB"/>
        </w:rPr>
        <w:t xml:space="preserve"> of that objective during the period 2019</w:t>
      </w:r>
      <w:r w:rsidRPr="00BD7721">
        <w:rPr>
          <w:rFonts w:eastAsia="Noto Sans Symbols"/>
          <w:lang w:val="en-GB"/>
        </w:rPr>
        <w:t>−</w:t>
      </w:r>
      <w:r w:rsidRPr="00BD7721">
        <w:rPr>
          <w:lang w:val="en-GB"/>
        </w:rPr>
        <w:t>2023 and of deliverable 1 (c), “procedures, approaches and participatory processes for working with Indigenous and local knowledge systems”, of the first work programme of IPBES.</w:t>
      </w:r>
      <w:r w:rsidRPr="00BD7721">
        <w:rPr>
          <w:rStyle w:val="FootnoteReference"/>
          <w:lang w:val="en-GB"/>
        </w:rPr>
        <w:footnoteReference w:id="46"/>
      </w:r>
      <w:r w:rsidRPr="00BD7721">
        <w:rPr>
          <w:color w:val="000000"/>
          <w:lang w:val="en-GB"/>
        </w:rPr>
        <w:t xml:space="preserve"> </w:t>
      </w:r>
    </w:p>
    <w:p w14:paraId="54144930" w14:textId="55C32767" w:rsidR="00992A45" w:rsidRPr="00BD7721" w:rsidRDefault="00992A45" w:rsidP="00E02520">
      <w:pPr>
        <w:pStyle w:val="NormalNonumber"/>
        <w:numPr>
          <w:ilvl w:val="6"/>
          <w:numId w:val="198"/>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 xml:space="preserve">The task </w:t>
      </w:r>
      <w:r w:rsidRPr="00BD7721">
        <w:rPr>
          <w:lang w:val="en-GB"/>
        </w:rPr>
        <w:t>force</w:t>
      </w:r>
      <w:r w:rsidRPr="00BD7721">
        <w:rPr>
          <w:color w:val="000000"/>
          <w:lang w:val="en-GB"/>
        </w:rPr>
        <w:t xml:space="preserve"> will:</w:t>
      </w:r>
    </w:p>
    <w:p w14:paraId="29488A0F" w14:textId="77777777" w:rsidR="00992A45" w:rsidRPr="00BD7721" w:rsidRDefault="00992A45" w:rsidP="00FB7BB1">
      <w:pPr>
        <w:pStyle w:val="NormalNonumber"/>
        <w:tabs>
          <w:tab w:val="clear" w:pos="1247"/>
          <w:tab w:val="clear" w:pos="1871"/>
          <w:tab w:val="clear" w:pos="2495"/>
          <w:tab w:val="clear" w:pos="3119"/>
          <w:tab w:val="clear" w:pos="3742"/>
          <w:tab w:val="clear" w:pos="4366"/>
        </w:tabs>
        <w:ind w:firstLine="624"/>
        <w:rPr>
          <w:lang w:val="en-GB"/>
        </w:rPr>
      </w:pPr>
      <w:r w:rsidRPr="00BD7721">
        <w:rPr>
          <w:color w:val="000000"/>
          <w:lang w:val="en-GB"/>
        </w:rPr>
        <w:t>(a)</w:t>
      </w:r>
      <w:r w:rsidRPr="00BD7721">
        <w:rPr>
          <w:color w:val="000000"/>
          <w:lang w:val="en-GB"/>
        </w:rPr>
        <w:tab/>
      </w:r>
      <w:r w:rsidRPr="00BD7721">
        <w:rPr>
          <w:lang w:val="en-GB"/>
        </w:rPr>
        <w:t>Support the Multidisciplinary Expert Panel in implementing the approach to recognizing and working with Indigenous and local knowledge in IPBES;</w:t>
      </w:r>
      <w:r w:rsidRPr="00BD7721">
        <w:rPr>
          <w:vertAlign w:val="superscript"/>
          <w:lang w:val="en-GB"/>
        </w:rPr>
        <w:footnoteReference w:id="47"/>
      </w:r>
      <w:r w:rsidRPr="00BD7721">
        <w:rPr>
          <w:lang w:val="en-GB"/>
        </w:rPr>
        <w:t xml:space="preserve"> </w:t>
      </w:r>
    </w:p>
    <w:p w14:paraId="5EE53033" w14:textId="77777777" w:rsidR="00992A45" w:rsidRPr="00BD7721" w:rsidRDefault="00992A45" w:rsidP="00FB7BB1">
      <w:pPr>
        <w:pStyle w:val="NormalNonumber"/>
        <w:tabs>
          <w:tab w:val="clear" w:pos="1247"/>
          <w:tab w:val="clear" w:pos="1871"/>
          <w:tab w:val="clear" w:pos="2495"/>
          <w:tab w:val="clear" w:pos="3119"/>
          <w:tab w:val="clear" w:pos="3742"/>
          <w:tab w:val="clear" w:pos="4366"/>
        </w:tabs>
        <w:ind w:firstLine="624"/>
        <w:rPr>
          <w:color w:val="000000"/>
          <w:lang w:val="en-GB"/>
        </w:rPr>
      </w:pPr>
      <w:r w:rsidRPr="00BD7721">
        <w:rPr>
          <w:lang w:val="en-GB"/>
        </w:rPr>
        <w:t>(b)</w:t>
      </w:r>
      <w:r w:rsidRPr="00BD7721">
        <w:rPr>
          <w:lang w:val="en-GB"/>
        </w:rPr>
        <w:tab/>
        <w:t>Guide</w:t>
      </w:r>
      <w:r w:rsidRPr="00BD7721">
        <w:rPr>
          <w:color w:val="000000"/>
          <w:lang w:val="en-GB"/>
        </w:rPr>
        <w:t xml:space="preserve"> the secretariat, including the dedicated technical support unit, in supporting the Panel in implementing the approach.</w:t>
      </w:r>
    </w:p>
    <w:p w14:paraId="1976EAB3" w14:textId="5936B25F" w:rsidR="00992A45" w:rsidRPr="00BD7721" w:rsidRDefault="00992A45" w:rsidP="00FB7BB1">
      <w:pPr>
        <w:pStyle w:val="NormalNonumber"/>
        <w:numPr>
          <w:ilvl w:val="6"/>
          <w:numId w:val="198"/>
        </w:numPr>
        <w:tabs>
          <w:tab w:val="clear" w:pos="1247"/>
          <w:tab w:val="clear" w:pos="1871"/>
          <w:tab w:val="clear" w:pos="2495"/>
          <w:tab w:val="clear" w:pos="3119"/>
          <w:tab w:val="clear" w:pos="3742"/>
          <w:tab w:val="clear" w:pos="4366"/>
        </w:tabs>
        <w:ind w:left="1247" w:firstLine="0"/>
        <w:rPr>
          <w:color w:val="000000"/>
          <w:lang w:val="en-GB"/>
        </w:rPr>
      </w:pPr>
      <w:r w:rsidRPr="00BD7721">
        <w:rPr>
          <w:color w:val="000000"/>
          <w:lang w:val="en-GB"/>
        </w:rPr>
        <w:t xml:space="preserve">The Multidisciplinary Expert Panel and the Bureau will ensure coordination of activities and synergies across all IPBES task forces and expert groups. </w:t>
      </w:r>
    </w:p>
    <w:p w14:paraId="02168429" w14:textId="77777777" w:rsidR="00992A45" w:rsidRPr="00BD7721" w:rsidRDefault="00992A45" w:rsidP="00992A45">
      <w:pPr>
        <w:pStyle w:val="CH1"/>
        <w:rPr>
          <w:lang w:val="en-GB"/>
        </w:rPr>
      </w:pPr>
      <w:r w:rsidRPr="00BD7721">
        <w:rPr>
          <w:lang w:val="en-GB"/>
        </w:rPr>
        <w:tab/>
        <w:t>II.</w:t>
      </w:r>
      <w:r w:rsidRPr="00BD7721">
        <w:rPr>
          <w:lang w:val="en-GB"/>
        </w:rPr>
        <w:tab/>
        <w:t xml:space="preserve">Membership </w:t>
      </w:r>
    </w:p>
    <w:p w14:paraId="34D8D609" w14:textId="40443CBB" w:rsidR="00992A45" w:rsidRPr="00BD7721" w:rsidRDefault="00992A45" w:rsidP="00FB7BB1">
      <w:pPr>
        <w:pStyle w:val="NormalNonumber"/>
        <w:numPr>
          <w:ilvl w:val="6"/>
          <w:numId w:val="198"/>
        </w:numPr>
        <w:tabs>
          <w:tab w:val="clear" w:pos="1247"/>
          <w:tab w:val="clear" w:pos="1871"/>
          <w:tab w:val="clear" w:pos="2495"/>
          <w:tab w:val="clear" w:pos="3119"/>
          <w:tab w:val="clear" w:pos="3742"/>
          <w:tab w:val="clear" w:pos="4366"/>
        </w:tabs>
        <w:ind w:left="1247" w:firstLine="0"/>
        <w:rPr>
          <w:lang w:val="en-GB"/>
        </w:rPr>
      </w:pPr>
      <w:r w:rsidRPr="00BD7721">
        <w:rPr>
          <w:color w:val="000000"/>
          <w:lang w:val="en-GB"/>
        </w:rPr>
        <w:t xml:space="preserve">The </w:t>
      </w:r>
      <w:r w:rsidRPr="00BD7721">
        <w:rPr>
          <w:lang w:val="en-GB"/>
        </w:rPr>
        <w:t>task</w:t>
      </w:r>
      <w:r w:rsidRPr="00BD7721">
        <w:rPr>
          <w:color w:val="000000"/>
          <w:lang w:val="en-GB"/>
        </w:rPr>
        <w:t xml:space="preserve"> force will be comprised of up to 18 members covering the five United Nations regions, including up to </w:t>
      </w:r>
      <w:r w:rsidR="00DD0E17" w:rsidRPr="00BD7721">
        <w:rPr>
          <w:color w:val="000000"/>
          <w:lang w:val="en-GB"/>
        </w:rPr>
        <w:t>3</w:t>
      </w:r>
      <w:r w:rsidRPr="00BD7721">
        <w:rPr>
          <w:color w:val="000000"/>
          <w:lang w:val="en-GB"/>
        </w:rPr>
        <w:t xml:space="preserve"> members from the Bureau and the Multidisciplinary Expert Panel and the remaining members from one or more of the following categories: (a)</w:t>
      </w:r>
      <w:r w:rsidR="00A0596F" w:rsidRPr="00BD7721">
        <w:rPr>
          <w:color w:val="000000"/>
          <w:lang w:val="en-GB"/>
        </w:rPr>
        <w:t xml:space="preserve"> </w:t>
      </w:r>
      <w:r w:rsidRPr="00BD7721">
        <w:rPr>
          <w:color w:val="000000"/>
          <w:lang w:val="en-GB"/>
        </w:rPr>
        <w:t xml:space="preserve">members of expert groups of ongoing </w:t>
      </w:r>
      <w:r w:rsidRPr="00BD7721">
        <w:rPr>
          <w:lang w:val="en-GB"/>
        </w:rPr>
        <w:t>IPBES assessments and other relevant task forces; (b)</w:t>
      </w:r>
      <w:r w:rsidR="00A0596F" w:rsidRPr="00BD7721">
        <w:rPr>
          <w:lang w:val="en-GB"/>
        </w:rPr>
        <w:t xml:space="preserve"> </w:t>
      </w:r>
      <w:r w:rsidRPr="00BD7721">
        <w:rPr>
          <w:lang w:val="en-GB"/>
        </w:rPr>
        <w:t xml:space="preserve">representatives of Indigenous Peoples and local </w:t>
      </w:r>
      <w:r w:rsidRPr="00BD7721">
        <w:rPr>
          <w:color w:val="000000"/>
          <w:lang w:val="en-GB"/>
        </w:rPr>
        <w:t>communities</w:t>
      </w:r>
      <w:r w:rsidRPr="00BD7721">
        <w:rPr>
          <w:lang w:val="en-GB"/>
        </w:rPr>
        <w:t>; (c) representatives of qualified national, regional and international scientific organizations, centres of excellence and institutions, including experts on Indigenous and local knowledge,</w:t>
      </w:r>
      <w:r w:rsidRPr="00BD7721">
        <w:rPr>
          <w:color w:val="000000"/>
          <w:vertAlign w:val="superscript"/>
          <w:lang w:val="en-GB"/>
        </w:rPr>
        <w:footnoteReference w:id="48"/>
      </w:r>
      <w:r w:rsidRPr="00BD7721">
        <w:rPr>
          <w:lang w:val="en-GB"/>
        </w:rPr>
        <w:t xml:space="preserve"> known for their work and expertise on issues related to the mandate of the task force; and (d) recognized individual experts on matters related to the mandate of the task force.</w:t>
      </w:r>
    </w:p>
    <w:p w14:paraId="7D97F980" w14:textId="18BAF697" w:rsidR="00992A45" w:rsidRPr="00BD7721" w:rsidRDefault="00992A45" w:rsidP="00FB7BB1">
      <w:pPr>
        <w:pStyle w:val="NormalNonumber"/>
        <w:numPr>
          <w:ilvl w:val="6"/>
          <w:numId w:val="198"/>
        </w:numPr>
        <w:tabs>
          <w:tab w:val="clear" w:pos="1247"/>
          <w:tab w:val="clear" w:pos="1871"/>
          <w:tab w:val="clear" w:pos="2495"/>
          <w:tab w:val="clear" w:pos="3119"/>
          <w:tab w:val="clear" w:pos="3742"/>
          <w:tab w:val="clear" w:pos="4366"/>
        </w:tabs>
        <w:ind w:left="1247" w:firstLine="0"/>
        <w:rPr>
          <w:lang w:val="en-GB"/>
        </w:rPr>
      </w:pPr>
      <w:r w:rsidRPr="00BD7721">
        <w:rPr>
          <w:lang w:val="en-GB"/>
        </w:rPr>
        <w:t>Members</w:t>
      </w:r>
      <w:r w:rsidRPr="00BD7721">
        <w:rPr>
          <w:color w:val="000000"/>
          <w:lang w:val="en-GB"/>
        </w:rPr>
        <w:t xml:space="preserve"> other than those from the Bureau and the Multidisciplinary Expert Panel will be selected in accordance with the selection process set out in the procedures for the preparation of IPBES deliverables.</w:t>
      </w:r>
      <w:r w:rsidRPr="00BD7721">
        <w:rPr>
          <w:color w:val="000000"/>
          <w:vertAlign w:val="superscript"/>
          <w:lang w:val="en-GB"/>
        </w:rPr>
        <w:footnoteReference w:id="49"/>
      </w:r>
      <w:r w:rsidRPr="00BD7721">
        <w:rPr>
          <w:color w:val="000000"/>
          <w:lang w:val="en-GB"/>
        </w:rPr>
        <w:t xml:space="preserve"> Their terms of office will end at the close of the third session of the Plenary following the selection of the task force</w:t>
      </w:r>
      <w:r w:rsidRPr="00BD7721">
        <w:rPr>
          <w:lang w:val="en-GB"/>
        </w:rPr>
        <w:t>, with the possibility of re-election. The selection of members should reflect the need for continuity in the work of the task force.</w:t>
      </w:r>
    </w:p>
    <w:p w14:paraId="4A4B995D" w14:textId="5F956284" w:rsidR="00992A45" w:rsidRPr="00BD7721" w:rsidRDefault="00992A45" w:rsidP="00FB7BB1">
      <w:pPr>
        <w:pStyle w:val="NormalNonumber"/>
        <w:numPr>
          <w:ilvl w:val="6"/>
          <w:numId w:val="198"/>
        </w:numPr>
        <w:tabs>
          <w:tab w:val="clear" w:pos="1247"/>
          <w:tab w:val="clear" w:pos="1871"/>
          <w:tab w:val="clear" w:pos="2495"/>
          <w:tab w:val="clear" w:pos="3119"/>
          <w:tab w:val="clear" w:pos="3742"/>
          <w:tab w:val="clear" w:pos="4366"/>
        </w:tabs>
        <w:ind w:left="1247" w:firstLine="0"/>
        <w:rPr>
          <w:color w:val="000000"/>
          <w:lang w:val="en-GB"/>
        </w:rPr>
      </w:pPr>
      <w:r w:rsidRPr="00BD7721">
        <w:rPr>
          <w:lang w:val="en-GB"/>
        </w:rPr>
        <w:t>At the discretion</w:t>
      </w:r>
      <w:r w:rsidRPr="00BD7721">
        <w:rPr>
          <w:color w:val="000000"/>
          <w:lang w:val="en-GB"/>
        </w:rPr>
        <w:t xml:space="preserve"> of the co-chairs of the task force and following consultation with the Bureau, a limited number of additional experts on Indigenous and local knowledge systems and representatives of Indigenous and local organizations may be invited to participate in the task force as resource persons. </w:t>
      </w:r>
    </w:p>
    <w:p w14:paraId="514753FC" w14:textId="77777777" w:rsidR="00992A45" w:rsidRPr="00BD7721" w:rsidRDefault="00992A45" w:rsidP="00992A45">
      <w:pPr>
        <w:pStyle w:val="CH1"/>
        <w:rPr>
          <w:lang w:val="en-GB"/>
        </w:rPr>
      </w:pPr>
      <w:r w:rsidRPr="00BD7721">
        <w:rPr>
          <w:lang w:val="en-GB"/>
        </w:rPr>
        <w:tab/>
        <w:t>III.</w:t>
      </w:r>
      <w:r w:rsidRPr="00BD7721">
        <w:rPr>
          <w:lang w:val="en-GB"/>
        </w:rPr>
        <w:tab/>
        <w:t xml:space="preserve">Modus operandi </w:t>
      </w:r>
    </w:p>
    <w:p w14:paraId="386DC429" w14:textId="0FA2815E" w:rsidR="00992A45" w:rsidRPr="00BD7721" w:rsidRDefault="00992A45" w:rsidP="00FB7BB1">
      <w:pPr>
        <w:pStyle w:val="NormalNonumber"/>
        <w:numPr>
          <w:ilvl w:val="6"/>
          <w:numId w:val="198"/>
        </w:numPr>
        <w:tabs>
          <w:tab w:val="clear" w:pos="1247"/>
          <w:tab w:val="clear" w:pos="1871"/>
          <w:tab w:val="clear" w:pos="2495"/>
          <w:tab w:val="clear" w:pos="3119"/>
          <w:tab w:val="clear" w:pos="3742"/>
          <w:tab w:val="clear" w:pos="4366"/>
        </w:tabs>
        <w:ind w:left="1247" w:firstLine="0"/>
        <w:rPr>
          <w:lang w:val="en-GB"/>
        </w:rPr>
      </w:pPr>
      <w:r w:rsidRPr="00BD7721">
        <w:rPr>
          <w:color w:val="000000"/>
          <w:lang w:val="en-GB"/>
        </w:rPr>
        <w:t xml:space="preserve">The task force will be co-chaired by a member of the Multidisciplinary Expert Panel or the Bureau and a member of the task force. The task force will work through face-to-face meetings, online meetings </w:t>
      </w:r>
      <w:r w:rsidRPr="00BD7721">
        <w:rPr>
          <w:lang w:val="en-GB"/>
        </w:rPr>
        <w:t>and</w:t>
      </w:r>
      <w:r w:rsidRPr="00BD7721">
        <w:rPr>
          <w:color w:val="000000"/>
          <w:lang w:val="en-GB"/>
        </w:rPr>
        <w:t xml:space="preserve"> other electronic interactions. Products of the task force will be reviewed by the Panel and the </w:t>
      </w:r>
      <w:r w:rsidRPr="00BD7721">
        <w:rPr>
          <w:lang w:val="en-GB"/>
        </w:rPr>
        <w:t>Bureau and forwarded to the Plenary for its information and consideration, as appropriate. The task force will foster collaboration with strategic partners and collaborative supporters under the guidance of the Bureau.</w:t>
      </w:r>
    </w:p>
    <w:p w14:paraId="660B3C06" w14:textId="79B1BBE5" w:rsidR="00992A45" w:rsidRPr="00BD7721" w:rsidRDefault="00992A45" w:rsidP="00FB7BB1">
      <w:pPr>
        <w:pStyle w:val="NormalNonumber"/>
        <w:numPr>
          <w:ilvl w:val="6"/>
          <w:numId w:val="198"/>
        </w:numPr>
        <w:tabs>
          <w:tab w:val="clear" w:pos="1247"/>
          <w:tab w:val="clear" w:pos="1871"/>
          <w:tab w:val="clear" w:pos="2495"/>
          <w:tab w:val="clear" w:pos="3119"/>
          <w:tab w:val="clear" w:pos="3742"/>
          <w:tab w:val="clear" w:pos="4366"/>
        </w:tabs>
        <w:ind w:left="1247" w:firstLine="0"/>
        <w:rPr>
          <w:color w:val="000000"/>
          <w:lang w:val="en-GB"/>
        </w:rPr>
      </w:pPr>
      <w:r w:rsidRPr="00BD7721">
        <w:rPr>
          <w:lang w:val="en-GB"/>
        </w:rPr>
        <w:t>The task force</w:t>
      </w:r>
      <w:r w:rsidRPr="00BD7721">
        <w:rPr>
          <w:color w:val="000000"/>
          <w:lang w:val="en-GB"/>
        </w:rPr>
        <w:t xml:space="preserve"> will be supported by the secretariat, including a dedicated technical support unit.</w:t>
      </w:r>
    </w:p>
    <w:p w14:paraId="515EFC60" w14:textId="77777777" w:rsidR="00FB7BB1" w:rsidRPr="00BD7721" w:rsidRDefault="00FB7BB1" w:rsidP="00FB7BB1">
      <w:pPr>
        <w:pStyle w:val="Normal-pool"/>
        <w:rPr>
          <w:lang w:val="en-GB"/>
        </w:rPr>
      </w:pPr>
    </w:p>
    <w:p w14:paraId="6860E8E5" w14:textId="77777777" w:rsidR="0010281C" w:rsidRPr="00BD7721" w:rsidRDefault="0010281C" w:rsidP="00992A45">
      <w:pPr>
        <w:pStyle w:val="Normal-pool"/>
        <w:rPr>
          <w:lang w:val="en-GB"/>
        </w:rPr>
        <w:sectPr w:rsidR="0010281C" w:rsidRPr="00BD7721" w:rsidSect="00D70826">
          <w:footnotePr>
            <w:numRestart w:val="eachSect"/>
          </w:footnotePr>
          <w:pgSz w:w="11907" w:h="16839" w:code="9"/>
          <w:pgMar w:top="907" w:right="992" w:bottom="1418" w:left="1418" w:header="539" w:footer="975" w:gutter="0"/>
          <w:cols w:space="539"/>
          <w:docGrid w:linePitch="360"/>
        </w:sectPr>
      </w:pPr>
    </w:p>
    <w:p w14:paraId="23D965D5" w14:textId="17269F80" w:rsidR="00992A45" w:rsidRPr="00BD7721" w:rsidRDefault="0010281C" w:rsidP="00FB7BB1">
      <w:pPr>
        <w:pStyle w:val="CH1"/>
        <w:rPr>
          <w:lang w:val="en-GB"/>
        </w:rPr>
      </w:pPr>
      <w:r w:rsidRPr="00BD7721">
        <w:rPr>
          <w:lang w:val="en-GB"/>
        </w:rPr>
        <w:tab/>
      </w:r>
      <w:r w:rsidRPr="00BD7721">
        <w:rPr>
          <w:lang w:val="en-GB"/>
        </w:rPr>
        <w:tab/>
      </w:r>
      <w:r w:rsidR="00992A45" w:rsidRPr="00BD7721">
        <w:rPr>
          <w:lang w:val="en-GB"/>
        </w:rPr>
        <w:t>Annex XIII to decision IPBES-10/1</w:t>
      </w:r>
    </w:p>
    <w:p w14:paraId="66247072" w14:textId="241AF8E7" w:rsidR="00992A45" w:rsidRPr="00BD7721" w:rsidRDefault="00FB7BB1" w:rsidP="00FB7BB1">
      <w:pPr>
        <w:pStyle w:val="CH1"/>
        <w:rPr>
          <w:lang w:val="en-GB"/>
        </w:rPr>
      </w:pPr>
      <w:r w:rsidRPr="00BD7721">
        <w:rPr>
          <w:lang w:val="en-GB"/>
        </w:rPr>
        <w:tab/>
      </w:r>
      <w:r w:rsidRPr="00BD7721">
        <w:rPr>
          <w:lang w:val="en-GB"/>
        </w:rPr>
        <w:tab/>
      </w:r>
      <w:r w:rsidR="00992A45" w:rsidRPr="00BD7721">
        <w:rPr>
          <w:lang w:val="en-GB"/>
        </w:rPr>
        <w:t>Terms of reference for the task force on scenarios and models of biodiversity and ecosystem services</w:t>
      </w:r>
    </w:p>
    <w:p w14:paraId="1EFABDFA" w14:textId="77777777" w:rsidR="00992A45" w:rsidRPr="00BD7721" w:rsidRDefault="00992A45" w:rsidP="00992A45">
      <w:pPr>
        <w:pStyle w:val="CH1"/>
        <w:rPr>
          <w:lang w:val="en-GB"/>
        </w:rPr>
      </w:pPr>
      <w:r w:rsidRPr="00BD7721">
        <w:rPr>
          <w:lang w:val="en-GB"/>
        </w:rPr>
        <w:tab/>
        <w:t>I.</w:t>
      </w:r>
      <w:r w:rsidRPr="00BD7721">
        <w:rPr>
          <w:lang w:val="en-GB"/>
        </w:rPr>
        <w:tab/>
        <w:t>Responsibilities</w:t>
      </w:r>
    </w:p>
    <w:p w14:paraId="1456DD44" w14:textId="1FF0AAEC" w:rsidR="00992A45" w:rsidRPr="00BD7721" w:rsidRDefault="00992A45" w:rsidP="00D32B16">
      <w:pPr>
        <w:pStyle w:val="NormalNonumber"/>
        <w:numPr>
          <w:ilvl w:val="6"/>
          <w:numId w:val="68"/>
        </w:numPr>
        <w:tabs>
          <w:tab w:val="clear" w:pos="1247"/>
          <w:tab w:val="clear" w:pos="1871"/>
          <w:tab w:val="clear" w:pos="2495"/>
          <w:tab w:val="clear" w:pos="3119"/>
          <w:tab w:val="clear" w:pos="3742"/>
          <w:tab w:val="clear" w:pos="4366"/>
          <w:tab w:val="clear" w:pos="8556"/>
        </w:tabs>
        <w:ind w:left="1247" w:firstLine="0"/>
        <w:rPr>
          <w:lang w:val="en-GB"/>
        </w:rPr>
      </w:pPr>
      <w:r w:rsidRPr="00BD7721">
        <w:rPr>
          <w:lang w:val="en-GB"/>
        </w:rPr>
        <w:t xml:space="preserve">The task force on scenarios and models of biodiversity and ecosystem services will oversee and take part in the implementation of objective 4 (b) of the </w:t>
      </w:r>
      <w:r w:rsidR="00EA2A97" w:rsidRPr="00BD7721">
        <w:rPr>
          <w:lang w:val="en-GB"/>
        </w:rPr>
        <w:t xml:space="preserve">rolling </w:t>
      </w:r>
      <w:r w:rsidRPr="00BD7721">
        <w:rPr>
          <w:lang w:val="en-GB"/>
        </w:rPr>
        <w:t>work programme of the Intergovernmental Science-Policy Platform on Biodiversity and Ecosystem Services (IPBES)</w:t>
      </w:r>
      <w:r w:rsidR="00EA2A97" w:rsidRPr="00BD7721">
        <w:rPr>
          <w:lang w:val="en-GB"/>
        </w:rPr>
        <w:t xml:space="preserve"> up to 2030</w:t>
      </w:r>
      <w:r w:rsidRPr="00BD7721">
        <w:rPr>
          <w:lang w:val="en-GB"/>
        </w:rPr>
        <w:t>,</w:t>
      </w:r>
      <w:r w:rsidRPr="00BD7721">
        <w:rPr>
          <w:rStyle w:val="FootnoteReference"/>
          <w:lang w:val="en-GB"/>
        </w:rPr>
        <w:footnoteReference w:id="50"/>
      </w:r>
      <w:r w:rsidRPr="00BD7721">
        <w:rPr>
          <w:lang w:val="en-GB"/>
        </w:rPr>
        <w:t xml:space="preserve"> “advanced work on scenarios and models of biodiversity and ecosystem functions and services”, and act in accordance with relevant decisions by the Plenary of IPBES and its subsidiary bodies, including by building on lessons learned in the implementation of that objective during the period 2019</w:t>
      </w:r>
      <w:r w:rsidRPr="00BD7721">
        <w:rPr>
          <w:rFonts w:eastAsia="Noto Sans Symbols"/>
          <w:lang w:val="en-GB"/>
        </w:rPr>
        <w:t>−</w:t>
      </w:r>
      <w:r w:rsidRPr="00BD7721">
        <w:rPr>
          <w:lang w:val="en-GB"/>
        </w:rPr>
        <w:t>2023 and of deliverable 3 (c), “policy support tools and methodologies for scenario analysis and modelling of biodiversity and ecosystem services based on a fast-track assessment and a guide”, of the first work programme of IPBES.</w:t>
      </w:r>
      <w:r w:rsidRPr="00BD7721">
        <w:rPr>
          <w:rStyle w:val="FootnoteReference"/>
          <w:lang w:val="en-GB"/>
        </w:rPr>
        <w:footnoteReference w:id="51"/>
      </w:r>
      <w:r w:rsidRPr="00BD7721">
        <w:rPr>
          <w:lang w:val="en-GB"/>
        </w:rPr>
        <w:t xml:space="preserve"> </w:t>
      </w:r>
    </w:p>
    <w:p w14:paraId="63732B14" w14:textId="1D00A794" w:rsidR="00992A45" w:rsidRPr="00BD7721" w:rsidRDefault="00992A45" w:rsidP="005D2598">
      <w:pPr>
        <w:pStyle w:val="NormalNonumber"/>
        <w:numPr>
          <w:ilvl w:val="6"/>
          <w:numId w:val="68"/>
        </w:numPr>
        <w:tabs>
          <w:tab w:val="clear" w:pos="1247"/>
          <w:tab w:val="clear" w:pos="1871"/>
          <w:tab w:val="clear" w:pos="2495"/>
          <w:tab w:val="clear" w:pos="3119"/>
          <w:tab w:val="clear" w:pos="3742"/>
          <w:tab w:val="clear" w:pos="4366"/>
          <w:tab w:val="clear" w:pos="8556"/>
        </w:tabs>
        <w:ind w:left="1247" w:firstLine="0"/>
        <w:rPr>
          <w:color w:val="000000"/>
          <w:lang w:val="en-GB"/>
        </w:rPr>
      </w:pPr>
      <w:r w:rsidRPr="00BD7721">
        <w:rPr>
          <w:color w:val="000000"/>
          <w:lang w:val="en-GB"/>
        </w:rPr>
        <w:t>The task force will:</w:t>
      </w:r>
    </w:p>
    <w:p w14:paraId="54489301" w14:textId="77777777" w:rsidR="00992A45" w:rsidRPr="00BD7721" w:rsidRDefault="00992A45" w:rsidP="00992A45">
      <w:pPr>
        <w:pStyle w:val="NormalNonumber"/>
        <w:ind w:firstLine="624"/>
        <w:rPr>
          <w:color w:val="000000"/>
          <w:lang w:val="en-GB"/>
        </w:rPr>
      </w:pPr>
      <w:r w:rsidRPr="00BD7721">
        <w:rPr>
          <w:color w:val="000000"/>
          <w:lang w:val="en-GB"/>
        </w:rPr>
        <w:t>(a)</w:t>
      </w:r>
      <w:r w:rsidRPr="00BD7721">
        <w:rPr>
          <w:color w:val="000000"/>
          <w:lang w:val="en-GB"/>
        </w:rPr>
        <w:tab/>
        <w:t>Implement the work on scenarios and models based on the terms of reference for the further development of tools and methodologies regarding scenarios and models</w:t>
      </w:r>
      <w:r w:rsidRPr="00BD7721">
        <w:rPr>
          <w:color w:val="000000"/>
          <w:vertAlign w:val="superscript"/>
          <w:lang w:val="en-GB"/>
        </w:rPr>
        <w:footnoteReference w:id="52"/>
      </w:r>
      <w:r w:rsidRPr="00BD7721">
        <w:rPr>
          <w:color w:val="000000"/>
          <w:vertAlign w:val="superscript"/>
          <w:lang w:val="en-GB"/>
        </w:rPr>
        <w:t xml:space="preserve"> </w:t>
      </w:r>
      <w:r w:rsidRPr="00BD7721">
        <w:rPr>
          <w:color w:val="000000"/>
          <w:lang w:val="en-GB"/>
        </w:rPr>
        <w:t xml:space="preserve">to facilitate the provision of advice to all the expert teams, in particular those assessing the use of scenarios, and to catalyse further development of scenarios and models for future IPBES </w:t>
      </w:r>
      <w:proofErr w:type="gramStart"/>
      <w:r w:rsidRPr="00BD7721">
        <w:rPr>
          <w:color w:val="000000"/>
          <w:lang w:val="en-GB"/>
        </w:rPr>
        <w:t>assessments;</w:t>
      </w:r>
      <w:proofErr w:type="gramEnd"/>
      <w:r w:rsidRPr="00BD7721">
        <w:rPr>
          <w:color w:val="000000"/>
          <w:lang w:val="en-GB"/>
        </w:rPr>
        <w:t xml:space="preserve"> </w:t>
      </w:r>
    </w:p>
    <w:p w14:paraId="7F3C670D" w14:textId="77777777" w:rsidR="00992A45" w:rsidRPr="00BD7721" w:rsidRDefault="00992A45" w:rsidP="00992A45">
      <w:pPr>
        <w:pStyle w:val="NormalNonumber"/>
        <w:ind w:firstLine="624"/>
        <w:rPr>
          <w:color w:val="000000"/>
          <w:lang w:val="en-GB"/>
        </w:rPr>
      </w:pPr>
      <w:r w:rsidRPr="00BD7721">
        <w:rPr>
          <w:color w:val="000000"/>
          <w:lang w:val="en-GB"/>
        </w:rPr>
        <w:t>(b)</w:t>
      </w:r>
      <w:r w:rsidRPr="00BD7721">
        <w:rPr>
          <w:color w:val="000000"/>
          <w:lang w:val="en-GB"/>
        </w:rPr>
        <w:tab/>
        <w:t xml:space="preserve">Guide the secretariat, including the dedicated technical support unit, in the provision of support. </w:t>
      </w:r>
    </w:p>
    <w:p w14:paraId="4B4A47D2" w14:textId="5284FA2C" w:rsidR="00992A45" w:rsidRPr="00BD7721" w:rsidRDefault="00992A45" w:rsidP="005D2598">
      <w:pPr>
        <w:pStyle w:val="NormalNonumber"/>
        <w:numPr>
          <w:ilvl w:val="6"/>
          <w:numId w:val="68"/>
        </w:numPr>
        <w:tabs>
          <w:tab w:val="clear" w:pos="1247"/>
          <w:tab w:val="clear" w:pos="1871"/>
          <w:tab w:val="clear" w:pos="2495"/>
          <w:tab w:val="clear" w:pos="3119"/>
          <w:tab w:val="clear" w:pos="3742"/>
          <w:tab w:val="clear" w:pos="4366"/>
          <w:tab w:val="clear" w:pos="8556"/>
        </w:tabs>
        <w:ind w:left="1247" w:firstLine="0"/>
        <w:rPr>
          <w:color w:val="000000"/>
          <w:lang w:val="en-GB"/>
        </w:rPr>
      </w:pPr>
      <w:r w:rsidRPr="00BD7721">
        <w:rPr>
          <w:color w:val="000000"/>
          <w:lang w:val="en-GB"/>
        </w:rPr>
        <w:t xml:space="preserve">The Multidisciplinary Expert Panel and the Bureau will ensure coordination of activities and synergies </w:t>
      </w:r>
      <w:r w:rsidRPr="00BD7721">
        <w:rPr>
          <w:lang w:val="en-GB"/>
        </w:rPr>
        <w:t>across</w:t>
      </w:r>
      <w:r w:rsidRPr="00BD7721">
        <w:rPr>
          <w:color w:val="000000"/>
          <w:lang w:val="en-GB"/>
        </w:rPr>
        <w:t xml:space="preserve"> </w:t>
      </w:r>
      <w:r w:rsidRPr="00BD7721">
        <w:rPr>
          <w:lang w:val="en-GB"/>
        </w:rPr>
        <w:t>all</w:t>
      </w:r>
      <w:r w:rsidRPr="00BD7721">
        <w:rPr>
          <w:color w:val="000000"/>
          <w:lang w:val="en-GB"/>
        </w:rPr>
        <w:t xml:space="preserve"> IPBES task forces and expert groups. </w:t>
      </w:r>
    </w:p>
    <w:p w14:paraId="7BB224EB" w14:textId="77777777" w:rsidR="00992A45" w:rsidRPr="00BD7721" w:rsidRDefault="00992A45" w:rsidP="00992A45">
      <w:pPr>
        <w:pStyle w:val="CH1"/>
        <w:rPr>
          <w:lang w:val="en-GB"/>
        </w:rPr>
      </w:pPr>
      <w:r w:rsidRPr="00BD7721">
        <w:rPr>
          <w:lang w:val="en-GB"/>
        </w:rPr>
        <w:tab/>
        <w:t>II.</w:t>
      </w:r>
      <w:r w:rsidRPr="00BD7721">
        <w:rPr>
          <w:lang w:val="en-GB"/>
        </w:rPr>
        <w:tab/>
        <w:t>Membership</w:t>
      </w:r>
    </w:p>
    <w:p w14:paraId="7C3F3F35" w14:textId="6ED9EAA9" w:rsidR="00992A45" w:rsidRPr="00BD7721" w:rsidRDefault="00992A45" w:rsidP="005D2598">
      <w:pPr>
        <w:pStyle w:val="NormalNonumber"/>
        <w:numPr>
          <w:ilvl w:val="6"/>
          <w:numId w:val="68"/>
        </w:numPr>
        <w:tabs>
          <w:tab w:val="clear" w:pos="1247"/>
          <w:tab w:val="clear" w:pos="1871"/>
          <w:tab w:val="clear" w:pos="2495"/>
          <w:tab w:val="clear" w:pos="3119"/>
          <w:tab w:val="clear" w:pos="3742"/>
          <w:tab w:val="clear" w:pos="4366"/>
          <w:tab w:val="clear" w:pos="8556"/>
        </w:tabs>
        <w:ind w:left="1247" w:firstLine="0"/>
        <w:rPr>
          <w:color w:val="000000"/>
          <w:lang w:val="en-GB"/>
        </w:rPr>
      </w:pPr>
      <w:r w:rsidRPr="00BD7721">
        <w:rPr>
          <w:color w:val="000000"/>
          <w:lang w:val="en-GB"/>
        </w:rPr>
        <w:t xml:space="preserve">The task force will be comprised of up to 18 members covering the five United Nations regions, including up to </w:t>
      </w:r>
      <w:r w:rsidR="00DD0E17" w:rsidRPr="00BD7721">
        <w:rPr>
          <w:color w:val="000000"/>
          <w:lang w:val="en-GB"/>
        </w:rPr>
        <w:t>3</w:t>
      </w:r>
      <w:r w:rsidRPr="00BD7721">
        <w:rPr>
          <w:color w:val="000000"/>
          <w:lang w:val="en-GB"/>
        </w:rPr>
        <w:t xml:space="preserve"> members from the Bureau and the Multidisciplinary Expert Panel, with the remaining members being experts on scenarios and models from the natural sciences, the social </w:t>
      </w:r>
      <w:r w:rsidRPr="00BD7721">
        <w:rPr>
          <w:lang w:val="en-GB"/>
        </w:rPr>
        <w:t>sciences</w:t>
      </w:r>
      <w:r w:rsidRPr="00BD7721">
        <w:rPr>
          <w:color w:val="000000"/>
          <w:lang w:val="en-GB"/>
        </w:rPr>
        <w:t xml:space="preserve"> and humanities, and Indigenous and local knowledge systems,</w:t>
      </w:r>
      <w:r w:rsidRPr="00BD7721">
        <w:rPr>
          <w:color w:val="000000"/>
          <w:vertAlign w:val="superscript"/>
          <w:lang w:val="en-GB"/>
        </w:rPr>
        <w:footnoteReference w:id="53"/>
      </w:r>
      <w:r w:rsidRPr="00BD7721">
        <w:rPr>
          <w:color w:val="000000"/>
          <w:lang w:val="en-GB"/>
        </w:rPr>
        <w:t xml:space="preserve"> as well as on quantitative and qualitative </w:t>
      </w:r>
      <w:r w:rsidRPr="00BD7721">
        <w:rPr>
          <w:lang w:val="en-GB"/>
        </w:rPr>
        <w:t>approaches</w:t>
      </w:r>
      <w:r w:rsidRPr="00BD7721">
        <w:rPr>
          <w:color w:val="000000"/>
          <w:lang w:val="en-GB"/>
        </w:rPr>
        <w:t xml:space="preserve"> to scenarios. The task force will cover a diverse range of expertise to ensure effective engagement with the communities of practice on scenarios and models and other future studies.</w:t>
      </w:r>
    </w:p>
    <w:p w14:paraId="2168CD91" w14:textId="738CC0FA" w:rsidR="00992A45" w:rsidRPr="00BD7721" w:rsidRDefault="00992A45" w:rsidP="005D2598">
      <w:pPr>
        <w:pStyle w:val="NormalNonumber"/>
        <w:numPr>
          <w:ilvl w:val="6"/>
          <w:numId w:val="68"/>
        </w:numPr>
        <w:tabs>
          <w:tab w:val="clear" w:pos="1247"/>
          <w:tab w:val="clear" w:pos="1871"/>
          <w:tab w:val="clear" w:pos="2495"/>
          <w:tab w:val="clear" w:pos="3119"/>
          <w:tab w:val="clear" w:pos="3742"/>
          <w:tab w:val="clear" w:pos="4366"/>
          <w:tab w:val="clear" w:pos="8556"/>
        </w:tabs>
        <w:ind w:left="1247" w:firstLine="0"/>
        <w:rPr>
          <w:lang w:val="en-GB"/>
        </w:rPr>
      </w:pPr>
      <w:r w:rsidRPr="00BD7721">
        <w:rPr>
          <w:color w:val="000000"/>
          <w:lang w:val="en-GB"/>
        </w:rPr>
        <w:t xml:space="preserve">Members other than those from the Bureau and the Multidisciplinary Expert Panel will be selected in accordance with the selection process set out in the procedures for the preparation of IPBES </w:t>
      </w:r>
      <w:r w:rsidRPr="00BD7721">
        <w:rPr>
          <w:lang w:val="en-GB"/>
        </w:rPr>
        <w:t>deliverables.</w:t>
      </w:r>
      <w:r w:rsidRPr="00BD7721">
        <w:rPr>
          <w:vertAlign w:val="superscript"/>
          <w:lang w:val="en-GB"/>
        </w:rPr>
        <w:footnoteReference w:id="54"/>
      </w:r>
      <w:r w:rsidRPr="00BD7721">
        <w:rPr>
          <w:lang w:val="en-GB"/>
        </w:rPr>
        <w:t xml:space="preserve"> Their terms of office will end at the close of the third session of the Plenary following the selection of the task force, with the possibility of re-election. The selection of members should reflect the need for continuity in the work of the task force.</w:t>
      </w:r>
    </w:p>
    <w:p w14:paraId="4CA2EA26" w14:textId="07FC1847" w:rsidR="00992A45" w:rsidRPr="00BD7721" w:rsidRDefault="00992A45" w:rsidP="005D2598">
      <w:pPr>
        <w:pStyle w:val="NormalNonumber"/>
        <w:numPr>
          <w:ilvl w:val="6"/>
          <w:numId w:val="68"/>
        </w:numPr>
        <w:tabs>
          <w:tab w:val="clear" w:pos="1247"/>
          <w:tab w:val="clear" w:pos="1871"/>
          <w:tab w:val="clear" w:pos="2495"/>
          <w:tab w:val="clear" w:pos="3119"/>
          <w:tab w:val="clear" w:pos="3742"/>
          <w:tab w:val="clear" w:pos="4366"/>
          <w:tab w:val="clear" w:pos="8556"/>
        </w:tabs>
        <w:ind w:left="1247" w:firstLine="0"/>
        <w:rPr>
          <w:color w:val="000000"/>
          <w:lang w:val="en-GB"/>
        </w:rPr>
      </w:pPr>
      <w:r w:rsidRPr="00BD7721">
        <w:rPr>
          <w:lang w:val="en-GB"/>
        </w:rPr>
        <w:t>At the discretion</w:t>
      </w:r>
      <w:r w:rsidRPr="00BD7721">
        <w:rPr>
          <w:color w:val="000000"/>
          <w:lang w:val="en-GB"/>
        </w:rPr>
        <w:t xml:space="preserve"> of the co-chairs of the task force and following consultation with the Bureau, a limited </w:t>
      </w:r>
      <w:r w:rsidRPr="00BD7721">
        <w:rPr>
          <w:lang w:val="en-GB"/>
        </w:rPr>
        <w:t>number</w:t>
      </w:r>
      <w:r w:rsidRPr="00BD7721">
        <w:rPr>
          <w:color w:val="000000"/>
          <w:lang w:val="en-GB"/>
        </w:rPr>
        <w:t xml:space="preserve"> of additional experts on scenarios and models and representatives of Indigenous and local organizations may be invited to participate in the task force as resource persons. </w:t>
      </w:r>
    </w:p>
    <w:p w14:paraId="20FD8FAB" w14:textId="77777777" w:rsidR="00992A45" w:rsidRPr="00BD7721" w:rsidRDefault="00992A45" w:rsidP="00992A45">
      <w:pPr>
        <w:pStyle w:val="CH1"/>
        <w:rPr>
          <w:lang w:val="en-GB"/>
        </w:rPr>
      </w:pPr>
      <w:r w:rsidRPr="00BD7721">
        <w:rPr>
          <w:lang w:val="en-GB"/>
        </w:rPr>
        <w:tab/>
        <w:t>III.</w:t>
      </w:r>
      <w:r w:rsidRPr="00BD7721">
        <w:rPr>
          <w:lang w:val="en-GB"/>
        </w:rPr>
        <w:tab/>
        <w:t>Modus operandi</w:t>
      </w:r>
    </w:p>
    <w:p w14:paraId="3A7D611F" w14:textId="6866A0F0" w:rsidR="00992A45" w:rsidRPr="00BD7721" w:rsidRDefault="00992A45" w:rsidP="005D2598">
      <w:pPr>
        <w:pStyle w:val="NormalNonumber"/>
        <w:numPr>
          <w:ilvl w:val="6"/>
          <w:numId w:val="68"/>
        </w:numPr>
        <w:tabs>
          <w:tab w:val="clear" w:pos="1247"/>
          <w:tab w:val="clear" w:pos="1871"/>
          <w:tab w:val="clear" w:pos="2495"/>
          <w:tab w:val="clear" w:pos="3119"/>
          <w:tab w:val="clear" w:pos="3742"/>
          <w:tab w:val="clear" w:pos="4366"/>
          <w:tab w:val="clear" w:pos="8556"/>
        </w:tabs>
        <w:ind w:left="1247" w:firstLine="0"/>
        <w:rPr>
          <w:lang w:val="en-GB"/>
        </w:rPr>
      </w:pPr>
      <w:r w:rsidRPr="00BD7721">
        <w:rPr>
          <w:color w:val="000000"/>
          <w:lang w:val="en-GB"/>
        </w:rPr>
        <w:t xml:space="preserve">The task force will be co-chaired by members of the Multidisciplinary Expert Panel. The task force will </w:t>
      </w:r>
      <w:r w:rsidRPr="00BD7721">
        <w:rPr>
          <w:lang w:val="en-GB"/>
        </w:rPr>
        <w:t>work</w:t>
      </w:r>
      <w:r w:rsidRPr="00BD7721">
        <w:rPr>
          <w:color w:val="000000"/>
          <w:lang w:val="en-GB"/>
        </w:rPr>
        <w:t xml:space="preserve"> through face-to-face meetings, online meetings and other electronic interactions. Products of the task force will be reviewed by the Panel and the Bureau and forwarded to the Plenary for its information and consideration, as appropriate. The task force will, under the guidance of the Bureau, </w:t>
      </w:r>
      <w:r w:rsidRPr="00BD7721">
        <w:rPr>
          <w:lang w:val="en-GB"/>
        </w:rPr>
        <w:t xml:space="preserve">foster collaboration with strategic partners and engagement with collaborative supporters that are developing and applying relevant scenarios and models. </w:t>
      </w:r>
    </w:p>
    <w:p w14:paraId="7703BF78" w14:textId="1E708810" w:rsidR="00992A45" w:rsidRPr="00BD7721" w:rsidRDefault="00992A45" w:rsidP="005D2598">
      <w:pPr>
        <w:pStyle w:val="NormalNonumber"/>
        <w:numPr>
          <w:ilvl w:val="6"/>
          <w:numId w:val="68"/>
        </w:numPr>
        <w:tabs>
          <w:tab w:val="clear" w:pos="1247"/>
          <w:tab w:val="clear" w:pos="1871"/>
          <w:tab w:val="clear" w:pos="2495"/>
          <w:tab w:val="clear" w:pos="3119"/>
          <w:tab w:val="clear" w:pos="3742"/>
          <w:tab w:val="clear" w:pos="4366"/>
          <w:tab w:val="clear" w:pos="8556"/>
        </w:tabs>
        <w:ind w:left="1247" w:firstLine="0"/>
        <w:rPr>
          <w:color w:val="000000"/>
          <w:lang w:val="en-GB"/>
        </w:rPr>
      </w:pPr>
      <w:r w:rsidRPr="00BD7721">
        <w:rPr>
          <w:lang w:val="en-GB"/>
        </w:rPr>
        <w:t>The task</w:t>
      </w:r>
      <w:r w:rsidRPr="00BD7721">
        <w:rPr>
          <w:color w:val="000000"/>
          <w:lang w:val="en-GB"/>
        </w:rPr>
        <w:t xml:space="preserve"> force will be supported by the secretariat, including a dedicated technical support unit.</w:t>
      </w:r>
    </w:p>
    <w:p w14:paraId="2AB6016D" w14:textId="77777777" w:rsidR="000B4E23" w:rsidRPr="00BD7721" w:rsidRDefault="000B4E23" w:rsidP="000B4E23">
      <w:pPr>
        <w:pStyle w:val="Normal-pool"/>
        <w:rPr>
          <w:lang w:val="en-GB"/>
        </w:rPr>
      </w:pPr>
    </w:p>
    <w:p w14:paraId="0D68FA7C" w14:textId="77777777" w:rsidR="0010281C" w:rsidRPr="00BD7721" w:rsidRDefault="0010281C" w:rsidP="0010281C">
      <w:pPr>
        <w:pStyle w:val="Normal-pool"/>
        <w:rPr>
          <w:lang w:val="en-GB"/>
        </w:rPr>
        <w:sectPr w:rsidR="0010281C" w:rsidRPr="00BD7721" w:rsidSect="00D70826">
          <w:footnotePr>
            <w:numRestart w:val="eachSect"/>
          </w:footnotePr>
          <w:pgSz w:w="11907" w:h="16839" w:code="9"/>
          <w:pgMar w:top="907" w:right="992" w:bottom="1418" w:left="1418" w:header="539" w:footer="975" w:gutter="0"/>
          <w:cols w:space="539"/>
          <w:docGrid w:linePitch="360"/>
        </w:sectPr>
      </w:pPr>
    </w:p>
    <w:p w14:paraId="534F3A79" w14:textId="390C47D0" w:rsidR="00992A45" w:rsidRPr="00BD7721" w:rsidRDefault="000B4E23" w:rsidP="000B4E23">
      <w:pPr>
        <w:pStyle w:val="CH1"/>
        <w:rPr>
          <w:lang w:val="en-GB"/>
        </w:rPr>
      </w:pPr>
      <w:r w:rsidRPr="00BD7721">
        <w:rPr>
          <w:lang w:val="en-GB"/>
        </w:rPr>
        <w:tab/>
      </w:r>
      <w:r w:rsidRPr="00BD7721">
        <w:rPr>
          <w:lang w:val="en-GB"/>
        </w:rPr>
        <w:tab/>
      </w:r>
      <w:r w:rsidR="00992A45" w:rsidRPr="00BD7721">
        <w:rPr>
          <w:lang w:val="en-GB"/>
        </w:rPr>
        <w:t>Decision IPBES-10/2: Organization of the Plenary and dates and venues of future</w:t>
      </w:r>
      <w:r w:rsidR="00992A45" w:rsidRPr="00BD7721">
        <w:rPr>
          <w:sz w:val="20"/>
          <w:szCs w:val="20"/>
          <w:lang w:val="en-GB"/>
        </w:rPr>
        <w:t xml:space="preserve"> </w:t>
      </w:r>
      <w:r w:rsidR="00992A45" w:rsidRPr="00BD7721">
        <w:rPr>
          <w:lang w:val="en-GB"/>
        </w:rPr>
        <w:t xml:space="preserve">sessions of the Plenary </w:t>
      </w:r>
    </w:p>
    <w:p w14:paraId="218313CB" w14:textId="77777777" w:rsidR="00992A45" w:rsidRPr="00BD7721" w:rsidRDefault="00992A45" w:rsidP="000B4E23">
      <w:pPr>
        <w:pStyle w:val="Normal-pool"/>
        <w:tabs>
          <w:tab w:val="clear" w:pos="1247"/>
          <w:tab w:val="clear" w:pos="1871"/>
          <w:tab w:val="clear" w:pos="2495"/>
          <w:tab w:val="clear" w:pos="3119"/>
          <w:tab w:val="clear" w:pos="3742"/>
          <w:tab w:val="clear" w:pos="4366"/>
        </w:tabs>
        <w:spacing w:after="120"/>
        <w:ind w:left="1247" w:firstLine="624"/>
        <w:rPr>
          <w:rFonts w:eastAsia="SimSun"/>
          <w:i/>
          <w:lang w:val="en-GB"/>
        </w:rPr>
      </w:pPr>
      <w:bookmarkStart w:id="28" w:name="_Hlk138321264"/>
      <w:r w:rsidRPr="00BD7721">
        <w:rPr>
          <w:rFonts w:eastAsia="SimSun"/>
          <w:i/>
          <w:lang w:val="en-GB"/>
        </w:rPr>
        <w:t xml:space="preserve">The Plenary </w:t>
      </w:r>
    </w:p>
    <w:p w14:paraId="3C9B1270" w14:textId="53437AFE" w:rsidR="00992A45" w:rsidRPr="00BD7721" w:rsidRDefault="00992A45" w:rsidP="000B4E23">
      <w:pPr>
        <w:pStyle w:val="Normal-pool"/>
        <w:numPr>
          <w:ilvl w:val="0"/>
          <w:numId w:val="50"/>
        </w:numPr>
        <w:tabs>
          <w:tab w:val="clear" w:pos="1247"/>
          <w:tab w:val="clear" w:pos="1871"/>
          <w:tab w:val="clear" w:pos="2495"/>
          <w:tab w:val="clear" w:pos="3119"/>
          <w:tab w:val="clear" w:pos="3742"/>
          <w:tab w:val="clear" w:pos="4366"/>
        </w:tabs>
        <w:spacing w:after="120"/>
        <w:ind w:left="1247" w:firstLine="624"/>
        <w:rPr>
          <w:lang w:val="en-GB" w:eastAsia="zh-CN"/>
        </w:rPr>
      </w:pPr>
      <w:r w:rsidRPr="00BD7721">
        <w:rPr>
          <w:i/>
          <w:iCs/>
          <w:color w:val="000000"/>
          <w:lang w:val="en-GB" w:eastAsia="zh-CN"/>
        </w:rPr>
        <w:t xml:space="preserve">Decides </w:t>
      </w:r>
      <w:r w:rsidRPr="00BD7721">
        <w:rPr>
          <w:color w:val="000000"/>
          <w:lang w:val="en-GB" w:eastAsia="zh-CN"/>
        </w:rPr>
        <w:t>t</w:t>
      </w:r>
      <w:r w:rsidRPr="00BD7721">
        <w:rPr>
          <w:lang w:val="en-GB" w:eastAsia="zh-CN"/>
        </w:rPr>
        <w:t xml:space="preserve">o accept with appreciation the offer by the Government of Namibia to host the eleventh session of the Plenary from 10 to 16 December 2024 in </w:t>
      </w:r>
      <w:r w:rsidR="00AB64C2" w:rsidRPr="00BD7721">
        <w:rPr>
          <w:lang w:val="en-GB" w:eastAsia="zh-CN"/>
        </w:rPr>
        <w:t>Windhoek</w:t>
      </w:r>
      <w:r w:rsidRPr="00BD7721">
        <w:rPr>
          <w:lang w:val="en-GB" w:eastAsia="zh-CN"/>
        </w:rPr>
        <w:t xml:space="preserve">, subject to the successful conclusion of a host country </w:t>
      </w:r>
      <w:proofErr w:type="gramStart"/>
      <w:r w:rsidRPr="00BD7721">
        <w:rPr>
          <w:lang w:val="en-GB" w:eastAsia="zh-CN"/>
        </w:rPr>
        <w:t>agreement;</w:t>
      </w:r>
      <w:proofErr w:type="gramEnd"/>
    </w:p>
    <w:p w14:paraId="241F154D" w14:textId="77777777" w:rsidR="00992A45" w:rsidRPr="00BD7721" w:rsidRDefault="00992A45" w:rsidP="000B4E23">
      <w:pPr>
        <w:pStyle w:val="Normal-pool"/>
        <w:numPr>
          <w:ilvl w:val="0"/>
          <w:numId w:val="50"/>
        </w:numPr>
        <w:tabs>
          <w:tab w:val="clear" w:pos="1247"/>
          <w:tab w:val="clear" w:pos="1871"/>
          <w:tab w:val="clear" w:pos="2495"/>
          <w:tab w:val="clear" w:pos="3119"/>
          <w:tab w:val="clear" w:pos="3742"/>
          <w:tab w:val="clear" w:pos="4366"/>
        </w:tabs>
        <w:spacing w:after="120"/>
        <w:ind w:left="1247" w:firstLine="624"/>
        <w:rPr>
          <w:color w:val="000000"/>
          <w:lang w:val="en-GB"/>
        </w:rPr>
      </w:pPr>
      <w:r w:rsidRPr="00BD7721">
        <w:rPr>
          <w:i/>
          <w:color w:val="000000"/>
          <w:lang w:val="en-GB"/>
        </w:rPr>
        <w:t>Requests</w:t>
      </w:r>
      <w:r w:rsidRPr="00BD7721">
        <w:rPr>
          <w:color w:val="000000"/>
          <w:lang w:val="en-GB"/>
        </w:rPr>
        <w:t xml:space="preserve"> the Executive Secretary to conclude and sign a host country agreement for the eleventh session of the Plenary with the Government of Namibia as soon as possible, in conformity with </w:t>
      </w:r>
      <w:bookmarkStart w:id="29" w:name="_Hlk102033499"/>
      <w:r w:rsidRPr="00BD7721">
        <w:rPr>
          <w:color w:val="000000"/>
          <w:lang w:val="en-GB"/>
        </w:rPr>
        <w:t xml:space="preserve">General Assembly resolution 40/243 </w:t>
      </w:r>
      <w:bookmarkEnd w:id="29"/>
      <w:r w:rsidRPr="00BD7721">
        <w:rPr>
          <w:color w:val="000000"/>
          <w:lang w:val="en-GB"/>
        </w:rPr>
        <w:t>of 18 December 1985 and in compliance with the provisions of United Nations administrative instruction ST/AI/342</w:t>
      </w:r>
      <w:r w:rsidRPr="00BD7721">
        <w:rPr>
          <w:lang w:val="en-GB"/>
        </w:rPr>
        <w:t xml:space="preserve"> on guidelines for the preparation of host Government agreements falling under General Assembly resolution 40/243</w:t>
      </w:r>
      <w:r w:rsidRPr="00BD7721">
        <w:rPr>
          <w:color w:val="000000"/>
          <w:lang w:val="en-GB"/>
        </w:rPr>
        <w:t>;</w:t>
      </w:r>
      <w:r w:rsidRPr="00BD7721">
        <w:rPr>
          <w:rStyle w:val="FootnoteReference"/>
          <w:lang w:val="en-GB"/>
        </w:rPr>
        <w:footnoteReference w:id="55"/>
      </w:r>
      <w:r w:rsidRPr="00BD7721">
        <w:rPr>
          <w:color w:val="000000"/>
          <w:lang w:val="en-GB"/>
        </w:rPr>
        <w:t xml:space="preserve"> </w:t>
      </w:r>
    </w:p>
    <w:p w14:paraId="5780F0CE" w14:textId="5ED2342B" w:rsidR="00992A45" w:rsidRPr="00BD7721" w:rsidRDefault="00992A45" w:rsidP="000B4E23">
      <w:pPr>
        <w:pStyle w:val="Normal-pool"/>
        <w:numPr>
          <w:ilvl w:val="0"/>
          <w:numId w:val="50"/>
        </w:numPr>
        <w:tabs>
          <w:tab w:val="clear" w:pos="1247"/>
          <w:tab w:val="clear" w:pos="1871"/>
          <w:tab w:val="clear" w:pos="2495"/>
          <w:tab w:val="clear" w:pos="3119"/>
          <w:tab w:val="clear" w:pos="3742"/>
          <w:tab w:val="clear" w:pos="4366"/>
        </w:tabs>
        <w:spacing w:after="120"/>
        <w:ind w:left="1247" w:firstLine="624"/>
        <w:rPr>
          <w:lang w:val="en-GB"/>
        </w:rPr>
      </w:pPr>
      <w:r w:rsidRPr="00BD7721">
        <w:rPr>
          <w:i/>
          <w:iCs/>
          <w:lang w:val="en-GB"/>
        </w:rPr>
        <w:t>Decides</w:t>
      </w:r>
      <w:r w:rsidRPr="00BD7721">
        <w:rPr>
          <w:lang w:val="en-GB"/>
        </w:rPr>
        <w:t xml:space="preserve"> that the twelfth session of the Plenary of the Intergovernmental Science</w:t>
      </w:r>
      <w:r w:rsidRPr="00BD7721">
        <w:rPr>
          <w:lang w:val="en-GB"/>
        </w:rPr>
        <w:noBreakHyphen/>
        <w:t xml:space="preserve">Policy Platform on Biodiversity and Ecosystem Services will be held in the second half of 2025, taking into account the calendar of relevant international </w:t>
      </w:r>
      <w:proofErr w:type="gramStart"/>
      <w:r w:rsidRPr="00BD7721">
        <w:rPr>
          <w:lang w:val="en-GB"/>
        </w:rPr>
        <w:t>meetings;</w:t>
      </w:r>
      <w:proofErr w:type="gramEnd"/>
    </w:p>
    <w:p w14:paraId="08A2F3C5" w14:textId="77777777" w:rsidR="00992A45" w:rsidRPr="00BD7721" w:rsidRDefault="00992A45" w:rsidP="000B4E23">
      <w:pPr>
        <w:pStyle w:val="Normal-pool"/>
        <w:numPr>
          <w:ilvl w:val="0"/>
          <w:numId w:val="50"/>
        </w:numPr>
        <w:tabs>
          <w:tab w:val="clear" w:pos="1247"/>
          <w:tab w:val="clear" w:pos="1871"/>
          <w:tab w:val="clear" w:pos="2495"/>
          <w:tab w:val="clear" w:pos="3119"/>
          <w:tab w:val="clear" w:pos="3742"/>
          <w:tab w:val="clear" w:pos="4366"/>
        </w:tabs>
        <w:spacing w:after="120"/>
        <w:ind w:left="1247" w:firstLine="624"/>
        <w:rPr>
          <w:lang w:val="en-GB"/>
        </w:rPr>
      </w:pPr>
      <w:r w:rsidRPr="00BD7721">
        <w:rPr>
          <w:i/>
          <w:iCs/>
          <w:lang w:val="en-GB"/>
        </w:rPr>
        <w:t xml:space="preserve">Invites </w:t>
      </w:r>
      <w:r w:rsidRPr="00BD7721">
        <w:rPr>
          <w:lang w:val="en-GB"/>
        </w:rPr>
        <w:t xml:space="preserve">members of the Platform in a position to do so to consider hosting the twelfth session of the </w:t>
      </w:r>
      <w:proofErr w:type="gramStart"/>
      <w:r w:rsidRPr="00BD7721">
        <w:rPr>
          <w:lang w:val="en-GB"/>
        </w:rPr>
        <w:t>Plenary;</w:t>
      </w:r>
      <w:proofErr w:type="gramEnd"/>
    </w:p>
    <w:p w14:paraId="6E6E7360" w14:textId="77777777" w:rsidR="00992A45" w:rsidRPr="00BD7721" w:rsidRDefault="00992A45" w:rsidP="000B4E23">
      <w:pPr>
        <w:pStyle w:val="Normal-pool"/>
        <w:numPr>
          <w:ilvl w:val="0"/>
          <w:numId w:val="50"/>
        </w:numPr>
        <w:tabs>
          <w:tab w:val="clear" w:pos="1247"/>
          <w:tab w:val="clear" w:pos="1871"/>
          <w:tab w:val="clear" w:pos="2495"/>
          <w:tab w:val="clear" w:pos="3119"/>
          <w:tab w:val="clear" w:pos="3742"/>
          <w:tab w:val="clear" w:pos="4366"/>
        </w:tabs>
        <w:spacing w:after="120"/>
        <w:ind w:left="1247" w:firstLine="624"/>
        <w:rPr>
          <w:lang w:val="en-GB"/>
        </w:rPr>
      </w:pPr>
      <w:r w:rsidRPr="00BD7721">
        <w:rPr>
          <w:i/>
          <w:iCs/>
          <w:lang w:val="en-GB"/>
        </w:rPr>
        <w:t>Requests</w:t>
      </w:r>
      <w:r w:rsidRPr="00BD7721">
        <w:rPr>
          <w:lang w:val="en-GB"/>
        </w:rPr>
        <w:t xml:space="preserve"> the Bureau, in consultation with the members of the Platform, to decide on the specific dates of the twelfth session of the Plenary, taking into account the calendar of relevant intergovernmental </w:t>
      </w:r>
      <w:proofErr w:type="gramStart"/>
      <w:r w:rsidRPr="00BD7721">
        <w:rPr>
          <w:lang w:val="en-GB"/>
        </w:rPr>
        <w:t>meetings;</w:t>
      </w:r>
      <w:proofErr w:type="gramEnd"/>
    </w:p>
    <w:p w14:paraId="1E4D2D87" w14:textId="77777777" w:rsidR="00992A45" w:rsidRPr="00BD7721" w:rsidRDefault="00992A45" w:rsidP="000B4E23">
      <w:pPr>
        <w:pStyle w:val="Normal-pool"/>
        <w:numPr>
          <w:ilvl w:val="0"/>
          <w:numId w:val="50"/>
        </w:numPr>
        <w:tabs>
          <w:tab w:val="clear" w:pos="1247"/>
          <w:tab w:val="clear" w:pos="1871"/>
          <w:tab w:val="clear" w:pos="2495"/>
          <w:tab w:val="clear" w:pos="3119"/>
          <w:tab w:val="clear" w:pos="3742"/>
          <w:tab w:val="clear" w:pos="4366"/>
        </w:tabs>
        <w:spacing w:after="120"/>
        <w:ind w:left="1247" w:firstLine="624"/>
        <w:rPr>
          <w:lang w:val="en-GB"/>
        </w:rPr>
      </w:pPr>
      <w:r w:rsidRPr="00BD7721">
        <w:rPr>
          <w:i/>
          <w:iCs/>
          <w:lang w:val="en-GB"/>
        </w:rPr>
        <w:t>Also requests</w:t>
      </w:r>
      <w:r w:rsidRPr="00BD7721">
        <w:rPr>
          <w:lang w:val="en-GB"/>
        </w:rPr>
        <w:t xml:space="preserve"> the Bureau, in consultation with members, to decide on the venue for the twelfth session of the Plenary, taking into account any offers from members to host the session, which should be subject to the successful conclusion of a host country </w:t>
      </w:r>
      <w:proofErr w:type="gramStart"/>
      <w:r w:rsidRPr="00BD7721">
        <w:rPr>
          <w:lang w:val="en-GB"/>
        </w:rPr>
        <w:t>agreement;</w:t>
      </w:r>
      <w:proofErr w:type="gramEnd"/>
    </w:p>
    <w:p w14:paraId="11D84D11" w14:textId="1B520DF3" w:rsidR="00992A45" w:rsidRPr="00BD7721" w:rsidRDefault="00992A45" w:rsidP="000B4E23">
      <w:pPr>
        <w:pStyle w:val="Normal-pool"/>
        <w:numPr>
          <w:ilvl w:val="0"/>
          <w:numId w:val="50"/>
        </w:numPr>
        <w:tabs>
          <w:tab w:val="clear" w:pos="1247"/>
          <w:tab w:val="clear" w:pos="1871"/>
          <w:tab w:val="clear" w:pos="2495"/>
          <w:tab w:val="clear" w:pos="3119"/>
          <w:tab w:val="clear" w:pos="3742"/>
          <w:tab w:val="clear" w:pos="4366"/>
        </w:tabs>
        <w:spacing w:after="120"/>
        <w:ind w:left="1247" w:firstLine="624"/>
        <w:rPr>
          <w:lang w:val="en-GB"/>
        </w:rPr>
      </w:pPr>
      <w:r w:rsidRPr="00BD7721">
        <w:rPr>
          <w:i/>
          <w:iCs/>
          <w:lang w:val="en-GB"/>
        </w:rPr>
        <w:t>Requests</w:t>
      </w:r>
      <w:r w:rsidRPr="00BD7721">
        <w:rPr>
          <w:lang w:val="en-GB"/>
        </w:rPr>
        <w:t xml:space="preserve"> the Executive Secretary, in the event that the Bureau decides to accept the offer of a specific Government to host the twelfth session of the Plenary, to conclude and sign a host country agreement for the twelfth</w:t>
      </w:r>
      <w:r w:rsidRPr="00BD7721" w:rsidDel="00CA130C">
        <w:rPr>
          <w:lang w:val="en-GB"/>
        </w:rPr>
        <w:t xml:space="preserve"> </w:t>
      </w:r>
      <w:r w:rsidRPr="00BD7721">
        <w:rPr>
          <w:lang w:val="en-GB"/>
        </w:rPr>
        <w:t>session of the Plenary with that Government as soon as possible, in conformity with General Assembly resolution 40/243 of 18</w:t>
      </w:r>
      <w:r w:rsidR="004212A9" w:rsidRPr="00BD7721">
        <w:rPr>
          <w:lang w:val="en-GB"/>
        </w:rPr>
        <w:t xml:space="preserve"> </w:t>
      </w:r>
      <w:r w:rsidRPr="00BD7721">
        <w:rPr>
          <w:lang w:val="en-GB"/>
        </w:rPr>
        <w:t>December 1985 and in compliance with the provisions of the United Nations administrative instruction on guidelines for the preparation of host Government agreements falling under General Assembly resolution 40/243;</w:t>
      </w:r>
    </w:p>
    <w:p w14:paraId="4F2C61F3" w14:textId="488133D8" w:rsidR="0040469E" w:rsidRPr="00BD7721" w:rsidRDefault="00992A45" w:rsidP="000B4E23">
      <w:pPr>
        <w:pStyle w:val="Normal-pool"/>
        <w:numPr>
          <w:ilvl w:val="0"/>
          <w:numId w:val="50"/>
        </w:numPr>
        <w:tabs>
          <w:tab w:val="clear" w:pos="1247"/>
          <w:tab w:val="clear" w:pos="1871"/>
          <w:tab w:val="clear" w:pos="2495"/>
          <w:tab w:val="clear" w:pos="3119"/>
          <w:tab w:val="clear" w:pos="3742"/>
          <w:tab w:val="clear" w:pos="4366"/>
        </w:tabs>
        <w:spacing w:after="120"/>
        <w:ind w:left="1247" w:firstLine="624"/>
        <w:rPr>
          <w:lang w:val="en-GB"/>
        </w:rPr>
      </w:pPr>
      <w:r w:rsidRPr="00BD7721">
        <w:rPr>
          <w:i/>
          <w:lang w:val="en-GB"/>
        </w:rPr>
        <w:t xml:space="preserve">Invites </w:t>
      </w:r>
      <w:r w:rsidRPr="00BD7721">
        <w:rPr>
          <w:iCs/>
          <w:lang w:val="en-GB"/>
        </w:rPr>
        <w:t xml:space="preserve">the Bureau to take the timelines of IPBES assessments into account when considering the dates of future sessions of the Plenary, with a view to enabling their timely consideration by relevant bodies of the biodiversity-related </w:t>
      </w:r>
      <w:proofErr w:type="gramStart"/>
      <w:r w:rsidRPr="00BD7721">
        <w:rPr>
          <w:iCs/>
          <w:lang w:val="en-GB"/>
        </w:rPr>
        <w:t>conventions</w:t>
      </w:r>
      <w:r w:rsidR="0040469E" w:rsidRPr="00BD7721">
        <w:rPr>
          <w:iCs/>
          <w:lang w:val="en-GB"/>
        </w:rPr>
        <w:t>;</w:t>
      </w:r>
      <w:proofErr w:type="gramEnd"/>
    </w:p>
    <w:p w14:paraId="5B078135" w14:textId="48E5344C" w:rsidR="00992A45" w:rsidRPr="00BD7721" w:rsidRDefault="00992A45" w:rsidP="000B4E23">
      <w:pPr>
        <w:pStyle w:val="Normal-pool"/>
        <w:numPr>
          <w:ilvl w:val="0"/>
          <w:numId w:val="50"/>
        </w:numPr>
        <w:tabs>
          <w:tab w:val="clear" w:pos="1247"/>
          <w:tab w:val="clear" w:pos="1871"/>
          <w:tab w:val="clear" w:pos="2495"/>
          <w:tab w:val="clear" w:pos="3119"/>
          <w:tab w:val="clear" w:pos="3742"/>
          <w:tab w:val="clear" w:pos="4366"/>
        </w:tabs>
        <w:spacing w:after="120"/>
        <w:ind w:left="1247" w:firstLine="624"/>
        <w:rPr>
          <w:color w:val="000000"/>
          <w:lang w:val="en-GB" w:eastAsia="zh-CN"/>
        </w:rPr>
      </w:pPr>
      <w:r w:rsidRPr="00BD7721">
        <w:rPr>
          <w:i/>
          <w:color w:val="000000"/>
          <w:lang w:val="en-GB" w:eastAsia="zh-CN"/>
        </w:rPr>
        <w:t>Takes note</w:t>
      </w:r>
      <w:r w:rsidRPr="00BD7721">
        <w:rPr>
          <w:color w:val="000000"/>
          <w:lang w:val="en-GB" w:eastAsia="zh-CN"/>
        </w:rPr>
        <w:t xml:space="preserve"> of the draft provisional agendas for the eleventh and twelfth sessions of the Plenary, which are</w:t>
      </w:r>
      <w:r w:rsidRPr="00BD7721">
        <w:rPr>
          <w:rFonts w:eastAsia="SimSun"/>
          <w:color w:val="000000"/>
          <w:lang w:val="en-GB" w:eastAsia="zh-CN"/>
        </w:rPr>
        <w:t xml:space="preserve"> </w:t>
      </w:r>
      <w:r w:rsidRPr="00BD7721">
        <w:rPr>
          <w:color w:val="000000"/>
          <w:lang w:val="en-GB" w:eastAsia="zh-CN"/>
        </w:rPr>
        <w:t xml:space="preserve">set out in annexes I and II, respectively, to the present </w:t>
      </w:r>
      <w:proofErr w:type="gramStart"/>
      <w:r w:rsidRPr="00BD7721">
        <w:rPr>
          <w:color w:val="000000"/>
          <w:lang w:val="en-GB" w:eastAsia="zh-CN"/>
        </w:rPr>
        <w:t>decision;</w:t>
      </w:r>
      <w:proofErr w:type="gramEnd"/>
    </w:p>
    <w:p w14:paraId="49F4B834" w14:textId="77777777" w:rsidR="00992A45" w:rsidRPr="00BD7721" w:rsidRDefault="00992A45" w:rsidP="000B4E23">
      <w:pPr>
        <w:pStyle w:val="Normal-pool"/>
        <w:numPr>
          <w:ilvl w:val="0"/>
          <w:numId w:val="50"/>
        </w:numPr>
        <w:tabs>
          <w:tab w:val="clear" w:pos="1247"/>
          <w:tab w:val="clear" w:pos="1871"/>
          <w:tab w:val="clear" w:pos="2495"/>
          <w:tab w:val="clear" w:pos="3119"/>
          <w:tab w:val="clear" w:pos="3742"/>
          <w:tab w:val="clear" w:pos="4366"/>
        </w:tabs>
        <w:spacing w:after="120"/>
        <w:ind w:left="1247" w:firstLine="624"/>
        <w:rPr>
          <w:color w:val="000000"/>
          <w:lang w:val="en-GB" w:eastAsia="zh-CN"/>
        </w:rPr>
      </w:pPr>
      <w:r w:rsidRPr="00BD7721">
        <w:rPr>
          <w:i/>
          <w:color w:val="000000"/>
          <w:lang w:val="en-GB" w:eastAsia="zh-CN"/>
        </w:rPr>
        <w:t>Requests</w:t>
      </w:r>
      <w:r w:rsidRPr="00BD7721">
        <w:rPr>
          <w:color w:val="000000"/>
          <w:lang w:val="en-GB" w:eastAsia="zh-CN"/>
        </w:rPr>
        <w:t xml:space="preserve"> the Executive Secretary to invite members and observers that are allowed enhanced participation in accordance with decision IPBES-5/4 to provide</w:t>
      </w:r>
      <w:r w:rsidRPr="00BD7721">
        <w:rPr>
          <w:rFonts w:eastAsia="SimSun"/>
          <w:sz w:val="16"/>
          <w:szCs w:val="16"/>
          <w:lang w:val="en-GB" w:eastAsia="zh-CN"/>
        </w:rPr>
        <w:t xml:space="preserve"> </w:t>
      </w:r>
      <w:r w:rsidRPr="00BD7721">
        <w:rPr>
          <w:color w:val="000000"/>
          <w:lang w:val="en-GB" w:eastAsia="zh-CN"/>
        </w:rPr>
        <w:t xml:space="preserve">written comments on the proposed organization of work of the eleventh session of the </w:t>
      </w:r>
      <w:proofErr w:type="gramStart"/>
      <w:r w:rsidRPr="00BD7721">
        <w:rPr>
          <w:color w:val="000000"/>
          <w:lang w:val="en-GB" w:eastAsia="zh-CN"/>
        </w:rPr>
        <w:t>Plenary;</w:t>
      </w:r>
      <w:proofErr w:type="gramEnd"/>
      <w:r w:rsidRPr="00BD7721">
        <w:rPr>
          <w:color w:val="000000"/>
          <w:lang w:val="en-GB" w:eastAsia="zh-CN"/>
        </w:rPr>
        <w:t xml:space="preserve"> </w:t>
      </w:r>
    </w:p>
    <w:p w14:paraId="4C4B7696" w14:textId="1C1413D0" w:rsidR="00992A45" w:rsidRPr="00BD7721" w:rsidRDefault="00992A45" w:rsidP="000B4E23">
      <w:pPr>
        <w:pStyle w:val="Normal-pool"/>
        <w:numPr>
          <w:ilvl w:val="0"/>
          <w:numId w:val="50"/>
        </w:numPr>
        <w:tabs>
          <w:tab w:val="clear" w:pos="1247"/>
          <w:tab w:val="clear" w:pos="1871"/>
          <w:tab w:val="clear" w:pos="2495"/>
          <w:tab w:val="clear" w:pos="3119"/>
          <w:tab w:val="clear" w:pos="3742"/>
          <w:tab w:val="clear" w:pos="4366"/>
        </w:tabs>
        <w:spacing w:after="120"/>
        <w:ind w:left="1247" w:firstLine="624"/>
        <w:rPr>
          <w:lang w:val="en-GB"/>
        </w:rPr>
      </w:pPr>
      <w:r w:rsidRPr="00BD7721">
        <w:rPr>
          <w:i/>
          <w:color w:val="000000"/>
          <w:lang w:val="en-GB" w:eastAsia="zh-CN"/>
        </w:rPr>
        <w:t>Also requests</w:t>
      </w:r>
      <w:r w:rsidRPr="00BD7721">
        <w:rPr>
          <w:color w:val="000000"/>
          <w:lang w:val="en-GB" w:eastAsia="zh-CN"/>
        </w:rPr>
        <w:t xml:space="preserve"> the Executive Secretary to finalize the proposed organization of work for the eleventh session of the Plenary in line with comments received at the tenth session of the Plenary and written comments received in response to the invitation referred to in paragraph 10 of the present decision.</w:t>
      </w:r>
      <w:bookmarkEnd w:id="28"/>
    </w:p>
    <w:p w14:paraId="5BF413C1" w14:textId="77777777" w:rsidR="00417DDE" w:rsidRPr="00BD7721" w:rsidRDefault="00417DDE" w:rsidP="00417DDE">
      <w:pPr>
        <w:pStyle w:val="Normal-pool"/>
        <w:rPr>
          <w:lang w:val="en-GB"/>
        </w:rPr>
      </w:pPr>
    </w:p>
    <w:p w14:paraId="7CE9AFA9" w14:textId="77777777" w:rsidR="000B4E23" w:rsidRPr="00BD7721" w:rsidRDefault="000B4E23" w:rsidP="00417DDE">
      <w:pPr>
        <w:pStyle w:val="Normal-pool"/>
        <w:rPr>
          <w:lang w:val="en-GB"/>
        </w:rPr>
        <w:sectPr w:rsidR="000B4E23" w:rsidRPr="00BD7721" w:rsidSect="00D70826">
          <w:footnotePr>
            <w:numRestart w:val="eachSect"/>
          </w:footnotePr>
          <w:pgSz w:w="11907" w:h="16839" w:code="9"/>
          <w:pgMar w:top="907" w:right="992" w:bottom="1418" w:left="1418" w:header="539" w:footer="975" w:gutter="0"/>
          <w:cols w:space="539"/>
          <w:docGrid w:linePitch="360"/>
        </w:sectPr>
      </w:pPr>
    </w:p>
    <w:p w14:paraId="5C269FAA" w14:textId="69EE510F" w:rsidR="00992A45" w:rsidRPr="00BD7721" w:rsidRDefault="00417DDE" w:rsidP="000B4E23">
      <w:pPr>
        <w:pStyle w:val="CH1"/>
        <w:rPr>
          <w:lang w:val="en-GB"/>
        </w:rPr>
      </w:pPr>
      <w:r w:rsidRPr="00BD7721">
        <w:rPr>
          <w:lang w:val="en-GB"/>
        </w:rPr>
        <w:tab/>
      </w:r>
      <w:r w:rsidRPr="00BD7721">
        <w:rPr>
          <w:lang w:val="en-GB"/>
        </w:rPr>
        <w:tab/>
      </w:r>
      <w:r w:rsidR="00992A45" w:rsidRPr="00BD7721">
        <w:rPr>
          <w:lang w:val="en-GB"/>
        </w:rPr>
        <w:t>Annex I</w:t>
      </w:r>
      <w:r w:rsidR="0058695A" w:rsidRPr="00BD7721">
        <w:rPr>
          <w:lang w:val="en-GB"/>
        </w:rPr>
        <w:t xml:space="preserve"> to decision IPBES-10/2</w:t>
      </w:r>
    </w:p>
    <w:p w14:paraId="50C812A0" w14:textId="6E1E0CFC" w:rsidR="00992A45" w:rsidRPr="00BD7721" w:rsidRDefault="00417DDE" w:rsidP="000B4E23">
      <w:pPr>
        <w:pStyle w:val="CH1"/>
        <w:rPr>
          <w:lang w:val="en-GB"/>
        </w:rPr>
      </w:pPr>
      <w:r w:rsidRPr="00BD7721">
        <w:rPr>
          <w:lang w:val="en-GB"/>
        </w:rPr>
        <w:tab/>
      </w:r>
      <w:r w:rsidRPr="00BD7721">
        <w:rPr>
          <w:lang w:val="en-GB"/>
        </w:rPr>
        <w:tab/>
      </w:r>
      <w:r w:rsidR="00992A45" w:rsidRPr="00BD7721">
        <w:rPr>
          <w:lang w:val="en-GB"/>
        </w:rPr>
        <w:t>Draft provisional agenda for the eleventh session of the Plenary of the Intergovernmental Science-Policy Platform on Biodiversity and Ecosystem Services</w:t>
      </w:r>
    </w:p>
    <w:p w14:paraId="267F641C" w14:textId="77777777" w:rsidR="00992A45" w:rsidRPr="00BD7721" w:rsidRDefault="00992A45" w:rsidP="000B4E23">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Opening of the session.</w:t>
      </w:r>
    </w:p>
    <w:p w14:paraId="003053CD" w14:textId="77777777" w:rsidR="00992A45" w:rsidRPr="00BD7721" w:rsidRDefault="00992A45" w:rsidP="000B4E23">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Organizational matters:</w:t>
      </w:r>
    </w:p>
    <w:p w14:paraId="590B99D7" w14:textId="77777777" w:rsidR="00992A45" w:rsidRPr="00BD7721" w:rsidRDefault="00992A45" w:rsidP="00992A45">
      <w:pPr>
        <w:pStyle w:val="Normal-pool"/>
        <w:numPr>
          <w:ilvl w:val="1"/>
          <w:numId w:val="53"/>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 xml:space="preserve">Adoption of the agenda and organization of </w:t>
      </w:r>
      <w:proofErr w:type="gramStart"/>
      <w:r w:rsidRPr="00BD7721">
        <w:rPr>
          <w:lang w:val="en-GB"/>
        </w:rPr>
        <w:t>work;</w:t>
      </w:r>
      <w:proofErr w:type="gramEnd"/>
    </w:p>
    <w:p w14:paraId="2D19BA0E" w14:textId="77777777" w:rsidR="00992A45" w:rsidRPr="00BD7721" w:rsidRDefault="00992A45" w:rsidP="00992A45">
      <w:pPr>
        <w:pStyle w:val="Normal-pool"/>
        <w:numPr>
          <w:ilvl w:val="1"/>
          <w:numId w:val="53"/>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 xml:space="preserve">Status of the membership of the </w:t>
      </w:r>
      <w:proofErr w:type="gramStart"/>
      <w:r w:rsidRPr="00BD7721">
        <w:rPr>
          <w:lang w:val="en-GB"/>
        </w:rPr>
        <w:t>Platform;</w:t>
      </w:r>
      <w:proofErr w:type="gramEnd"/>
      <w:r w:rsidRPr="00BD7721">
        <w:rPr>
          <w:lang w:val="en-GB"/>
        </w:rPr>
        <w:t xml:space="preserve"> </w:t>
      </w:r>
    </w:p>
    <w:p w14:paraId="4F0370FE" w14:textId="77777777" w:rsidR="00992A45" w:rsidRPr="00BD7721" w:rsidRDefault="00992A45" w:rsidP="00992A45">
      <w:pPr>
        <w:pStyle w:val="Normal-pool"/>
        <w:numPr>
          <w:ilvl w:val="1"/>
          <w:numId w:val="53"/>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Election of officers.</w:t>
      </w:r>
    </w:p>
    <w:p w14:paraId="5212AC2B" w14:textId="77777777" w:rsidR="00992A45" w:rsidRPr="00BD7721" w:rsidRDefault="00992A45" w:rsidP="00992A45">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Admission of observers.</w:t>
      </w:r>
    </w:p>
    <w:p w14:paraId="3163DD0A" w14:textId="77777777" w:rsidR="00992A45" w:rsidRPr="00BD7721" w:rsidRDefault="00992A45" w:rsidP="00992A45">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Credentials of representatives.</w:t>
      </w:r>
    </w:p>
    <w:p w14:paraId="5F23A64B" w14:textId="77777777" w:rsidR="00992A45" w:rsidRPr="00BD7721" w:rsidRDefault="00992A45" w:rsidP="00992A45">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Report of the Executive Secretary on progress in the implementation of the rolling work programme up to 2030.</w:t>
      </w:r>
    </w:p>
    <w:p w14:paraId="75AF6708" w14:textId="77777777" w:rsidR="00992A45" w:rsidRPr="00BD7721" w:rsidRDefault="00992A45" w:rsidP="00992A45">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Financial and budgetary arrangements for the Platform.</w:t>
      </w:r>
    </w:p>
    <w:p w14:paraId="65108B4D" w14:textId="77777777" w:rsidR="00992A45" w:rsidRPr="00BD7721" w:rsidRDefault="00992A45" w:rsidP="00992A45">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Assessing knowledge:</w:t>
      </w:r>
    </w:p>
    <w:p w14:paraId="46BCEA4E" w14:textId="77777777" w:rsidR="00992A45" w:rsidRPr="00BD7721" w:rsidRDefault="00992A45" w:rsidP="00992A45">
      <w:pPr>
        <w:pStyle w:val="Normal-pool"/>
        <w:numPr>
          <w:ilvl w:val="0"/>
          <w:numId w:val="54"/>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 xml:space="preserve">Thematic assessment of the interlinkages among biodiversity, water, food and </w:t>
      </w:r>
      <w:proofErr w:type="gramStart"/>
      <w:r w:rsidRPr="00BD7721">
        <w:rPr>
          <w:lang w:val="en-GB"/>
        </w:rPr>
        <w:t>health;</w:t>
      </w:r>
      <w:proofErr w:type="gramEnd"/>
    </w:p>
    <w:p w14:paraId="58758A4D" w14:textId="77777777" w:rsidR="00992A45" w:rsidRPr="00BD7721" w:rsidRDefault="00992A45" w:rsidP="00992A45">
      <w:pPr>
        <w:pStyle w:val="Normal-pool"/>
        <w:numPr>
          <w:ilvl w:val="0"/>
          <w:numId w:val="54"/>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 xml:space="preserve">Thematic assessment of the underlying causes of biodiversity loss and the determinants of transformative change and options for achieving the 2050 Vision for </w:t>
      </w:r>
      <w:proofErr w:type="gramStart"/>
      <w:r w:rsidRPr="00BD7721">
        <w:rPr>
          <w:lang w:val="en-GB"/>
        </w:rPr>
        <w:t>Biodiversity;</w:t>
      </w:r>
      <w:proofErr w:type="gramEnd"/>
    </w:p>
    <w:p w14:paraId="30478F41" w14:textId="77777777" w:rsidR="00992A45" w:rsidRPr="00BD7721" w:rsidRDefault="00992A45" w:rsidP="00992A45">
      <w:pPr>
        <w:pStyle w:val="Normal-pool"/>
        <w:numPr>
          <w:ilvl w:val="0"/>
          <w:numId w:val="54"/>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 xml:space="preserve">Scoping report for a second global assessment of biodiversity and ecosystem </w:t>
      </w:r>
      <w:proofErr w:type="gramStart"/>
      <w:r w:rsidRPr="00BD7721">
        <w:rPr>
          <w:lang w:val="en-GB"/>
        </w:rPr>
        <w:t>services;</w:t>
      </w:r>
      <w:proofErr w:type="gramEnd"/>
      <w:r w:rsidRPr="00BD7721">
        <w:rPr>
          <w:lang w:val="en-GB"/>
        </w:rPr>
        <w:t xml:space="preserve"> </w:t>
      </w:r>
    </w:p>
    <w:p w14:paraId="444F7DF0" w14:textId="77777777" w:rsidR="00992A45" w:rsidRPr="00BD7721" w:rsidRDefault="00992A45" w:rsidP="00992A45">
      <w:pPr>
        <w:pStyle w:val="Normal-pool"/>
        <w:numPr>
          <w:ilvl w:val="0"/>
          <w:numId w:val="54"/>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Engagement with the Intergovernmental Panel on Climate Change.</w:t>
      </w:r>
    </w:p>
    <w:p w14:paraId="389F4B69" w14:textId="77777777" w:rsidR="00992A45" w:rsidRPr="00BD7721" w:rsidRDefault="00992A45" w:rsidP="00992A45">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Building capacity, strengthening knowledge foundations and supporting policy.</w:t>
      </w:r>
    </w:p>
    <w:p w14:paraId="521CD236" w14:textId="77777777" w:rsidR="00992A45" w:rsidRPr="00BD7721" w:rsidRDefault="00992A45" w:rsidP="00992A45">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Improving the effectiveness of the Platform.</w:t>
      </w:r>
    </w:p>
    <w:p w14:paraId="36B93E01" w14:textId="77777777" w:rsidR="00992A45" w:rsidRPr="00BD7721" w:rsidRDefault="00992A45" w:rsidP="00992A45">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Organization of the Plenary; dates and venues of future sessions of the Plenary.</w:t>
      </w:r>
    </w:p>
    <w:p w14:paraId="7B8C84C6" w14:textId="77777777" w:rsidR="00992A45" w:rsidRPr="00BD7721" w:rsidRDefault="00992A45" w:rsidP="00992A45">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Institutional arrangements: United Nations collaborative partnership arrangement for the work of the Platform and its secretariat.</w:t>
      </w:r>
    </w:p>
    <w:p w14:paraId="58CEAD05" w14:textId="77777777" w:rsidR="00992A45" w:rsidRPr="00BD7721" w:rsidRDefault="00992A45" w:rsidP="00992A45">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Adoption of the decisions and the report of the session.</w:t>
      </w:r>
    </w:p>
    <w:p w14:paraId="0BD073DC" w14:textId="77777777" w:rsidR="00992A45" w:rsidRPr="00BD7721" w:rsidRDefault="00992A45" w:rsidP="00992A45">
      <w:pPr>
        <w:pStyle w:val="Normal-pool"/>
        <w:numPr>
          <w:ilvl w:val="6"/>
          <w:numId w:val="52"/>
        </w:numPr>
        <w:tabs>
          <w:tab w:val="clear" w:pos="1247"/>
          <w:tab w:val="clear" w:pos="1871"/>
          <w:tab w:val="clear" w:pos="2495"/>
          <w:tab w:val="clear" w:pos="3119"/>
          <w:tab w:val="clear" w:pos="3742"/>
          <w:tab w:val="clear" w:pos="4366"/>
        </w:tabs>
        <w:spacing w:after="120"/>
        <w:ind w:left="1871" w:hanging="624"/>
        <w:rPr>
          <w:lang w:val="en-GB"/>
        </w:rPr>
      </w:pPr>
      <w:r w:rsidRPr="00BD7721">
        <w:rPr>
          <w:lang w:val="en-GB"/>
        </w:rPr>
        <w:t xml:space="preserve">Closure of the session. </w:t>
      </w:r>
    </w:p>
    <w:p w14:paraId="3598DD8F" w14:textId="77777777" w:rsidR="008C3AAF" w:rsidRPr="00BD7721" w:rsidRDefault="008C3AAF" w:rsidP="00992A45">
      <w:pPr>
        <w:pStyle w:val="Normal-pool"/>
        <w:rPr>
          <w:lang w:val="en-GB"/>
        </w:rPr>
      </w:pPr>
    </w:p>
    <w:p w14:paraId="56F966A2" w14:textId="3C3E1AD9" w:rsidR="00992A45" w:rsidRPr="00BD7721" w:rsidRDefault="00992A45" w:rsidP="00992A45">
      <w:pPr>
        <w:pStyle w:val="Normal-pool"/>
        <w:rPr>
          <w:lang w:val="en-GB"/>
        </w:rPr>
        <w:sectPr w:rsidR="00992A45" w:rsidRPr="00BD7721" w:rsidSect="00D70826">
          <w:headerReference w:type="even" r:id="rId29"/>
          <w:headerReference w:type="default" r:id="rId30"/>
          <w:headerReference w:type="first" r:id="rId31"/>
          <w:footerReference w:type="first" r:id="rId32"/>
          <w:footnotePr>
            <w:numRestart w:val="eachSect"/>
          </w:footnotePr>
          <w:pgSz w:w="11907" w:h="16839" w:code="9"/>
          <w:pgMar w:top="907" w:right="992" w:bottom="1418" w:left="1418" w:header="539" w:footer="975" w:gutter="0"/>
          <w:cols w:space="539"/>
          <w:docGrid w:linePitch="360"/>
        </w:sectPr>
      </w:pPr>
    </w:p>
    <w:p w14:paraId="38E33908" w14:textId="151BBB12" w:rsidR="00992A45" w:rsidRPr="00BD7721" w:rsidRDefault="00417DDE" w:rsidP="00417DDE">
      <w:pPr>
        <w:pStyle w:val="CH1"/>
        <w:rPr>
          <w:lang w:val="en-GB"/>
        </w:rPr>
      </w:pPr>
      <w:r w:rsidRPr="00BD7721">
        <w:rPr>
          <w:lang w:val="en-GB"/>
        </w:rPr>
        <w:tab/>
      </w:r>
      <w:r w:rsidRPr="00BD7721">
        <w:rPr>
          <w:lang w:val="en-GB"/>
        </w:rPr>
        <w:tab/>
      </w:r>
      <w:r w:rsidR="00992A45" w:rsidRPr="00BD7721">
        <w:rPr>
          <w:lang w:val="en-GB"/>
        </w:rPr>
        <w:t>Annex II</w:t>
      </w:r>
      <w:r w:rsidR="0058695A" w:rsidRPr="00BD7721">
        <w:rPr>
          <w:lang w:val="en-GB"/>
        </w:rPr>
        <w:t xml:space="preserve"> to decision IPBES-10/2</w:t>
      </w:r>
    </w:p>
    <w:p w14:paraId="000FBC21" w14:textId="1943DE86" w:rsidR="00992A45" w:rsidRPr="00BD7721" w:rsidRDefault="00417DDE" w:rsidP="00856D78">
      <w:pPr>
        <w:pStyle w:val="CH1"/>
        <w:rPr>
          <w:lang w:val="en-GB"/>
        </w:rPr>
      </w:pPr>
      <w:r w:rsidRPr="00BD7721">
        <w:rPr>
          <w:lang w:val="en-GB"/>
        </w:rPr>
        <w:tab/>
      </w:r>
      <w:r w:rsidRPr="00BD7721">
        <w:rPr>
          <w:lang w:val="en-GB"/>
        </w:rPr>
        <w:tab/>
      </w:r>
      <w:r w:rsidR="00992A45" w:rsidRPr="00BD7721">
        <w:rPr>
          <w:lang w:val="en-GB"/>
        </w:rPr>
        <w:t>Draft provisional agenda for the twelfth session of the Plenary of the Intergovernmental Science-Policy Platform on Biodiversity and Ecosystem Services</w:t>
      </w:r>
    </w:p>
    <w:p w14:paraId="76B0F7C1" w14:textId="77777777"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Opening of the session.</w:t>
      </w:r>
    </w:p>
    <w:p w14:paraId="7E1DA909" w14:textId="77777777"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Organizational matters:</w:t>
      </w:r>
    </w:p>
    <w:p w14:paraId="52EACAE9" w14:textId="77777777" w:rsidR="00992A45" w:rsidRPr="00BD7721" w:rsidRDefault="00992A45" w:rsidP="00992A45">
      <w:pPr>
        <w:pStyle w:val="Normal-pool"/>
        <w:numPr>
          <w:ilvl w:val="0"/>
          <w:numId w:val="56"/>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 xml:space="preserve">Adoption of the agenda and organization of </w:t>
      </w:r>
      <w:proofErr w:type="gramStart"/>
      <w:r w:rsidRPr="00BD7721">
        <w:rPr>
          <w:lang w:val="en-GB"/>
        </w:rPr>
        <w:t>work;</w:t>
      </w:r>
      <w:proofErr w:type="gramEnd"/>
    </w:p>
    <w:p w14:paraId="1477243D" w14:textId="77777777" w:rsidR="00992A45" w:rsidRPr="00BD7721" w:rsidRDefault="00992A45" w:rsidP="00992A45">
      <w:pPr>
        <w:pStyle w:val="Normal-pool"/>
        <w:numPr>
          <w:ilvl w:val="0"/>
          <w:numId w:val="56"/>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 xml:space="preserve">Status of the membership of the </w:t>
      </w:r>
      <w:proofErr w:type="gramStart"/>
      <w:r w:rsidRPr="00BD7721">
        <w:rPr>
          <w:lang w:val="en-GB"/>
        </w:rPr>
        <w:t>Platform;</w:t>
      </w:r>
      <w:proofErr w:type="gramEnd"/>
      <w:r w:rsidRPr="00BD7721">
        <w:rPr>
          <w:lang w:val="en-GB"/>
        </w:rPr>
        <w:t xml:space="preserve"> </w:t>
      </w:r>
    </w:p>
    <w:p w14:paraId="39B5F899" w14:textId="77777777" w:rsidR="00992A45" w:rsidRPr="00BD7721" w:rsidRDefault="00992A45" w:rsidP="00992A45">
      <w:pPr>
        <w:pStyle w:val="Normal-pool"/>
        <w:numPr>
          <w:ilvl w:val="0"/>
          <w:numId w:val="56"/>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Election of officers.</w:t>
      </w:r>
    </w:p>
    <w:p w14:paraId="150EE784" w14:textId="77777777"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Admission of observers.</w:t>
      </w:r>
    </w:p>
    <w:p w14:paraId="77D475F0" w14:textId="77777777"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Credentials of representatives.</w:t>
      </w:r>
    </w:p>
    <w:p w14:paraId="2CBD60DD" w14:textId="77777777"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Report of the Executive Secretary on progress in the implementation of the rolling work programme up to 2030.</w:t>
      </w:r>
    </w:p>
    <w:p w14:paraId="7839CEAE" w14:textId="77777777"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Financial and budgetary arrangements for the Platform.</w:t>
      </w:r>
    </w:p>
    <w:p w14:paraId="5CBAE597" w14:textId="77777777"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Assessing knowledge:</w:t>
      </w:r>
    </w:p>
    <w:p w14:paraId="0906BFC7" w14:textId="77777777" w:rsidR="00992A45" w:rsidRPr="00BD7721" w:rsidRDefault="00992A45" w:rsidP="00992A45">
      <w:pPr>
        <w:pStyle w:val="Normal-pool"/>
        <w:numPr>
          <w:ilvl w:val="0"/>
          <w:numId w:val="57"/>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 xml:space="preserve">Methodological assessment of the impact and dependence of business on biodiversity and nature’s contributions to </w:t>
      </w:r>
      <w:proofErr w:type="gramStart"/>
      <w:r w:rsidRPr="00BD7721">
        <w:rPr>
          <w:lang w:val="en-GB"/>
        </w:rPr>
        <w:t>people;</w:t>
      </w:r>
      <w:proofErr w:type="gramEnd"/>
    </w:p>
    <w:p w14:paraId="62F7FAAD" w14:textId="77777777" w:rsidR="00992A45" w:rsidRPr="00BD7721" w:rsidRDefault="00992A45" w:rsidP="00992A45">
      <w:pPr>
        <w:pStyle w:val="Normal-pool"/>
        <w:numPr>
          <w:ilvl w:val="0"/>
          <w:numId w:val="57"/>
        </w:numPr>
        <w:tabs>
          <w:tab w:val="clear" w:pos="1247"/>
          <w:tab w:val="clear" w:pos="1871"/>
          <w:tab w:val="clear" w:pos="2495"/>
          <w:tab w:val="clear" w:pos="3119"/>
          <w:tab w:val="clear" w:pos="3742"/>
          <w:tab w:val="clear" w:pos="4366"/>
        </w:tabs>
        <w:spacing w:after="120"/>
        <w:ind w:left="2495" w:hanging="624"/>
        <w:rPr>
          <w:lang w:val="en-GB"/>
        </w:rPr>
      </w:pPr>
      <w:r w:rsidRPr="00BD7721">
        <w:rPr>
          <w:lang w:val="en-GB"/>
        </w:rPr>
        <w:t>Engagement with the Intergovernmental Panel on Climate Change.</w:t>
      </w:r>
    </w:p>
    <w:p w14:paraId="5E58A054" w14:textId="77777777"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Building capacity, strengthening knowledge foundations and supporting policy.</w:t>
      </w:r>
    </w:p>
    <w:p w14:paraId="090B9C6C" w14:textId="77777777"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Improving the effectiveness of the Platform.</w:t>
      </w:r>
    </w:p>
    <w:p w14:paraId="1D7C8FE9" w14:textId="77777777"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Organization of the Plenary; dates and venues of future sessions of the Plenary.</w:t>
      </w:r>
    </w:p>
    <w:p w14:paraId="5E2D9605" w14:textId="7A617668"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Institutional arrangements: United Nations collaborative partnership arrangement for the work of the Platform and its secretariat.</w:t>
      </w:r>
    </w:p>
    <w:p w14:paraId="15E13867" w14:textId="77777777" w:rsidR="00992A45" w:rsidRPr="00BD7721" w:rsidRDefault="00992A45" w:rsidP="00992A45">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Adoption of the decisions and the report of the session.</w:t>
      </w:r>
    </w:p>
    <w:p w14:paraId="7C3D812F" w14:textId="77777777" w:rsidR="00992A45" w:rsidRPr="00BD7721" w:rsidRDefault="00992A45" w:rsidP="00212CBC">
      <w:pPr>
        <w:pStyle w:val="Normal-pool"/>
        <w:numPr>
          <w:ilvl w:val="0"/>
          <w:numId w:val="55"/>
        </w:numPr>
        <w:tabs>
          <w:tab w:val="clear" w:pos="1247"/>
          <w:tab w:val="clear" w:pos="1871"/>
          <w:tab w:val="clear" w:pos="2495"/>
          <w:tab w:val="clear" w:pos="3119"/>
          <w:tab w:val="clear" w:pos="3742"/>
          <w:tab w:val="clear" w:pos="4366"/>
        </w:tabs>
        <w:spacing w:after="120"/>
        <w:ind w:left="1843" w:hanging="567"/>
        <w:rPr>
          <w:lang w:val="en-GB"/>
        </w:rPr>
      </w:pPr>
      <w:r w:rsidRPr="00BD7721">
        <w:rPr>
          <w:lang w:val="en-GB"/>
        </w:rPr>
        <w:t xml:space="preserve">Closure of the session. </w:t>
      </w:r>
    </w:p>
    <w:p w14:paraId="5E91EA00" w14:textId="77777777" w:rsidR="00992A45" w:rsidRPr="00BD7721" w:rsidRDefault="00992A45" w:rsidP="00212CBC">
      <w:pPr>
        <w:pStyle w:val="Normal-pool"/>
        <w:rPr>
          <w:lang w:val="en-GB"/>
        </w:rPr>
      </w:pPr>
    </w:p>
    <w:p w14:paraId="1061C936" w14:textId="77777777" w:rsidR="00417DDE" w:rsidRPr="00BD7721" w:rsidRDefault="00417DDE" w:rsidP="00856D78">
      <w:pPr>
        <w:pStyle w:val="Normal-pool"/>
        <w:rPr>
          <w:lang w:val="en-GB"/>
        </w:rPr>
        <w:sectPr w:rsidR="00417DDE" w:rsidRPr="00BD7721" w:rsidSect="00D70826">
          <w:footnotePr>
            <w:numRestart w:val="eachSect"/>
          </w:footnotePr>
          <w:pgSz w:w="11907" w:h="16839"/>
          <w:pgMar w:top="907" w:right="992" w:bottom="1418" w:left="1418" w:header="539" w:footer="975" w:gutter="0"/>
          <w:cols w:space="720"/>
          <w:docGrid w:linePitch="272"/>
        </w:sectPr>
      </w:pPr>
    </w:p>
    <w:p w14:paraId="2514646C" w14:textId="080874D0" w:rsidR="00992A45" w:rsidRPr="00BD7721" w:rsidRDefault="00856D78" w:rsidP="00856D78">
      <w:pPr>
        <w:pStyle w:val="CH1"/>
        <w:rPr>
          <w:lang w:val="en-GB"/>
        </w:rPr>
      </w:pPr>
      <w:r w:rsidRPr="00BD7721">
        <w:rPr>
          <w:lang w:val="en-GB"/>
        </w:rPr>
        <w:tab/>
      </w:r>
      <w:r w:rsidRPr="00BD7721">
        <w:rPr>
          <w:lang w:val="en-GB"/>
        </w:rPr>
        <w:tab/>
      </w:r>
      <w:r w:rsidR="00992A45" w:rsidRPr="00BD7721">
        <w:rPr>
          <w:lang w:val="en-GB"/>
        </w:rPr>
        <w:t>Decision IPBES-10/3: Financial and budgetary arrangements for the Platform</w:t>
      </w:r>
    </w:p>
    <w:p w14:paraId="1A5D3DD5" w14:textId="77777777" w:rsidR="00992A45" w:rsidRPr="00BD7721" w:rsidRDefault="00992A45" w:rsidP="00856D78">
      <w:pPr>
        <w:pStyle w:val="NormalNonumber"/>
        <w:tabs>
          <w:tab w:val="clear" w:pos="1247"/>
          <w:tab w:val="clear" w:pos="1871"/>
          <w:tab w:val="clear" w:pos="2495"/>
          <w:tab w:val="clear" w:pos="3119"/>
          <w:tab w:val="clear" w:pos="3742"/>
          <w:tab w:val="clear" w:pos="4366"/>
        </w:tabs>
        <w:ind w:firstLine="624"/>
        <w:rPr>
          <w:i/>
          <w:iCs/>
          <w:lang w:val="en-GB"/>
        </w:rPr>
      </w:pPr>
      <w:r w:rsidRPr="00BD7721">
        <w:rPr>
          <w:i/>
          <w:iCs/>
          <w:lang w:val="en-GB"/>
        </w:rPr>
        <w:t xml:space="preserve">The Plenary, </w:t>
      </w:r>
    </w:p>
    <w:p w14:paraId="0619C982" w14:textId="77777777" w:rsidR="00992A45" w:rsidRPr="00BD7721" w:rsidRDefault="00992A45" w:rsidP="00856D78">
      <w:pPr>
        <w:pStyle w:val="NormalNonumber"/>
        <w:tabs>
          <w:tab w:val="clear" w:pos="1247"/>
          <w:tab w:val="clear" w:pos="1871"/>
          <w:tab w:val="clear" w:pos="2495"/>
          <w:tab w:val="clear" w:pos="3119"/>
          <w:tab w:val="clear" w:pos="3742"/>
          <w:tab w:val="clear" w:pos="4366"/>
        </w:tabs>
        <w:ind w:firstLine="624"/>
        <w:rPr>
          <w:lang w:val="en-GB"/>
        </w:rPr>
      </w:pPr>
      <w:r w:rsidRPr="00BD7721">
        <w:rPr>
          <w:i/>
          <w:lang w:val="en-GB"/>
        </w:rPr>
        <w:t>Welcoming</w:t>
      </w:r>
      <w:r w:rsidRPr="00BD7721">
        <w:rPr>
          <w:lang w:val="en-GB"/>
        </w:rPr>
        <w:t xml:space="preserve"> the cash and in-kind contributions received since the ninth session of the Plenary of the Intergovernmental Science-Policy Platform on Biodiversity and Ecosystem Services, </w:t>
      </w:r>
    </w:p>
    <w:p w14:paraId="26542B63" w14:textId="18D1E31A" w:rsidR="00992A45" w:rsidRPr="00BD7721" w:rsidRDefault="00992A45" w:rsidP="00856D78">
      <w:pPr>
        <w:pStyle w:val="NormalNonumber"/>
        <w:tabs>
          <w:tab w:val="clear" w:pos="1247"/>
          <w:tab w:val="clear" w:pos="1871"/>
          <w:tab w:val="clear" w:pos="2495"/>
          <w:tab w:val="clear" w:pos="3119"/>
          <w:tab w:val="clear" w:pos="3742"/>
          <w:tab w:val="clear" w:pos="4366"/>
        </w:tabs>
        <w:ind w:firstLine="624"/>
        <w:rPr>
          <w:lang w:val="en-GB"/>
        </w:rPr>
      </w:pPr>
      <w:r w:rsidRPr="00BD7721">
        <w:rPr>
          <w:i/>
          <w:lang w:val="en-GB"/>
        </w:rPr>
        <w:t xml:space="preserve">Taking note </w:t>
      </w:r>
      <w:r w:rsidRPr="00BD7721">
        <w:rPr>
          <w:lang w:val="en-GB"/>
        </w:rPr>
        <w:t>of the status of cash and in-kind contributions received to date, as listed in tables</w:t>
      </w:r>
      <w:r w:rsidR="00B95C19">
        <w:rPr>
          <w:lang w:val="en-GB"/>
        </w:rPr>
        <w:t> </w:t>
      </w:r>
      <w:r w:rsidRPr="00BD7721">
        <w:rPr>
          <w:lang w:val="en-GB"/>
        </w:rPr>
        <w:t xml:space="preserve">1, 2 and 3 in the annex to the present decision, </w:t>
      </w:r>
    </w:p>
    <w:p w14:paraId="0611406C" w14:textId="77777777" w:rsidR="00992A45" w:rsidRPr="00BD7721" w:rsidRDefault="00992A45" w:rsidP="00856D78">
      <w:pPr>
        <w:pStyle w:val="NormalNonumber"/>
        <w:tabs>
          <w:tab w:val="clear" w:pos="1247"/>
          <w:tab w:val="clear" w:pos="1871"/>
          <w:tab w:val="clear" w:pos="2495"/>
          <w:tab w:val="clear" w:pos="3119"/>
          <w:tab w:val="clear" w:pos="3742"/>
          <w:tab w:val="clear" w:pos="4366"/>
        </w:tabs>
        <w:ind w:firstLine="624"/>
        <w:rPr>
          <w:lang w:val="en-GB"/>
        </w:rPr>
      </w:pPr>
      <w:r w:rsidRPr="00BD7721">
        <w:rPr>
          <w:i/>
          <w:lang w:val="en-GB"/>
        </w:rPr>
        <w:t>Taking note also</w:t>
      </w:r>
      <w:r w:rsidRPr="00BD7721">
        <w:rPr>
          <w:lang w:val="en-GB"/>
        </w:rPr>
        <w:t xml:space="preserve"> of the pledges made for the period beyond 2023,</w:t>
      </w:r>
    </w:p>
    <w:p w14:paraId="5EE11F56" w14:textId="77777777" w:rsidR="00992A45" w:rsidRPr="00BD7721" w:rsidRDefault="00992A45" w:rsidP="00856D78">
      <w:pPr>
        <w:pStyle w:val="NormalNonumber"/>
        <w:tabs>
          <w:tab w:val="clear" w:pos="1247"/>
          <w:tab w:val="clear" w:pos="1871"/>
          <w:tab w:val="clear" w:pos="2495"/>
          <w:tab w:val="clear" w:pos="3119"/>
          <w:tab w:val="clear" w:pos="3742"/>
          <w:tab w:val="clear" w:pos="4366"/>
        </w:tabs>
        <w:ind w:firstLine="624"/>
        <w:rPr>
          <w:lang w:val="en-GB"/>
        </w:rPr>
      </w:pPr>
      <w:r w:rsidRPr="00BD7721">
        <w:rPr>
          <w:i/>
          <w:lang w:val="en-GB"/>
        </w:rPr>
        <w:t>Taking note with concern</w:t>
      </w:r>
      <w:r w:rsidRPr="00BD7721">
        <w:rPr>
          <w:lang w:val="en-GB"/>
        </w:rPr>
        <w:t xml:space="preserve"> of the limited number of members of the Platform contributing to the trust fund of the Platform, </w:t>
      </w:r>
    </w:p>
    <w:p w14:paraId="7D7C179B" w14:textId="77777777" w:rsidR="00992A45" w:rsidRPr="00BD7721" w:rsidRDefault="00992A45" w:rsidP="00856D78">
      <w:pPr>
        <w:pStyle w:val="NormalNonumber"/>
        <w:tabs>
          <w:tab w:val="clear" w:pos="1247"/>
          <w:tab w:val="clear" w:pos="1871"/>
          <w:tab w:val="clear" w:pos="2495"/>
          <w:tab w:val="clear" w:pos="3119"/>
          <w:tab w:val="clear" w:pos="3742"/>
          <w:tab w:val="clear" w:pos="4366"/>
        </w:tabs>
        <w:ind w:firstLine="624"/>
        <w:rPr>
          <w:lang w:val="en-GB"/>
        </w:rPr>
      </w:pPr>
      <w:r w:rsidRPr="00BD7721">
        <w:rPr>
          <w:i/>
          <w:lang w:val="en-GB"/>
        </w:rPr>
        <w:t>Noting</w:t>
      </w:r>
      <w:r w:rsidRPr="00BD7721">
        <w:rPr>
          <w:lang w:val="en-GB"/>
        </w:rPr>
        <w:t xml:space="preserve"> the need to increase the funds raised to implement the rolling work programme up to 2030 and to ensure the sustainability of the trust fund, </w:t>
      </w:r>
    </w:p>
    <w:p w14:paraId="1CA28EB2" w14:textId="77777777" w:rsidR="00992A45" w:rsidRPr="00BD7721" w:rsidRDefault="00992A45" w:rsidP="00856D78">
      <w:pPr>
        <w:pStyle w:val="NormalNonumber"/>
        <w:tabs>
          <w:tab w:val="clear" w:pos="1247"/>
          <w:tab w:val="clear" w:pos="1871"/>
          <w:tab w:val="clear" w:pos="2495"/>
          <w:tab w:val="clear" w:pos="3119"/>
          <w:tab w:val="clear" w:pos="3742"/>
          <w:tab w:val="clear" w:pos="4366"/>
        </w:tabs>
        <w:ind w:firstLine="624"/>
        <w:rPr>
          <w:lang w:val="en-GB"/>
        </w:rPr>
      </w:pPr>
      <w:r w:rsidRPr="00BD7721">
        <w:rPr>
          <w:i/>
          <w:lang w:val="en-GB"/>
        </w:rPr>
        <w:t xml:space="preserve">Taking note </w:t>
      </w:r>
      <w:r w:rsidRPr="00BD7721">
        <w:rPr>
          <w:lang w:val="en-GB"/>
        </w:rPr>
        <w:t xml:space="preserve">of the status of expenditures in 2022, as listed in table 5 in the annex to the present decision, </w:t>
      </w:r>
    </w:p>
    <w:p w14:paraId="23490008" w14:textId="77777777" w:rsidR="00992A45" w:rsidRPr="00BD7721" w:rsidRDefault="00992A45" w:rsidP="00856D78">
      <w:pPr>
        <w:pStyle w:val="NormalNonumber"/>
        <w:tabs>
          <w:tab w:val="clear" w:pos="1247"/>
          <w:tab w:val="clear" w:pos="1871"/>
          <w:tab w:val="clear" w:pos="2495"/>
          <w:tab w:val="clear" w:pos="3119"/>
          <w:tab w:val="clear" w:pos="3742"/>
          <w:tab w:val="clear" w:pos="4366"/>
        </w:tabs>
        <w:ind w:firstLine="624"/>
        <w:rPr>
          <w:color w:val="000000"/>
          <w:lang w:val="en-GB"/>
        </w:rPr>
      </w:pPr>
      <w:r w:rsidRPr="00BD7721">
        <w:rPr>
          <w:i/>
          <w:color w:val="000000"/>
          <w:lang w:val="en-GB"/>
        </w:rPr>
        <w:t>Recalling</w:t>
      </w:r>
      <w:r w:rsidRPr="00BD7721">
        <w:rPr>
          <w:color w:val="000000"/>
          <w:lang w:val="en-GB"/>
        </w:rPr>
        <w:t xml:space="preserve"> the financial procedures for the Platform adopted in decision IPBES-2/7 and amended in decision IPBES-3/2, in particular rules 4, 5 and 10,</w:t>
      </w:r>
    </w:p>
    <w:p w14:paraId="429303AE" w14:textId="77777777" w:rsidR="00992A45" w:rsidRPr="00BD7721" w:rsidRDefault="00992A45" w:rsidP="00212CBC">
      <w:pPr>
        <w:pStyle w:val="Normalnumber"/>
        <w:numPr>
          <w:ilvl w:val="0"/>
          <w:numId w:val="58"/>
        </w:numPr>
        <w:tabs>
          <w:tab w:val="left" w:pos="624"/>
        </w:tabs>
        <w:ind w:left="1247" w:firstLine="624"/>
        <w:rPr>
          <w:lang w:val="en-GB"/>
        </w:rPr>
      </w:pPr>
      <w:r w:rsidRPr="00BD7721">
        <w:rPr>
          <w:i/>
          <w:lang w:val="en-GB"/>
        </w:rPr>
        <w:t>Welcomes</w:t>
      </w:r>
      <w:r w:rsidRPr="00BD7721">
        <w:rPr>
          <w:lang w:val="en-GB"/>
        </w:rPr>
        <w:t xml:space="preserve"> the fundraising efforts undertaken by the Executive Secretary in response to decision IPBES-9/</w:t>
      </w:r>
      <w:proofErr w:type="gramStart"/>
      <w:r w:rsidRPr="00BD7721">
        <w:rPr>
          <w:lang w:val="en-GB"/>
        </w:rPr>
        <w:t>3;</w:t>
      </w:r>
      <w:proofErr w:type="gramEnd"/>
    </w:p>
    <w:p w14:paraId="1D00FCB6" w14:textId="77777777" w:rsidR="00992A45" w:rsidRPr="00BD7721" w:rsidRDefault="00992A45" w:rsidP="00856D78">
      <w:pPr>
        <w:pStyle w:val="Normalnumber"/>
        <w:numPr>
          <w:ilvl w:val="0"/>
          <w:numId w:val="21"/>
        </w:numPr>
        <w:tabs>
          <w:tab w:val="left" w:pos="624"/>
        </w:tabs>
        <w:ind w:left="1247" w:firstLine="624"/>
        <w:rPr>
          <w:color w:val="000000"/>
          <w:lang w:val="en-GB"/>
        </w:rPr>
      </w:pPr>
      <w:r w:rsidRPr="00BD7721">
        <w:rPr>
          <w:i/>
          <w:color w:val="000000"/>
          <w:lang w:val="en-GB"/>
        </w:rPr>
        <w:t xml:space="preserve">Urges </w:t>
      </w:r>
      <w:r w:rsidRPr="00BD7721">
        <w:rPr>
          <w:color w:val="000000"/>
          <w:lang w:val="en-GB"/>
        </w:rPr>
        <w:t xml:space="preserve">Governments, including regional economic integration organizations, in a position to do so to support the work of the Platform by making pledges and contributions to the trust fund of the Platform, as well as in-kind </w:t>
      </w:r>
      <w:proofErr w:type="gramStart"/>
      <w:r w:rsidRPr="00BD7721">
        <w:rPr>
          <w:color w:val="000000"/>
          <w:lang w:val="en-GB"/>
        </w:rPr>
        <w:t>contributions;</w:t>
      </w:r>
      <w:proofErr w:type="gramEnd"/>
    </w:p>
    <w:p w14:paraId="49EB8511" w14:textId="77777777" w:rsidR="00992A45" w:rsidRPr="00BD7721" w:rsidRDefault="00992A45" w:rsidP="00856D78">
      <w:pPr>
        <w:pStyle w:val="Normalnumber"/>
        <w:numPr>
          <w:ilvl w:val="0"/>
          <w:numId w:val="21"/>
        </w:numPr>
        <w:tabs>
          <w:tab w:val="left" w:pos="624"/>
        </w:tabs>
        <w:ind w:left="1247" w:firstLine="624"/>
        <w:rPr>
          <w:color w:val="000000"/>
          <w:lang w:val="en-GB"/>
        </w:rPr>
      </w:pPr>
      <w:r w:rsidRPr="00BD7721">
        <w:rPr>
          <w:i/>
          <w:color w:val="000000"/>
          <w:lang w:val="en-GB"/>
        </w:rPr>
        <w:t xml:space="preserve">Invites </w:t>
      </w:r>
      <w:r w:rsidRPr="00BD7721">
        <w:rPr>
          <w:color w:val="000000"/>
          <w:lang w:val="en-GB"/>
        </w:rPr>
        <w:t xml:space="preserve">United Nations bodies, the Global Environment Facility, other intergovernmental organizations, the private sector, foundations, stakeholders and others in a position to do so to support the work of the Platform, in particular through contributions to the trust </w:t>
      </w:r>
      <w:proofErr w:type="gramStart"/>
      <w:r w:rsidRPr="00BD7721">
        <w:rPr>
          <w:color w:val="000000"/>
          <w:lang w:val="en-GB"/>
        </w:rPr>
        <w:t>fund;</w:t>
      </w:r>
      <w:proofErr w:type="gramEnd"/>
    </w:p>
    <w:p w14:paraId="6B5CCACB" w14:textId="77777777" w:rsidR="00992A45" w:rsidRPr="00BD7721" w:rsidRDefault="00992A45" w:rsidP="00856D78">
      <w:pPr>
        <w:pStyle w:val="Normalnumber"/>
        <w:numPr>
          <w:ilvl w:val="0"/>
          <w:numId w:val="21"/>
        </w:numPr>
        <w:tabs>
          <w:tab w:val="left" w:pos="624"/>
        </w:tabs>
        <w:ind w:left="1247" w:firstLine="624"/>
        <w:rPr>
          <w:color w:val="000000"/>
          <w:lang w:val="en-GB"/>
        </w:rPr>
      </w:pPr>
      <w:r w:rsidRPr="00BD7721">
        <w:rPr>
          <w:i/>
          <w:color w:val="000000"/>
          <w:lang w:val="en-GB"/>
        </w:rPr>
        <w:t>Requests</w:t>
      </w:r>
      <w:r w:rsidRPr="00BD7721">
        <w:rPr>
          <w:color w:val="000000"/>
          <w:lang w:val="en-GB"/>
        </w:rPr>
        <w:t xml:space="preserve"> the Executive Secretary, under the guidance of the Bureau, to increase efforts to further encourage members to take on ownership of the Platform by contributing to the trust fund of the Platform, as well as through in-kind contributions, with a view to broadening the donor </w:t>
      </w:r>
      <w:proofErr w:type="gramStart"/>
      <w:r w:rsidRPr="00BD7721">
        <w:rPr>
          <w:color w:val="000000"/>
          <w:lang w:val="en-GB"/>
        </w:rPr>
        <w:t>base;</w:t>
      </w:r>
      <w:proofErr w:type="gramEnd"/>
    </w:p>
    <w:p w14:paraId="61DCC3FB" w14:textId="77777777" w:rsidR="00992A45" w:rsidRPr="00BD7721" w:rsidRDefault="00992A45" w:rsidP="00856D78">
      <w:pPr>
        <w:pStyle w:val="Normalnumber"/>
        <w:numPr>
          <w:ilvl w:val="0"/>
          <w:numId w:val="21"/>
        </w:numPr>
        <w:tabs>
          <w:tab w:val="left" w:pos="624"/>
        </w:tabs>
        <w:ind w:left="1247" w:firstLine="624"/>
        <w:rPr>
          <w:color w:val="000000"/>
          <w:lang w:val="en-GB"/>
        </w:rPr>
      </w:pPr>
      <w:r w:rsidRPr="00BD7721">
        <w:rPr>
          <w:i/>
          <w:color w:val="000000"/>
          <w:lang w:val="en-GB"/>
        </w:rPr>
        <w:t>Requests</w:t>
      </w:r>
      <w:r w:rsidRPr="00BD7721">
        <w:rPr>
          <w:color w:val="000000"/>
          <w:lang w:val="en-GB"/>
        </w:rPr>
        <w:t xml:space="preserve"> the Executive Secretary, under the guidance of the Bureau, to revisit the fundraising strategy, including recommendations to improve its impact, and to put forward recommendations for consideration by the Plenary at its eleventh </w:t>
      </w:r>
      <w:proofErr w:type="gramStart"/>
      <w:r w:rsidRPr="00BD7721">
        <w:rPr>
          <w:color w:val="000000"/>
          <w:lang w:val="en-GB"/>
        </w:rPr>
        <w:t>session;</w:t>
      </w:r>
      <w:proofErr w:type="gramEnd"/>
    </w:p>
    <w:p w14:paraId="6D57664C" w14:textId="77777777" w:rsidR="00992A45" w:rsidRPr="00BD7721" w:rsidRDefault="00992A45" w:rsidP="00856D78">
      <w:pPr>
        <w:pStyle w:val="Normalnumber"/>
        <w:numPr>
          <w:ilvl w:val="0"/>
          <w:numId w:val="21"/>
        </w:numPr>
        <w:tabs>
          <w:tab w:val="left" w:pos="624"/>
        </w:tabs>
        <w:ind w:left="1247" w:firstLine="624"/>
        <w:rPr>
          <w:color w:val="000000"/>
          <w:lang w:val="en-GB"/>
        </w:rPr>
      </w:pPr>
      <w:r w:rsidRPr="00BD7721">
        <w:rPr>
          <w:i/>
          <w:color w:val="000000"/>
          <w:lang w:val="en-GB"/>
        </w:rPr>
        <w:t xml:space="preserve">Requests </w:t>
      </w:r>
      <w:r w:rsidRPr="00BD7721">
        <w:rPr>
          <w:color w:val="000000"/>
          <w:lang w:val="en-GB"/>
        </w:rPr>
        <w:t xml:space="preserve">the Executive Secretary to report on expenditures for 2023 to the Plenary at its eleventh </w:t>
      </w:r>
      <w:proofErr w:type="gramStart"/>
      <w:r w:rsidRPr="00BD7721">
        <w:rPr>
          <w:color w:val="000000"/>
          <w:lang w:val="en-GB"/>
        </w:rPr>
        <w:t>session;</w:t>
      </w:r>
      <w:proofErr w:type="gramEnd"/>
    </w:p>
    <w:p w14:paraId="4CFC63F3" w14:textId="77777777" w:rsidR="00992A45" w:rsidRPr="00BD7721" w:rsidRDefault="00992A45" w:rsidP="00856D78">
      <w:pPr>
        <w:pStyle w:val="Normalnumber"/>
        <w:numPr>
          <w:ilvl w:val="0"/>
          <w:numId w:val="21"/>
        </w:numPr>
        <w:tabs>
          <w:tab w:val="left" w:pos="624"/>
        </w:tabs>
        <w:ind w:left="1247" w:firstLine="624"/>
        <w:rPr>
          <w:color w:val="000000"/>
          <w:lang w:val="en-GB"/>
        </w:rPr>
      </w:pPr>
      <w:r w:rsidRPr="00BD7721">
        <w:rPr>
          <w:i/>
          <w:color w:val="000000"/>
          <w:lang w:val="en-GB"/>
        </w:rPr>
        <w:t>Invites</w:t>
      </w:r>
      <w:r w:rsidRPr="00BD7721">
        <w:rPr>
          <w:color w:val="000000"/>
          <w:lang w:val="en-GB"/>
        </w:rPr>
        <w:t xml:space="preserve"> those in a position to do so to support a secondee or Junior Professional Officer to enhance the work of the secretariat of the </w:t>
      </w:r>
      <w:proofErr w:type="gramStart"/>
      <w:r w:rsidRPr="00BD7721">
        <w:rPr>
          <w:color w:val="000000"/>
          <w:lang w:val="en-GB"/>
        </w:rPr>
        <w:t>Platform;</w:t>
      </w:r>
      <w:proofErr w:type="gramEnd"/>
    </w:p>
    <w:p w14:paraId="09934250" w14:textId="77777777" w:rsidR="00992A45" w:rsidRPr="00BD7721" w:rsidRDefault="00992A45" w:rsidP="00856D78">
      <w:pPr>
        <w:pStyle w:val="Normalnumber"/>
        <w:numPr>
          <w:ilvl w:val="0"/>
          <w:numId w:val="21"/>
        </w:numPr>
        <w:tabs>
          <w:tab w:val="left" w:pos="624"/>
        </w:tabs>
        <w:ind w:left="1247" w:firstLine="624"/>
        <w:rPr>
          <w:color w:val="000000"/>
          <w:lang w:val="en-GB"/>
        </w:rPr>
      </w:pPr>
      <w:r w:rsidRPr="00BD7721">
        <w:rPr>
          <w:i/>
          <w:color w:val="000000"/>
          <w:lang w:val="en-GB"/>
        </w:rPr>
        <w:t>Urges</w:t>
      </w:r>
      <w:r w:rsidRPr="00BD7721">
        <w:rPr>
          <w:color w:val="000000"/>
          <w:lang w:val="en-GB"/>
        </w:rPr>
        <w:t xml:space="preserve"> those in a position to do so to provide funding to Indigenous Peoples and local communities </w:t>
      </w:r>
      <w:r w:rsidRPr="00BD7721">
        <w:rPr>
          <w:lang w:val="en-GB"/>
        </w:rPr>
        <w:t xml:space="preserve">and youth </w:t>
      </w:r>
      <w:r w:rsidRPr="00BD7721">
        <w:rPr>
          <w:color w:val="000000"/>
          <w:lang w:val="en-GB"/>
        </w:rPr>
        <w:t xml:space="preserve">representatives to increase their participation in the full range of activities of the </w:t>
      </w:r>
      <w:proofErr w:type="gramStart"/>
      <w:r w:rsidRPr="00BD7721">
        <w:rPr>
          <w:color w:val="000000"/>
          <w:lang w:val="en-GB"/>
        </w:rPr>
        <w:t>Platform;</w:t>
      </w:r>
      <w:proofErr w:type="gramEnd"/>
    </w:p>
    <w:p w14:paraId="7163B327" w14:textId="77777777" w:rsidR="00992A45" w:rsidRPr="00BD7721" w:rsidRDefault="00992A45" w:rsidP="00856D78">
      <w:pPr>
        <w:pStyle w:val="Normalnumber"/>
        <w:numPr>
          <w:ilvl w:val="0"/>
          <w:numId w:val="21"/>
        </w:numPr>
        <w:tabs>
          <w:tab w:val="left" w:pos="624"/>
        </w:tabs>
        <w:ind w:left="1247" w:firstLine="624"/>
        <w:rPr>
          <w:color w:val="000000"/>
          <w:lang w:val="en-GB"/>
        </w:rPr>
      </w:pPr>
      <w:r w:rsidRPr="00BD7721">
        <w:rPr>
          <w:i/>
          <w:color w:val="000000"/>
          <w:lang w:val="en-GB"/>
        </w:rPr>
        <w:t>Requests</w:t>
      </w:r>
      <w:r w:rsidRPr="00BD7721">
        <w:rPr>
          <w:color w:val="000000"/>
          <w:lang w:val="en-GB"/>
        </w:rPr>
        <w:t xml:space="preserve"> the secretariat to develop and review options for providing funding for the participation of Indigenous Peoples and local communities and youth in the full range of activities of the Platform to ensure that their thus far underrepresented perspective can be better included for consideration by the Plenary at its eleventh </w:t>
      </w:r>
      <w:proofErr w:type="gramStart"/>
      <w:r w:rsidRPr="00BD7721">
        <w:rPr>
          <w:color w:val="000000"/>
          <w:lang w:val="en-GB"/>
        </w:rPr>
        <w:t>session;</w:t>
      </w:r>
      <w:proofErr w:type="gramEnd"/>
    </w:p>
    <w:p w14:paraId="18DCD2EF" w14:textId="77777777" w:rsidR="00992A45" w:rsidRPr="00BD7721" w:rsidRDefault="00992A45" w:rsidP="00856D78">
      <w:pPr>
        <w:pStyle w:val="Normalnumber"/>
        <w:numPr>
          <w:ilvl w:val="0"/>
          <w:numId w:val="21"/>
        </w:numPr>
        <w:tabs>
          <w:tab w:val="left" w:pos="624"/>
        </w:tabs>
        <w:ind w:left="1247" w:firstLine="624"/>
        <w:rPr>
          <w:color w:val="000000"/>
          <w:lang w:val="en-GB"/>
        </w:rPr>
      </w:pPr>
      <w:r w:rsidRPr="00BD7721">
        <w:rPr>
          <w:i/>
          <w:color w:val="000000"/>
          <w:lang w:val="en-GB"/>
        </w:rPr>
        <w:t xml:space="preserve">Adopts </w:t>
      </w:r>
      <w:r w:rsidRPr="00BD7721">
        <w:rPr>
          <w:color w:val="000000"/>
          <w:lang w:val="en-GB"/>
        </w:rPr>
        <w:t xml:space="preserve">the revised budget for 2023, amounting to $9,071,593, as set out in table 6 of the annex to the present </w:t>
      </w:r>
      <w:proofErr w:type="gramStart"/>
      <w:r w:rsidRPr="00BD7721">
        <w:rPr>
          <w:color w:val="000000"/>
          <w:lang w:val="en-GB"/>
        </w:rPr>
        <w:t>decision;</w:t>
      </w:r>
      <w:proofErr w:type="gramEnd"/>
      <w:r w:rsidRPr="00BD7721">
        <w:rPr>
          <w:color w:val="000000"/>
          <w:lang w:val="en-GB"/>
        </w:rPr>
        <w:t xml:space="preserve"> </w:t>
      </w:r>
    </w:p>
    <w:p w14:paraId="6A94E6B9" w14:textId="77777777" w:rsidR="00992A45" w:rsidRPr="00BD7721" w:rsidRDefault="00992A45" w:rsidP="00856D78">
      <w:pPr>
        <w:pStyle w:val="Normalnumber"/>
        <w:numPr>
          <w:ilvl w:val="0"/>
          <w:numId w:val="21"/>
        </w:numPr>
        <w:tabs>
          <w:tab w:val="left" w:pos="624"/>
        </w:tabs>
        <w:ind w:left="1247" w:firstLine="624"/>
        <w:rPr>
          <w:color w:val="000000"/>
          <w:lang w:val="en-GB"/>
        </w:rPr>
      </w:pPr>
      <w:r w:rsidRPr="00BD7721">
        <w:rPr>
          <w:i/>
          <w:color w:val="000000"/>
          <w:lang w:val="en-GB"/>
        </w:rPr>
        <w:t xml:space="preserve">Also adopts </w:t>
      </w:r>
      <w:r w:rsidRPr="00BD7721">
        <w:rPr>
          <w:color w:val="000000"/>
          <w:lang w:val="en-GB"/>
        </w:rPr>
        <w:t xml:space="preserve">the budget for 2024, amounting </w:t>
      </w:r>
      <w:r w:rsidRPr="00BD7721">
        <w:rPr>
          <w:lang w:val="en-GB"/>
        </w:rPr>
        <w:t xml:space="preserve">to $10,455,858, </w:t>
      </w:r>
      <w:r w:rsidRPr="00BD7721">
        <w:rPr>
          <w:color w:val="000000"/>
          <w:lang w:val="en-GB"/>
        </w:rPr>
        <w:t xml:space="preserve">as set out in table </w:t>
      </w:r>
      <w:r w:rsidRPr="00BD7721">
        <w:rPr>
          <w:lang w:val="en-GB"/>
        </w:rPr>
        <w:t>7</w:t>
      </w:r>
      <w:r w:rsidRPr="00BD7721">
        <w:rPr>
          <w:color w:val="000000"/>
          <w:lang w:val="en-GB"/>
        </w:rPr>
        <w:t xml:space="preserve"> of the annex to the present </w:t>
      </w:r>
      <w:proofErr w:type="gramStart"/>
      <w:r w:rsidRPr="00BD7721">
        <w:rPr>
          <w:color w:val="000000"/>
          <w:lang w:val="en-GB"/>
        </w:rPr>
        <w:t>decision;</w:t>
      </w:r>
      <w:proofErr w:type="gramEnd"/>
    </w:p>
    <w:p w14:paraId="6D64477B" w14:textId="77777777" w:rsidR="00992A45" w:rsidRPr="00BD7721" w:rsidRDefault="00992A45" w:rsidP="00856D78">
      <w:pPr>
        <w:pStyle w:val="Normalnumber"/>
        <w:numPr>
          <w:ilvl w:val="0"/>
          <w:numId w:val="21"/>
        </w:numPr>
        <w:tabs>
          <w:tab w:val="left" w:pos="624"/>
        </w:tabs>
        <w:ind w:left="1247" w:firstLine="624"/>
        <w:rPr>
          <w:color w:val="000000"/>
          <w:lang w:val="en-GB"/>
        </w:rPr>
      </w:pPr>
      <w:r w:rsidRPr="00BD7721">
        <w:rPr>
          <w:i/>
          <w:color w:val="000000"/>
          <w:lang w:val="en-GB"/>
        </w:rPr>
        <w:t>Further adopts</w:t>
      </w:r>
      <w:r w:rsidRPr="00BD7721">
        <w:rPr>
          <w:color w:val="000000"/>
          <w:lang w:val="en-GB"/>
        </w:rPr>
        <w:t xml:space="preserve"> the provisional budget for 2025, amounting to $10,202,992, as set out in table 8 of the annex to the present decision. </w:t>
      </w:r>
    </w:p>
    <w:p w14:paraId="4933995A" w14:textId="77777777" w:rsidR="00856D78" w:rsidRPr="00BD7721" w:rsidRDefault="00856D78" w:rsidP="00856D78">
      <w:pPr>
        <w:pStyle w:val="Normal-pool"/>
        <w:rPr>
          <w:lang w:val="en-GB"/>
        </w:rPr>
      </w:pPr>
    </w:p>
    <w:p w14:paraId="3B1738B0" w14:textId="77777777" w:rsidR="00992A45" w:rsidRPr="00BD7721" w:rsidRDefault="00992A45" w:rsidP="00992A45">
      <w:pPr>
        <w:sectPr w:rsidR="00992A45" w:rsidRPr="00BD7721" w:rsidSect="00D70826">
          <w:footnotePr>
            <w:numRestart w:val="eachSect"/>
          </w:footnotePr>
          <w:pgSz w:w="11907" w:h="16839"/>
          <w:pgMar w:top="907" w:right="992" w:bottom="1418" w:left="1418" w:header="539" w:footer="975" w:gutter="0"/>
          <w:cols w:space="720"/>
          <w:docGrid w:linePitch="272"/>
        </w:sectPr>
      </w:pPr>
    </w:p>
    <w:p w14:paraId="04E68D49" w14:textId="0DDB72C1" w:rsidR="00992A45" w:rsidRPr="00BD7721" w:rsidRDefault="00820641" w:rsidP="00820641">
      <w:pPr>
        <w:pStyle w:val="CH1"/>
        <w:rPr>
          <w:lang w:val="en-GB"/>
        </w:rPr>
      </w:pPr>
      <w:r w:rsidRPr="00BD7721">
        <w:rPr>
          <w:lang w:val="en-GB"/>
        </w:rPr>
        <w:tab/>
      </w:r>
      <w:r w:rsidRPr="00BD7721">
        <w:rPr>
          <w:lang w:val="en-GB"/>
        </w:rPr>
        <w:tab/>
      </w:r>
      <w:r w:rsidR="00992A45" w:rsidRPr="00BD7721">
        <w:rPr>
          <w:lang w:val="en-GB"/>
        </w:rPr>
        <w:t>Annex to decision IPBES-10/3</w:t>
      </w:r>
    </w:p>
    <w:p w14:paraId="1BC6D8BA" w14:textId="77777777" w:rsidR="00992A45" w:rsidRPr="00BD7721" w:rsidRDefault="00992A45" w:rsidP="00992A45">
      <w:pPr>
        <w:pStyle w:val="CH1"/>
        <w:rPr>
          <w:rFonts w:eastAsia="Yu Mincho"/>
          <w:lang w:val="en-GB"/>
        </w:rPr>
      </w:pPr>
      <w:r w:rsidRPr="00BD7721">
        <w:rPr>
          <w:rFonts w:eastAsia="Yu Mincho"/>
          <w:lang w:val="en-GB"/>
        </w:rPr>
        <w:tab/>
        <w:t>I.</w:t>
      </w:r>
      <w:r w:rsidRPr="00BD7721">
        <w:rPr>
          <w:rFonts w:eastAsia="Yu Mincho"/>
          <w:lang w:val="en-GB"/>
        </w:rPr>
        <w:tab/>
        <w:t>Status of cash and in-kind contributions to the Intergovernmental Science-Policy Platform on Biodiversity and Ecosystem Services</w:t>
      </w:r>
    </w:p>
    <w:p w14:paraId="36751BAE" w14:textId="77777777" w:rsidR="00992A45" w:rsidRPr="00BD7721" w:rsidRDefault="00992A45" w:rsidP="00DC0B71">
      <w:pPr>
        <w:pStyle w:val="Titletable"/>
        <w:rPr>
          <w:lang w:val="en-GB"/>
        </w:rPr>
      </w:pPr>
      <w:r w:rsidRPr="00BD7721">
        <w:rPr>
          <w:b w:val="0"/>
          <w:bCs w:val="0"/>
          <w:lang w:val="en-GB"/>
        </w:rPr>
        <w:t>Table 1</w:t>
      </w:r>
      <w:r w:rsidRPr="00BD7721">
        <w:rPr>
          <w:lang w:val="en-GB"/>
        </w:rPr>
        <w:t xml:space="preserve"> </w:t>
      </w:r>
      <w:r w:rsidRPr="00BD7721">
        <w:rPr>
          <w:lang w:val="en-GB"/>
        </w:rPr>
        <w:br/>
        <w:t xml:space="preserve">Status of cash contributions </w:t>
      </w:r>
      <w:proofErr w:type="gramStart"/>
      <w:r w:rsidRPr="00BD7721">
        <w:rPr>
          <w:lang w:val="en-GB"/>
        </w:rPr>
        <w:t>received</w:t>
      </w:r>
      <w:proofErr w:type="gramEnd"/>
      <w:r w:rsidRPr="00BD7721">
        <w:rPr>
          <w:lang w:val="en-GB"/>
        </w:rPr>
        <w:t xml:space="preserve"> and pledges made for the period 1 January 2018 to 31 December 2024 (as at 30 August 2023)</w:t>
      </w:r>
    </w:p>
    <w:p w14:paraId="45B3C052" w14:textId="77777777" w:rsidR="00992A45" w:rsidRPr="00BD7721" w:rsidRDefault="00992A45" w:rsidP="00DC0B71">
      <w:pPr>
        <w:pStyle w:val="Titletable"/>
        <w:rPr>
          <w:b w:val="0"/>
          <w:bCs w:val="0"/>
          <w:sz w:val="18"/>
          <w:szCs w:val="18"/>
          <w:lang w:val="en-GB"/>
        </w:rPr>
      </w:pPr>
      <w:r w:rsidRPr="00BD7721">
        <w:rPr>
          <w:b w:val="0"/>
          <w:bCs w:val="0"/>
          <w:sz w:val="18"/>
          <w:szCs w:val="18"/>
          <w:lang w:val="en-GB"/>
        </w:rPr>
        <w:t>(United States dollars)</w:t>
      </w:r>
    </w:p>
    <w:tbl>
      <w:tblPr>
        <w:tblW w:w="5000" w:type="pct"/>
        <w:jc w:val="right"/>
        <w:tblBorders>
          <w:insideH w:val="nil"/>
          <w:insideV w:val="nil"/>
        </w:tblBorders>
        <w:tblLayout w:type="fixed"/>
        <w:tblLook w:val="0400" w:firstRow="0" w:lastRow="0" w:firstColumn="0" w:lastColumn="0" w:noHBand="0" w:noVBand="1"/>
      </w:tblPr>
      <w:tblGrid>
        <w:gridCol w:w="2836"/>
        <w:gridCol w:w="993"/>
        <w:gridCol w:w="992"/>
        <w:gridCol w:w="1086"/>
        <w:gridCol w:w="1213"/>
        <w:gridCol w:w="1213"/>
        <w:gridCol w:w="1166"/>
        <w:gridCol w:w="1293"/>
        <w:gridCol w:w="1166"/>
        <w:gridCol w:w="1072"/>
        <w:gridCol w:w="1399"/>
      </w:tblGrid>
      <w:tr w:rsidR="00992A45" w:rsidRPr="00BD7721" w14:paraId="12AA0459" w14:textId="77777777" w:rsidTr="00C926C7">
        <w:trPr>
          <w:trHeight w:val="57"/>
          <w:tblHeader/>
          <w:jc w:val="right"/>
        </w:trPr>
        <w:tc>
          <w:tcPr>
            <w:tcW w:w="2835" w:type="dxa"/>
            <w:vMerge w:val="restart"/>
            <w:tcBorders>
              <w:top w:val="single" w:sz="4" w:space="0" w:color="000000"/>
              <w:left w:val="nil"/>
              <w:bottom w:val="single" w:sz="12" w:space="0" w:color="auto"/>
              <w:right w:val="nil"/>
            </w:tcBorders>
          </w:tcPr>
          <w:p w14:paraId="1BE5E907" w14:textId="77777777" w:rsidR="00992A45" w:rsidRPr="00BD7721" w:rsidRDefault="00992A45" w:rsidP="004E48D5">
            <w:pPr>
              <w:pStyle w:val="Normal-pool"/>
              <w:spacing w:before="40" w:after="40"/>
              <w:rPr>
                <w:sz w:val="18"/>
                <w:szCs w:val="18"/>
                <w:lang w:val="en-GB"/>
              </w:rPr>
            </w:pPr>
          </w:p>
        </w:tc>
        <w:tc>
          <w:tcPr>
            <w:tcW w:w="6663" w:type="dxa"/>
            <w:gridSpan w:val="6"/>
            <w:tcBorders>
              <w:top w:val="single" w:sz="4" w:space="0" w:color="000000"/>
              <w:left w:val="nil"/>
              <w:bottom w:val="single" w:sz="4" w:space="0" w:color="000000"/>
              <w:right w:val="single" w:sz="4" w:space="0" w:color="000000"/>
            </w:tcBorders>
            <w:hideMark/>
          </w:tcPr>
          <w:p w14:paraId="5E295FD9" w14:textId="77777777" w:rsidR="00992A45" w:rsidRPr="00BD7721" w:rsidRDefault="00992A45" w:rsidP="004E48D5">
            <w:pPr>
              <w:pStyle w:val="Normal-pool"/>
              <w:spacing w:before="40" w:after="40"/>
              <w:jc w:val="center"/>
              <w:rPr>
                <w:i/>
                <w:sz w:val="18"/>
                <w:szCs w:val="18"/>
                <w:lang w:val="en-GB"/>
              </w:rPr>
            </w:pPr>
            <w:r w:rsidRPr="00BD7721">
              <w:rPr>
                <w:i/>
                <w:sz w:val="18"/>
                <w:szCs w:val="18"/>
                <w:lang w:val="en-GB"/>
              </w:rPr>
              <w:t>Contributions received</w:t>
            </w:r>
          </w:p>
        </w:tc>
        <w:tc>
          <w:tcPr>
            <w:tcW w:w="4930" w:type="dxa"/>
            <w:gridSpan w:val="4"/>
            <w:tcBorders>
              <w:top w:val="single" w:sz="4" w:space="0" w:color="000000"/>
              <w:left w:val="single" w:sz="4" w:space="0" w:color="000000"/>
              <w:bottom w:val="single" w:sz="4" w:space="0" w:color="000000"/>
              <w:right w:val="nil"/>
            </w:tcBorders>
            <w:hideMark/>
          </w:tcPr>
          <w:p w14:paraId="744EEB69" w14:textId="77777777" w:rsidR="00992A45" w:rsidRPr="00BD7721" w:rsidRDefault="00992A45" w:rsidP="004E48D5">
            <w:pPr>
              <w:pStyle w:val="Normal-pool"/>
              <w:spacing w:before="40" w:after="40"/>
              <w:jc w:val="center"/>
              <w:rPr>
                <w:i/>
                <w:sz w:val="18"/>
                <w:szCs w:val="18"/>
                <w:lang w:val="en-GB"/>
              </w:rPr>
            </w:pPr>
            <w:r w:rsidRPr="00BD7721">
              <w:rPr>
                <w:i/>
                <w:sz w:val="18"/>
                <w:szCs w:val="18"/>
                <w:lang w:val="en-GB"/>
              </w:rPr>
              <w:t>Pledges</w:t>
            </w:r>
          </w:p>
        </w:tc>
      </w:tr>
      <w:tr w:rsidR="00992A45" w:rsidRPr="00BD7721" w14:paraId="1B037EC9" w14:textId="77777777" w:rsidTr="00C926C7">
        <w:trPr>
          <w:trHeight w:val="57"/>
          <w:tblHeader/>
          <w:jc w:val="right"/>
        </w:trPr>
        <w:tc>
          <w:tcPr>
            <w:tcW w:w="2835" w:type="dxa"/>
            <w:vMerge/>
            <w:tcBorders>
              <w:top w:val="single" w:sz="4" w:space="0" w:color="auto"/>
              <w:left w:val="nil"/>
              <w:bottom w:val="single" w:sz="12" w:space="0" w:color="auto"/>
              <w:right w:val="nil"/>
            </w:tcBorders>
            <w:vAlign w:val="center"/>
            <w:hideMark/>
          </w:tcPr>
          <w:p w14:paraId="1F757EB6" w14:textId="77777777" w:rsidR="00992A45" w:rsidRPr="00BD7721" w:rsidRDefault="00992A45" w:rsidP="004E48D5">
            <w:pPr>
              <w:rPr>
                <w:sz w:val="18"/>
                <w:szCs w:val="18"/>
              </w:rPr>
            </w:pPr>
          </w:p>
        </w:tc>
        <w:tc>
          <w:tcPr>
            <w:tcW w:w="993" w:type="dxa"/>
            <w:tcBorders>
              <w:top w:val="single" w:sz="4" w:space="0" w:color="000000"/>
              <w:left w:val="nil"/>
              <w:bottom w:val="single" w:sz="12" w:space="0" w:color="000000"/>
              <w:right w:val="nil"/>
            </w:tcBorders>
            <w:hideMark/>
          </w:tcPr>
          <w:p w14:paraId="798ABE51" w14:textId="77777777" w:rsidR="00992A45" w:rsidRPr="00BD7721" w:rsidRDefault="00992A45" w:rsidP="004E48D5">
            <w:pPr>
              <w:pStyle w:val="Normal-pool"/>
              <w:spacing w:before="40" w:after="40"/>
              <w:jc w:val="right"/>
              <w:rPr>
                <w:i/>
                <w:sz w:val="18"/>
                <w:szCs w:val="18"/>
                <w:lang w:val="en-GB"/>
              </w:rPr>
            </w:pPr>
            <w:r w:rsidRPr="00BD7721">
              <w:rPr>
                <w:i/>
                <w:sz w:val="18"/>
                <w:szCs w:val="18"/>
                <w:lang w:val="en-GB"/>
              </w:rPr>
              <w:t>2018</w:t>
            </w:r>
          </w:p>
        </w:tc>
        <w:tc>
          <w:tcPr>
            <w:tcW w:w="992" w:type="dxa"/>
            <w:tcBorders>
              <w:top w:val="single" w:sz="4" w:space="0" w:color="000000"/>
              <w:left w:val="nil"/>
              <w:bottom w:val="single" w:sz="12" w:space="0" w:color="000000"/>
              <w:right w:val="nil"/>
            </w:tcBorders>
            <w:hideMark/>
          </w:tcPr>
          <w:p w14:paraId="5AB41E16" w14:textId="77777777" w:rsidR="00992A45" w:rsidRPr="00BD7721" w:rsidRDefault="00992A45" w:rsidP="004E48D5">
            <w:pPr>
              <w:pStyle w:val="Normal-pool"/>
              <w:spacing w:before="40" w:after="40"/>
              <w:jc w:val="right"/>
              <w:rPr>
                <w:i/>
                <w:sz w:val="18"/>
                <w:szCs w:val="18"/>
                <w:lang w:val="en-GB"/>
              </w:rPr>
            </w:pPr>
            <w:r w:rsidRPr="00BD7721">
              <w:rPr>
                <w:i/>
                <w:sz w:val="18"/>
                <w:szCs w:val="18"/>
                <w:lang w:val="en-GB"/>
              </w:rPr>
              <w:t>2019</w:t>
            </w:r>
          </w:p>
        </w:tc>
        <w:tc>
          <w:tcPr>
            <w:tcW w:w="1086" w:type="dxa"/>
            <w:tcBorders>
              <w:top w:val="single" w:sz="4" w:space="0" w:color="000000"/>
              <w:left w:val="nil"/>
              <w:bottom w:val="single" w:sz="12" w:space="0" w:color="000000"/>
              <w:right w:val="nil"/>
            </w:tcBorders>
            <w:hideMark/>
          </w:tcPr>
          <w:p w14:paraId="4AF32B27" w14:textId="77777777" w:rsidR="00992A45" w:rsidRPr="00BD7721" w:rsidRDefault="00992A45" w:rsidP="004E48D5">
            <w:pPr>
              <w:pStyle w:val="Normal-pool"/>
              <w:spacing w:before="40" w:after="40"/>
              <w:jc w:val="right"/>
              <w:rPr>
                <w:i/>
                <w:sz w:val="18"/>
                <w:szCs w:val="18"/>
                <w:lang w:val="en-GB"/>
              </w:rPr>
            </w:pPr>
            <w:r w:rsidRPr="00BD7721">
              <w:rPr>
                <w:i/>
                <w:sz w:val="18"/>
                <w:szCs w:val="18"/>
                <w:lang w:val="en-GB"/>
              </w:rPr>
              <w:t>2020</w:t>
            </w:r>
          </w:p>
        </w:tc>
        <w:tc>
          <w:tcPr>
            <w:tcW w:w="1213" w:type="dxa"/>
            <w:tcBorders>
              <w:top w:val="single" w:sz="4" w:space="0" w:color="000000"/>
              <w:left w:val="nil"/>
              <w:bottom w:val="single" w:sz="12" w:space="0" w:color="000000"/>
              <w:right w:val="nil"/>
            </w:tcBorders>
            <w:hideMark/>
          </w:tcPr>
          <w:p w14:paraId="6DCB45FD" w14:textId="77777777" w:rsidR="00992A45" w:rsidRPr="00BD7721" w:rsidRDefault="00992A45" w:rsidP="004E48D5">
            <w:pPr>
              <w:pStyle w:val="Normal-pool"/>
              <w:spacing w:before="40" w:after="40"/>
              <w:jc w:val="right"/>
              <w:rPr>
                <w:i/>
                <w:sz w:val="18"/>
                <w:szCs w:val="18"/>
                <w:lang w:val="en-GB"/>
              </w:rPr>
            </w:pPr>
            <w:r w:rsidRPr="00BD7721">
              <w:rPr>
                <w:i/>
                <w:sz w:val="18"/>
                <w:szCs w:val="18"/>
                <w:lang w:val="en-GB"/>
              </w:rPr>
              <w:t>2021</w:t>
            </w:r>
          </w:p>
        </w:tc>
        <w:tc>
          <w:tcPr>
            <w:tcW w:w="1213" w:type="dxa"/>
            <w:tcBorders>
              <w:top w:val="single" w:sz="4" w:space="0" w:color="000000"/>
              <w:left w:val="nil"/>
              <w:bottom w:val="single" w:sz="12" w:space="0" w:color="000000"/>
              <w:right w:val="nil"/>
            </w:tcBorders>
            <w:hideMark/>
          </w:tcPr>
          <w:p w14:paraId="2A48FE69" w14:textId="77777777" w:rsidR="00992A45" w:rsidRPr="00BD7721" w:rsidRDefault="00992A45" w:rsidP="004E48D5">
            <w:pPr>
              <w:pStyle w:val="Normal-pool"/>
              <w:spacing w:before="40" w:after="40"/>
              <w:jc w:val="right"/>
              <w:rPr>
                <w:i/>
                <w:sz w:val="18"/>
                <w:szCs w:val="18"/>
                <w:lang w:val="en-GB"/>
              </w:rPr>
            </w:pPr>
            <w:r w:rsidRPr="00BD7721">
              <w:rPr>
                <w:i/>
                <w:sz w:val="18"/>
                <w:szCs w:val="18"/>
                <w:lang w:val="en-GB"/>
              </w:rPr>
              <w:t>2022</w:t>
            </w:r>
          </w:p>
        </w:tc>
        <w:tc>
          <w:tcPr>
            <w:tcW w:w="1166" w:type="dxa"/>
            <w:tcBorders>
              <w:top w:val="single" w:sz="4" w:space="0" w:color="000000"/>
              <w:left w:val="nil"/>
              <w:bottom w:val="single" w:sz="12" w:space="0" w:color="000000"/>
              <w:right w:val="single" w:sz="4" w:space="0" w:color="000000"/>
            </w:tcBorders>
            <w:hideMark/>
          </w:tcPr>
          <w:p w14:paraId="4D54D397" w14:textId="77777777" w:rsidR="00992A45" w:rsidRPr="00BD7721" w:rsidRDefault="00992A45" w:rsidP="004E48D5">
            <w:pPr>
              <w:pStyle w:val="Normal-pool"/>
              <w:spacing w:before="40" w:after="40"/>
              <w:jc w:val="right"/>
              <w:rPr>
                <w:i/>
                <w:sz w:val="18"/>
                <w:szCs w:val="18"/>
                <w:lang w:val="en-GB"/>
              </w:rPr>
            </w:pPr>
            <w:r w:rsidRPr="00BD7721">
              <w:rPr>
                <w:i/>
                <w:sz w:val="18"/>
                <w:szCs w:val="18"/>
                <w:lang w:val="en-GB"/>
              </w:rPr>
              <w:t>2023</w:t>
            </w:r>
          </w:p>
        </w:tc>
        <w:tc>
          <w:tcPr>
            <w:tcW w:w="1293" w:type="dxa"/>
            <w:tcBorders>
              <w:top w:val="single" w:sz="4" w:space="0" w:color="000000"/>
              <w:left w:val="single" w:sz="4" w:space="0" w:color="000000"/>
              <w:bottom w:val="single" w:sz="12" w:space="0" w:color="000000"/>
              <w:right w:val="nil"/>
            </w:tcBorders>
            <w:hideMark/>
          </w:tcPr>
          <w:p w14:paraId="4A4632B4" w14:textId="77777777" w:rsidR="00992A45" w:rsidRPr="00BD7721" w:rsidRDefault="00992A45" w:rsidP="004E48D5">
            <w:pPr>
              <w:pStyle w:val="Normal-pool"/>
              <w:spacing w:before="40" w:after="40"/>
              <w:jc w:val="right"/>
              <w:rPr>
                <w:i/>
                <w:sz w:val="18"/>
                <w:szCs w:val="18"/>
                <w:lang w:val="en-GB"/>
              </w:rPr>
            </w:pPr>
            <w:r w:rsidRPr="00BD7721">
              <w:rPr>
                <w:i/>
                <w:sz w:val="18"/>
                <w:szCs w:val="18"/>
                <w:lang w:val="en-GB"/>
              </w:rPr>
              <w:t>2023</w:t>
            </w:r>
          </w:p>
        </w:tc>
        <w:tc>
          <w:tcPr>
            <w:tcW w:w="1166" w:type="dxa"/>
            <w:tcBorders>
              <w:top w:val="single" w:sz="4" w:space="0" w:color="000000"/>
              <w:left w:val="nil"/>
              <w:bottom w:val="single" w:sz="12" w:space="0" w:color="000000"/>
              <w:right w:val="nil"/>
            </w:tcBorders>
            <w:hideMark/>
          </w:tcPr>
          <w:p w14:paraId="0213FDFC" w14:textId="77777777" w:rsidR="00992A45" w:rsidRPr="00BD7721" w:rsidRDefault="00992A45" w:rsidP="004E48D5">
            <w:pPr>
              <w:pStyle w:val="Normal-pool"/>
              <w:spacing w:before="40" w:after="40"/>
              <w:jc w:val="right"/>
              <w:rPr>
                <w:i/>
                <w:sz w:val="18"/>
                <w:szCs w:val="18"/>
                <w:lang w:val="en-GB"/>
              </w:rPr>
            </w:pPr>
            <w:r w:rsidRPr="00BD7721">
              <w:rPr>
                <w:i/>
                <w:sz w:val="18"/>
                <w:szCs w:val="18"/>
                <w:lang w:val="en-GB"/>
              </w:rPr>
              <w:t>2024</w:t>
            </w:r>
          </w:p>
        </w:tc>
        <w:tc>
          <w:tcPr>
            <w:tcW w:w="1072" w:type="dxa"/>
            <w:tcBorders>
              <w:top w:val="single" w:sz="4" w:space="0" w:color="000000"/>
              <w:left w:val="nil"/>
              <w:bottom w:val="single" w:sz="12" w:space="0" w:color="000000"/>
              <w:right w:val="nil"/>
            </w:tcBorders>
            <w:hideMark/>
          </w:tcPr>
          <w:p w14:paraId="540350D0" w14:textId="77777777" w:rsidR="00992A45" w:rsidRPr="00BD7721" w:rsidRDefault="00992A45" w:rsidP="004E48D5">
            <w:pPr>
              <w:pStyle w:val="Normal-pool"/>
              <w:spacing w:before="40" w:after="40"/>
              <w:jc w:val="right"/>
              <w:rPr>
                <w:i/>
                <w:sz w:val="18"/>
                <w:szCs w:val="18"/>
                <w:lang w:val="en-GB"/>
              </w:rPr>
            </w:pPr>
            <w:r w:rsidRPr="00BD7721">
              <w:rPr>
                <w:i/>
                <w:sz w:val="18"/>
                <w:szCs w:val="18"/>
                <w:lang w:val="en-GB"/>
              </w:rPr>
              <w:t>2025</w:t>
            </w:r>
          </w:p>
        </w:tc>
        <w:tc>
          <w:tcPr>
            <w:tcW w:w="1399" w:type="dxa"/>
            <w:tcBorders>
              <w:top w:val="single" w:sz="4" w:space="0" w:color="000000"/>
              <w:left w:val="nil"/>
              <w:bottom w:val="single" w:sz="12" w:space="0" w:color="000000"/>
              <w:right w:val="nil"/>
            </w:tcBorders>
            <w:hideMark/>
          </w:tcPr>
          <w:p w14:paraId="1E40121C" w14:textId="77777777" w:rsidR="00992A45" w:rsidRPr="00BD7721" w:rsidRDefault="00992A45" w:rsidP="004E48D5">
            <w:pPr>
              <w:pStyle w:val="Normal-pool"/>
              <w:spacing w:before="40" w:after="40"/>
              <w:jc w:val="right"/>
              <w:rPr>
                <w:i/>
                <w:sz w:val="18"/>
                <w:szCs w:val="18"/>
                <w:lang w:val="en-GB"/>
              </w:rPr>
            </w:pPr>
            <w:r w:rsidRPr="00BD7721">
              <w:rPr>
                <w:i/>
                <w:sz w:val="18"/>
                <w:szCs w:val="18"/>
                <w:lang w:val="en-GB"/>
              </w:rPr>
              <w:t>Total pledges</w:t>
            </w:r>
          </w:p>
        </w:tc>
      </w:tr>
      <w:tr w:rsidR="00992A45" w:rsidRPr="00BD7721" w14:paraId="6C8B19A5" w14:textId="77777777" w:rsidTr="00C926C7">
        <w:trPr>
          <w:trHeight w:val="57"/>
          <w:jc w:val="right"/>
        </w:trPr>
        <w:tc>
          <w:tcPr>
            <w:tcW w:w="2835" w:type="dxa"/>
            <w:tcBorders>
              <w:top w:val="single" w:sz="12" w:space="0" w:color="auto"/>
              <w:left w:val="nil"/>
              <w:bottom w:val="nil"/>
              <w:right w:val="nil"/>
            </w:tcBorders>
            <w:hideMark/>
          </w:tcPr>
          <w:p w14:paraId="7023AADA" w14:textId="77777777" w:rsidR="00992A45" w:rsidRPr="00BD7721" w:rsidRDefault="00992A45" w:rsidP="004E48D5">
            <w:pPr>
              <w:pStyle w:val="Normal-pool"/>
              <w:tabs>
                <w:tab w:val="left" w:pos="174"/>
              </w:tabs>
              <w:spacing w:before="40" w:after="40"/>
              <w:rPr>
                <w:b/>
                <w:bCs/>
                <w:sz w:val="18"/>
                <w:szCs w:val="18"/>
                <w:lang w:val="en-GB"/>
              </w:rPr>
            </w:pPr>
            <w:r w:rsidRPr="00BD7721">
              <w:rPr>
                <w:b/>
                <w:bCs/>
                <w:sz w:val="18"/>
                <w:szCs w:val="18"/>
                <w:lang w:val="en-GB"/>
              </w:rPr>
              <w:t>1.</w:t>
            </w:r>
            <w:r w:rsidRPr="00BD7721">
              <w:rPr>
                <w:b/>
                <w:bCs/>
                <w:sz w:val="18"/>
                <w:szCs w:val="18"/>
                <w:lang w:val="en-GB"/>
              </w:rPr>
              <w:tab/>
              <w:t>Governments</w:t>
            </w:r>
          </w:p>
        </w:tc>
        <w:tc>
          <w:tcPr>
            <w:tcW w:w="993" w:type="dxa"/>
            <w:tcBorders>
              <w:top w:val="single" w:sz="12" w:space="0" w:color="000000"/>
              <w:left w:val="nil"/>
              <w:bottom w:val="nil"/>
              <w:right w:val="nil"/>
            </w:tcBorders>
            <w:vAlign w:val="bottom"/>
          </w:tcPr>
          <w:p w14:paraId="235E5220" w14:textId="77777777" w:rsidR="00992A45" w:rsidRPr="00BD7721" w:rsidRDefault="00992A45" w:rsidP="004E48D5">
            <w:pPr>
              <w:pStyle w:val="Normal-pool"/>
              <w:spacing w:before="40" w:after="40"/>
              <w:jc w:val="right"/>
              <w:rPr>
                <w:sz w:val="18"/>
                <w:szCs w:val="18"/>
                <w:lang w:val="en-GB"/>
              </w:rPr>
            </w:pPr>
          </w:p>
        </w:tc>
        <w:tc>
          <w:tcPr>
            <w:tcW w:w="992" w:type="dxa"/>
            <w:tcBorders>
              <w:top w:val="single" w:sz="12" w:space="0" w:color="000000"/>
              <w:left w:val="nil"/>
              <w:bottom w:val="nil"/>
              <w:right w:val="nil"/>
            </w:tcBorders>
            <w:vAlign w:val="bottom"/>
          </w:tcPr>
          <w:p w14:paraId="748162E0" w14:textId="77777777" w:rsidR="00992A45" w:rsidRPr="00BD7721" w:rsidRDefault="00992A45" w:rsidP="004E48D5">
            <w:pPr>
              <w:pStyle w:val="Normal-pool"/>
              <w:spacing w:before="40" w:after="40"/>
              <w:jc w:val="right"/>
              <w:rPr>
                <w:sz w:val="18"/>
                <w:szCs w:val="18"/>
                <w:lang w:val="en-GB"/>
              </w:rPr>
            </w:pPr>
          </w:p>
        </w:tc>
        <w:tc>
          <w:tcPr>
            <w:tcW w:w="1086" w:type="dxa"/>
            <w:tcBorders>
              <w:top w:val="single" w:sz="12" w:space="0" w:color="000000"/>
              <w:left w:val="nil"/>
              <w:bottom w:val="nil"/>
              <w:right w:val="nil"/>
            </w:tcBorders>
            <w:vAlign w:val="bottom"/>
          </w:tcPr>
          <w:p w14:paraId="22BB0FA2" w14:textId="77777777" w:rsidR="00992A45" w:rsidRPr="00BD7721" w:rsidRDefault="00992A45" w:rsidP="004E48D5">
            <w:pPr>
              <w:pStyle w:val="Normal-pool"/>
              <w:spacing w:before="40" w:after="40"/>
              <w:jc w:val="right"/>
              <w:rPr>
                <w:sz w:val="18"/>
                <w:szCs w:val="18"/>
                <w:lang w:val="en-GB"/>
              </w:rPr>
            </w:pPr>
          </w:p>
        </w:tc>
        <w:tc>
          <w:tcPr>
            <w:tcW w:w="1213" w:type="dxa"/>
            <w:tcBorders>
              <w:top w:val="single" w:sz="12" w:space="0" w:color="000000"/>
              <w:left w:val="nil"/>
              <w:bottom w:val="nil"/>
              <w:right w:val="nil"/>
            </w:tcBorders>
            <w:vAlign w:val="bottom"/>
          </w:tcPr>
          <w:p w14:paraId="7D536ED3" w14:textId="77777777" w:rsidR="00992A45" w:rsidRPr="00BD7721" w:rsidRDefault="00992A45" w:rsidP="004E48D5">
            <w:pPr>
              <w:pStyle w:val="Normal-pool"/>
              <w:spacing w:before="40" w:after="40"/>
              <w:jc w:val="right"/>
              <w:rPr>
                <w:sz w:val="18"/>
                <w:szCs w:val="18"/>
                <w:lang w:val="en-GB"/>
              </w:rPr>
            </w:pPr>
          </w:p>
        </w:tc>
        <w:tc>
          <w:tcPr>
            <w:tcW w:w="1213" w:type="dxa"/>
            <w:tcBorders>
              <w:top w:val="single" w:sz="12" w:space="0" w:color="000000"/>
              <w:left w:val="nil"/>
              <w:bottom w:val="nil"/>
              <w:right w:val="nil"/>
            </w:tcBorders>
            <w:vAlign w:val="bottom"/>
          </w:tcPr>
          <w:p w14:paraId="04CF7E9B" w14:textId="77777777" w:rsidR="00992A45" w:rsidRPr="00BD7721" w:rsidRDefault="00992A45" w:rsidP="004E48D5">
            <w:pPr>
              <w:pStyle w:val="Normal-pool"/>
              <w:spacing w:before="40" w:after="40"/>
              <w:jc w:val="right"/>
              <w:rPr>
                <w:sz w:val="18"/>
                <w:szCs w:val="18"/>
                <w:lang w:val="en-GB"/>
              </w:rPr>
            </w:pPr>
          </w:p>
        </w:tc>
        <w:tc>
          <w:tcPr>
            <w:tcW w:w="1166" w:type="dxa"/>
            <w:tcBorders>
              <w:top w:val="single" w:sz="12" w:space="0" w:color="000000"/>
              <w:left w:val="nil"/>
              <w:bottom w:val="nil"/>
              <w:right w:val="single" w:sz="4" w:space="0" w:color="000000"/>
            </w:tcBorders>
            <w:vAlign w:val="bottom"/>
          </w:tcPr>
          <w:p w14:paraId="2738ADCB" w14:textId="77777777" w:rsidR="00992A45" w:rsidRPr="00BD7721" w:rsidRDefault="00992A45" w:rsidP="004E48D5">
            <w:pPr>
              <w:pStyle w:val="Normal-pool"/>
              <w:spacing w:before="40" w:after="40"/>
              <w:jc w:val="right"/>
              <w:rPr>
                <w:sz w:val="18"/>
                <w:szCs w:val="18"/>
                <w:lang w:val="en-GB"/>
              </w:rPr>
            </w:pPr>
          </w:p>
        </w:tc>
        <w:tc>
          <w:tcPr>
            <w:tcW w:w="1293" w:type="dxa"/>
            <w:tcBorders>
              <w:top w:val="single" w:sz="12" w:space="0" w:color="000000"/>
              <w:left w:val="single" w:sz="4" w:space="0" w:color="000000"/>
              <w:bottom w:val="nil"/>
              <w:right w:val="nil"/>
            </w:tcBorders>
            <w:vAlign w:val="bottom"/>
          </w:tcPr>
          <w:p w14:paraId="4470020A" w14:textId="77777777" w:rsidR="00992A45" w:rsidRPr="00BD7721" w:rsidRDefault="00992A45" w:rsidP="004E48D5">
            <w:pPr>
              <w:pStyle w:val="Normal-pool"/>
              <w:spacing w:before="40" w:after="40"/>
              <w:jc w:val="right"/>
              <w:rPr>
                <w:sz w:val="18"/>
                <w:szCs w:val="18"/>
                <w:lang w:val="en-GB"/>
              </w:rPr>
            </w:pPr>
          </w:p>
        </w:tc>
        <w:tc>
          <w:tcPr>
            <w:tcW w:w="1166" w:type="dxa"/>
            <w:tcBorders>
              <w:top w:val="single" w:sz="12" w:space="0" w:color="000000"/>
              <w:left w:val="nil"/>
              <w:bottom w:val="nil"/>
              <w:right w:val="nil"/>
            </w:tcBorders>
            <w:vAlign w:val="bottom"/>
          </w:tcPr>
          <w:p w14:paraId="180B0371" w14:textId="77777777" w:rsidR="00992A45" w:rsidRPr="00BD7721" w:rsidRDefault="00992A45" w:rsidP="004E48D5">
            <w:pPr>
              <w:pStyle w:val="Normal-pool"/>
              <w:spacing w:before="40" w:after="40"/>
              <w:jc w:val="right"/>
              <w:rPr>
                <w:sz w:val="18"/>
                <w:szCs w:val="18"/>
                <w:lang w:val="en-GB"/>
              </w:rPr>
            </w:pPr>
          </w:p>
        </w:tc>
        <w:tc>
          <w:tcPr>
            <w:tcW w:w="1072" w:type="dxa"/>
            <w:tcBorders>
              <w:top w:val="single" w:sz="12" w:space="0" w:color="000000"/>
              <w:left w:val="nil"/>
              <w:bottom w:val="nil"/>
              <w:right w:val="nil"/>
            </w:tcBorders>
            <w:vAlign w:val="bottom"/>
          </w:tcPr>
          <w:p w14:paraId="798FB64D" w14:textId="77777777" w:rsidR="00992A45" w:rsidRPr="00BD7721" w:rsidRDefault="00992A45" w:rsidP="004E48D5">
            <w:pPr>
              <w:pStyle w:val="Normal-pool"/>
              <w:spacing w:before="40" w:after="40"/>
              <w:jc w:val="right"/>
              <w:rPr>
                <w:sz w:val="18"/>
                <w:szCs w:val="18"/>
                <w:lang w:val="en-GB"/>
              </w:rPr>
            </w:pPr>
          </w:p>
        </w:tc>
        <w:tc>
          <w:tcPr>
            <w:tcW w:w="1399" w:type="dxa"/>
            <w:tcBorders>
              <w:top w:val="single" w:sz="12" w:space="0" w:color="000000"/>
              <w:left w:val="nil"/>
              <w:bottom w:val="nil"/>
              <w:right w:val="nil"/>
            </w:tcBorders>
            <w:vAlign w:val="bottom"/>
          </w:tcPr>
          <w:p w14:paraId="1951A747" w14:textId="77777777" w:rsidR="00992A45" w:rsidRPr="00BD7721" w:rsidRDefault="00992A45" w:rsidP="004E48D5">
            <w:pPr>
              <w:pStyle w:val="Normal-pool"/>
              <w:spacing w:before="40" w:after="40"/>
              <w:jc w:val="right"/>
              <w:rPr>
                <w:sz w:val="18"/>
                <w:szCs w:val="18"/>
                <w:lang w:val="en-GB"/>
              </w:rPr>
            </w:pPr>
          </w:p>
        </w:tc>
      </w:tr>
      <w:tr w:rsidR="00992A45" w:rsidRPr="00BD7721" w14:paraId="29F95691" w14:textId="77777777" w:rsidTr="001C113A">
        <w:trPr>
          <w:trHeight w:val="57"/>
          <w:jc w:val="right"/>
        </w:trPr>
        <w:tc>
          <w:tcPr>
            <w:tcW w:w="2835" w:type="dxa"/>
            <w:tcBorders>
              <w:top w:val="nil"/>
              <w:left w:val="nil"/>
              <w:bottom w:val="nil"/>
              <w:right w:val="nil"/>
            </w:tcBorders>
            <w:hideMark/>
          </w:tcPr>
          <w:p w14:paraId="2F63BA64"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Australia</w:t>
            </w:r>
          </w:p>
        </w:tc>
        <w:tc>
          <w:tcPr>
            <w:tcW w:w="993" w:type="dxa"/>
            <w:tcBorders>
              <w:top w:val="nil"/>
              <w:left w:val="nil"/>
              <w:bottom w:val="nil"/>
              <w:right w:val="nil"/>
            </w:tcBorders>
            <w:vAlign w:val="bottom"/>
            <w:hideMark/>
          </w:tcPr>
          <w:p w14:paraId="1FF2541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2E90ADF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86" w:type="dxa"/>
            <w:tcBorders>
              <w:top w:val="nil"/>
              <w:left w:val="nil"/>
              <w:bottom w:val="nil"/>
              <w:right w:val="nil"/>
            </w:tcBorders>
            <w:vAlign w:val="bottom"/>
            <w:hideMark/>
          </w:tcPr>
          <w:p w14:paraId="7F6E3AE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42D7E61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30 000</w:t>
            </w:r>
          </w:p>
        </w:tc>
        <w:tc>
          <w:tcPr>
            <w:tcW w:w="1213" w:type="dxa"/>
            <w:tcBorders>
              <w:top w:val="nil"/>
              <w:left w:val="nil"/>
              <w:bottom w:val="nil"/>
              <w:right w:val="nil"/>
            </w:tcBorders>
            <w:vAlign w:val="bottom"/>
            <w:hideMark/>
          </w:tcPr>
          <w:p w14:paraId="6FA32FE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69 140</w:t>
            </w:r>
          </w:p>
        </w:tc>
        <w:tc>
          <w:tcPr>
            <w:tcW w:w="1166" w:type="dxa"/>
            <w:tcBorders>
              <w:top w:val="nil"/>
              <w:left w:val="nil"/>
              <w:bottom w:val="nil"/>
              <w:right w:val="single" w:sz="4" w:space="0" w:color="000000"/>
            </w:tcBorders>
            <w:vAlign w:val="bottom"/>
            <w:hideMark/>
          </w:tcPr>
          <w:p w14:paraId="6271EDE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68 630</w:t>
            </w:r>
          </w:p>
        </w:tc>
        <w:tc>
          <w:tcPr>
            <w:tcW w:w="1293" w:type="dxa"/>
            <w:tcBorders>
              <w:top w:val="nil"/>
              <w:left w:val="single" w:sz="4" w:space="0" w:color="000000"/>
              <w:bottom w:val="nil"/>
              <w:right w:val="nil"/>
            </w:tcBorders>
            <w:vAlign w:val="bottom"/>
            <w:hideMark/>
          </w:tcPr>
          <w:p w14:paraId="47BFFB3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2B14B64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54A1D16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5EEC4AA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25EB7B10" w14:textId="77777777" w:rsidTr="001C113A">
        <w:trPr>
          <w:trHeight w:val="57"/>
          <w:jc w:val="right"/>
        </w:trPr>
        <w:tc>
          <w:tcPr>
            <w:tcW w:w="2835" w:type="dxa"/>
            <w:tcBorders>
              <w:top w:val="nil"/>
              <w:left w:val="nil"/>
              <w:bottom w:val="nil"/>
              <w:right w:val="nil"/>
            </w:tcBorders>
            <w:hideMark/>
          </w:tcPr>
          <w:p w14:paraId="5D7AC759"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Austria</w:t>
            </w:r>
          </w:p>
        </w:tc>
        <w:tc>
          <w:tcPr>
            <w:tcW w:w="993" w:type="dxa"/>
            <w:tcBorders>
              <w:top w:val="nil"/>
              <w:left w:val="nil"/>
              <w:bottom w:val="nil"/>
              <w:right w:val="nil"/>
            </w:tcBorders>
            <w:vAlign w:val="bottom"/>
            <w:hideMark/>
          </w:tcPr>
          <w:p w14:paraId="4A3E96E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17 123</w:t>
            </w:r>
          </w:p>
        </w:tc>
        <w:tc>
          <w:tcPr>
            <w:tcW w:w="992" w:type="dxa"/>
            <w:tcBorders>
              <w:top w:val="nil"/>
              <w:left w:val="nil"/>
              <w:bottom w:val="nil"/>
              <w:right w:val="nil"/>
            </w:tcBorders>
            <w:vAlign w:val="bottom"/>
            <w:hideMark/>
          </w:tcPr>
          <w:p w14:paraId="5E2FA8C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86" w:type="dxa"/>
            <w:tcBorders>
              <w:top w:val="nil"/>
              <w:left w:val="nil"/>
              <w:bottom w:val="nil"/>
              <w:right w:val="nil"/>
            </w:tcBorders>
            <w:vAlign w:val="bottom"/>
            <w:hideMark/>
          </w:tcPr>
          <w:p w14:paraId="656BC9F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22 222</w:t>
            </w:r>
          </w:p>
        </w:tc>
        <w:tc>
          <w:tcPr>
            <w:tcW w:w="1213" w:type="dxa"/>
            <w:tcBorders>
              <w:top w:val="nil"/>
              <w:left w:val="nil"/>
              <w:bottom w:val="nil"/>
              <w:right w:val="nil"/>
            </w:tcBorders>
            <w:vAlign w:val="bottom"/>
            <w:hideMark/>
          </w:tcPr>
          <w:p w14:paraId="732FEE7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16 892</w:t>
            </w:r>
          </w:p>
        </w:tc>
        <w:tc>
          <w:tcPr>
            <w:tcW w:w="1213" w:type="dxa"/>
            <w:tcBorders>
              <w:top w:val="nil"/>
              <w:left w:val="nil"/>
              <w:bottom w:val="nil"/>
              <w:right w:val="nil"/>
            </w:tcBorders>
            <w:vAlign w:val="bottom"/>
            <w:hideMark/>
          </w:tcPr>
          <w:p w14:paraId="10DCD82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single" w:sz="4" w:space="0" w:color="000000"/>
            </w:tcBorders>
            <w:vAlign w:val="bottom"/>
            <w:hideMark/>
          </w:tcPr>
          <w:p w14:paraId="035D003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21DD689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4601337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371FCC7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59F4F86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5DA6DC13" w14:textId="77777777" w:rsidTr="001C113A">
        <w:trPr>
          <w:trHeight w:val="57"/>
          <w:jc w:val="right"/>
        </w:trPr>
        <w:tc>
          <w:tcPr>
            <w:tcW w:w="2835" w:type="dxa"/>
            <w:tcBorders>
              <w:top w:val="nil"/>
              <w:left w:val="nil"/>
              <w:bottom w:val="nil"/>
              <w:right w:val="nil"/>
            </w:tcBorders>
            <w:hideMark/>
          </w:tcPr>
          <w:p w14:paraId="55DCEC41"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Belgium</w:t>
            </w:r>
          </w:p>
        </w:tc>
        <w:tc>
          <w:tcPr>
            <w:tcW w:w="993" w:type="dxa"/>
            <w:tcBorders>
              <w:top w:val="nil"/>
              <w:left w:val="nil"/>
              <w:bottom w:val="nil"/>
              <w:right w:val="nil"/>
            </w:tcBorders>
            <w:vAlign w:val="bottom"/>
            <w:hideMark/>
          </w:tcPr>
          <w:p w14:paraId="1760527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77 193</w:t>
            </w:r>
          </w:p>
        </w:tc>
        <w:tc>
          <w:tcPr>
            <w:tcW w:w="992" w:type="dxa"/>
            <w:tcBorders>
              <w:top w:val="nil"/>
              <w:left w:val="nil"/>
              <w:bottom w:val="nil"/>
              <w:right w:val="nil"/>
            </w:tcBorders>
            <w:vAlign w:val="bottom"/>
            <w:hideMark/>
          </w:tcPr>
          <w:p w14:paraId="6548FC7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73 661</w:t>
            </w:r>
          </w:p>
        </w:tc>
        <w:tc>
          <w:tcPr>
            <w:tcW w:w="1086" w:type="dxa"/>
            <w:tcBorders>
              <w:top w:val="nil"/>
              <w:left w:val="nil"/>
              <w:bottom w:val="nil"/>
              <w:right w:val="nil"/>
            </w:tcBorders>
            <w:vAlign w:val="bottom"/>
            <w:hideMark/>
          </w:tcPr>
          <w:p w14:paraId="3C0B566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73 853</w:t>
            </w:r>
          </w:p>
        </w:tc>
        <w:tc>
          <w:tcPr>
            <w:tcW w:w="1213" w:type="dxa"/>
            <w:tcBorders>
              <w:top w:val="nil"/>
              <w:left w:val="nil"/>
              <w:bottom w:val="nil"/>
              <w:right w:val="nil"/>
            </w:tcBorders>
            <w:vAlign w:val="bottom"/>
            <w:hideMark/>
          </w:tcPr>
          <w:p w14:paraId="19FD6A3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74 324</w:t>
            </w:r>
          </w:p>
        </w:tc>
        <w:tc>
          <w:tcPr>
            <w:tcW w:w="1213" w:type="dxa"/>
            <w:tcBorders>
              <w:top w:val="nil"/>
              <w:left w:val="nil"/>
              <w:bottom w:val="nil"/>
              <w:right w:val="nil"/>
            </w:tcBorders>
            <w:vAlign w:val="bottom"/>
            <w:hideMark/>
          </w:tcPr>
          <w:p w14:paraId="29E12C9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70 288</w:t>
            </w:r>
          </w:p>
        </w:tc>
        <w:tc>
          <w:tcPr>
            <w:tcW w:w="1166" w:type="dxa"/>
            <w:tcBorders>
              <w:top w:val="nil"/>
              <w:left w:val="nil"/>
              <w:bottom w:val="nil"/>
              <w:right w:val="single" w:sz="4" w:space="0" w:color="000000"/>
            </w:tcBorders>
            <w:vAlign w:val="bottom"/>
            <w:hideMark/>
          </w:tcPr>
          <w:p w14:paraId="3E79019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433FAC9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72 607</w:t>
            </w:r>
          </w:p>
        </w:tc>
        <w:tc>
          <w:tcPr>
            <w:tcW w:w="1166" w:type="dxa"/>
            <w:tcBorders>
              <w:top w:val="nil"/>
              <w:left w:val="nil"/>
              <w:bottom w:val="nil"/>
              <w:right w:val="nil"/>
            </w:tcBorders>
            <w:vAlign w:val="bottom"/>
            <w:hideMark/>
          </w:tcPr>
          <w:p w14:paraId="7CCC09E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3AA5750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7886924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72 607</w:t>
            </w:r>
          </w:p>
        </w:tc>
      </w:tr>
      <w:tr w:rsidR="00992A45" w:rsidRPr="00BD7721" w14:paraId="16773FBD" w14:textId="77777777" w:rsidTr="001C113A">
        <w:trPr>
          <w:trHeight w:val="57"/>
          <w:jc w:val="right"/>
        </w:trPr>
        <w:tc>
          <w:tcPr>
            <w:tcW w:w="2835" w:type="dxa"/>
            <w:tcBorders>
              <w:top w:val="nil"/>
              <w:left w:val="nil"/>
              <w:bottom w:val="nil"/>
              <w:right w:val="nil"/>
            </w:tcBorders>
            <w:hideMark/>
          </w:tcPr>
          <w:p w14:paraId="6555B1EC"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Bulgaria</w:t>
            </w:r>
          </w:p>
        </w:tc>
        <w:tc>
          <w:tcPr>
            <w:tcW w:w="993" w:type="dxa"/>
            <w:tcBorders>
              <w:top w:val="nil"/>
              <w:left w:val="nil"/>
              <w:bottom w:val="nil"/>
              <w:right w:val="nil"/>
            </w:tcBorders>
            <w:vAlign w:val="bottom"/>
            <w:hideMark/>
          </w:tcPr>
          <w:p w14:paraId="23978F9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2 323</w:t>
            </w:r>
          </w:p>
        </w:tc>
        <w:tc>
          <w:tcPr>
            <w:tcW w:w="992" w:type="dxa"/>
            <w:tcBorders>
              <w:top w:val="nil"/>
              <w:left w:val="nil"/>
              <w:bottom w:val="nil"/>
              <w:right w:val="nil"/>
            </w:tcBorders>
            <w:vAlign w:val="bottom"/>
            <w:hideMark/>
          </w:tcPr>
          <w:p w14:paraId="086C5A1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2 273</w:t>
            </w:r>
          </w:p>
        </w:tc>
        <w:tc>
          <w:tcPr>
            <w:tcW w:w="1086" w:type="dxa"/>
            <w:tcBorders>
              <w:top w:val="nil"/>
              <w:left w:val="nil"/>
              <w:bottom w:val="nil"/>
              <w:right w:val="nil"/>
            </w:tcBorders>
            <w:vAlign w:val="bottom"/>
            <w:hideMark/>
          </w:tcPr>
          <w:p w14:paraId="3FC7F93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2 198</w:t>
            </w:r>
          </w:p>
        </w:tc>
        <w:tc>
          <w:tcPr>
            <w:tcW w:w="1213" w:type="dxa"/>
            <w:tcBorders>
              <w:top w:val="nil"/>
              <w:left w:val="nil"/>
              <w:bottom w:val="nil"/>
              <w:right w:val="nil"/>
            </w:tcBorders>
            <w:vAlign w:val="bottom"/>
            <w:hideMark/>
          </w:tcPr>
          <w:p w14:paraId="75B0B84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2 427</w:t>
            </w:r>
          </w:p>
        </w:tc>
        <w:tc>
          <w:tcPr>
            <w:tcW w:w="1213" w:type="dxa"/>
            <w:tcBorders>
              <w:top w:val="nil"/>
              <w:left w:val="nil"/>
              <w:bottom w:val="nil"/>
              <w:right w:val="nil"/>
            </w:tcBorders>
            <w:vAlign w:val="bottom"/>
            <w:hideMark/>
          </w:tcPr>
          <w:p w14:paraId="179A5AF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2 068</w:t>
            </w:r>
          </w:p>
        </w:tc>
        <w:tc>
          <w:tcPr>
            <w:tcW w:w="1166" w:type="dxa"/>
            <w:tcBorders>
              <w:top w:val="nil"/>
              <w:left w:val="nil"/>
              <w:bottom w:val="nil"/>
              <w:right w:val="single" w:sz="4" w:space="0" w:color="000000"/>
            </w:tcBorders>
            <w:vAlign w:val="bottom"/>
            <w:hideMark/>
          </w:tcPr>
          <w:p w14:paraId="17A0107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2 127</w:t>
            </w:r>
          </w:p>
        </w:tc>
        <w:tc>
          <w:tcPr>
            <w:tcW w:w="1293" w:type="dxa"/>
            <w:tcBorders>
              <w:top w:val="nil"/>
              <w:left w:val="single" w:sz="4" w:space="0" w:color="000000"/>
              <w:bottom w:val="nil"/>
              <w:right w:val="nil"/>
            </w:tcBorders>
            <w:vAlign w:val="bottom"/>
            <w:hideMark/>
          </w:tcPr>
          <w:p w14:paraId="72A5810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525489F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103CC1A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05DD50F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3CF36BC1" w14:textId="77777777" w:rsidTr="001C113A">
        <w:trPr>
          <w:trHeight w:val="57"/>
          <w:jc w:val="right"/>
        </w:trPr>
        <w:tc>
          <w:tcPr>
            <w:tcW w:w="2835" w:type="dxa"/>
            <w:tcBorders>
              <w:top w:val="nil"/>
              <w:left w:val="nil"/>
              <w:bottom w:val="nil"/>
              <w:right w:val="nil"/>
            </w:tcBorders>
            <w:hideMark/>
          </w:tcPr>
          <w:p w14:paraId="77D4F7BE" w14:textId="77777777" w:rsidR="00992A45" w:rsidRPr="00BD7721" w:rsidRDefault="00992A45" w:rsidP="004E48D5">
            <w:pPr>
              <w:pStyle w:val="Normal-pool"/>
              <w:spacing w:before="40" w:after="40"/>
              <w:ind w:left="174"/>
              <w:rPr>
                <w:sz w:val="18"/>
                <w:szCs w:val="18"/>
                <w:lang w:val="en-GB"/>
              </w:rPr>
            </w:pPr>
            <w:proofErr w:type="spellStart"/>
            <w:r w:rsidRPr="00BD7721">
              <w:rPr>
                <w:sz w:val="18"/>
                <w:szCs w:val="18"/>
                <w:lang w:val="en-GB"/>
              </w:rPr>
              <w:t>Canada</w:t>
            </w:r>
            <w:r w:rsidRPr="00BD7721">
              <w:rPr>
                <w:iCs/>
                <w:sz w:val="18"/>
                <w:szCs w:val="18"/>
                <w:vertAlign w:val="superscript"/>
                <w:lang w:val="en-GB"/>
              </w:rPr>
              <w:t>a</w:t>
            </w:r>
            <w:proofErr w:type="spellEnd"/>
            <w:r w:rsidRPr="00BD7721">
              <w:rPr>
                <w:sz w:val="18"/>
                <w:szCs w:val="18"/>
                <w:lang w:val="en-GB"/>
              </w:rPr>
              <w:t xml:space="preserve"> </w:t>
            </w:r>
          </w:p>
        </w:tc>
        <w:tc>
          <w:tcPr>
            <w:tcW w:w="993" w:type="dxa"/>
            <w:tcBorders>
              <w:top w:val="nil"/>
              <w:left w:val="nil"/>
              <w:bottom w:val="nil"/>
              <w:right w:val="nil"/>
            </w:tcBorders>
            <w:vAlign w:val="bottom"/>
            <w:hideMark/>
          </w:tcPr>
          <w:p w14:paraId="40313C2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25 583</w:t>
            </w:r>
          </w:p>
        </w:tc>
        <w:tc>
          <w:tcPr>
            <w:tcW w:w="992" w:type="dxa"/>
            <w:tcBorders>
              <w:top w:val="nil"/>
              <w:left w:val="nil"/>
              <w:bottom w:val="nil"/>
              <w:right w:val="nil"/>
            </w:tcBorders>
            <w:vAlign w:val="bottom"/>
            <w:hideMark/>
          </w:tcPr>
          <w:p w14:paraId="3BDE191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30 312</w:t>
            </w:r>
          </w:p>
        </w:tc>
        <w:tc>
          <w:tcPr>
            <w:tcW w:w="1086" w:type="dxa"/>
            <w:tcBorders>
              <w:top w:val="nil"/>
              <w:left w:val="nil"/>
              <w:bottom w:val="nil"/>
              <w:right w:val="nil"/>
            </w:tcBorders>
            <w:vAlign w:val="bottom"/>
            <w:hideMark/>
          </w:tcPr>
          <w:p w14:paraId="527618B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31 260</w:t>
            </w:r>
          </w:p>
        </w:tc>
        <w:tc>
          <w:tcPr>
            <w:tcW w:w="1213" w:type="dxa"/>
            <w:tcBorders>
              <w:top w:val="nil"/>
              <w:left w:val="nil"/>
              <w:bottom w:val="nil"/>
              <w:right w:val="nil"/>
            </w:tcBorders>
            <w:vAlign w:val="bottom"/>
            <w:hideMark/>
          </w:tcPr>
          <w:p w14:paraId="179E301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31 216</w:t>
            </w:r>
          </w:p>
        </w:tc>
        <w:tc>
          <w:tcPr>
            <w:tcW w:w="1213" w:type="dxa"/>
            <w:tcBorders>
              <w:top w:val="nil"/>
              <w:left w:val="nil"/>
              <w:bottom w:val="nil"/>
              <w:right w:val="nil"/>
            </w:tcBorders>
            <w:vAlign w:val="bottom"/>
            <w:hideMark/>
          </w:tcPr>
          <w:p w14:paraId="2AA8C55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31 119</w:t>
            </w:r>
          </w:p>
        </w:tc>
        <w:tc>
          <w:tcPr>
            <w:tcW w:w="1166" w:type="dxa"/>
            <w:tcBorders>
              <w:top w:val="nil"/>
              <w:left w:val="nil"/>
              <w:bottom w:val="nil"/>
              <w:right w:val="single" w:sz="4" w:space="0" w:color="000000"/>
            </w:tcBorders>
            <w:vAlign w:val="bottom"/>
            <w:hideMark/>
          </w:tcPr>
          <w:p w14:paraId="27A8722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29 577</w:t>
            </w:r>
          </w:p>
        </w:tc>
        <w:tc>
          <w:tcPr>
            <w:tcW w:w="1293" w:type="dxa"/>
            <w:tcBorders>
              <w:top w:val="nil"/>
              <w:left w:val="single" w:sz="4" w:space="0" w:color="000000"/>
              <w:bottom w:val="nil"/>
              <w:right w:val="nil"/>
            </w:tcBorders>
            <w:vAlign w:val="bottom"/>
            <w:hideMark/>
          </w:tcPr>
          <w:p w14:paraId="0430153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43A9B62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31 397</w:t>
            </w:r>
          </w:p>
        </w:tc>
        <w:tc>
          <w:tcPr>
            <w:tcW w:w="1072" w:type="dxa"/>
            <w:tcBorders>
              <w:top w:val="nil"/>
              <w:left w:val="nil"/>
              <w:bottom w:val="nil"/>
              <w:right w:val="nil"/>
            </w:tcBorders>
            <w:vAlign w:val="bottom"/>
            <w:hideMark/>
          </w:tcPr>
          <w:p w14:paraId="60BE606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0284D53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31 397</w:t>
            </w:r>
          </w:p>
        </w:tc>
      </w:tr>
      <w:tr w:rsidR="00992A45" w:rsidRPr="00BD7721" w14:paraId="78957CD1" w14:textId="77777777" w:rsidTr="001C113A">
        <w:trPr>
          <w:trHeight w:val="57"/>
          <w:jc w:val="right"/>
        </w:trPr>
        <w:tc>
          <w:tcPr>
            <w:tcW w:w="2835" w:type="dxa"/>
            <w:tcBorders>
              <w:top w:val="nil"/>
              <w:left w:val="nil"/>
              <w:bottom w:val="nil"/>
              <w:right w:val="nil"/>
            </w:tcBorders>
            <w:hideMark/>
          </w:tcPr>
          <w:p w14:paraId="6179925F"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Chile</w:t>
            </w:r>
          </w:p>
        </w:tc>
        <w:tc>
          <w:tcPr>
            <w:tcW w:w="993" w:type="dxa"/>
            <w:tcBorders>
              <w:top w:val="nil"/>
              <w:left w:val="nil"/>
              <w:bottom w:val="nil"/>
              <w:right w:val="nil"/>
            </w:tcBorders>
            <w:vAlign w:val="bottom"/>
            <w:hideMark/>
          </w:tcPr>
          <w:p w14:paraId="0FF12D6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13 000</w:t>
            </w:r>
          </w:p>
        </w:tc>
        <w:tc>
          <w:tcPr>
            <w:tcW w:w="992" w:type="dxa"/>
            <w:tcBorders>
              <w:top w:val="nil"/>
              <w:left w:val="nil"/>
              <w:bottom w:val="nil"/>
              <w:right w:val="nil"/>
            </w:tcBorders>
            <w:vAlign w:val="bottom"/>
            <w:hideMark/>
          </w:tcPr>
          <w:p w14:paraId="326717D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12 751</w:t>
            </w:r>
          </w:p>
        </w:tc>
        <w:tc>
          <w:tcPr>
            <w:tcW w:w="1086" w:type="dxa"/>
            <w:tcBorders>
              <w:top w:val="nil"/>
              <w:left w:val="nil"/>
              <w:bottom w:val="nil"/>
              <w:right w:val="nil"/>
            </w:tcBorders>
            <w:vAlign w:val="bottom"/>
            <w:hideMark/>
          </w:tcPr>
          <w:p w14:paraId="380B5E8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11 000</w:t>
            </w:r>
          </w:p>
        </w:tc>
        <w:tc>
          <w:tcPr>
            <w:tcW w:w="1213" w:type="dxa"/>
            <w:tcBorders>
              <w:top w:val="nil"/>
              <w:left w:val="nil"/>
              <w:bottom w:val="nil"/>
              <w:right w:val="nil"/>
            </w:tcBorders>
            <w:vAlign w:val="bottom"/>
            <w:hideMark/>
          </w:tcPr>
          <w:p w14:paraId="2735B0A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12 053</w:t>
            </w:r>
          </w:p>
        </w:tc>
        <w:tc>
          <w:tcPr>
            <w:tcW w:w="1213" w:type="dxa"/>
            <w:tcBorders>
              <w:top w:val="nil"/>
              <w:left w:val="nil"/>
              <w:bottom w:val="nil"/>
              <w:right w:val="nil"/>
            </w:tcBorders>
            <w:vAlign w:val="bottom"/>
            <w:hideMark/>
          </w:tcPr>
          <w:p w14:paraId="51C6506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10 850</w:t>
            </w:r>
          </w:p>
        </w:tc>
        <w:tc>
          <w:tcPr>
            <w:tcW w:w="1166" w:type="dxa"/>
            <w:tcBorders>
              <w:top w:val="nil"/>
              <w:left w:val="nil"/>
              <w:bottom w:val="nil"/>
              <w:right w:val="single" w:sz="4" w:space="0" w:color="000000"/>
            </w:tcBorders>
            <w:vAlign w:val="bottom"/>
            <w:hideMark/>
          </w:tcPr>
          <w:p w14:paraId="40067A0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11 349</w:t>
            </w:r>
          </w:p>
        </w:tc>
        <w:tc>
          <w:tcPr>
            <w:tcW w:w="1293" w:type="dxa"/>
            <w:tcBorders>
              <w:top w:val="nil"/>
              <w:left w:val="single" w:sz="4" w:space="0" w:color="000000"/>
              <w:bottom w:val="nil"/>
              <w:right w:val="nil"/>
            </w:tcBorders>
            <w:vAlign w:val="bottom"/>
            <w:hideMark/>
          </w:tcPr>
          <w:p w14:paraId="5384EBE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2D5B236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1C6A3DD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32D38B5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70AC2665" w14:textId="77777777" w:rsidTr="001C113A">
        <w:trPr>
          <w:trHeight w:val="57"/>
          <w:jc w:val="right"/>
        </w:trPr>
        <w:tc>
          <w:tcPr>
            <w:tcW w:w="2835" w:type="dxa"/>
            <w:tcBorders>
              <w:top w:val="nil"/>
              <w:left w:val="nil"/>
              <w:bottom w:val="nil"/>
              <w:right w:val="nil"/>
            </w:tcBorders>
            <w:hideMark/>
          </w:tcPr>
          <w:p w14:paraId="19E25391"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China</w:t>
            </w:r>
          </w:p>
        </w:tc>
        <w:tc>
          <w:tcPr>
            <w:tcW w:w="993" w:type="dxa"/>
            <w:tcBorders>
              <w:top w:val="nil"/>
              <w:left w:val="nil"/>
              <w:bottom w:val="nil"/>
              <w:right w:val="nil"/>
            </w:tcBorders>
            <w:vAlign w:val="bottom"/>
            <w:hideMark/>
          </w:tcPr>
          <w:p w14:paraId="1AAC9C0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200 000</w:t>
            </w:r>
          </w:p>
        </w:tc>
        <w:tc>
          <w:tcPr>
            <w:tcW w:w="992" w:type="dxa"/>
            <w:tcBorders>
              <w:top w:val="nil"/>
              <w:left w:val="nil"/>
              <w:bottom w:val="nil"/>
              <w:right w:val="nil"/>
            </w:tcBorders>
            <w:vAlign w:val="bottom"/>
            <w:hideMark/>
          </w:tcPr>
          <w:p w14:paraId="6AEB3EF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200 000</w:t>
            </w:r>
          </w:p>
        </w:tc>
        <w:tc>
          <w:tcPr>
            <w:tcW w:w="1086" w:type="dxa"/>
            <w:tcBorders>
              <w:top w:val="nil"/>
              <w:left w:val="nil"/>
              <w:bottom w:val="nil"/>
              <w:right w:val="nil"/>
            </w:tcBorders>
            <w:vAlign w:val="bottom"/>
            <w:hideMark/>
          </w:tcPr>
          <w:p w14:paraId="5DDA816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180 000</w:t>
            </w:r>
          </w:p>
        </w:tc>
        <w:tc>
          <w:tcPr>
            <w:tcW w:w="1213" w:type="dxa"/>
            <w:tcBorders>
              <w:top w:val="nil"/>
              <w:left w:val="nil"/>
              <w:bottom w:val="nil"/>
              <w:right w:val="nil"/>
            </w:tcBorders>
            <w:vAlign w:val="bottom"/>
            <w:hideMark/>
          </w:tcPr>
          <w:p w14:paraId="22A4701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180 000</w:t>
            </w:r>
          </w:p>
        </w:tc>
        <w:tc>
          <w:tcPr>
            <w:tcW w:w="1213" w:type="dxa"/>
            <w:tcBorders>
              <w:top w:val="nil"/>
              <w:left w:val="nil"/>
              <w:bottom w:val="nil"/>
              <w:right w:val="nil"/>
            </w:tcBorders>
            <w:vAlign w:val="bottom"/>
            <w:hideMark/>
          </w:tcPr>
          <w:p w14:paraId="196D0A5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180 000</w:t>
            </w:r>
          </w:p>
        </w:tc>
        <w:tc>
          <w:tcPr>
            <w:tcW w:w="1166" w:type="dxa"/>
            <w:tcBorders>
              <w:top w:val="nil"/>
              <w:left w:val="nil"/>
              <w:bottom w:val="nil"/>
              <w:right w:val="single" w:sz="4" w:space="0" w:color="000000"/>
            </w:tcBorders>
            <w:vAlign w:val="bottom"/>
            <w:hideMark/>
          </w:tcPr>
          <w:p w14:paraId="0733236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180 000</w:t>
            </w:r>
          </w:p>
        </w:tc>
        <w:tc>
          <w:tcPr>
            <w:tcW w:w="1293" w:type="dxa"/>
            <w:tcBorders>
              <w:top w:val="nil"/>
              <w:left w:val="single" w:sz="4" w:space="0" w:color="000000"/>
              <w:bottom w:val="nil"/>
              <w:right w:val="nil"/>
            </w:tcBorders>
            <w:vAlign w:val="bottom"/>
            <w:hideMark/>
          </w:tcPr>
          <w:p w14:paraId="4FE1A77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1EE26EE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6FC5524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7FF18C9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07D9321D" w14:textId="77777777" w:rsidTr="001C113A">
        <w:trPr>
          <w:trHeight w:val="57"/>
          <w:jc w:val="right"/>
        </w:trPr>
        <w:tc>
          <w:tcPr>
            <w:tcW w:w="2835" w:type="dxa"/>
            <w:tcBorders>
              <w:top w:val="nil"/>
              <w:left w:val="nil"/>
              <w:bottom w:val="nil"/>
              <w:right w:val="nil"/>
            </w:tcBorders>
            <w:hideMark/>
          </w:tcPr>
          <w:p w14:paraId="1749D5EC"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Denmark</w:t>
            </w:r>
          </w:p>
        </w:tc>
        <w:tc>
          <w:tcPr>
            <w:tcW w:w="993" w:type="dxa"/>
            <w:tcBorders>
              <w:top w:val="nil"/>
              <w:left w:val="nil"/>
              <w:bottom w:val="nil"/>
              <w:right w:val="nil"/>
            </w:tcBorders>
            <w:vAlign w:val="bottom"/>
            <w:hideMark/>
          </w:tcPr>
          <w:p w14:paraId="06A0818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5694B8E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29 908</w:t>
            </w:r>
          </w:p>
        </w:tc>
        <w:tc>
          <w:tcPr>
            <w:tcW w:w="1086" w:type="dxa"/>
            <w:tcBorders>
              <w:top w:val="nil"/>
              <w:left w:val="nil"/>
              <w:bottom w:val="nil"/>
              <w:right w:val="nil"/>
            </w:tcBorders>
            <w:vAlign w:val="bottom"/>
            <w:hideMark/>
          </w:tcPr>
          <w:p w14:paraId="228678F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1BDB900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5130E60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single" w:sz="4" w:space="0" w:color="000000"/>
            </w:tcBorders>
            <w:vAlign w:val="bottom"/>
            <w:hideMark/>
          </w:tcPr>
          <w:p w14:paraId="5BF6A9E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20E12F0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79D6022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221D472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583F1A1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541B1141" w14:textId="77777777" w:rsidTr="001C113A">
        <w:trPr>
          <w:trHeight w:val="57"/>
          <w:jc w:val="right"/>
        </w:trPr>
        <w:tc>
          <w:tcPr>
            <w:tcW w:w="2835" w:type="dxa"/>
            <w:tcBorders>
              <w:top w:val="nil"/>
              <w:left w:val="nil"/>
              <w:bottom w:val="nil"/>
              <w:right w:val="nil"/>
            </w:tcBorders>
            <w:hideMark/>
          </w:tcPr>
          <w:p w14:paraId="32642DC5"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Estonia</w:t>
            </w:r>
          </w:p>
        </w:tc>
        <w:tc>
          <w:tcPr>
            <w:tcW w:w="993" w:type="dxa"/>
            <w:tcBorders>
              <w:top w:val="nil"/>
              <w:left w:val="nil"/>
              <w:bottom w:val="nil"/>
              <w:right w:val="nil"/>
            </w:tcBorders>
            <w:vAlign w:val="bottom"/>
            <w:hideMark/>
          </w:tcPr>
          <w:p w14:paraId="483CB0F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5B5EAC4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5 044</w:t>
            </w:r>
          </w:p>
        </w:tc>
        <w:tc>
          <w:tcPr>
            <w:tcW w:w="1086" w:type="dxa"/>
            <w:tcBorders>
              <w:top w:val="nil"/>
              <w:left w:val="nil"/>
              <w:bottom w:val="nil"/>
              <w:right w:val="nil"/>
            </w:tcBorders>
            <w:vAlign w:val="bottom"/>
            <w:hideMark/>
          </w:tcPr>
          <w:p w14:paraId="5A032B5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2 389</w:t>
            </w:r>
          </w:p>
        </w:tc>
        <w:tc>
          <w:tcPr>
            <w:tcW w:w="1213" w:type="dxa"/>
            <w:tcBorders>
              <w:top w:val="nil"/>
              <w:left w:val="nil"/>
              <w:bottom w:val="nil"/>
              <w:right w:val="nil"/>
            </w:tcBorders>
            <w:vAlign w:val="bottom"/>
            <w:hideMark/>
          </w:tcPr>
          <w:p w14:paraId="46A3118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2 326</w:t>
            </w:r>
          </w:p>
        </w:tc>
        <w:tc>
          <w:tcPr>
            <w:tcW w:w="1213" w:type="dxa"/>
            <w:tcBorders>
              <w:top w:val="nil"/>
              <w:left w:val="nil"/>
              <w:bottom w:val="nil"/>
              <w:right w:val="nil"/>
            </w:tcBorders>
            <w:vAlign w:val="bottom"/>
            <w:hideMark/>
          </w:tcPr>
          <w:p w14:paraId="78E56A1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single" w:sz="4" w:space="0" w:color="000000"/>
            </w:tcBorders>
            <w:vAlign w:val="bottom"/>
            <w:hideMark/>
          </w:tcPr>
          <w:p w14:paraId="14232D8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24973B3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2 750</w:t>
            </w:r>
          </w:p>
        </w:tc>
        <w:tc>
          <w:tcPr>
            <w:tcW w:w="1166" w:type="dxa"/>
            <w:tcBorders>
              <w:top w:val="nil"/>
              <w:left w:val="nil"/>
              <w:bottom w:val="nil"/>
              <w:right w:val="nil"/>
            </w:tcBorders>
            <w:vAlign w:val="bottom"/>
            <w:hideMark/>
          </w:tcPr>
          <w:p w14:paraId="58C6666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4E5409B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09065C9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2 750</w:t>
            </w:r>
          </w:p>
        </w:tc>
      </w:tr>
      <w:tr w:rsidR="00992A45" w:rsidRPr="00BD7721" w14:paraId="647659B0" w14:textId="77777777" w:rsidTr="001C113A">
        <w:trPr>
          <w:trHeight w:val="57"/>
          <w:jc w:val="right"/>
        </w:trPr>
        <w:tc>
          <w:tcPr>
            <w:tcW w:w="2835" w:type="dxa"/>
            <w:tcBorders>
              <w:top w:val="nil"/>
              <w:left w:val="nil"/>
              <w:bottom w:val="nil"/>
              <w:right w:val="nil"/>
            </w:tcBorders>
            <w:hideMark/>
          </w:tcPr>
          <w:p w14:paraId="2D71C2E1"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European Union</w:t>
            </w:r>
          </w:p>
        </w:tc>
        <w:tc>
          <w:tcPr>
            <w:tcW w:w="993" w:type="dxa"/>
            <w:tcBorders>
              <w:top w:val="nil"/>
              <w:left w:val="nil"/>
              <w:bottom w:val="nil"/>
              <w:right w:val="nil"/>
            </w:tcBorders>
            <w:vAlign w:val="bottom"/>
            <w:hideMark/>
          </w:tcPr>
          <w:p w14:paraId="004E0A8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4CF6C03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2 155 333</w:t>
            </w:r>
          </w:p>
        </w:tc>
        <w:tc>
          <w:tcPr>
            <w:tcW w:w="1086" w:type="dxa"/>
            <w:tcBorders>
              <w:top w:val="nil"/>
              <w:left w:val="nil"/>
              <w:bottom w:val="nil"/>
              <w:right w:val="nil"/>
            </w:tcBorders>
            <w:vAlign w:val="bottom"/>
            <w:hideMark/>
          </w:tcPr>
          <w:p w14:paraId="313A1D9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1D8EC10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1 223 321</w:t>
            </w:r>
          </w:p>
        </w:tc>
        <w:tc>
          <w:tcPr>
            <w:tcW w:w="1213" w:type="dxa"/>
            <w:tcBorders>
              <w:top w:val="nil"/>
              <w:left w:val="nil"/>
              <w:bottom w:val="nil"/>
              <w:right w:val="nil"/>
            </w:tcBorders>
            <w:vAlign w:val="bottom"/>
            <w:hideMark/>
          </w:tcPr>
          <w:p w14:paraId="08906E8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411 451</w:t>
            </w:r>
          </w:p>
        </w:tc>
        <w:tc>
          <w:tcPr>
            <w:tcW w:w="1166" w:type="dxa"/>
            <w:tcBorders>
              <w:top w:val="nil"/>
              <w:left w:val="nil"/>
              <w:bottom w:val="nil"/>
              <w:right w:val="single" w:sz="4" w:space="0" w:color="000000"/>
            </w:tcBorders>
            <w:vAlign w:val="bottom"/>
            <w:hideMark/>
          </w:tcPr>
          <w:p w14:paraId="27ED1F5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1 940 133</w:t>
            </w:r>
          </w:p>
        </w:tc>
        <w:tc>
          <w:tcPr>
            <w:tcW w:w="1293" w:type="dxa"/>
            <w:tcBorders>
              <w:top w:val="nil"/>
              <w:left w:val="single" w:sz="4" w:space="0" w:color="000000"/>
              <w:bottom w:val="nil"/>
              <w:right w:val="nil"/>
            </w:tcBorders>
            <w:vAlign w:val="bottom"/>
            <w:hideMark/>
          </w:tcPr>
          <w:p w14:paraId="4ED80E7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660 066</w:t>
            </w:r>
          </w:p>
        </w:tc>
        <w:tc>
          <w:tcPr>
            <w:tcW w:w="1166" w:type="dxa"/>
            <w:tcBorders>
              <w:top w:val="nil"/>
              <w:left w:val="nil"/>
              <w:bottom w:val="nil"/>
              <w:right w:val="nil"/>
            </w:tcBorders>
            <w:vAlign w:val="bottom"/>
            <w:hideMark/>
          </w:tcPr>
          <w:p w14:paraId="51AFDE7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62F6895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1 925 193</w:t>
            </w:r>
          </w:p>
        </w:tc>
        <w:tc>
          <w:tcPr>
            <w:tcW w:w="1399" w:type="dxa"/>
            <w:tcBorders>
              <w:top w:val="nil"/>
              <w:left w:val="nil"/>
              <w:bottom w:val="nil"/>
              <w:right w:val="nil"/>
            </w:tcBorders>
            <w:vAlign w:val="bottom"/>
            <w:hideMark/>
          </w:tcPr>
          <w:p w14:paraId="2700CAF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2 585 259</w:t>
            </w:r>
          </w:p>
        </w:tc>
      </w:tr>
      <w:tr w:rsidR="00992A45" w:rsidRPr="00BD7721" w14:paraId="51AD65C2" w14:textId="77777777" w:rsidTr="001C113A">
        <w:trPr>
          <w:trHeight w:val="57"/>
          <w:jc w:val="right"/>
        </w:trPr>
        <w:tc>
          <w:tcPr>
            <w:tcW w:w="2835" w:type="dxa"/>
            <w:tcBorders>
              <w:top w:val="nil"/>
              <w:left w:val="nil"/>
              <w:bottom w:val="nil"/>
              <w:right w:val="nil"/>
            </w:tcBorders>
            <w:hideMark/>
          </w:tcPr>
          <w:p w14:paraId="2B5BA27C" w14:textId="77777777" w:rsidR="00992A45" w:rsidRPr="00BD7721" w:rsidRDefault="00992A45" w:rsidP="004E48D5">
            <w:pPr>
              <w:pStyle w:val="Normal-pool"/>
              <w:spacing w:before="40" w:after="40"/>
              <w:ind w:left="174"/>
              <w:rPr>
                <w:sz w:val="18"/>
                <w:szCs w:val="18"/>
                <w:lang w:val="en-GB"/>
              </w:rPr>
            </w:pPr>
            <w:proofErr w:type="spellStart"/>
            <w:r w:rsidRPr="00BD7721">
              <w:rPr>
                <w:sz w:val="18"/>
                <w:szCs w:val="18"/>
                <w:lang w:val="en-GB"/>
              </w:rPr>
              <w:t>Finland</w:t>
            </w:r>
            <w:r w:rsidRPr="00BD7721">
              <w:rPr>
                <w:iCs/>
                <w:sz w:val="18"/>
                <w:szCs w:val="18"/>
                <w:vertAlign w:val="superscript"/>
                <w:lang w:val="en-GB"/>
              </w:rPr>
              <w:t>a</w:t>
            </w:r>
            <w:proofErr w:type="spellEnd"/>
          </w:p>
        </w:tc>
        <w:tc>
          <w:tcPr>
            <w:tcW w:w="993" w:type="dxa"/>
            <w:tcBorders>
              <w:top w:val="nil"/>
              <w:left w:val="nil"/>
              <w:bottom w:val="nil"/>
              <w:right w:val="nil"/>
            </w:tcBorders>
            <w:vAlign w:val="bottom"/>
            <w:hideMark/>
          </w:tcPr>
          <w:p w14:paraId="757537F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11 696</w:t>
            </w:r>
          </w:p>
        </w:tc>
        <w:tc>
          <w:tcPr>
            <w:tcW w:w="992" w:type="dxa"/>
            <w:tcBorders>
              <w:top w:val="nil"/>
              <w:left w:val="nil"/>
              <w:bottom w:val="nil"/>
              <w:right w:val="nil"/>
            </w:tcBorders>
            <w:vAlign w:val="bottom"/>
            <w:hideMark/>
          </w:tcPr>
          <w:p w14:paraId="2CF05B5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22 727</w:t>
            </w:r>
          </w:p>
        </w:tc>
        <w:tc>
          <w:tcPr>
            <w:tcW w:w="1086" w:type="dxa"/>
            <w:tcBorders>
              <w:top w:val="nil"/>
              <w:left w:val="nil"/>
              <w:bottom w:val="nil"/>
              <w:right w:val="nil"/>
            </w:tcBorders>
            <w:vAlign w:val="bottom"/>
            <w:hideMark/>
          </w:tcPr>
          <w:p w14:paraId="1BEDE2D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23 697</w:t>
            </w:r>
          </w:p>
        </w:tc>
        <w:tc>
          <w:tcPr>
            <w:tcW w:w="1213" w:type="dxa"/>
            <w:tcBorders>
              <w:top w:val="nil"/>
              <w:left w:val="nil"/>
              <w:bottom w:val="nil"/>
              <w:right w:val="nil"/>
            </w:tcBorders>
            <w:vAlign w:val="bottom"/>
            <w:hideMark/>
          </w:tcPr>
          <w:p w14:paraId="1023323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23 866</w:t>
            </w:r>
          </w:p>
        </w:tc>
        <w:tc>
          <w:tcPr>
            <w:tcW w:w="1213" w:type="dxa"/>
            <w:tcBorders>
              <w:top w:val="nil"/>
              <w:left w:val="nil"/>
              <w:bottom w:val="nil"/>
              <w:right w:val="nil"/>
            </w:tcBorders>
            <w:vAlign w:val="bottom"/>
            <w:hideMark/>
          </w:tcPr>
          <w:p w14:paraId="314A03A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30 060</w:t>
            </w:r>
          </w:p>
        </w:tc>
        <w:tc>
          <w:tcPr>
            <w:tcW w:w="1166" w:type="dxa"/>
            <w:tcBorders>
              <w:top w:val="nil"/>
              <w:left w:val="nil"/>
              <w:bottom w:val="nil"/>
              <w:right w:val="single" w:sz="4" w:space="0" w:color="000000"/>
            </w:tcBorders>
            <w:vAlign w:val="bottom"/>
            <w:hideMark/>
          </w:tcPr>
          <w:p w14:paraId="7F7A124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091CF38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38 504</w:t>
            </w:r>
          </w:p>
        </w:tc>
        <w:tc>
          <w:tcPr>
            <w:tcW w:w="1166" w:type="dxa"/>
            <w:tcBorders>
              <w:top w:val="nil"/>
              <w:left w:val="nil"/>
              <w:bottom w:val="nil"/>
              <w:right w:val="nil"/>
            </w:tcBorders>
            <w:vAlign w:val="bottom"/>
            <w:hideMark/>
          </w:tcPr>
          <w:p w14:paraId="36B68C7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143824C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48E699F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38 504</w:t>
            </w:r>
          </w:p>
        </w:tc>
      </w:tr>
      <w:tr w:rsidR="00992A45" w:rsidRPr="00BD7721" w14:paraId="4B31BCF7" w14:textId="77777777" w:rsidTr="001C113A">
        <w:trPr>
          <w:trHeight w:val="57"/>
          <w:jc w:val="right"/>
        </w:trPr>
        <w:tc>
          <w:tcPr>
            <w:tcW w:w="2835" w:type="dxa"/>
            <w:tcBorders>
              <w:top w:val="nil"/>
              <w:left w:val="nil"/>
              <w:bottom w:val="nil"/>
              <w:right w:val="nil"/>
            </w:tcBorders>
            <w:hideMark/>
          </w:tcPr>
          <w:p w14:paraId="042592D4" w14:textId="77777777" w:rsidR="00992A45" w:rsidRPr="00BD7721" w:rsidRDefault="00992A45" w:rsidP="004E48D5">
            <w:pPr>
              <w:pStyle w:val="Normal-pool"/>
              <w:spacing w:before="40" w:after="40"/>
              <w:ind w:left="174"/>
              <w:rPr>
                <w:sz w:val="18"/>
                <w:szCs w:val="18"/>
                <w:lang w:val="en-GB"/>
              </w:rPr>
            </w:pPr>
            <w:proofErr w:type="spellStart"/>
            <w:r w:rsidRPr="00BD7721">
              <w:rPr>
                <w:sz w:val="18"/>
                <w:szCs w:val="18"/>
                <w:lang w:val="en-GB"/>
              </w:rPr>
              <w:t>France</w:t>
            </w:r>
            <w:r w:rsidRPr="00BD7721">
              <w:rPr>
                <w:iCs/>
                <w:sz w:val="18"/>
                <w:szCs w:val="18"/>
                <w:vertAlign w:val="superscript"/>
                <w:lang w:val="en-GB"/>
              </w:rPr>
              <w:t>a</w:t>
            </w:r>
            <w:proofErr w:type="spellEnd"/>
          </w:p>
        </w:tc>
        <w:tc>
          <w:tcPr>
            <w:tcW w:w="993" w:type="dxa"/>
            <w:tcBorders>
              <w:top w:val="nil"/>
              <w:left w:val="nil"/>
              <w:bottom w:val="nil"/>
              <w:right w:val="nil"/>
            </w:tcBorders>
            <w:vAlign w:val="bottom"/>
            <w:hideMark/>
          </w:tcPr>
          <w:p w14:paraId="307E903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844 838</w:t>
            </w:r>
          </w:p>
        </w:tc>
        <w:tc>
          <w:tcPr>
            <w:tcW w:w="992" w:type="dxa"/>
            <w:tcBorders>
              <w:top w:val="nil"/>
              <w:left w:val="nil"/>
              <w:bottom w:val="nil"/>
              <w:right w:val="nil"/>
            </w:tcBorders>
            <w:vAlign w:val="bottom"/>
            <w:hideMark/>
          </w:tcPr>
          <w:p w14:paraId="026EF5C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416 343</w:t>
            </w:r>
          </w:p>
        </w:tc>
        <w:tc>
          <w:tcPr>
            <w:tcW w:w="1086" w:type="dxa"/>
            <w:tcBorders>
              <w:top w:val="nil"/>
              <w:left w:val="nil"/>
              <w:bottom w:val="nil"/>
              <w:right w:val="nil"/>
            </w:tcBorders>
            <w:vAlign w:val="bottom"/>
            <w:hideMark/>
          </w:tcPr>
          <w:p w14:paraId="75D7B9C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503 897</w:t>
            </w:r>
          </w:p>
        </w:tc>
        <w:tc>
          <w:tcPr>
            <w:tcW w:w="1213" w:type="dxa"/>
            <w:tcBorders>
              <w:top w:val="nil"/>
              <w:left w:val="nil"/>
              <w:bottom w:val="nil"/>
              <w:right w:val="nil"/>
            </w:tcBorders>
            <w:vAlign w:val="bottom"/>
            <w:hideMark/>
          </w:tcPr>
          <w:p w14:paraId="6FFF8D2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290 687</w:t>
            </w:r>
          </w:p>
        </w:tc>
        <w:tc>
          <w:tcPr>
            <w:tcW w:w="1213" w:type="dxa"/>
            <w:tcBorders>
              <w:top w:val="nil"/>
              <w:left w:val="nil"/>
              <w:bottom w:val="nil"/>
              <w:right w:val="nil"/>
            </w:tcBorders>
            <w:vAlign w:val="bottom"/>
            <w:hideMark/>
          </w:tcPr>
          <w:p w14:paraId="39D7951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321 489</w:t>
            </w:r>
          </w:p>
        </w:tc>
        <w:tc>
          <w:tcPr>
            <w:tcW w:w="1166" w:type="dxa"/>
            <w:tcBorders>
              <w:top w:val="nil"/>
              <w:left w:val="nil"/>
              <w:bottom w:val="nil"/>
              <w:right w:val="single" w:sz="4" w:space="0" w:color="000000"/>
            </w:tcBorders>
            <w:vAlign w:val="bottom"/>
            <w:hideMark/>
          </w:tcPr>
          <w:p w14:paraId="1E7F97E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130 540</w:t>
            </w:r>
          </w:p>
        </w:tc>
        <w:tc>
          <w:tcPr>
            <w:tcW w:w="1293" w:type="dxa"/>
            <w:tcBorders>
              <w:top w:val="nil"/>
              <w:left w:val="single" w:sz="4" w:space="0" w:color="000000"/>
              <w:bottom w:val="nil"/>
              <w:right w:val="nil"/>
            </w:tcBorders>
            <w:vAlign w:val="bottom"/>
            <w:hideMark/>
          </w:tcPr>
          <w:p w14:paraId="1FF35F1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159 516</w:t>
            </w:r>
          </w:p>
        </w:tc>
        <w:tc>
          <w:tcPr>
            <w:tcW w:w="1166" w:type="dxa"/>
            <w:tcBorders>
              <w:top w:val="nil"/>
              <w:left w:val="nil"/>
              <w:bottom w:val="nil"/>
              <w:right w:val="nil"/>
            </w:tcBorders>
            <w:vAlign w:val="bottom"/>
            <w:hideMark/>
          </w:tcPr>
          <w:p w14:paraId="5694F8C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2C1A012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7CAB1AD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159 516</w:t>
            </w:r>
          </w:p>
        </w:tc>
      </w:tr>
      <w:tr w:rsidR="00992A45" w:rsidRPr="00BD7721" w14:paraId="47A515FE" w14:textId="77777777" w:rsidTr="001C113A">
        <w:trPr>
          <w:trHeight w:val="57"/>
          <w:jc w:val="right"/>
        </w:trPr>
        <w:tc>
          <w:tcPr>
            <w:tcW w:w="2835" w:type="dxa"/>
            <w:tcBorders>
              <w:top w:val="nil"/>
              <w:left w:val="nil"/>
              <w:bottom w:val="nil"/>
              <w:right w:val="nil"/>
            </w:tcBorders>
            <w:hideMark/>
          </w:tcPr>
          <w:p w14:paraId="4E2B2A2B" w14:textId="77777777" w:rsidR="00992A45" w:rsidRPr="00BD7721" w:rsidRDefault="00992A45" w:rsidP="004E48D5">
            <w:pPr>
              <w:pStyle w:val="Normal-pool"/>
              <w:spacing w:before="40" w:after="40"/>
              <w:ind w:left="174"/>
              <w:rPr>
                <w:sz w:val="18"/>
                <w:szCs w:val="18"/>
                <w:lang w:val="en-GB"/>
              </w:rPr>
            </w:pPr>
            <w:proofErr w:type="spellStart"/>
            <w:r w:rsidRPr="00BD7721">
              <w:rPr>
                <w:sz w:val="18"/>
                <w:szCs w:val="18"/>
                <w:lang w:val="en-GB"/>
              </w:rPr>
              <w:t>Germany</w:t>
            </w:r>
            <w:r w:rsidRPr="00BD7721">
              <w:rPr>
                <w:iCs/>
                <w:sz w:val="18"/>
                <w:szCs w:val="18"/>
                <w:vertAlign w:val="superscript"/>
                <w:lang w:val="en-GB"/>
              </w:rPr>
              <w:t>a</w:t>
            </w:r>
            <w:proofErr w:type="spellEnd"/>
          </w:p>
        </w:tc>
        <w:tc>
          <w:tcPr>
            <w:tcW w:w="993" w:type="dxa"/>
            <w:tcBorders>
              <w:top w:val="nil"/>
              <w:left w:val="nil"/>
              <w:bottom w:val="nil"/>
              <w:right w:val="nil"/>
            </w:tcBorders>
            <w:vAlign w:val="bottom"/>
            <w:hideMark/>
          </w:tcPr>
          <w:p w14:paraId="68FD96A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1 457 267</w:t>
            </w:r>
          </w:p>
        </w:tc>
        <w:tc>
          <w:tcPr>
            <w:tcW w:w="992" w:type="dxa"/>
            <w:tcBorders>
              <w:top w:val="nil"/>
              <w:left w:val="nil"/>
              <w:bottom w:val="nil"/>
              <w:right w:val="nil"/>
            </w:tcBorders>
            <w:vAlign w:val="bottom"/>
            <w:hideMark/>
          </w:tcPr>
          <w:p w14:paraId="638A49A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1 242 916</w:t>
            </w:r>
          </w:p>
        </w:tc>
        <w:tc>
          <w:tcPr>
            <w:tcW w:w="1086" w:type="dxa"/>
            <w:tcBorders>
              <w:top w:val="nil"/>
              <w:left w:val="nil"/>
              <w:bottom w:val="nil"/>
              <w:right w:val="nil"/>
            </w:tcBorders>
            <w:vAlign w:val="bottom"/>
            <w:hideMark/>
          </w:tcPr>
          <w:p w14:paraId="4B379D1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1 109 361</w:t>
            </w:r>
          </w:p>
        </w:tc>
        <w:tc>
          <w:tcPr>
            <w:tcW w:w="1213" w:type="dxa"/>
            <w:tcBorders>
              <w:top w:val="nil"/>
              <w:left w:val="nil"/>
              <w:bottom w:val="nil"/>
              <w:right w:val="nil"/>
            </w:tcBorders>
            <w:vAlign w:val="bottom"/>
            <w:hideMark/>
          </w:tcPr>
          <w:p w14:paraId="2F91B7D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1 266 363</w:t>
            </w:r>
          </w:p>
        </w:tc>
        <w:tc>
          <w:tcPr>
            <w:tcW w:w="1213" w:type="dxa"/>
            <w:tcBorders>
              <w:top w:val="nil"/>
              <w:left w:val="nil"/>
              <w:bottom w:val="nil"/>
              <w:right w:val="nil"/>
            </w:tcBorders>
            <w:vAlign w:val="bottom"/>
            <w:hideMark/>
          </w:tcPr>
          <w:p w14:paraId="0446C06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1 293 674</w:t>
            </w:r>
          </w:p>
        </w:tc>
        <w:tc>
          <w:tcPr>
            <w:tcW w:w="1166" w:type="dxa"/>
            <w:tcBorders>
              <w:top w:val="nil"/>
              <w:left w:val="nil"/>
              <w:bottom w:val="nil"/>
              <w:right w:val="single" w:sz="4" w:space="0" w:color="000000"/>
            </w:tcBorders>
            <w:vAlign w:val="bottom"/>
            <w:hideMark/>
          </w:tcPr>
          <w:p w14:paraId="2950B8B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 xml:space="preserve">1 108 647 </w:t>
            </w:r>
          </w:p>
        </w:tc>
        <w:tc>
          <w:tcPr>
            <w:tcW w:w="1293" w:type="dxa"/>
            <w:tcBorders>
              <w:top w:val="nil"/>
              <w:left w:val="single" w:sz="4" w:space="0" w:color="000000"/>
              <w:bottom w:val="nil"/>
              <w:right w:val="nil"/>
            </w:tcBorders>
            <w:vAlign w:val="bottom"/>
            <w:hideMark/>
          </w:tcPr>
          <w:p w14:paraId="18CC0BC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66EC47A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1 100 110</w:t>
            </w:r>
          </w:p>
        </w:tc>
        <w:tc>
          <w:tcPr>
            <w:tcW w:w="1072" w:type="dxa"/>
            <w:tcBorders>
              <w:top w:val="nil"/>
              <w:left w:val="nil"/>
              <w:bottom w:val="nil"/>
              <w:right w:val="nil"/>
            </w:tcBorders>
            <w:vAlign w:val="bottom"/>
            <w:hideMark/>
          </w:tcPr>
          <w:p w14:paraId="1184B4C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1 100 110</w:t>
            </w:r>
          </w:p>
        </w:tc>
        <w:tc>
          <w:tcPr>
            <w:tcW w:w="1399" w:type="dxa"/>
            <w:tcBorders>
              <w:top w:val="nil"/>
              <w:left w:val="nil"/>
              <w:bottom w:val="nil"/>
              <w:right w:val="nil"/>
            </w:tcBorders>
            <w:vAlign w:val="bottom"/>
            <w:hideMark/>
          </w:tcPr>
          <w:p w14:paraId="2B17B5C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2 200 220</w:t>
            </w:r>
          </w:p>
        </w:tc>
      </w:tr>
      <w:tr w:rsidR="00992A45" w:rsidRPr="00BD7721" w14:paraId="1CBA0ED3" w14:textId="77777777" w:rsidTr="001C113A">
        <w:trPr>
          <w:trHeight w:val="57"/>
          <w:jc w:val="right"/>
        </w:trPr>
        <w:tc>
          <w:tcPr>
            <w:tcW w:w="2835" w:type="dxa"/>
            <w:tcBorders>
              <w:top w:val="nil"/>
              <w:left w:val="nil"/>
              <w:bottom w:val="nil"/>
              <w:right w:val="nil"/>
            </w:tcBorders>
            <w:hideMark/>
          </w:tcPr>
          <w:p w14:paraId="2349796E"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 xml:space="preserve">Japan </w:t>
            </w:r>
          </w:p>
        </w:tc>
        <w:tc>
          <w:tcPr>
            <w:tcW w:w="993" w:type="dxa"/>
            <w:tcBorders>
              <w:top w:val="nil"/>
              <w:left w:val="nil"/>
              <w:bottom w:val="nil"/>
              <w:right w:val="nil"/>
            </w:tcBorders>
            <w:vAlign w:val="bottom"/>
            <w:hideMark/>
          </w:tcPr>
          <w:p w14:paraId="54C447B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190 454</w:t>
            </w:r>
          </w:p>
        </w:tc>
        <w:tc>
          <w:tcPr>
            <w:tcW w:w="992" w:type="dxa"/>
            <w:tcBorders>
              <w:top w:val="nil"/>
              <w:left w:val="nil"/>
              <w:bottom w:val="nil"/>
              <w:right w:val="nil"/>
            </w:tcBorders>
            <w:vAlign w:val="bottom"/>
            <w:hideMark/>
          </w:tcPr>
          <w:p w14:paraId="0900917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166 428</w:t>
            </w:r>
          </w:p>
        </w:tc>
        <w:tc>
          <w:tcPr>
            <w:tcW w:w="1086" w:type="dxa"/>
            <w:tcBorders>
              <w:top w:val="nil"/>
              <w:left w:val="nil"/>
              <w:bottom w:val="nil"/>
              <w:right w:val="nil"/>
            </w:tcBorders>
            <w:vAlign w:val="bottom"/>
            <w:hideMark/>
          </w:tcPr>
          <w:p w14:paraId="75D8AB5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193 181</w:t>
            </w:r>
          </w:p>
        </w:tc>
        <w:tc>
          <w:tcPr>
            <w:tcW w:w="1213" w:type="dxa"/>
            <w:tcBorders>
              <w:top w:val="nil"/>
              <w:left w:val="nil"/>
              <w:bottom w:val="nil"/>
              <w:right w:val="nil"/>
            </w:tcBorders>
            <w:vAlign w:val="bottom"/>
            <w:hideMark/>
          </w:tcPr>
          <w:p w14:paraId="1431014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193 181</w:t>
            </w:r>
          </w:p>
        </w:tc>
        <w:tc>
          <w:tcPr>
            <w:tcW w:w="1213" w:type="dxa"/>
            <w:tcBorders>
              <w:top w:val="nil"/>
              <w:left w:val="nil"/>
              <w:bottom w:val="nil"/>
              <w:right w:val="nil"/>
            </w:tcBorders>
            <w:vAlign w:val="bottom"/>
            <w:hideMark/>
          </w:tcPr>
          <w:p w14:paraId="370B5D0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189 814</w:t>
            </w:r>
          </w:p>
        </w:tc>
        <w:tc>
          <w:tcPr>
            <w:tcW w:w="1166" w:type="dxa"/>
            <w:tcBorders>
              <w:top w:val="nil"/>
              <w:left w:val="nil"/>
              <w:bottom w:val="nil"/>
              <w:right w:val="single" w:sz="4" w:space="0" w:color="000000"/>
            </w:tcBorders>
            <w:vAlign w:val="bottom"/>
            <w:hideMark/>
          </w:tcPr>
          <w:p w14:paraId="49FBE97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189 814</w:t>
            </w:r>
          </w:p>
        </w:tc>
        <w:tc>
          <w:tcPr>
            <w:tcW w:w="1293" w:type="dxa"/>
            <w:tcBorders>
              <w:top w:val="nil"/>
              <w:left w:val="single" w:sz="4" w:space="0" w:color="000000"/>
              <w:bottom w:val="nil"/>
              <w:right w:val="nil"/>
            </w:tcBorders>
            <w:vAlign w:val="bottom"/>
            <w:hideMark/>
          </w:tcPr>
          <w:p w14:paraId="603989D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1A69319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189 814</w:t>
            </w:r>
          </w:p>
        </w:tc>
        <w:tc>
          <w:tcPr>
            <w:tcW w:w="1072" w:type="dxa"/>
            <w:tcBorders>
              <w:top w:val="nil"/>
              <w:left w:val="nil"/>
              <w:bottom w:val="nil"/>
              <w:right w:val="nil"/>
            </w:tcBorders>
            <w:vAlign w:val="bottom"/>
            <w:hideMark/>
          </w:tcPr>
          <w:p w14:paraId="509FD10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1E22163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189 814</w:t>
            </w:r>
          </w:p>
        </w:tc>
      </w:tr>
      <w:tr w:rsidR="00992A45" w:rsidRPr="00BD7721" w14:paraId="1BC478D7" w14:textId="77777777" w:rsidTr="001C113A">
        <w:trPr>
          <w:trHeight w:val="57"/>
          <w:jc w:val="right"/>
        </w:trPr>
        <w:tc>
          <w:tcPr>
            <w:tcW w:w="2835" w:type="dxa"/>
            <w:tcBorders>
              <w:top w:val="nil"/>
              <w:left w:val="nil"/>
              <w:bottom w:val="nil"/>
              <w:right w:val="nil"/>
            </w:tcBorders>
            <w:hideMark/>
          </w:tcPr>
          <w:p w14:paraId="28D770E5"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Latvia</w:t>
            </w:r>
          </w:p>
        </w:tc>
        <w:tc>
          <w:tcPr>
            <w:tcW w:w="993" w:type="dxa"/>
            <w:tcBorders>
              <w:top w:val="nil"/>
              <w:left w:val="nil"/>
              <w:bottom w:val="nil"/>
              <w:right w:val="nil"/>
            </w:tcBorders>
            <w:vAlign w:val="bottom"/>
            <w:hideMark/>
          </w:tcPr>
          <w:p w14:paraId="6C12DC8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4 227</w:t>
            </w:r>
          </w:p>
        </w:tc>
        <w:tc>
          <w:tcPr>
            <w:tcW w:w="992" w:type="dxa"/>
            <w:tcBorders>
              <w:top w:val="nil"/>
              <w:left w:val="nil"/>
              <w:bottom w:val="nil"/>
              <w:right w:val="nil"/>
            </w:tcBorders>
            <w:vAlign w:val="bottom"/>
            <w:hideMark/>
          </w:tcPr>
          <w:p w14:paraId="2AA310F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11 377</w:t>
            </w:r>
          </w:p>
        </w:tc>
        <w:tc>
          <w:tcPr>
            <w:tcW w:w="1086" w:type="dxa"/>
            <w:tcBorders>
              <w:top w:val="nil"/>
              <w:left w:val="nil"/>
              <w:bottom w:val="nil"/>
              <w:right w:val="nil"/>
            </w:tcBorders>
            <w:vAlign w:val="bottom"/>
            <w:hideMark/>
          </w:tcPr>
          <w:p w14:paraId="4CCFB41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11 947</w:t>
            </w:r>
          </w:p>
        </w:tc>
        <w:tc>
          <w:tcPr>
            <w:tcW w:w="1213" w:type="dxa"/>
            <w:tcBorders>
              <w:top w:val="nil"/>
              <w:left w:val="nil"/>
              <w:bottom w:val="nil"/>
              <w:right w:val="nil"/>
            </w:tcBorders>
            <w:vAlign w:val="bottom"/>
            <w:hideMark/>
          </w:tcPr>
          <w:p w14:paraId="573DC68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12 165</w:t>
            </w:r>
          </w:p>
        </w:tc>
        <w:tc>
          <w:tcPr>
            <w:tcW w:w="1213" w:type="dxa"/>
            <w:tcBorders>
              <w:top w:val="nil"/>
              <w:left w:val="nil"/>
              <w:bottom w:val="nil"/>
              <w:right w:val="nil"/>
            </w:tcBorders>
            <w:vAlign w:val="bottom"/>
            <w:hideMark/>
          </w:tcPr>
          <w:p w14:paraId="77F6FF6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9 737</w:t>
            </w:r>
          </w:p>
        </w:tc>
        <w:tc>
          <w:tcPr>
            <w:tcW w:w="1166" w:type="dxa"/>
            <w:tcBorders>
              <w:top w:val="nil"/>
              <w:left w:val="nil"/>
              <w:bottom w:val="nil"/>
              <w:right w:val="single" w:sz="4" w:space="0" w:color="000000"/>
            </w:tcBorders>
            <w:vAlign w:val="bottom"/>
            <w:hideMark/>
          </w:tcPr>
          <w:p w14:paraId="59B075F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61A99DD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4319A55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49E8B8B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00035AF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77D96BD8" w14:textId="77777777" w:rsidTr="001C113A">
        <w:trPr>
          <w:trHeight w:val="57"/>
          <w:jc w:val="right"/>
        </w:trPr>
        <w:tc>
          <w:tcPr>
            <w:tcW w:w="2835" w:type="dxa"/>
            <w:tcBorders>
              <w:top w:val="nil"/>
              <w:left w:val="nil"/>
              <w:bottom w:val="nil"/>
              <w:right w:val="nil"/>
            </w:tcBorders>
            <w:hideMark/>
          </w:tcPr>
          <w:p w14:paraId="5B5C86CE"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Luxembourg</w:t>
            </w:r>
          </w:p>
        </w:tc>
        <w:tc>
          <w:tcPr>
            <w:tcW w:w="993" w:type="dxa"/>
            <w:tcBorders>
              <w:top w:val="nil"/>
              <w:left w:val="nil"/>
              <w:bottom w:val="nil"/>
              <w:right w:val="nil"/>
            </w:tcBorders>
            <w:vAlign w:val="bottom"/>
            <w:hideMark/>
          </w:tcPr>
          <w:p w14:paraId="07AC651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17 045</w:t>
            </w:r>
          </w:p>
        </w:tc>
        <w:tc>
          <w:tcPr>
            <w:tcW w:w="992" w:type="dxa"/>
            <w:tcBorders>
              <w:top w:val="nil"/>
              <w:left w:val="nil"/>
              <w:bottom w:val="nil"/>
              <w:right w:val="nil"/>
            </w:tcBorders>
            <w:vAlign w:val="bottom"/>
            <w:hideMark/>
          </w:tcPr>
          <w:p w14:paraId="7BADFF4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11 123</w:t>
            </w:r>
          </w:p>
        </w:tc>
        <w:tc>
          <w:tcPr>
            <w:tcW w:w="1086" w:type="dxa"/>
            <w:tcBorders>
              <w:top w:val="nil"/>
              <w:left w:val="nil"/>
              <w:bottom w:val="nil"/>
              <w:right w:val="nil"/>
            </w:tcBorders>
            <w:vAlign w:val="bottom"/>
            <w:hideMark/>
          </w:tcPr>
          <w:p w14:paraId="5D268F1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2B4D73C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9 558</w:t>
            </w:r>
          </w:p>
        </w:tc>
        <w:tc>
          <w:tcPr>
            <w:tcW w:w="1213" w:type="dxa"/>
            <w:tcBorders>
              <w:top w:val="nil"/>
              <w:left w:val="nil"/>
              <w:bottom w:val="nil"/>
              <w:right w:val="nil"/>
            </w:tcBorders>
            <w:vAlign w:val="bottom"/>
            <w:hideMark/>
          </w:tcPr>
          <w:p w14:paraId="555E5E4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single" w:sz="4" w:space="0" w:color="000000"/>
            </w:tcBorders>
            <w:vAlign w:val="bottom"/>
            <w:hideMark/>
          </w:tcPr>
          <w:p w14:paraId="20536EE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16 630</w:t>
            </w:r>
          </w:p>
        </w:tc>
        <w:tc>
          <w:tcPr>
            <w:tcW w:w="1293" w:type="dxa"/>
            <w:tcBorders>
              <w:top w:val="nil"/>
              <w:left w:val="single" w:sz="4" w:space="0" w:color="000000"/>
              <w:bottom w:val="nil"/>
              <w:right w:val="nil"/>
            </w:tcBorders>
            <w:vAlign w:val="bottom"/>
            <w:hideMark/>
          </w:tcPr>
          <w:p w14:paraId="3BD1AA9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75896E0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344F6F0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6662D02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41AF056A" w14:textId="77777777" w:rsidTr="001C113A">
        <w:trPr>
          <w:trHeight w:val="57"/>
          <w:jc w:val="right"/>
        </w:trPr>
        <w:tc>
          <w:tcPr>
            <w:tcW w:w="2835" w:type="dxa"/>
            <w:tcBorders>
              <w:top w:val="nil"/>
              <w:left w:val="nil"/>
              <w:bottom w:val="nil"/>
              <w:right w:val="nil"/>
            </w:tcBorders>
            <w:hideMark/>
          </w:tcPr>
          <w:p w14:paraId="6B0B3653"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Netherlands (Kingdom of the)</w:t>
            </w:r>
          </w:p>
        </w:tc>
        <w:tc>
          <w:tcPr>
            <w:tcW w:w="993" w:type="dxa"/>
            <w:tcBorders>
              <w:top w:val="nil"/>
              <w:left w:val="nil"/>
              <w:bottom w:val="nil"/>
              <w:right w:val="nil"/>
            </w:tcBorders>
            <w:vAlign w:val="bottom"/>
            <w:hideMark/>
          </w:tcPr>
          <w:p w14:paraId="28300DE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56924B9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715 072</w:t>
            </w:r>
          </w:p>
        </w:tc>
        <w:tc>
          <w:tcPr>
            <w:tcW w:w="1086" w:type="dxa"/>
            <w:tcBorders>
              <w:top w:val="nil"/>
              <w:left w:val="nil"/>
              <w:bottom w:val="nil"/>
              <w:right w:val="nil"/>
            </w:tcBorders>
            <w:vAlign w:val="bottom"/>
            <w:hideMark/>
          </w:tcPr>
          <w:p w14:paraId="456A65D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1DD2240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225 225</w:t>
            </w:r>
          </w:p>
        </w:tc>
        <w:tc>
          <w:tcPr>
            <w:tcW w:w="1213" w:type="dxa"/>
            <w:tcBorders>
              <w:top w:val="nil"/>
              <w:left w:val="nil"/>
              <w:bottom w:val="nil"/>
              <w:right w:val="nil"/>
            </w:tcBorders>
            <w:vAlign w:val="bottom"/>
            <w:hideMark/>
          </w:tcPr>
          <w:p w14:paraId="21BDE7F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479 744</w:t>
            </w:r>
          </w:p>
        </w:tc>
        <w:tc>
          <w:tcPr>
            <w:tcW w:w="1166" w:type="dxa"/>
            <w:tcBorders>
              <w:top w:val="nil"/>
              <w:left w:val="nil"/>
              <w:bottom w:val="nil"/>
              <w:right w:val="single" w:sz="4" w:space="0" w:color="000000"/>
            </w:tcBorders>
            <w:vAlign w:val="bottom"/>
            <w:hideMark/>
          </w:tcPr>
          <w:p w14:paraId="0D79592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035F211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7386227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7BE5DDC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3C7A7A3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6550CEFA" w14:textId="77777777" w:rsidTr="001C113A">
        <w:trPr>
          <w:trHeight w:val="57"/>
          <w:jc w:val="right"/>
        </w:trPr>
        <w:tc>
          <w:tcPr>
            <w:tcW w:w="2835" w:type="dxa"/>
            <w:tcBorders>
              <w:top w:val="nil"/>
              <w:left w:val="nil"/>
              <w:bottom w:val="nil"/>
              <w:right w:val="nil"/>
            </w:tcBorders>
            <w:hideMark/>
          </w:tcPr>
          <w:p w14:paraId="726F9C41"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New Zealand</w:t>
            </w:r>
          </w:p>
        </w:tc>
        <w:tc>
          <w:tcPr>
            <w:tcW w:w="993" w:type="dxa"/>
            <w:tcBorders>
              <w:top w:val="nil"/>
              <w:left w:val="nil"/>
              <w:bottom w:val="nil"/>
              <w:right w:val="nil"/>
            </w:tcBorders>
            <w:vAlign w:val="bottom"/>
            <w:hideMark/>
          </w:tcPr>
          <w:p w14:paraId="3ECA674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17 047</w:t>
            </w:r>
          </w:p>
        </w:tc>
        <w:tc>
          <w:tcPr>
            <w:tcW w:w="992" w:type="dxa"/>
            <w:tcBorders>
              <w:top w:val="nil"/>
              <w:left w:val="nil"/>
              <w:bottom w:val="nil"/>
              <w:right w:val="nil"/>
            </w:tcBorders>
            <w:vAlign w:val="bottom"/>
            <w:hideMark/>
          </w:tcPr>
          <w:p w14:paraId="75E88D1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16 557</w:t>
            </w:r>
          </w:p>
        </w:tc>
        <w:tc>
          <w:tcPr>
            <w:tcW w:w="1086" w:type="dxa"/>
            <w:tcBorders>
              <w:top w:val="nil"/>
              <w:left w:val="nil"/>
              <w:bottom w:val="nil"/>
              <w:right w:val="nil"/>
            </w:tcBorders>
            <w:vAlign w:val="bottom"/>
            <w:hideMark/>
          </w:tcPr>
          <w:p w14:paraId="7578BE8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343357A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34 920</w:t>
            </w:r>
          </w:p>
        </w:tc>
        <w:tc>
          <w:tcPr>
            <w:tcW w:w="1213" w:type="dxa"/>
            <w:tcBorders>
              <w:top w:val="nil"/>
              <w:left w:val="nil"/>
              <w:bottom w:val="nil"/>
              <w:right w:val="nil"/>
            </w:tcBorders>
            <w:vAlign w:val="bottom"/>
            <w:hideMark/>
          </w:tcPr>
          <w:p w14:paraId="30B77F0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16 995</w:t>
            </w:r>
          </w:p>
        </w:tc>
        <w:tc>
          <w:tcPr>
            <w:tcW w:w="1166" w:type="dxa"/>
            <w:tcBorders>
              <w:top w:val="nil"/>
              <w:left w:val="nil"/>
              <w:bottom w:val="nil"/>
              <w:right w:val="single" w:sz="4" w:space="0" w:color="000000"/>
            </w:tcBorders>
            <w:vAlign w:val="bottom"/>
            <w:hideMark/>
          </w:tcPr>
          <w:p w14:paraId="0A923BE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15 745</w:t>
            </w:r>
          </w:p>
        </w:tc>
        <w:tc>
          <w:tcPr>
            <w:tcW w:w="1293" w:type="dxa"/>
            <w:tcBorders>
              <w:top w:val="nil"/>
              <w:left w:val="single" w:sz="4" w:space="0" w:color="000000"/>
              <w:bottom w:val="nil"/>
              <w:right w:val="nil"/>
            </w:tcBorders>
            <w:vAlign w:val="bottom"/>
            <w:hideMark/>
          </w:tcPr>
          <w:p w14:paraId="2711553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5EFE738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62A2A80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1515184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6BEFBEEC" w14:textId="77777777" w:rsidTr="001C113A">
        <w:trPr>
          <w:trHeight w:val="57"/>
          <w:jc w:val="right"/>
        </w:trPr>
        <w:tc>
          <w:tcPr>
            <w:tcW w:w="2835" w:type="dxa"/>
            <w:tcBorders>
              <w:top w:val="nil"/>
              <w:left w:val="nil"/>
              <w:bottom w:val="nil"/>
              <w:right w:val="nil"/>
            </w:tcBorders>
            <w:hideMark/>
          </w:tcPr>
          <w:p w14:paraId="68214AB3"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Norway</w:t>
            </w:r>
          </w:p>
        </w:tc>
        <w:tc>
          <w:tcPr>
            <w:tcW w:w="993" w:type="dxa"/>
            <w:tcBorders>
              <w:top w:val="nil"/>
              <w:left w:val="nil"/>
              <w:bottom w:val="nil"/>
              <w:right w:val="nil"/>
            </w:tcBorders>
            <w:vAlign w:val="bottom"/>
            <w:hideMark/>
          </w:tcPr>
          <w:p w14:paraId="603B94D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665 417</w:t>
            </w:r>
          </w:p>
        </w:tc>
        <w:tc>
          <w:tcPr>
            <w:tcW w:w="992" w:type="dxa"/>
            <w:tcBorders>
              <w:top w:val="nil"/>
              <w:left w:val="nil"/>
              <w:bottom w:val="nil"/>
              <w:right w:val="nil"/>
            </w:tcBorders>
            <w:vAlign w:val="bottom"/>
            <w:hideMark/>
          </w:tcPr>
          <w:p w14:paraId="68CAA1F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324 585</w:t>
            </w:r>
          </w:p>
        </w:tc>
        <w:tc>
          <w:tcPr>
            <w:tcW w:w="1086" w:type="dxa"/>
            <w:tcBorders>
              <w:top w:val="nil"/>
              <w:left w:val="nil"/>
              <w:bottom w:val="nil"/>
              <w:right w:val="nil"/>
            </w:tcBorders>
            <w:vAlign w:val="bottom"/>
            <w:hideMark/>
          </w:tcPr>
          <w:p w14:paraId="40B4B66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290 757</w:t>
            </w:r>
          </w:p>
        </w:tc>
        <w:tc>
          <w:tcPr>
            <w:tcW w:w="1213" w:type="dxa"/>
            <w:tcBorders>
              <w:top w:val="nil"/>
              <w:left w:val="nil"/>
              <w:bottom w:val="nil"/>
              <w:right w:val="nil"/>
            </w:tcBorders>
            <w:vAlign w:val="bottom"/>
            <w:hideMark/>
          </w:tcPr>
          <w:p w14:paraId="6FC7862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372 715</w:t>
            </w:r>
          </w:p>
        </w:tc>
        <w:tc>
          <w:tcPr>
            <w:tcW w:w="1213" w:type="dxa"/>
            <w:tcBorders>
              <w:top w:val="nil"/>
              <w:left w:val="nil"/>
              <w:bottom w:val="nil"/>
              <w:right w:val="nil"/>
            </w:tcBorders>
            <w:vAlign w:val="bottom"/>
            <w:hideMark/>
          </w:tcPr>
          <w:p w14:paraId="5472917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334 317</w:t>
            </w:r>
          </w:p>
        </w:tc>
        <w:tc>
          <w:tcPr>
            <w:tcW w:w="1166" w:type="dxa"/>
            <w:tcBorders>
              <w:top w:val="nil"/>
              <w:left w:val="nil"/>
              <w:bottom w:val="nil"/>
              <w:right w:val="single" w:sz="4" w:space="0" w:color="000000"/>
            </w:tcBorders>
            <w:vAlign w:val="bottom"/>
            <w:hideMark/>
          </w:tcPr>
          <w:p w14:paraId="4A43291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330 615</w:t>
            </w:r>
          </w:p>
        </w:tc>
        <w:tc>
          <w:tcPr>
            <w:tcW w:w="1293" w:type="dxa"/>
            <w:tcBorders>
              <w:top w:val="nil"/>
              <w:left w:val="single" w:sz="4" w:space="0" w:color="000000"/>
              <w:bottom w:val="nil"/>
              <w:right w:val="nil"/>
            </w:tcBorders>
            <w:vAlign w:val="bottom"/>
            <w:hideMark/>
          </w:tcPr>
          <w:p w14:paraId="0D8D482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0015DB5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618D0E1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7B61A47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6F06A842" w14:textId="77777777" w:rsidTr="001C113A">
        <w:trPr>
          <w:trHeight w:val="57"/>
          <w:jc w:val="right"/>
        </w:trPr>
        <w:tc>
          <w:tcPr>
            <w:tcW w:w="2835" w:type="dxa"/>
            <w:tcBorders>
              <w:top w:val="nil"/>
              <w:left w:val="nil"/>
              <w:bottom w:val="nil"/>
              <w:right w:val="nil"/>
            </w:tcBorders>
            <w:hideMark/>
          </w:tcPr>
          <w:p w14:paraId="677C656F"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 xml:space="preserve">Republic of </w:t>
            </w:r>
            <w:proofErr w:type="spellStart"/>
            <w:r w:rsidRPr="00BD7721">
              <w:rPr>
                <w:sz w:val="18"/>
                <w:szCs w:val="18"/>
                <w:lang w:val="en-GB"/>
              </w:rPr>
              <w:t>Korea</w:t>
            </w:r>
            <w:r w:rsidRPr="00BD7721">
              <w:rPr>
                <w:iCs/>
                <w:sz w:val="18"/>
                <w:szCs w:val="18"/>
                <w:vertAlign w:val="superscript"/>
                <w:lang w:val="en-GB"/>
              </w:rPr>
              <w:t>a</w:t>
            </w:r>
            <w:proofErr w:type="spellEnd"/>
          </w:p>
        </w:tc>
        <w:tc>
          <w:tcPr>
            <w:tcW w:w="993" w:type="dxa"/>
            <w:tcBorders>
              <w:top w:val="nil"/>
              <w:left w:val="nil"/>
              <w:bottom w:val="nil"/>
              <w:right w:val="nil"/>
            </w:tcBorders>
            <w:vAlign w:val="bottom"/>
            <w:hideMark/>
          </w:tcPr>
          <w:p w14:paraId="2A4C3D5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49DA59F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123 378</w:t>
            </w:r>
          </w:p>
        </w:tc>
        <w:tc>
          <w:tcPr>
            <w:tcW w:w="1086" w:type="dxa"/>
            <w:tcBorders>
              <w:top w:val="nil"/>
              <w:left w:val="nil"/>
              <w:bottom w:val="nil"/>
              <w:right w:val="nil"/>
            </w:tcBorders>
            <w:vAlign w:val="bottom"/>
            <w:hideMark/>
          </w:tcPr>
          <w:p w14:paraId="58BB5D3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26F4993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10A6CBB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single" w:sz="4" w:space="0" w:color="000000"/>
            </w:tcBorders>
            <w:vAlign w:val="bottom"/>
            <w:hideMark/>
          </w:tcPr>
          <w:p w14:paraId="69E110A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7A49B2B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7859BF3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260A802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7BE3D8F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23CECE00" w14:textId="77777777" w:rsidTr="001C113A">
        <w:trPr>
          <w:trHeight w:val="57"/>
          <w:jc w:val="right"/>
        </w:trPr>
        <w:tc>
          <w:tcPr>
            <w:tcW w:w="2835" w:type="dxa"/>
            <w:tcBorders>
              <w:top w:val="nil"/>
              <w:left w:val="nil"/>
              <w:bottom w:val="nil"/>
              <w:right w:val="nil"/>
            </w:tcBorders>
            <w:hideMark/>
          </w:tcPr>
          <w:p w14:paraId="6D71DEFD"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Slovakia</w:t>
            </w:r>
          </w:p>
        </w:tc>
        <w:tc>
          <w:tcPr>
            <w:tcW w:w="993" w:type="dxa"/>
            <w:tcBorders>
              <w:top w:val="nil"/>
              <w:left w:val="nil"/>
              <w:bottom w:val="nil"/>
              <w:right w:val="nil"/>
            </w:tcBorders>
            <w:vAlign w:val="bottom"/>
            <w:hideMark/>
          </w:tcPr>
          <w:p w14:paraId="4484893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2B91062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86" w:type="dxa"/>
            <w:tcBorders>
              <w:top w:val="nil"/>
              <w:left w:val="nil"/>
              <w:bottom w:val="nil"/>
              <w:right w:val="nil"/>
            </w:tcBorders>
            <w:vAlign w:val="bottom"/>
            <w:hideMark/>
          </w:tcPr>
          <w:p w14:paraId="75A6EE9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23 895</w:t>
            </w:r>
          </w:p>
        </w:tc>
        <w:tc>
          <w:tcPr>
            <w:tcW w:w="1213" w:type="dxa"/>
            <w:tcBorders>
              <w:top w:val="nil"/>
              <w:left w:val="nil"/>
              <w:bottom w:val="nil"/>
              <w:right w:val="nil"/>
            </w:tcBorders>
            <w:vAlign w:val="bottom"/>
            <w:hideMark/>
          </w:tcPr>
          <w:p w14:paraId="201B4B6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52288BB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single" w:sz="4" w:space="0" w:color="000000"/>
            </w:tcBorders>
            <w:vAlign w:val="bottom"/>
            <w:hideMark/>
          </w:tcPr>
          <w:p w14:paraId="788457B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082549A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1987DE4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0C67AD6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007501B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1011B2BD" w14:textId="77777777" w:rsidTr="001C113A">
        <w:trPr>
          <w:trHeight w:val="57"/>
          <w:jc w:val="right"/>
        </w:trPr>
        <w:tc>
          <w:tcPr>
            <w:tcW w:w="2835" w:type="dxa"/>
            <w:tcBorders>
              <w:top w:val="nil"/>
              <w:left w:val="nil"/>
              <w:bottom w:val="nil"/>
              <w:right w:val="nil"/>
            </w:tcBorders>
            <w:hideMark/>
          </w:tcPr>
          <w:p w14:paraId="4FC1A2A7"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Spain</w:t>
            </w:r>
          </w:p>
        </w:tc>
        <w:tc>
          <w:tcPr>
            <w:tcW w:w="993" w:type="dxa"/>
            <w:tcBorders>
              <w:top w:val="nil"/>
              <w:left w:val="nil"/>
              <w:bottom w:val="nil"/>
              <w:right w:val="nil"/>
            </w:tcBorders>
            <w:vAlign w:val="bottom"/>
            <w:hideMark/>
          </w:tcPr>
          <w:p w14:paraId="5289BF0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0972C70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86" w:type="dxa"/>
            <w:tcBorders>
              <w:top w:val="nil"/>
              <w:left w:val="nil"/>
              <w:bottom w:val="nil"/>
              <w:right w:val="nil"/>
            </w:tcBorders>
            <w:vAlign w:val="bottom"/>
            <w:hideMark/>
          </w:tcPr>
          <w:p w14:paraId="134A8D6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2E1F2F7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93 826</w:t>
            </w:r>
          </w:p>
        </w:tc>
        <w:tc>
          <w:tcPr>
            <w:tcW w:w="1213" w:type="dxa"/>
            <w:tcBorders>
              <w:top w:val="nil"/>
              <w:left w:val="nil"/>
              <w:bottom w:val="nil"/>
              <w:right w:val="nil"/>
            </w:tcBorders>
            <w:vAlign w:val="bottom"/>
            <w:hideMark/>
          </w:tcPr>
          <w:p w14:paraId="7D6C9E8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42 239</w:t>
            </w:r>
          </w:p>
        </w:tc>
        <w:tc>
          <w:tcPr>
            <w:tcW w:w="1166" w:type="dxa"/>
            <w:tcBorders>
              <w:top w:val="nil"/>
              <w:left w:val="nil"/>
              <w:bottom w:val="nil"/>
              <w:right w:val="single" w:sz="4" w:space="0" w:color="000000"/>
            </w:tcBorders>
            <w:vAlign w:val="bottom"/>
            <w:hideMark/>
          </w:tcPr>
          <w:p w14:paraId="4B0B7B8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43 621</w:t>
            </w:r>
          </w:p>
        </w:tc>
        <w:tc>
          <w:tcPr>
            <w:tcW w:w="1293" w:type="dxa"/>
            <w:tcBorders>
              <w:top w:val="nil"/>
              <w:left w:val="single" w:sz="4" w:space="0" w:color="000000"/>
              <w:bottom w:val="nil"/>
              <w:right w:val="nil"/>
            </w:tcBorders>
            <w:vAlign w:val="bottom"/>
            <w:hideMark/>
          </w:tcPr>
          <w:p w14:paraId="128E26D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727495D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7DA5387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4674F61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533D4ED4" w14:textId="77777777" w:rsidTr="001C113A">
        <w:trPr>
          <w:trHeight w:val="57"/>
          <w:jc w:val="right"/>
        </w:trPr>
        <w:tc>
          <w:tcPr>
            <w:tcW w:w="2835" w:type="dxa"/>
            <w:tcBorders>
              <w:top w:val="nil"/>
              <w:left w:val="nil"/>
              <w:bottom w:val="nil"/>
              <w:right w:val="nil"/>
            </w:tcBorders>
            <w:hideMark/>
          </w:tcPr>
          <w:p w14:paraId="1202C319" w14:textId="77777777" w:rsidR="00992A45" w:rsidRPr="00BD7721" w:rsidRDefault="00992A45" w:rsidP="004E48D5">
            <w:pPr>
              <w:pStyle w:val="Normal-pool"/>
              <w:spacing w:before="40" w:after="40"/>
              <w:ind w:left="174"/>
              <w:rPr>
                <w:sz w:val="18"/>
                <w:szCs w:val="18"/>
                <w:lang w:val="en-GB"/>
              </w:rPr>
            </w:pPr>
            <w:proofErr w:type="spellStart"/>
            <w:r w:rsidRPr="00BD7721">
              <w:rPr>
                <w:sz w:val="18"/>
                <w:szCs w:val="18"/>
                <w:lang w:val="en-GB"/>
              </w:rPr>
              <w:t>Sweden</w:t>
            </w:r>
            <w:r w:rsidRPr="00BD7721">
              <w:rPr>
                <w:sz w:val="18"/>
                <w:szCs w:val="18"/>
                <w:vertAlign w:val="superscript"/>
                <w:lang w:val="en-GB"/>
              </w:rPr>
              <w:t>a</w:t>
            </w:r>
            <w:proofErr w:type="spellEnd"/>
          </w:p>
        </w:tc>
        <w:tc>
          <w:tcPr>
            <w:tcW w:w="993" w:type="dxa"/>
            <w:tcBorders>
              <w:top w:val="nil"/>
              <w:left w:val="nil"/>
              <w:bottom w:val="nil"/>
              <w:right w:val="nil"/>
            </w:tcBorders>
            <w:vAlign w:val="bottom"/>
            <w:hideMark/>
          </w:tcPr>
          <w:p w14:paraId="0F033FA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253 128</w:t>
            </w:r>
          </w:p>
        </w:tc>
        <w:tc>
          <w:tcPr>
            <w:tcW w:w="992" w:type="dxa"/>
            <w:tcBorders>
              <w:top w:val="nil"/>
              <w:left w:val="nil"/>
              <w:bottom w:val="nil"/>
              <w:right w:val="nil"/>
            </w:tcBorders>
            <w:vAlign w:val="bottom"/>
            <w:hideMark/>
          </w:tcPr>
          <w:p w14:paraId="0AAE55B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161 339</w:t>
            </w:r>
          </w:p>
        </w:tc>
        <w:tc>
          <w:tcPr>
            <w:tcW w:w="1086" w:type="dxa"/>
            <w:tcBorders>
              <w:top w:val="nil"/>
              <w:left w:val="nil"/>
              <w:bottom w:val="nil"/>
              <w:right w:val="nil"/>
            </w:tcBorders>
            <w:vAlign w:val="bottom"/>
            <w:hideMark/>
          </w:tcPr>
          <w:p w14:paraId="5D1A479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159 502</w:t>
            </w:r>
          </w:p>
        </w:tc>
        <w:tc>
          <w:tcPr>
            <w:tcW w:w="1213" w:type="dxa"/>
            <w:tcBorders>
              <w:top w:val="nil"/>
              <w:left w:val="nil"/>
              <w:bottom w:val="nil"/>
              <w:right w:val="nil"/>
            </w:tcBorders>
            <w:vAlign w:val="bottom"/>
            <w:hideMark/>
          </w:tcPr>
          <w:p w14:paraId="543908A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173 261</w:t>
            </w:r>
          </w:p>
        </w:tc>
        <w:tc>
          <w:tcPr>
            <w:tcW w:w="1213" w:type="dxa"/>
            <w:tcBorders>
              <w:top w:val="nil"/>
              <w:left w:val="nil"/>
              <w:bottom w:val="nil"/>
              <w:right w:val="nil"/>
            </w:tcBorders>
            <w:vAlign w:val="bottom"/>
            <w:hideMark/>
          </w:tcPr>
          <w:p w14:paraId="2B0CD8B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159 285</w:t>
            </w:r>
          </w:p>
        </w:tc>
        <w:tc>
          <w:tcPr>
            <w:tcW w:w="1166" w:type="dxa"/>
            <w:tcBorders>
              <w:top w:val="nil"/>
              <w:left w:val="nil"/>
              <w:bottom w:val="nil"/>
              <w:right w:val="single" w:sz="4" w:space="0" w:color="000000"/>
            </w:tcBorders>
            <w:vAlign w:val="bottom"/>
            <w:hideMark/>
          </w:tcPr>
          <w:p w14:paraId="26E392B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143 924</w:t>
            </w:r>
          </w:p>
        </w:tc>
        <w:tc>
          <w:tcPr>
            <w:tcW w:w="1293" w:type="dxa"/>
            <w:tcBorders>
              <w:top w:val="nil"/>
              <w:left w:val="single" w:sz="4" w:space="0" w:color="000000"/>
              <w:bottom w:val="nil"/>
              <w:right w:val="nil"/>
            </w:tcBorders>
            <w:vAlign w:val="bottom"/>
            <w:hideMark/>
          </w:tcPr>
          <w:p w14:paraId="038152D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13532D4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78FD320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2475B8B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7B17335A" w14:textId="77777777" w:rsidTr="001C113A">
        <w:trPr>
          <w:trHeight w:val="57"/>
          <w:jc w:val="right"/>
        </w:trPr>
        <w:tc>
          <w:tcPr>
            <w:tcW w:w="2835" w:type="dxa"/>
            <w:tcBorders>
              <w:top w:val="nil"/>
              <w:left w:val="nil"/>
              <w:bottom w:val="nil"/>
              <w:right w:val="nil"/>
            </w:tcBorders>
            <w:hideMark/>
          </w:tcPr>
          <w:p w14:paraId="7205F3E1"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 xml:space="preserve">Switzerland </w:t>
            </w:r>
          </w:p>
        </w:tc>
        <w:tc>
          <w:tcPr>
            <w:tcW w:w="993" w:type="dxa"/>
            <w:tcBorders>
              <w:top w:val="nil"/>
              <w:left w:val="nil"/>
              <w:bottom w:val="nil"/>
              <w:right w:val="nil"/>
            </w:tcBorders>
            <w:vAlign w:val="bottom"/>
            <w:hideMark/>
          </w:tcPr>
          <w:p w14:paraId="6969E8E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84 000</w:t>
            </w:r>
          </w:p>
        </w:tc>
        <w:tc>
          <w:tcPr>
            <w:tcW w:w="992" w:type="dxa"/>
            <w:tcBorders>
              <w:top w:val="nil"/>
              <w:left w:val="nil"/>
              <w:bottom w:val="nil"/>
              <w:right w:val="nil"/>
            </w:tcBorders>
            <w:vAlign w:val="bottom"/>
            <w:hideMark/>
          </w:tcPr>
          <w:p w14:paraId="1F191B5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72 651</w:t>
            </w:r>
          </w:p>
        </w:tc>
        <w:tc>
          <w:tcPr>
            <w:tcW w:w="1086" w:type="dxa"/>
            <w:tcBorders>
              <w:top w:val="nil"/>
              <w:left w:val="nil"/>
              <w:bottom w:val="nil"/>
              <w:right w:val="nil"/>
            </w:tcBorders>
            <w:vAlign w:val="bottom"/>
            <w:hideMark/>
          </w:tcPr>
          <w:p w14:paraId="2139E91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84 344</w:t>
            </w:r>
          </w:p>
        </w:tc>
        <w:tc>
          <w:tcPr>
            <w:tcW w:w="1213" w:type="dxa"/>
            <w:tcBorders>
              <w:top w:val="nil"/>
              <w:left w:val="nil"/>
              <w:bottom w:val="nil"/>
              <w:right w:val="nil"/>
            </w:tcBorders>
            <w:vAlign w:val="bottom"/>
            <w:hideMark/>
          </w:tcPr>
          <w:p w14:paraId="45B0CC9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71 809</w:t>
            </w:r>
          </w:p>
        </w:tc>
        <w:tc>
          <w:tcPr>
            <w:tcW w:w="1213" w:type="dxa"/>
            <w:tcBorders>
              <w:top w:val="nil"/>
              <w:left w:val="nil"/>
              <w:bottom w:val="nil"/>
              <w:right w:val="nil"/>
            </w:tcBorders>
            <w:vAlign w:val="bottom"/>
            <w:hideMark/>
          </w:tcPr>
          <w:p w14:paraId="2AA5622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100 675</w:t>
            </w:r>
          </w:p>
        </w:tc>
        <w:tc>
          <w:tcPr>
            <w:tcW w:w="1166" w:type="dxa"/>
            <w:tcBorders>
              <w:top w:val="nil"/>
              <w:left w:val="nil"/>
              <w:bottom w:val="nil"/>
              <w:right w:val="single" w:sz="4" w:space="0" w:color="000000"/>
            </w:tcBorders>
            <w:vAlign w:val="bottom"/>
            <w:hideMark/>
          </w:tcPr>
          <w:p w14:paraId="25B3F6F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0417534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113 895</w:t>
            </w:r>
          </w:p>
        </w:tc>
        <w:tc>
          <w:tcPr>
            <w:tcW w:w="1166" w:type="dxa"/>
            <w:tcBorders>
              <w:top w:val="nil"/>
              <w:left w:val="nil"/>
              <w:bottom w:val="nil"/>
              <w:right w:val="nil"/>
            </w:tcBorders>
            <w:vAlign w:val="bottom"/>
            <w:hideMark/>
          </w:tcPr>
          <w:p w14:paraId="0DE29EF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49F8365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5249FA6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113 895</w:t>
            </w:r>
          </w:p>
        </w:tc>
      </w:tr>
      <w:tr w:rsidR="00992A45" w:rsidRPr="00BD7721" w14:paraId="194EE726" w14:textId="77777777" w:rsidTr="001C113A">
        <w:trPr>
          <w:trHeight w:val="57"/>
          <w:jc w:val="right"/>
        </w:trPr>
        <w:tc>
          <w:tcPr>
            <w:tcW w:w="2835" w:type="dxa"/>
            <w:tcBorders>
              <w:top w:val="nil"/>
              <w:left w:val="nil"/>
              <w:bottom w:val="nil"/>
              <w:right w:val="nil"/>
            </w:tcBorders>
            <w:hideMark/>
          </w:tcPr>
          <w:p w14:paraId="4419F4E9"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United Kingdom of Great Britain and Northern Ireland</w:t>
            </w:r>
          </w:p>
        </w:tc>
        <w:tc>
          <w:tcPr>
            <w:tcW w:w="993" w:type="dxa"/>
            <w:tcBorders>
              <w:top w:val="nil"/>
              <w:left w:val="nil"/>
              <w:bottom w:val="nil"/>
              <w:right w:val="nil"/>
            </w:tcBorders>
            <w:vAlign w:val="bottom"/>
            <w:hideMark/>
          </w:tcPr>
          <w:p w14:paraId="32D57A2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650 214</w:t>
            </w:r>
          </w:p>
        </w:tc>
        <w:tc>
          <w:tcPr>
            <w:tcW w:w="992" w:type="dxa"/>
            <w:tcBorders>
              <w:top w:val="nil"/>
              <w:left w:val="nil"/>
              <w:bottom w:val="nil"/>
              <w:right w:val="nil"/>
            </w:tcBorders>
            <w:vAlign w:val="bottom"/>
            <w:hideMark/>
          </w:tcPr>
          <w:p w14:paraId="42BC903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502 060</w:t>
            </w:r>
          </w:p>
        </w:tc>
        <w:tc>
          <w:tcPr>
            <w:tcW w:w="1086" w:type="dxa"/>
            <w:tcBorders>
              <w:top w:val="nil"/>
              <w:left w:val="nil"/>
              <w:bottom w:val="nil"/>
              <w:right w:val="nil"/>
            </w:tcBorders>
            <w:vAlign w:val="bottom"/>
            <w:hideMark/>
          </w:tcPr>
          <w:p w14:paraId="56F4C06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269 830</w:t>
            </w:r>
          </w:p>
        </w:tc>
        <w:tc>
          <w:tcPr>
            <w:tcW w:w="1213" w:type="dxa"/>
            <w:tcBorders>
              <w:top w:val="nil"/>
              <w:left w:val="nil"/>
              <w:bottom w:val="nil"/>
              <w:right w:val="nil"/>
            </w:tcBorders>
            <w:vAlign w:val="bottom"/>
            <w:hideMark/>
          </w:tcPr>
          <w:p w14:paraId="068715E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244 494</w:t>
            </w:r>
          </w:p>
        </w:tc>
        <w:tc>
          <w:tcPr>
            <w:tcW w:w="1213" w:type="dxa"/>
            <w:tcBorders>
              <w:top w:val="nil"/>
              <w:left w:val="nil"/>
              <w:bottom w:val="nil"/>
              <w:right w:val="nil"/>
            </w:tcBorders>
            <w:vAlign w:val="bottom"/>
            <w:hideMark/>
          </w:tcPr>
          <w:p w14:paraId="075F0B0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407 550</w:t>
            </w:r>
          </w:p>
        </w:tc>
        <w:tc>
          <w:tcPr>
            <w:tcW w:w="1166" w:type="dxa"/>
            <w:tcBorders>
              <w:top w:val="nil"/>
              <w:left w:val="nil"/>
              <w:bottom w:val="nil"/>
              <w:right w:val="single" w:sz="4" w:space="0" w:color="000000"/>
            </w:tcBorders>
            <w:vAlign w:val="bottom"/>
            <w:hideMark/>
          </w:tcPr>
          <w:p w14:paraId="64366DB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366 748</w:t>
            </w:r>
          </w:p>
        </w:tc>
        <w:tc>
          <w:tcPr>
            <w:tcW w:w="1293" w:type="dxa"/>
            <w:tcBorders>
              <w:top w:val="nil"/>
              <w:left w:val="single" w:sz="4" w:space="0" w:color="000000"/>
              <w:bottom w:val="nil"/>
              <w:right w:val="nil"/>
            </w:tcBorders>
            <w:vAlign w:val="bottom"/>
            <w:hideMark/>
          </w:tcPr>
          <w:p w14:paraId="171C20C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2D236D6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366 748</w:t>
            </w:r>
          </w:p>
        </w:tc>
        <w:tc>
          <w:tcPr>
            <w:tcW w:w="1072" w:type="dxa"/>
            <w:tcBorders>
              <w:top w:val="nil"/>
              <w:left w:val="nil"/>
              <w:bottom w:val="nil"/>
              <w:right w:val="nil"/>
            </w:tcBorders>
            <w:vAlign w:val="bottom"/>
            <w:hideMark/>
          </w:tcPr>
          <w:p w14:paraId="4329F2B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366 748</w:t>
            </w:r>
          </w:p>
        </w:tc>
        <w:tc>
          <w:tcPr>
            <w:tcW w:w="1399" w:type="dxa"/>
            <w:tcBorders>
              <w:top w:val="nil"/>
              <w:left w:val="nil"/>
              <w:bottom w:val="nil"/>
              <w:right w:val="nil"/>
            </w:tcBorders>
            <w:vAlign w:val="bottom"/>
            <w:hideMark/>
          </w:tcPr>
          <w:p w14:paraId="3B50796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733 496</w:t>
            </w:r>
          </w:p>
        </w:tc>
      </w:tr>
      <w:tr w:rsidR="00992A45" w:rsidRPr="00BD7721" w14:paraId="40F3DDE5" w14:textId="77777777" w:rsidTr="001C113A">
        <w:trPr>
          <w:trHeight w:val="57"/>
          <w:jc w:val="right"/>
        </w:trPr>
        <w:tc>
          <w:tcPr>
            <w:tcW w:w="2835" w:type="dxa"/>
            <w:tcBorders>
              <w:top w:val="nil"/>
              <w:left w:val="nil"/>
              <w:bottom w:val="single" w:sz="4" w:space="0" w:color="000000"/>
              <w:right w:val="nil"/>
            </w:tcBorders>
            <w:hideMark/>
          </w:tcPr>
          <w:p w14:paraId="03065827"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United States of America</w:t>
            </w:r>
          </w:p>
        </w:tc>
        <w:tc>
          <w:tcPr>
            <w:tcW w:w="993" w:type="dxa"/>
            <w:tcBorders>
              <w:top w:val="nil"/>
              <w:left w:val="nil"/>
              <w:bottom w:val="single" w:sz="4" w:space="0" w:color="000000"/>
              <w:right w:val="nil"/>
            </w:tcBorders>
            <w:vAlign w:val="bottom"/>
            <w:hideMark/>
          </w:tcPr>
          <w:p w14:paraId="25707E4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495 000</w:t>
            </w:r>
          </w:p>
        </w:tc>
        <w:tc>
          <w:tcPr>
            <w:tcW w:w="992" w:type="dxa"/>
            <w:tcBorders>
              <w:top w:val="nil"/>
              <w:left w:val="nil"/>
              <w:bottom w:val="single" w:sz="4" w:space="0" w:color="000000"/>
              <w:right w:val="nil"/>
            </w:tcBorders>
            <w:vAlign w:val="bottom"/>
            <w:hideMark/>
          </w:tcPr>
          <w:p w14:paraId="67A82BE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497 759</w:t>
            </w:r>
          </w:p>
        </w:tc>
        <w:tc>
          <w:tcPr>
            <w:tcW w:w="1086" w:type="dxa"/>
            <w:tcBorders>
              <w:top w:val="nil"/>
              <w:left w:val="nil"/>
              <w:bottom w:val="single" w:sz="4" w:space="0" w:color="000000"/>
              <w:right w:val="nil"/>
            </w:tcBorders>
            <w:vAlign w:val="bottom"/>
            <w:hideMark/>
          </w:tcPr>
          <w:p w14:paraId="39AA094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497 000</w:t>
            </w:r>
          </w:p>
        </w:tc>
        <w:tc>
          <w:tcPr>
            <w:tcW w:w="1213" w:type="dxa"/>
            <w:tcBorders>
              <w:top w:val="nil"/>
              <w:left w:val="nil"/>
              <w:bottom w:val="single" w:sz="4" w:space="0" w:color="000000"/>
              <w:right w:val="nil"/>
            </w:tcBorders>
            <w:vAlign w:val="bottom"/>
            <w:hideMark/>
          </w:tcPr>
          <w:p w14:paraId="4B339F8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750 000</w:t>
            </w:r>
          </w:p>
        </w:tc>
        <w:tc>
          <w:tcPr>
            <w:tcW w:w="1213" w:type="dxa"/>
            <w:tcBorders>
              <w:top w:val="nil"/>
              <w:left w:val="nil"/>
              <w:bottom w:val="single" w:sz="4" w:space="0" w:color="000000"/>
              <w:right w:val="nil"/>
            </w:tcBorders>
            <w:vAlign w:val="bottom"/>
            <w:hideMark/>
          </w:tcPr>
          <w:p w14:paraId="167B954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single" w:sz="4" w:space="0" w:color="000000"/>
              <w:right w:val="single" w:sz="4" w:space="0" w:color="000000"/>
            </w:tcBorders>
            <w:vAlign w:val="bottom"/>
            <w:hideMark/>
          </w:tcPr>
          <w:p w14:paraId="1E1A5DB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single" w:sz="4" w:space="0" w:color="000000"/>
              <w:right w:val="nil"/>
            </w:tcBorders>
            <w:vAlign w:val="bottom"/>
            <w:hideMark/>
          </w:tcPr>
          <w:p w14:paraId="748B2E8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1 200 000</w:t>
            </w:r>
          </w:p>
        </w:tc>
        <w:tc>
          <w:tcPr>
            <w:tcW w:w="1166" w:type="dxa"/>
            <w:tcBorders>
              <w:top w:val="nil"/>
              <w:left w:val="nil"/>
              <w:bottom w:val="single" w:sz="4" w:space="0" w:color="000000"/>
              <w:right w:val="nil"/>
            </w:tcBorders>
            <w:vAlign w:val="bottom"/>
            <w:hideMark/>
          </w:tcPr>
          <w:p w14:paraId="1A847EC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single" w:sz="4" w:space="0" w:color="000000"/>
              <w:right w:val="nil"/>
            </w:tcBorders>
            <w:vAlign w:val="bottom"/>
            <w:hideMark/>
          </w:tcPr>
          <w:p w14:paraId="67FF953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single" w:sz="4" w:space="0" w:color="000000"/>
              <w:right w:val="nil"/>
            </w:tcBorders>
            <w:vAlign w:val="bottom"/>
            <w:hideMark/>
          </w:tcPr>
          <w:p w14:paraId="530D514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1 200 000</w:t>
            </w:r>
          </w:p>
        </w:tc>
      </w:tr>
      <w:tr w:rsidR="00992A45" w:rsidRPr="00BD7721" w14:paraId="32DE86E3" w14:textId="77777777" w:rsidTr="001C113A">
        <w:trPr>
          <w:trHeight w:val="57"/>
          <w:jc w:val="right"/>
        </w:trPr>
        <w:tc>
          <w:tcPr>
            <w:tcW w:w="2835" w:type="dxa"/>
            <w:tcBorders>
              <w:top w:val="single" w:sz="4" w:space="0" w:color="000000"/>
              <w:left w:val="nil"/>
              <w:bottom w:val="single" w:sz="4" w:space="0" w:color="000000"/>
              <w:right w:val="nil"/>
            </w:tcBorders>
            <w:hideMark/>
          </w:tcPr>
          <w:p w14:paraId="66947082" w14:textId="77777777" w:rsidR="00992A45" w:rsidRPr="00BD7721" w:rsidRDefault="00992A45" w:rsidP="004E48D5">
            <w:pPr>
              <w:pStyle w:val="Normal-pool"/>
              <w:spacing w:before="40" w:after="40"/>
              <w:ind w:left="174"/>
              <w:rPr>
                <w:b/>
                <w:bCs/>
                <w:sz w:val="18"/>
                <w:szCs w:val="18"/>
                <w:lang w:val="en-GB"/>
              </w:rPr>
            </w:pPr>
            <w:r w:rsidRPr="00BD7721">
              <w:rPr>
                <w:b/>
                <w:bCs/>
                <w:sz w:val="18"/>
                <w:szCs w:val="18"/>
                <w:lang w:val="en-GB"/>
              </w:rPr>
              <w:t>Subtotal 1</w:t>
            </w:r>
          </w:p>
        </w:tc>
        <w:tc>
          <w:tcPr>
            <w:tcW w:w="993" w:type="dxa"/>
            <w:tcBorders>
              <w:top w:val="single" w:sz="4" w:space="0" w:color="000000"/>
              <w:left w:val="nil"/>
              <w:bottom w:val="single" w:sz="4" w:space="0" w:color="000000"/>
              <w:right w:val="nil"/>
            </w:tcBorders>
            <w:vAlign w:val="bottom"/>
            <w:hideMark/>
          </w:tcPr>
          <w:p w14:paraId="67AD0EA8"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5 025 556</w:t>
            </w:r>
          </w:p>
        </w:tc>
        <w:tc>
          <w:tcPr>
            <w:tcW w:w="992" w:type="dxa"/>
            <w:tcBorders>
              <w:top w:val="single" w:sz="4" w:space="0" w:color="000000"/>
              <w:left w:val="nil"/>
              <w:bottom w:val="single" w:sz="4" w:space="0" w:color="000000"/>
              <w:right w:val="nil"/>
            </w:tcBorders>
            <w:vAlign w:val="bottom"/>
            <w:hideMark/>
          </w:tcPr>
          <w:p w14:paraId="75181E4A"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6 793 596</w:t>
            </w:r>
          </w:p>
        </w:tc>
        <w:tc>
          <w:tcPr>
            <w:tcW w:w="1086" w:type="dxa"/>
            <w:tcBorders>
              <w:top w:val="single" w:sz="4" w:space="0" w:color="000000"/>
              <w:left w:val="nil"/>
              <w:bottom w:val="single" w:sz="4" w:space="0" w:color="000000"/>
              <w:right w:val="nil"/>
            </w:tcBorders>
            <w:vAlign w:val="bottom"/>
            <w:hideMark/>
          </w:tcPr>
          <w:p w14:paraId="394F063A"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3 490 333</w:t>
            </w:r>
          </w:p>
        </w:tc>
        <w:tc>
          <w:tcPr>
            <w:tcW w:w="1213" w:type="dxa"/>
            <w:tcBorders>
              <w:top w:val="single" w:sz="4" w:space="0" w:color="000000"/>
              <w:left w:val="nil"/>
              <w:bottom w:val="single" w:sz="4" w:space="0" w:color="000000"/>
              <w:right w:val="nil"/>
            </w:tcBorders>
            <w:vAlign w:val="bottom"/>
            <w:hideMark/>
          </w:tcPr>
          <w:p w14:paraId="27AEB6F7"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5 334 628</w:t>
            </w:r>
          </w:p>
        </w:tc>
        <w:tc>
          <w:tcPr>
            <w:tcW w:w="1213" w:type="dxa"/>
            <w:tcBorders>
              <w:top w:val="single" w:sz="4" w:space="0" w:color="000000"/>
              <w:left w:val="nil"/>
              <w:bottom w:val="single" w:sz="4" w:space="0" w:color="000000"/>
              <w:right w:val="nil"/>
            </w:tcBorders>
            <w:vAlign w:val="bottom"/>
            <w:hideMark/>
          </w:tcPr>
          <w:p w14:paraId="74ADD7AD"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4 160 495</w:t>
            </w:r>
          </w:p>
        </w:tc>
        <w:tc>
          <w:tcPr>
            <w:tcW w:w="1166" w:type="dxa"/>
            <w:tcBorders>
              <w:top w:val="single" w:sz="4" w:space="0" w:color="000000"/>
              <w:left w:val="nil"/>
              <w:bottom w:val="single" w:sz="4" w:space="0" w:color="000000"/>
              <w:right w:val="single" w:sz="4" w:space="0" w:color="000000"/>
            </w:tcBorders>
            <w:vAlign w:val="bottom"/>
            <w:hideMark/>
          </w:tcPr>
          <w:p w14:paraId="4C37FFA8" w14:textId="0743BD56" w:rsidR="00992A45" w:rsidRPr="00BD7721" w:rsidRDefault="00F96DD5" w:rsidP="004E48D5">
            <w:pPr>
              <w:pStyle w:val="Normal-pool"/>
              <w:spacing w:before="40" w:after="40"/>
              <w:jc w:val="right"/>
              <w:rPr>
                <w:b/>
                <w:bCs/>
                <w:sz w:val="18"/>
                <w:szCs w:val="18"/>
                <w:lang w:val="en-GB"/>
              </w:rPr>
            </w:pPr>
            <w:r w:rsidRPr="00BD7721">
              <w:rPr>
                <w:b/>
                <w:bCs/>
                <w:sz w:val="18"/>
                <w:szCs w:val="18"/>
                <w:lang w:val="en-GB"/>
              </w:rPr>
              <w:t xml:space="preserve"> </w:t>
            </w:r>
            <w:r w:rsidR="00992A45" w:rsidRPr="00BD7721">
              <w:rPr>
                <w:b/>
                <w:bCs/>
                <w:sz w:val="18"/>
                <w:szCs w:val="18"/>
                <w:lang w:val="en-GB"/>
              </w:rPr>
              <w:t>4 578 100</w:t>
            </w:r>
          </w:p>
        </w:tc>
        <w:tc>
          <w:tcPr>
            <w:tcW w:w="1293" w:type="dxa"/>
            <w:tcBorders>
              <w:top w:val="single" w:sz="4" w:space="0" w:color="000000"/>
              <w:left w:val="single" w:sz="4" w:space="0" w:color="000000"/>
              <w:bottom w:val="single" w:sz="4" w:space="0" w:color="000000"/>
              <w:right w:val="nil"/>
            </w:tcBorders>
            <w:vAlign w:val="bottom"/>
            <w:hideMark/>
          </w:tcPr>
          <w:p w14:paraId="1B57BAF5"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 xml:space="preserve">2 247 339 </w:t>
            </w:r>
          </w:p>
        </w:tc>
        <w:tc>
          <w:tcPr>
            <w:tcW w:w="1166" w:type="dxa"/>
            <w:tcBorders>
              <w:top w:val="single" w:sz="4" w:space="0" w:color="000000"/>
              <w:left w:val="nil"/>
              <w:bottom w:val="single" w:sz="4" w:space="0" w:color="000000"/>
              <w:right w:val="nil"/>
            </w:tcBorders>
            <w:vAlign w:val="bottom"/>
            <w:hideMark/>
          </w:tcPr>
          <w:p w14:paraId="0FAC0433"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1 688 069</w:t>
            </w:r>
          </w:p>
        </w:tc>
        <w:tc>
          <w:tcPr>
            <w:tcW w:w="1072" w:type="dxa"/>
            <w:tcBorders>
              <w:top w:val="single" w:sz="4" w:space="0" w:color="000000"/>
              <w:left w:val="nil"/>
              <w:bottom w:val="single" w:sz="4" w:space="0" w:color="000000"/>
              <w:right w:val="nil"/>
            </w:tcBorders>
            <w:vAlign w:val="bottom"/>
            <w:hideMark/>
          </w:tcPr>
          <w:p w14:paraId="5529DF09"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3 392 051</w:t>
            </w:r>
          </w:p>
        </w:tc>
        <w:tc>
          <w:tcPr>
            <w:tcW w:w="1399" w:type="dxa"/>
            <w:tcBorders>
              <w:top w:val="single" w:sz="4" w:space="0" w:color="000000"/>
              <w:left w:val="nil"/>
              <w:bottom w:val="single" w:sz="4" w:space="0" w:color="000000"/>
              <w:right w:val="nil"/>
            </w:tcBorders>
            <w:vAlign w:val="bottom"/>
            <w:hideMark/>
          </w:tcPr>
          <w:p w14:paraId="425E3330"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7 327 459</w:t>
            </w:r>
          </w:p>
        </w:tc>
      </w:tr>
      <w:tr w:rsidR="00992A45" w:rsidRPr="00BD7721" w14:paraId="33DFAC7F" w14:textId="77777777" w:rsidTr="001C113A">
        <w:trPr>
          <w:trHeight w:val="57"/>
          <w:jc w:val="right"/>
        </w:trPr>
        <w:tc>
          <w:tcPr>
            <w:tcW w:w="2835" w:type="dxa"/>
            <w:tcBorders>
              <w:top w:val="single" w:sz="4" w:space="0" w:color="000000"/>
              <w:left w:val="nil"/>
              <w:bottom w:val="nil"/>
              <w:right w:val="nil"/>
            </w:tcBorders>
            <w:hideMark/>
          </w:tcPr>
          <w:p w14:paraId="1DE99320" w14:textId="77777777" w:rsidR="00992A45" w:rsidRPr="00BD7721" w:rsidRDefault="00992A45" w:rsidP="004E48D5">
            <w:pPr>
              <w:pStyle w:val="Normal-pool"/>
              <w:tabs>
                <w:tab w:val="left" w:pos="174"/>
              </w:tabs>
              <w:spacing w:before="40" w:after="40"/>
              <w:rPr>
                <w:b/>
                <w:bCs/>
                <w:sz w:val="18"/>
                <w:szCs w:val="18"/>
                <w:lang w:val="en-GB"/>
              </w:rPr>
            </w:pPr>
            <w:r w:rsidRPr="00BD7721">
              <w:rPr>
                <w:b/>
                <w:bCs/>
                <w:sz w:val="18"/>
                <w:szCs w:val="18"/>
                <w:lang w:val="en-GB"/>
              </w:rPr>
              <w:t>2.</w:t>
            </w:r>
            <w:r w:rsidRPr="00BD7721">
              <w:rPr>
                <w:b/>
                <w:bCs/>
                <w:sz w:val="18"/>
                <w:szCs w:val="18"/>
                <w:lang w:val="en-GB"/>
              </w:rPr>
              <w:tab/>
              <w:t>Other donors</w:t>
            </w:r>
          </w:p>
        </w:tc>
        <w:tc>
          <w:tcPr>
            <w:tcW w:w="993" w:type="dxa"/>
            <w:tcBorders>
              <w:top w:val="single" w:sz="4" w:space="0" w:color="000000"/>
              <w:left w:val="nil"/>
              <w:bottom w:val="nil"/>
              <w:right w:val="nil"/>
            </w:tcBorders>
            <w:vAlign w:val="bottom"/>
          </w:tcPr>
          <w:p w14:paraId="24BDF23E" w14:textId="77777777" w:rsidR="00992A45" w:rsidRPr="00BD7721" w:rsidRDefault="00992A45" w:rsidP="004E48D5">
            <w:pPr>
              <w:pStyle w:val="Normal-pool"/>
              <w:spacing w:before="40" w:after="40"/>
              <w:jc w:val="right"/>
              <w:rPr>
                <w:i/>
                <w:sz w:val="18"/>
                <w:szCs w:val="18"/>
                <w:lang w:val="en-GB"/>
              </w:rPr>
            </w:pPr>
          </w:p>
        </w:tc>
        <w:tc>
          <w:tcPr>
            <w:tcW w:w="992" w:type="dxa"/>
            <w:tcBorders>
              <w:top w:val="single" w:sz="4" w:space="0" w:color="000000"/>
              <w:left w:val="nil"/>
              <w:bottom w:val="nil"/>
              <w:right w:val="nil"/>
            </w:tcBorders>
            <w:vAlign w:val="bottom"/>
          </w:tcPr>
          <w:p w14:paraId="2602F02B" w14:textId="77777777" w:rsidR="00992A45" w:rsidRPr="00BD7721" w:rsidRDefault="00992A45" w:rsidP="004E48D5">
            <w:pPr>
              <w:pStyle w:val="Normal-pool"/>
              <w:spacing w:before="40" w:after="40"/>
              <w:jc w:val="right"/>
              <w:rPr>
                <w:i/>
                <w:sz w:val="18"/>
                <w:szCs w:val="18"/>
                <w:lang w:val="en-GB"/>
              </w:rPr>
            </w:pPr>
          </w:p>
        </w:tc>
        <w:tc>
          <w:tcPr>
            <w:tcW w:w="1086" w:type="dxa"/>
            <w:tcBorders>
              <w:top w:val="single" w:sz="4" w:space="0" w:color="000000"/>
              <w:left w:val="nil"/>
              <w:bottom w:val="nil"/>
              <w:right w:val="nil"/>
            </w:tcBorders>
            <w:vAlign w:val="bottom"/>
          </w:tcPr>
          <w:p w14:paraId="59C46B93" w14:textId="77777777" w:rsidR="00992A45" w:rsidRPr="00BD7721" w:rsidRDefault="00992A45" w:rsidP="004E48D5">
            <w:pPr>
              <w:pStyle w:val="Normal-pool"/>
              <w:spacing w:before="40" w:after="40"/>
              <w:jc w:val="right"/>
              <w:rPr>
                <w:i/>
                <w:sz w:val="18"/>
                <w:szCs w:val="18"/>
                <w:lang w:val="en-GB"/>
              </w:rPr>
            </w:pPr>
          </w:p>
        </w:tc>
        <w:tc>
          <w:tcPr>
            <w:tcW w:w="1213" w:type="dxa"/>
            <w:tcBorders>
              <w:top w:val="single" w:sz="4" w:space="0" w:color="000000"/>
              <w:left w:val="nil"/>
              <w:bottom w:val="nil"/>
              <w:right w:val="nil"/>
            </w:tcBorders>
            <w:vAlign w:val="bottom"/>
          </w:tcPr>
          <w:p w14:paraId="5F5FCAF4" w14:textId="77777777" w:rsidR="00992A45" w:rsidRPr="00BD7721" w:rsidRDefault="00992A45" w:rsidP="004E48D5">
            <w:pPr>
              <w:pStyle w:val="Normal-pool"/>
              <w:spacing w:before="40" w:after="40"/>
              <w:jc w:val="right"/>
              <w:rPr>
                <w:i/>
                <w:sz w:val="18"/>
                <w:szCs w:val="18"/>
                <w:lang w:val="en-GB"/>
              </w:rPr>
            </w:pPr>
          </w:p>
        </w:tc>
        <w:tc>
          <w:tcPr>
            <w:tcW w:w="1213" w:type="dxa"/>
            <w:tcBorders>
              <w:top w:val="single" w:sz="4" w:space="0" w:color="000000"/>
              <w:left w:val="nil"/>
              <w:bottom w:val="nil"/>
              <w:right w:val="nil"/>
            </w:tcBorders>
            <w:vAlign w:val="bottom"/>
          </w:tcPr>
          <w:p w14:paraId="78F9E9B3" w14:textId="77777777" w:rsidR="00992A45" w:rsidRPr="00BD7721" w:rsidRDefault="00992A45" w:rsidP="004E48D5">
            <w:pPr>
              <w:pStyle w:val="Normal-pool"/>
              <w:spacing w:before="40" w:after="40"/>
              <w:jc w:val="right"/>
              <w:rPr>
                <w:i/>
                <w:sz w:val="18"/>
                <w:szCs w:val="18"/>
                <w:lang w:val="en-GB"/>
              </w:rPr>
            </w:pPr>
          </w:p>
        </w:tc>
        <w:tc>
          <w:tcPr>
            <w:tcW w:w="1166" w:type="dxa"/>
            <w:tcBorders>
              <w:top w:val="single" w:sz="4" w:space="0" w:color="000000"/>
              <w:left w:val="nil"/>
              <w:bottom w:val="nil"/>
              <w:right w:val="single" w:sz="4" w:space="0" w:color="000000"/>
            </w:tcBorders>
            <w:vAlign w:val="bottom"/>
          </w:tcPr>
          <w:p w14:paraId="268769EC" w14:textId="77777777" w:rsidR="00992A45" w:rsidRPr="00BD7721" w:rsidRDefault="00992A45" w:rsidP="004E48D5">
            <w:pPr>
              <w:pStyle w:val="Normal-pool"/>
              <w:spacing w:before="40" w:after="40"/>
              <w:jc w:val="right"/>
              <w:rPr>
                <w:i/>
                <w:sz w:val="18"/>
                <w:szCs w:val="18"/>
                <w:lang w:val="en-GB"/>
              </w:rPr>
            </w:pPr>
          </w:p>
        </w:tc>
        <w:tc>
          <w:tcPr>
            <w:tcW w:w="1293" w:type="dxa"/>
            <w:tcBorders>
              <w:top w:val="single" w:sz="4" w:space="0" w:color="000000"/>
              <w:left w:val="single" w:sz="4" w:space="0" w:color="000000"/>
              <w:bottom w:val="nil"/>
              <w:right w:val="nil"/>
            </w:tcBorders>
            <w:vAlign w:val="bottom"/>
          </w:tcPr>
          <w:p w14:paraId="33F739CF" w14:textId="77777777" w:rsidR="00992A45" w:rsidRPr="00BD7721" w:rsidRDefault="00992A45" w:rsidP="004E48D5">
            <w:pPr>
              <w:pStyle w:val="Normal-pool"/>
              <w:spacing w:before="40" w:after="40"/>
              <w:jc w:val="right"/>
              <w:rPr>
                <w:i/>
                <w:sz w:val="18"/>
                <w:szCs w:val="18"/>
                <w:lang w:val="en-GB"/>
              </w:rPr>
            </w:pPr>
          </w:p>
        </w:tc>
        <w:tc>
          <w:tcPr>
            <w:tcW w:w="1166" w:type="dxa"/>
            <w:tcBorders>
              <w:top w:val="single" w:sz="4" w:space="0" w:color="000000"/>
              <w:left w:val="nil"/>
              <w:bottom w:val="nil"/>
              <w:right w:val="nil"/>
            </w:tcBorders>
            <w:vAlign w:val="bottom"/>
          </w:tcPr>
          <w:p w14:paraId="2E718115" w14:textId="77777777" w:rsidR="00992A45" w:rsidRPr="00BD7721" w:rsidRDefault="00992A45" w:rsidP="004E48D5">
            <w:pPr>
              <w:pStyle w:val="Normal-pool"/>
              <w:spacing w:before="40" w:after="40"/>
              <w:jc w:val="right"/>
              <w:rPr>
                <w:i/>
                <w:sz w:val="18"/>
                <w:szCs w:val="18"/>
                <w:lang w:val="en-GB"/>
              </w:rPr>
            </w:pPr>
          </w:p>
        </w:tc>
        <w:tc>
          <w:tcPr>
            <w:tcW w:w="1072" w:type="dxa"/>
            <w:tcBorders>
              <w:top w:val="single" w:sz="4" w:space="0" w:color="000000"/>
              <w:left w:val="nil"/>
              <w:bottom w:val="nil"/>
              <w:right w:val="nil"/>
            </w:tcBorders>
            <w:vAlign w:val="bottom"/>
          </w:tcPr>
          <w:p w14:paraId="5371D606" w14:textId="77777777" w:rsidR="00992A45" w:rsidRPr="00BD7721" w:rsidRDefault="00992A45" w:rsidP="004E48D5">
            <w:pPr>
              <w:pStyle w:val="Normal-pool"/>
              <w:spacing w:before="40" w:after="40"/>
              <w:jc w:val="right"/>
              <w:rPr>
                <w:i/>
                <w:sz w:val="18"/>
                <w:szCs w:val="18"/>
                <w:lang w:val="en-GB"/>
              </w:rPr>
            </w:pPr>
          </w:p>
        </w:tc>
        <w:tc>
          <w:tcPr>
            <w:tcW w:w="1399" w:type="dxa"/>
            <w:tcBorders>
              <w:top w:val="single" w:sz="4" w:space="0" w:color="000000"/>
              <w:left w:val="nil"/>
              <w:bottom w:val="nil"/>
              <w:right w:val="nil"/>
            </w:tcBorders>
            <w:vAlign w:val="bottom"/>
          </w:tcPr>
          <w:p w14:paraId="512C8463" w14:textId="77777777" w:rsidR="00992A45" w:rsidRPr="00BD7721" w:rsidRDefault="00992A45" w:rsidP="004E48D5">
            <w:pPr>
              <w:pStyle w:val="Normal-pool"/>
              <w:spacing w:before="40" w:after="40"/>
              <w:jc w:val="right"/>
              <w:rPr>
                <w:i/>
                <w:sz w:val="18"/>
                <w:szCs w:val="18"/>
                <w:lang w:val="en-GB"/>
              </w:rPr>
            </w:pPr>
          </w:p>
        </w:tc>
      </w:tr>
      <w:tr w:rsidR="00992A45" w:rsidRPr="00BD7721" w14:paraId="53F4E652" w14:textId="77777777" w:rsidTr="001C113A">
        <w:trPr>
          <w:trHeight w:val="57"/>
          <w:jc w:val="right"/>
        </w:trPr>
        <w:tc>
          <w:tcPr>
            <w:tcW w:w="2835" w:type="dxa"/>
            <w:tcBorders>
              <w:top w:val="nil"/>
              <w:left w:val="nil"/>
              <w:bottom w:val="nil"/>
              <w:right w:val="nil"/>
            </w:tcBorders>
            <w:hideMark/>
          </w:tcPr>
          <w:p w14:paraId="26E95882"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 xml:space="preserve">AXA </w:t>
            </w:r>
            <w:proofErr w:type="spellStart"/>
            <w:r w:rsidRPr="00BD7721">
              <w:rPr>
                <w:sz w:val="18"/>
                <w:szCs w:val="18"/>
                <w:lang w:val="en-GB"/>
              </w:rPr>
              <w:t>SA</w:t>
            </w:r>
            <w:r w:rsidRPr="00BD7721">
              <w:rPr>
                <w:sz w:val="18"/>
                <w:szCs w:val="18"/>
                <w:vertAlign w:val="superscript"/>
                <w:lang w:val="en-GB"/>
              </w:rPr>
              <w:t>a</w:t>
            </w:r>
            <w:proofErr w:type="spellEnd"/>
          </w:p>
        </w:tc>
        <w:tc>
          <w:tcPr>
            <w:tcW w:w="993" w:type="dxa"/>
            <w:tcBorders>
              <w:top w:val="nil"/>
              <w:left w:val="nil"/>
              <w:bottom w:val="nil"/>
              <w:right w:val="nil"/>
            </w:tcBorders>
            <w:vAlign w:val="bottom"/>
            <w:hideMark/>
          </w:tcPr>
          <w:p w14:paraId="60F53AE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3AE2B62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86" w:type="dxa"/>
            <w:tcBorders>
              <w:top w:val="nil"/>
              <w:left w:val="nil"/>
              <w:bottom w:val="nil"/>
              <w:right w:val="nil"/>
            </w:tcBorders>
            <w:vAlign w:val="bottom"/>
            <w:hideMark/>
          </w:tcPr>
          <w:p w14:paraId="267282A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120C33D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792E794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184 009</w:t>
            </w:r>
          </w:p>
        </w:tc>
        <w:tc>
          <w:tcPr>
            <w:tcW w:w="1166" w:type="dxa"/>
            <w:tcBorders>
              <w:top w:val="nil"/>
              <w:left w:val="nil"/>
              <w:bottom w:val="nil"/>
              <w:right w:val="single" w:sz="4" w:space="0" w:color="000000"/>
            </w:tcBorders>
            <w:vAlign w:val="bottom"/>
            <w:hideMark/>
          </w:tcPr>
          <w:p w14:paraId="06EF8A6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92 004</w:t>
            </w:r>
          </w:p>
        </w:tc>
        <w:tc>
          <w:tcPr>
            <w:tcW w:w="1293" w:type="dxa"/>
            <w:tcBorders>
              <w:top w:val="nil"/>
              <w:left w:val="single" w:sz="4" w:space="0" w:color="000000"/>
              <w:bottom w:val="nil"/>
              <w:right w:val="nil"/>
            </w:tcBorders>
            <w:vAlign w:val="bottom"/>
            <w:hideMark/>
          </w:tcPr>
          <w:p w14:paraId="2E9CB98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4D86476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336E590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2B5AC2E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56D515F2" w14:textId="77777777" w:rsidTr="001C113A">
        <w:trPr>
          <w:trHeight w:val="57"/>
          <w:jc w:val="right"/>
        </w:trPr>
        <w:tc>
          <w:tcPr>
            <w:tcW w:w="2835" w:type="dxa"/>
            <w:tcBorders>
              <w:top w:val="nil"/>
              <w:left w:val="nil"/>
              <w:bottom w:val="nil"/>
              <w:right w:val="nil"/>
            </w:tcBorders>
            <w:hideMark/>
          </w:tcPr>
          <w:p w14:paraId="7534CB07"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 xml:space="preserve">Bill and Melinda Gates </w:t>
            </w:r>
            <w:proofErr w:type="spellStart"/>
            <w:r w:rsidRPr="00BD7721">
              <w:rPr>
                <w:sz w:val="18"/>
                <w:szCs w:val="18"/>
                <w:lang w:val="en-GB"/>
              </w:rPr>
              <w:t>Foundation</w:t>
            </w:r>
            <w:r w:rsidRPr="00BD7721">
              <w:rPr>
                <w:sz w:val="18"/>
                <w:szCs w:val="18"/>
                <w:vertAlign w:val="superscript"/>
                <w:lang w:val="en-GB"/>
              </w:rPr>
              <w:t>a</w:t>
            </w:r>
            <w:proofErr w:type="spellEnd"/>
          </w:p>
        </w:tc>
        <w:tc>
          <w:tcPr>
            <w:tcW w:w="993" w:type="dxa"/>
            <w:tcBorders>
              <w:top w:val="nil"/>
              <w:left w:val="nil"/>
              <w:bottom w:val="nil"/>
              <w:right w:val="nil"/>
            </w:tcBorders>
            <w:vAlign w:val="bottom"/>
            <w:hideMark/>
          </w:tcPr>
          <w:p w14:paraId="055DB35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76B51A4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86" w:type="dxa"/>
            <w:tcBorders>
              <w:top w:val="nil"/>
              <w:left w:val="nil"/>
              <w:bottom w:val="nil"/>
              <w:right w:val="nil"/>
            </w:tcBorders>
            <w:vAlign w:val="bottom"/>
            <w:hideMark/>
          </w:tcPr>
          <w:p w14:paraId="1CBE905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55B4B61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10BB8C8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286 740</w:t>
            </w:r>
          </w:p>
        </w:tc>
        <w:tc>
          <w:tcPr>
            <w:tcW w:w="1166" w:type="dxa"/>
            <w:tcBorders>
              <w:top w:val="nil"/>
              <w:left w:val="nil"/>
              <w:bottom w:val="nil"/>
              <w:right w:val="single" w:sz="4" w:space="0" w:color="000000"/>
            </w:tcBorders>
            <w:vAlign w:val="bottom"/>
            <w:hideMark/>
          </w:tcPr>
          <w:p w14:paraId="060B7CB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01BBAE7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1820604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2D1B1A6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03CFD2C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2D8B2EF6" w14:textId="77777777" w:rsidTr="001C113A">
        <w:trPr>
          <w:trHeight w:val="57"/>
          <w:jc w:val="right"/>
        </w:trPr>
        <w:tc>
          <w:tcPr>
            <w:tcW w:w="2835" w:type="dxa"/>
            <w:tcBorders>
              <w:top w:val="nil"/>
              <w:left w:val="nil"/>
              <w:bottom w:val="nil"/>
              <w:right w:val="nil"/>
            </w:tcBorders>
            <w:hideMark/>
          </w:tcPr>
          <w:p w14:paraId="47B7CAF7"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BNP Paribas Foundation</w:t>
            </w:r>
          </w:p>
        </w:tc>
        <w:tc>
          <w:tcPr>
            <w:tcW w:w="993" w:type="dxa"/>
            <w:tcBorders>
              <w:top w:val="nil"/>
              <w:left w:val="nil"/>
              <w:bottom w:val="nil"/>
              <w:right w:val="nil"/>
            </w:tcBorders>
            <w:vAlign w:val="bottom"/>
            <w:hideMark/>
          </w:tcPr>
          <w:p w14:paraId="70F24EB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1AC23B9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86" w:type="dxa"/>
            <w:tcBorders>
              <w:top w:val="nil"/>
              <w:left w:val="nil"/>
              <w:bottom w:val="nil"/>
              <w:right w:val="nil"/>
            </w:tcBorders>
            <w:vAlign w:val="bottom"/>
            <w:hideMark/>
          </w:tcPr>
          <w:p w14:paraId="2874CE6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241FD26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73D7E36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66 725</w:t>
            </w:r>
          </w:p>
        </w:tc>
        <w:tc>
          <w:tcPr>
            <w:tcW w:w="1166" w:type="dxa"/>
            <w:tcBorders>
              <w:top w:val="nil"/>
              <w:left w:val="nil"/>
              <w:bottom w:val="nil"/>
              <w:right w:val="single" w:sz="4" w:space="0" w:color="000000"/>
            </w:tcBorders>
            <w:vAlign w:val="bottom"/>
            <w:hideMark/>
          </w:tcPr>
          <w:p w14:paraId="3C3CD24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045B7CB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22 002</w:t>
            </w:r>
          </w:p>
        </w:tc>
        <w:tc>
          <w:tcPr>
            <w:tcW w:w="1166" w:type="dxa"/>
            <w:tcBorders>
              <w:top w:val="nil"/>
              <w:left w:val="nil"/>
              <w:bottom w:val="nil"/>
              <w:right w:val="nil"/>
            </w:tcBorders>
            <w:vAlign w:val="bottom"/>
            <w:hideMark/>
          </w:tcPr>
          <w:p w14:paraId="44CBE4D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22 002</w:t>
            </w:r>
          </w:p>
        </w:tc>
        <w:tc>
          <w:tcPr>
            <w:tcW w:w="1072" w:type="dxa"/>
            <w:tcBorders>
              <w:top w:val="nil"/>
              <w:left w:val="nil"/>
              <w:bottom w:val="nil"/>
              <w:right w:val="nil"/>
            </w:tcBorders>
            <w:vAlign w:val="bottom"/>
            <w:hideMark/>
          </w:tcPr>
          <w:p w14:paraId="5D17426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605B66F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44 004</w:t>
            </w:r>
          </w:p>
        </w:tc>
      </w:tr>
      <w:tr w:rsidR="00992A45" w:rsidRPr="00BD7721" w14:paraId="04FA3023" w14:textId="77777777" w:rsidTr="001C113A">
        <w:trPr>
          <w:trHeight w:val="57"/>
          <w:jc w:val="right"/>
        </w:trPr>
        <w:tc>
          <w:tcPr>
            <w:tcW w:w="2835" w:type="dxa"/>
            <w:tcBorders>
              <w:top w:val="nil"/>
              <w:left w:val="nil"/>
              <w:bottom w:val="nil"/>
              <w:right w:val="nil"/>
            </w:tcBorders>
            <w:hideMark/>
          </w:tcPr>
          <w:p w14:paraId="4F95638A"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 xml:space="preserve">Calouste Gulbenkian Foundation </w:t>
            </w:r>
          </w:p>
        </w:tc>
        <w:tc>
          <w:tcPr>
            <w:tcW w:w="993" w:type="dxa"/>
            <w:tcBorders>
              <w:top w:val="nil"/>
              <w:left w:val="nil"/>
              <w:bottom w:val="nil"/>
              <w:right w:val="nil"/>
            </w:tcBorders>
            <w:vAlign w:val="bottom"/>
            <w:hideMark/>
          </w:tcPr>
          <w:p w14:paraId="31188C9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15D7109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86" w:type="dxa"/>
            <w:tcBorders>
              <w:top w:val="nil"/>
              <w:left w:val="nil"/>
              <w:bottom w:val="nil"/>
              <w:right w:val="nil"/>
            </w:tcBorders>
            <w:vAlign w:val="bottom"/>
            <w:hideMark/>
          </w:tcPr>
          <w:p w14:paraId="76A45B7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1A56435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7A63444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553 305</w:t>
            </w:r>
          </w:p>
        </w:tc>
        <w:tc>
          <w:tcPr>
            <w:tcW w:w="1166" w:type="dxa"/>
            <w:tcBorders>
              <w:top w:val="nil"/>
              <w:left w:val="nil"/>
              <w:bottom w:val="nil"/>
              <w:right w:val="single" w:sz="4" w:space="0" w:color="000000"/>
            </w:tcBorders>
            <w:vAlign w:val="bottom"/>
            <w:hideMark/>
          </w:tcPr>
          <w:p w14:paraId="4D3FAE3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1F0C2E9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3164BEF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00FF98C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6893B10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5DC5D022" w14:textId="77777777" w:rsidTr="001C113A">
        <w:trPr>
          <w:trHeight w:val="57"/>
          <w:jc w:val="right"/>
        </w:trPr>
        <w:tc>
          <w:tcPr>
            <w:tcW w:w="2835" w:type="dxa"/>
            <w:tcBorders>
              <w:top w:val="nil"/>
              <w:left w:val="nil"/>
              <w:bottom w:val="nil"/>
              <w:right w:val="nil"/>
            </w:tcBorders>
            <w:hideMark/>
          </w:tcPr>
          <w:p w14:paraId="0D155335" w14:textId="77777777" w:rsidR="00992A45" w:rsidRPr="00891BFE" w:rsidRDefault="00992A45" w:rsidP="004E48D5">
            <w:pPr>
              <w:pStyle w:val="Normal-pool"/>
              <w:spacing w:before="40" w:after="40"/>
              <w:ind w:left="174"/>
              <w:rPr>
                <w:sz w:val="18"/>
                <w:szCs w:val="18"/>
                <w:lang w:val="fr-FR"/>
              </w:rPr>
            </w:pPr>
            <w:proofErr w:type="spellStart"/>
            <w:r w:rsidRPr="00891BFE">
              <w:rPr>
                <w:sz w:val="18"/>
                <w:szCs w:val="18"/>
                <w:lang w:val="fr-FR"/>
              </w:rPr>
              <w:t>H&amp;M</w:t>
            </w:r>
            <w:proofErr w:type="spellEnd"/>
            <w:r w:rsidRPr="00891BFE">
              <w:rPr>
                <w:sz w:val="18"/>
                <w:szCs w:val="18"/>
                <w:lang w:val="fr-FR"/>
              </w:rPr>
              <w:t xml:space="preserve"> </w:t>
            </w:r>
            <w:proofErr w:type="spellStart"/>
            <w:r w:rsidRPr="00891BFE">
              <w:rPr>
                <w:sz w:val="18"/>
                <w:szCs w:val="18"/>
                <w:lang w:val="fr-FR"/>
              </w:rPr>
              <w:t>Hennes</w:t>
            </w:r>
            <w:proofErr w:type="spellEnd"/>
            <w:r w:rsidRPr="00891BFE">
              <w:rPr>
                <w:sz w:val="18"/>
                <w:szCs w:val="18"/>
                <w:lang w:val="fr-FR"/>
              </w:rPr>
              <w:t xml:space="preserve"> &amp; Mauritz </w:t>
            </w:r>
            <w:proofErr w:type="spellStart"/>
            <w:r w:rsidRPr="00891BFE">
              <w:rPr>
                <w:sz w:val="18"/>
                <w:szCs w:val="18"/>
                <w:lang w:val="fr-FR"/>
              </w:rPr>
              <w:t>GBC</w:t>
            </w:r>
            <w:proofErr w:type="spellEnd"/>
            <w:r w:rsidRPr="00891BFE">
              <w:rPr>
                <w:sz w:val="18"/>
                <w:szCs w:val="18"/>
                <w:lang w:val="fr-FR"/>
              </w:rPr>
              <w:t xml:space="preserve"> AB</w:t>
            </w:r>
          </w:p>
        </w:tc>
        <w:tc>
          <w:tcPr>
            <w:tcW w:w="993" w:type="dxa"/>
            <w:tcBorders>
              <w:top w:val="nil"/>
              <w:left w:val="nil"/>
              <w:bottom w:val="nil"/>
              <w:right w:val="nil"/>
            </w:tcBorders>
            <w:vAlign w:val="bottom"/>
            <w:hideMark/>
          </w:tcPr>
          <w:p w14:paraId="0625DD5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75A9183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86" w:type="dxa"/>
            <w:tcBorders>
              <w:top w:val="nil"/>
              <w:left w:val="nil"/>
              <w:bottom w:val="nil"/>
              <w:right w:val="nil"/>
            </w:tcBorders>
            <w:vAlign w:val="bottom"/>
            <w:hideMark/>
          </w:tcPr>
          <w:p w14:paraId="7312C60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44 014</w:t>
            </w:r>
          </w:p>
        </w:tc>
        <w:tc>
          <w:tcPr>
            <w:tcW w:w="1213" w:type="dxa"/>
            <w:tcBorders>
              <w:top w:val="nil"/>
              <w:left w:val="nil"/>
              <w:bottom w:val="nil"/>
              <w:right w:val="nil"/>
            </w:tcBorders>
            <w:vAlign w:val="bottom"/>
            <w:hideMark/>
          </w:tcPr>
          <w:p w14:paraId="3242EDE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45 732</w:t>
            </w:r>
          </w:p>
        </w:tc>
        <w:tc>
          <w:tcPr>
            <w:tcW w:w="1213" w:type="dxa"/>
            <w:tcBorders>
              <w:top w:val="nil"/>
              <w:left w:val="nil"/>
              <w:bottom w:val="nil"/>
              <w:right w:val="nil"/>
            </w:tcBorders>
            <w:vAlign w:val="bottom"/>
            <w:hideMark/>
          </w:tcPr>
          <w:p w14:paraId="4CAD932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 xml:space="preserve"> 39 599</w:t>
            </w:r>
          </w:p>
        </w:tc>
        <w:tc>
          <w:tcPr>
            <w:tcW w:w="1166" w:type="dxa"/>
            <w:tcBorders>
              <w:top w:val="nil"/>
              <w:left w:val="nil"/>
              <w:bottom w:val="nil"/>
              <w:right w:val="single" w:sz="4" w:space="0" w:color="000000"/>
            </w:tcBorders>
            <w:vAlign w:val="bottom"/>
            <w:hideMark/>
          </w:tcPr>
          <w:p w14:paraId="39F33003"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41 073</w:t>
            </w:r>
          </w:p>
        </w:tc>
        <w:tc>
          <w:tcPr>
            <w:tcW w:w="1293" w:type="dxa"/>
            <w:tcBorders>
              <w:top w:val="nil"/>
              <w:left w:val="single" w:sz="4" w:space="0" w:color="000000"/>
              <w:bottom w:val="nil"/>
              <w:right w:val="nil"/>
            </w:tcBorders>
            <w:vAlign w:val="bottom"/>
            <w:hideMark/>
          </w:tcPr>
          <w:p w14:paraId="4185ABB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4018A5E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0CA076E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02FDCD9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20E45F5B" w14:textId="77777777" w:rsidTr="001C113A">
        <w:trPr>
          <w:trHeight w:val="57"/>
          <w:jc w:val="right"/>
        </w:trPr>
        <w:tc>
          <w:tcPr>
            <w:tcW w:w="2835" w:type="dxa"/>
            <w:tcBorders>
              <w:top w:val="nil"/>
              <w:left w:val="nil"/>
              <w:bottom w:val="nil"/>
              <w:right w:val="nil"/>
            </w:tcBorders>
            <w:hideMark/>
          </w:tcPr>
          <w:p w14:paraId="08CE88DE"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Kering SA</w:t>
            </w:r>
          </w:p>
        </w:tc>
        <w:tc>
          <w:tcPr>
            <w:tcW w:w="993" w:type="dxa"/>
            <w:tcBorders>
              <w:top w:val="nil"/>
              <w:left w:val="nil"/>
              <w:bottom w:val="nil"/>
              <w:right w:val="nil"/>
            </w:tcBorders>
            <w:vAlign w:val="bottom"/>
            <w:hideMark/>
          </w:tcPr>
          <w:p w14:paraId="76654EF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27933AE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131 291</w:t>
            </w:r>
          </w:p>
        </w:tc>
        <w:tc>
          <w:tcPr>
            <w:tcW w:w="1086" w:type="dxa"/>
            <w:tcBorders>
              <w:top w:val="nil"/>
              <w:left w:val="nil"/>
              <w:bottom w:val="nil"/>
              <w:right w:val="nil"/>
            </w:tcBorders>
            <w:vAlign w:val="bottom"/>
            <w:hideMark/>
          </w:tcPr>
          <w:p w14:paraId="5647ED1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143 369</w:t>
            </w:r>
          </w:p>
        </w:tc>
        <w:tc>
          <w:tcPr>
            <w:tcW w:w="1213" w:type="dxa"/>
            <w:tcBorders>
              <w:top w:val="nil"/>
              <w:left w:val="nil"/>
              <w:bottom w:val="nil"/>
              <w:right w:val="nil"/>
            </w:tcBorders>
            <w:vAlign w:val="bottom"/>
            <w:hideMark/>
          </w:tcPr>
          <w:p w14:paraId="20603DA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143 369</w:t>
            </w:r>
          </w:p>
        </w:tc>
        <w:tc>
          <w:tcPr>
            <w:tcW w:w="1213" w:type="dxa"/>
            <w:tcBorders>
              <w:top w:val="nil"/>
              <w:left w:val="nil"/>
              <w:bottom w:val="nil"/>
              <w:right w:val="nil"/>
            </w:tcBorders>
            <w:vAlign w:val="bottom"/>
            <w:hideMark/>
          </w:tcPr>
          <w:p w14:paraId="272A6B3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 xml:space="preserve"> 134 831</w:t>
            </w:r>
          </w:p>
        </w:tc>
        <w:tc>
          <w:tcPr>
            <w:tcW w:w="1166" w:type="dxa"/>
            <w:tcBorders>
              <w:top w:val="nil"/>
              <w:left w:val="nil"/>
              <w:bottom w:val="nil"/>
              <w:right w:val="single" w:sz="4" w:space="0" w:color="000000"/>
            </w:tcBorders>
            <w:vAlign w:val="bottom"/>
            <w:hideMark/>
          </w:tcPr>
          <w:p w14:paraId="215FE94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77845F5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132 013</w:t>
            </w:r>
          </w:p>
        </w:tc>
        <w:tc>
          <w:tcPr>
            <w:tcW w:w="1166" w:type="dxa"/>
            <w:tcBorders>
              <w:top w:val="nil"/>
              <w:left w:val="nil"/>
              <w:bottom w:val="nil"/>
              <w:right w:val="nil"/>
            </w:tcBorders>
            <w:vAlign w:val="bottom"/>
            <w:hideMark/>
          </w:tcPr>
          <w:p w14:paraId="2C4B838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6802690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3F83085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132 013</w:t>
            </w:r>
          </w:p>
        </w:tc>
      </w:tr>
      <w:tr w:rsidR="00992A45" w:rsidRPr="00BD7721" w14:paraId="68CE8EAC" w14:textId="77777777" w:rsidTr="001C113A">
        <w:trPr>
          <w:trHeight w:val="57"/>
          <w:jc w:val="right"/>
        </w:trPr>
        <w:tc>
          <w:tcPr>
            <w:tcW w:w="2835" w:type="dxa"/>
            <w:tcBorders>
              <w:top w:val="nil"/>
              <w:left w:val="nil"/>
              <w:bottom w:val="nil"/>
              <w:right w:val="nil"/>
            </w:tcBorders>
            <w:hideMark/>
          </w:tcPr>
          <w:p w14:paraId="742AE6CB" w14:textId="77777777" w:rsidR="00992A45" w:rsidRPr="00891BFE" w:rsidRDefault="00992A45" w:rsidP="004E48D5">
            <w:pPr>
              <w:pStyle w:val="Normal-pool"/>
              <w:spacing w:before="40" w:after="40"/>
              <w:ind w:left="174"/>
              <w:rPr>
                <w:sz w:val="18"/>
                <w:szCs w:val="18"/>
                <w:lang w:val="fr-FR"/>
              </w:rPr>
            </w:pPr>
            <w:r w:rsidRPr="00891BFE">
              <w:rPr>
                <w:sz w:val="18"/>
                <w:szCs w:val="18"/>
                <w:lang w:val="fr-FR"/>
              </w:rPr>
              <w:t>Laboratoires de Biologie Végétale Yves Rocher</w:t>
            </w:r>
          </w:p>
        </w:tc>
        <w:tc>
          <w:tcPr>
            <w:tcW w:w="993" w:type="dxa"/>
            <w:tcBorders>
              <w:top w:val="nil"/>
              <w:left w:val="nil"/>
              <w:bottom w:val="nil"/>
              <w:right w:val="nil"/>
            </w:tcBorders>
            <w:vAlign w:val="bottom"/>
            <w:hideMark/>
          </w:tcPr>
          <w:p w14:paraId="2CE4F78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11 481</w:t>
            </w:r>
          </w:p>
        </w:tc>
        <w:tc>
          <w:tcPr>
            <w:tcW w:w="992" w:type="dxa"/>
            <w:tcBorders>
              <w:top w:val="nil"/>
              <w:left w:val="nil"/>
              <w:bottom w:val="nil"/>
              <w:right w:val="nil"/>
            </w:tcBorders>
            <w:vAlign w:val="bottom"/>
            <w:hideMark/>
          </w:tcPr>
          <w:p w14:paraId="66F9B52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11 161</w:t>
            </w:r>
          </w:p>
        </w:tc>
        <w:tc>
          <w:tcPr>
            <w:tcW w:w="1086" w:type="dxa"/>
            <w:tcBorders>
              <w:top w:val="nil"/>
              <w:left w:val="nil"/>
              <w:bottom w:val="nil"/>
              <w:right w:val="nil"/>
            </w:tcBorders>
            <w:vAlign w:val="bottom"/>
            <w:hideMark/>
          </w:tcPr>
          <w:p w14:paraId="14A7D70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05F158C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16E6877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single" w:sz="4" w:space="0" w:color="000000"/>
            </w:tcBorders>
            <w:vAlign w:val="bottom"/>
            <w:hideMark/>
          </w:tcPr>
          <w:p w14:paraId="24E8495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7E521EF0" w14:textId="795DCDCA" w:rsidR="00992A45" w:rsidRPr="00BD7721" w:rsidRDefault="00F96DD5" w:rsidP="004E48D5">
            <w:pPr>
              <w:pStyle w:val="Normal-pool"/>
              <w:spacing w:before="40" w:after="40"/>
              <w:jc w:val="right"/>
              <w:rPr>
                <w:sz w:val="18"/>
                <w:szCs w:val="18"/>
                <w:lang w:val="en-GB"/>
              </w:rPr>
            </w:pPr>
            <w:r w:rsidRPr="00BD7721">
              <w:rPr>
                <w:sz w:val="18"/>
                <w:szCs w:val="18"/>
                <w:lang w:val="en-GB"/>
              </w:rPr>
              <w:t xml:space="preserve"> </w:t>
            </w:r>
            <w:r w:rsidR="00992A45" w:rsidRPr="00BD7721">
              <w:rPr>
                <w:sz w:val="18"/>
                <w:szCs w:val="18"/>
                <w:lang w:val="en-GB"/>
              </w:rPr>
              <w:t>–</w:t>
            </w:r>
          </w:p>
        </w:tc>
        <w:tc>
          <w:tcPr>
            <w:tcW w:w="1166" w:type="dxa"/>
            <w:tcBorders>
              <w:top w:val="nil"/>
              <w:left w:val="nil"/>
              <w:bottom w:val="nil"/>
              <w:right w:val="nil"/>
            </w:tcBorders>
            <w:vAlign w:val="bottom"/>
            <w:hideMark/>
          </w:tcPr>
          <w:p w14:paraId="2F79CDF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6EDEF1B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79EBDEC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6C1B70FC" w14:textId="77777777" w:rsidTr="001C113A">
        <w:trPr>
          <w:trHeight w:val="57"/>
          <w:jc w:val="right"/>
        </w:trPr>
        <w:tc>
          <w:tcPr>
            <w:tcW w:w="2835" w:type="dxa"/>
            <w:tcBorders>
              <w:top w:val="nil"/>
              <w:left w:val="nil"/>
              <w:bottom w:val="nil"/>
              <w:right w:val="nil"/>
            </w:tcBorders>
            <w:hideMark/>
          </w:tcPr>
          <w:p w14:paraId="57444B9A" w14:textId="77777777" w:rsidR="00992A45" w:rsidRPr="00BD7721" w:rsidRDefault="00992A45" w:rsidP="004E48D5">
            <w:pPr>
              <w:pStyle w:val="Normal-pool"/>
              <w:spacing w:before="40" w:after="40"/>
              <w:ind w:left="174"/>
              <w:rPr>
                <w:sz w:val="18"/>
                <w:szCs w:val="18"/>
                <w:lang w:val="en-GB"/>
              </w:rPr>
            </w:pPr>
            <w:r w:rsidRPr="00BD7721">
              <w:rPr>
                <w:sz w:val="18"/>
                <w:szCs w:val="18"/>
                <w:lang w:val="en-GB"/>
              </w:rPr>
              <w:t>Prince Albert II of Monaco Foundation Award</w:t>
            </w:r>
          </w:p>
        </w:tc>
        <w:tc>
          <w:tcPr>
            <w:tcW w:w="993" w:type="dxa"/>
            <w:tcBorders>
              <w:top w:val="nil"/>
              <w:left w:val="nil"/>
              <w:bottom w:val="nil"/>
              <w:right w:val="nil"/>
            </w:tcBorders>
            <w:vAlign w:val="bottom"/>
            <w:hideMark/>
          </w:tcPr>
          <w:p w14:paraId="72153B1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nil"/>
              <w:right w:val="nil"/>
            </w:tcBorders>
            <w:vAlign w:val="bottom"/>
            <w:hideMark/>
          </w:tcPr>
          <w:p w14:paraId="3388F3F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86" w:type="dxa"/>
            <w:tcBorders>
              <w:top w:val="nil"/>
              <w:left w:val="nil"/>
              <w:bottom w:val="nil"/>
              <w:right w:val="nil"/>
            </w:tcBorders>
            <w:vAlign w:val="bottom"/>
            <w:hideMark/>
          </w:tcPr>
          <w:p w14:paraId="28051CE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nil"/>
              <w:right w:val="nil"/>
            </w:tcBorders>
            <w:vAlign w:val="bottom"/>
            <w:hideMark/>
          </w:tcPr>
          <w:p w14:paraId="6731DA1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45 045</w:t>
            </w:r>
          </w:p>
        </w:tc>
        <w:tc>
          <w:tcPr>
            <w:tcW w:w="1213" w:type="dxa"/>
            <w:tcBorders>
              <w:top w:val="nil"/>
              <w:left w:val="nil"/>
              <w:bottom w:val="nil"/>
              <w:right w:val="nil"/>
            </w:tcBorders>
            <w:vAlign w:val="bottom"/>
            <w:hideMark/>
          </w:tcPr>
          <w:p w14:paraId="7E89D72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single" w:sz="4" w:space="0" w:color="000000"/>
            </w:tcBorders>
            <w:vAlign w:val="bottom"/>
            <w:hideMark/>
          </w:tcPr>
          <w:p w14:paraId="0910426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nil"/>
              <w:right w:val="nil"/>
            </w:tcBorders>
            <w:vAlign w:val="bottom"/>
            <w:hideMark/>
          </w:tcPr>
          <w:p w14:paraId="4FD0ECE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nil"/>
              <w:right w:val="nil"/>
            </w:tcBorders>
            <w:vAlign w:val="bottom"/>
            <w:hideMark/>
          </w:tcPr>
          <w:p w14:paraId="1D1CE7D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nil"/>
              <w:right w:val="nil"/>
            </w:tcBorders>
            <w:vAlign w:val="bottom"/>
            <w:hideMark/>
          </w:tcPr>
          <w:p w14:paraId="78F78E2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nil"/>
              <w:right w:val="nil"/>
            </w:tcBorders>
            <w:vAlign w:val="bottom"/>
            <w:hideMark/>
          </w:tcPr>
          <w:p w14:paraId="4C1566F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05D0BE5C" w14:textId="77777777" w:rsidTr="001C113A">
        <w:trPr>
          <w:trHeight w:val="57"/>
          <w:jc w:val="right"/>
        </w:trPr>
        <w:tc>
          <w:tcPr>
            <w:tcW w:w="2835" w:type="dxa"/>
            <w:tcBorders>
              <w:top w:val="nil"/>
              <w:left w:val="nil"/>
              <w:bottom w:val="single" w:sz="4" w:space="0" w:color="000000"/>
              <w:right w:val="nil"/>
            </w:tcBorders>
            <w:hideMark/>
          </w:tcPr>
          <w:p w14:paraId="73CA6549" w14:textId="77777777" w:rsidR="00992A45" w:rsidRPr="00BD7721" w:rsidRDefault="00992A45" w:rsidP="004E48D5">
            <w:pPr>
              <w:pStyle w:val="Normal-pool"/>
              <w:spacing w:before="40" w:after="40"/>
              <w:ind w:left="174"/>
              <w:rPr>
                <w:sz w:val="18"/>
                <w:szCs w:val="18"/>
                <w:lang w:val="en-GB"/>
              </w:rPr>
            </w:pPr>
            <w:proofErr w:type="spellStart"/>
            <w:r w:rsidRPr="00BD7721">
              <w:rPr>
                <w:sz w:val="18"/>
                <w:szCs w:val="18"/>
                <w:lang w:val="en-GB"/>
              </w:rPr>
              <w:t>WinWin</w:t>
            </w:r>
            <w:proofErr w:type="spellEnd"/>
            <w:r w:rsidRPr="00BD7721">
              <w:rPr>
                <w:sz w:val="18"/>
                <w:szCs w:val="18"/>
                <w:lang w:val="en-GB"/>
              </w:rPr>
              <w:t xml:space="preserve"> Gothenburg Sustainability Award</w:t>
            </w:r>
          </w:p>
        </w:tc>
        <w:tc>
          <w:tcPr>
            <w:tcW w:w="993" w:type="dxa"/>
            <w:tcBorders>
              <w:top w:val="nil"/>
              <w:left w:val="nil"/>
              <w:bottom w:val="single" w:sz="4" w:space="0" w:color="000000"/>
              <w:right w:val="nil"/>
            </w:tcBorders>
            <w:vAlign w:val="bottom"/>
            <w:hideMark/>
          </w:tcPr>
          <w:p w14:paraId="369C978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992" w:type="dxa"/>
            <w:tcBorders>
              <w:top w:val="nil"/>
              <w:left w:val="nil"/>
              <w:bottom w:val="single" w:sz="4" w:space="0" w:color="000000"/>
              <w:right w:val="nil"/>
            </w:tcBorders>
            <w:vAlign w:val="bottom"/>
            <w:hideMark/>
          </w:tcPr>
          <w:p w14:paraId="306E198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86" w:type="dxa"/>
            <w:tcBorders>
              <w:top w:val="nil"/>
              <w:left w:val="nil"/>
              <w:bottom w:val="single" w:sz="4" w:space="0" w:color="000000"/>
              <w:right w:val="nil"/>
            </w:tcBorders>
            <w:vAlign w:val="bottom"/>
            <w:hideMark/>
          </w:tcPr>
          <w:p w14:paraId="0AD6BAD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113 663</w:t>
            </w:r>
          </w:p>
        </w:tc>
        <w:tc>
          <w:tcPr>
            <w:tcW w:w="1213" w:type="dxa"/>
            <w:tcBorders>
              <w:top w:val="nil"/>
              <w:left w:val="nil"/>
              <w:bottom w:val="single" w:sz="4" w:space="0" w:color="000000"/>
              <w:right w:val="nil"/>
            </w:tcBorders>
            <w:vAlign w:val="bottom"/>
            <w:hideMark/>
          </w:tcPr>
          <w:p w14:paraId="6ACBBA8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13" w:type="dxa"/>
            <w:tcBorders>
              <w:top w:val="nil"/>
              <w:left w:val="nil"/>
              <w:bottom w:val="single" w:sz="4" w:space="0" w:color="000000"/>
              <w:right w:val="nil"/>
            </w:tcBorders>
            <w:vAlign w:val="bottom"/>
            <w:hideMark/>
          </w:tcPr>
          <w:p w14:paraId="24BFABC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single" w:sz="4" w:space="0" w:color="000000"/>
              <w:right w:val="single" w:sz="4" w:space="0" w:color="000000"/>
            </w:tcBorders>
            <w:vAlign w:val="bottom"/>
            <w:hideMark/>
          </w:tcPr>
          <w:p w14:paraId="682CD55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293" w:type="dxa"/>
            <w:tcBorders>
              <w:top w:val="nil"/>
              <w:left w:val="single" w:sz="4" w:space="0" w:color="000000"/>
              <w:bottom w:val="single" w:sz="4" w:space="0" w:color="000000"/>
              <w:right w:val="nil"/>
            </w:tcBorders>
            <w:vAlign w:val="bottom"/>
            <w:hideMark/>
          </w:tcPr>
          <w:p w14:paraId="1B02513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166" w:type="dxa"/>
            <w:tcBorders>
              <w:top w:val="nil"/>
              <w:left w:val="nil"/>
              <w:bottom w:val="single" w:sz="4" w:space="0" w:color="000000"/>
              <w:right w:val="nil"/>
            </w:tcBorders>
            <w:vAlign w:val="bottom"/>
            <w:hideMark/>
          </w:tcPr>
          <w:p w14:paraId="42F26B3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072" w:type="dxa"/>
            <w:tcBorders>
              <w:top w:val="nil"/>
              <w:left w:val="nil"/>
              <w:bottom w:val="single" w:sz="4" w:space="0" w:color="000000"/>
              <w:right w:val="nil"/>
            </w:tcBorders>
            <w:vAlign w:val="bottom"/>
            <w:hideMark/>
          </w:tcPr>
          <w:p w14:paraId="69072A3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c>
          <w:tcPr>
            <w:tcW w:w="1399" w:type="dxa"/>
            <w:tcBorders>
              <w:top w:val="nil"/>
              <w:left w:val="nil"/>
              <w:bottom w:val="single" w:sz="4" w:space="0" w:color="000000"/>
              <w:right w:val="nil"/>
            </w:tcBorders>
            <w:vAlign w:val="bottom"/>
            <w:hideMark/>
          </w:tcPr>
          <w:p w14:paraId="52EA692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w:t>
            </w:r>
          </w:p>
        </w:tc>
      </w:tr>
      <w:tr w:rsidR="00992A45" w:rsidRPr="00BD7721" w14:paraId="2A442331" w14:textId="77777777" w:rsidTr="001C113A">
        <w:trPr>
          <w:trHeight w:val="57"/>
          <w:jc w:val="right"/>
        </w:trPr>
        <w:tc>
          <w:tcPr>
            <w:tcW w:w="2835" w:type="dxa"/>
            <w:tcBorders>
              <w:top w:val="single" w:sz="4" w:space="0" w:color="000000"/>
              <w:left w:val="nil"/>
              <w:bottom w:val="single" w:sz="4" w:space="0" w:color="000000"/>
              <w:right w:val="nil"/>
            </w:tcBorders>
            <w:hideMark/>
          </w:tcPr>
          <w:p w14:paraId="342383F3" w14:textId="77777777" w:rsidR="00992A45" w:rsidRPr="00BD7721" w:rsidRDefault="00992A45" w:rsidP="004E48D5">
            <w:pPr>
              <w:pStyle w:val="Normal-pool"/>
              <w:spacing w:before="40" w:after="40"/>
              <w:ind w:left="174"/>
              <w:rPr>
                <w:b/>
                <w:bCs/>
                <w:sz w:val="18"/>
                <w:szCs w:val="18"/>
                <w:lang w:val="en-GB"/>
              </w:rPr>
            </w:pPr>
            <w:r w:rsidRPr="00BD7721">
              <w:rPr>
                <w:b/>
                <w:bCs/>
                <w:sz w:val="18"/>
                <w:szCs w:val="18"/>
                <w:lang w:val="en-GB"/>
              </w:rPr>
              <w:t>Subtotal 2</w:t>
            </w:r>
          </w:p>
        </w:tc>
        <w:tc>
          <w:tcPr>
            <w:tcW w:w="993" w:type="dxa"/>
            <w:tcBorders>
              <w:top w:val="single" w:sz="4" w:space="0" w:color="000000"/>
              <w:left w:val="nil"/>
              <w:bottom w:val="single" w:sz="4" w:space="0" w:color="000000"/>
              <w:right w:val="nil"/>
            </w:tcBorders>
            <w:vAlign w:val="bottom"/>
            <w:hideMark/>
          </w:tcPr>
          <w:p w14:paraId="5189C16A"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11 481</w:t>
            </w:r>
          </w:p>
        </w:tc>
        <w:tc>
          <w:tcPr>
            <w:tcW w:w="992" w:type="dxa"/>
            <w:tcBorders>
              <w:top w:val="single" w:sz="4" w:space="0" w:color="000000"/>
              <w:left w:val="nil"/>
              <w:bottom w:val="single" w:sz="4" w:space="0" w:color="000000"/>
              <w:right w:val="nil"/>
            </w:tcBorders>
            <w:vAlign w:val="bottom"/>
            <w:hideMark/>
          </w:tcPr>
          <w:p w14:paraId="2CCDEBEE"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142 452</w:t>
            </w:r>
          </w:p>
        </w:tc>
        <w:tc>
          <w:tcPr>
            <w:tcW w:w="1086" w:type="dxa"/>
            <w:tcBorders>
              <w:top w:val="single" w:sz="4" w:space="0" w:color="000000"/>
              <w:left w:val="nil"/>
              <w:bottom w:val="single" w:sz="4" w:space="0" w:color="000000"/>
              <w:right w:val="nil"/>
            </w:tcBorders>
            <w:vAlign w:val="bottom"/>
            <w:hideMark/>
          </w:tcPr>
          <w:p w14:paraId="72E0DCEE"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301 047</w:t>
            </w:r>
          </w:p>
        </w:tc>
        <w:tc>
          <w:tcPr>
            <w:tcW w:w="1213" w:type="dxa"/>
            <w:tcBorders>
              <w:top w:val="single" w:sz="4" w:space="0" w:color="000000"/>
              <w:left w:val="nil"/>
              <w:bottom w:val="single" w:sz="4" w:space="0" w:color="000000"/>
              <w:right w:val="nil"/>
            </w:tcBorders>
            <w:vAlign w:val="bottom"/>
            <w:hideMark/>
          </w:tcPr>
          <w:p w14:paraId="37887DA3"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234 146</w:t>
            </w:r>
          </w:p>
        </w:tc>
        <w:tc>
          <w:tcPr>
            <w:tcW w:w="1213" w:type="dxa"/>
            <w:tcBorders>
              <w:top w:val="single" w:sz="4" w:space="0" w:color="000000"/>
              <w:left w:val="nil"/>
              <w:bottom w:val="single" w:sz="4" w:space="0" w:color="000000"/>
              <w:right w:val="nil"/>
            </w:tcBorders>
            <w:vAlign w:val="bottom"/>
            <w:hideMark/>
          </w:tcPr>
          <w:p w14:paraId="0A48B4B4"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1 265 209</w:t>
            </w:r>
          </w:p>
        </w:tc>
        <w:tc>
          <w:tcPr>
            <w:tcW w:w="1166" w:type="dxa"/>
            <w:tcBorders>
              <w:top w:val="single" w:sz="4" w:space="0" w:color="000000"/>
              <w:left w:val="nil"/>
              <w:bottom w:val="single" w:sz="4" w:space="0" w:color="000000"/>
              <w:right w:val="single" w:sz="4" w:space="0" w:color="000000"/>
            </w:tcBorders>
            <w:vAlign w:val="bottom"/>
            <w:hideMark/>
          </w:tcPr>
          <w:p w14:paraId="224912BE"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133 077</w:t>
            </w:r>
          </w:p>
        </w:tc>
        <w:tc>
          <w:tcPr>
            <w:tcW w:w="1293" w:type="dxa"/>
            <w:tcBorders>
              <w:top w:val="single" w:sz="4" w:space="0" w:color="000000"/>
              <w:left w:val="single" w:sz="4" w:space="0" w:color="000000"/>
              <w:bottom w:val="single" w:sz="4" w:space="0" w:color="000000"/>
              <w:right w:val="nil"/>
            </w:tcBorders>
            <w:vAlign w:val="bottom"/>
            <w:hideMark/>
          </w:tcPr>
          <w:p w14:paraId="6860C316"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154 015</w:t>
            </w:r>
          </w:p>
        </w:tc>
        <w:tc>
          <w:tcPr>
            <w:tcW w:w="1166" w:type="dxa"/>
            <w:tcBorders>
              <w:top w:val="single" w:sz="4" w:space="0" w:color="000000"/>
              <w:left w:val="nil"/>
              <w:bottom w:val="single" w:sz="4" w:space="0" w:color="000000"/>
              <w:right w:val="nil"/>
            </w:tcBorders>
            <w:vAlign w:val="bottom"/>
            <w:hideMark/>
          </w:tcPr>
          <w:p w14:paraId="63290871"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22 002</w:t>
            </w:r>
          </w:p>
        </w:tc>
        <w:tc>
          <w:tcPr>
            <w:tcW w:w="1072" w:type="dxa"/>
            <w:tcBorders>
              <w:top w:val="single" w:sz="4" w:space="0" w:color="000000"/>
              <w:left w:val="nil"/>
              <w:bottom w:val="single" w:sz="4" w:space="0" w:color="000000"/>
              <w:right w:val="nil"/>
            </w:tcBorders>
            <w:vAlign w:val="bottom"/>
            <w:hideMark/>
          </w:tcPr>
          <w:p w14:paraId="3835D502"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w:t>
            </w:r>
          </w:p>
        </w:tc>
        <w:tc>
          <w:tcPr>
            <w:tcW w:w="1399" w:type="dxa"/>
            <w:tcBorders>
              <w:top w:val="single" w:sz="4" w:space="0" w:color="000000"/>
              <w:left w:val="nil"/>
              <w:bottom w:val="single" w:sz="4" w:space="0" w:color="000000"/>
              <w:right w:val="nil"/>
            </w:tcBorders>
            <w:vAlign w:val="bottom"/>
            <w:hideMark/>
          </w:tcPr>
          <w:p w14:paraId="04396E2B"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176 018</w:t>
            </w:r>
          </w:p>
        </w:tc>
      </w:tr>
      <w:tr w:rsidR="00992A45" w:rsidRPr="00BD7721" w14:paraId="4A451D28" w14:textId="77777777" w:rsidTr="001C113A">
        <w:trPr>
          <w:trHeight w:val="57"/>
          <w:jc w:val="right"/>
        </w:trPr>
        <w:tc>
          <w:tcPr>
            <w:tcW w:w="2835" w:type="dxa"/>
            <w:tcBorders>
              <w:top w:val="single" w:sz="4" w:space="0" w:color="000000"/>
              <w:left w:val="nil"/>
              <w:bottom w:val="single" w:sz="4" w:space="0" w:color="000000"/>
              <w:right w:val="nil"/>
            </w:tcBorders>
            <w:hideMark/>
          </w:tcPr>
          <w:p w14:paraId="1306D1CA" w14:textId="621C56A4" w:rsidR="00992A45" w:rsidRPr="00BD7721" w:rsidRDefault="00992A45" w:rsidP="004E48D5">
            <w:pPr>
              <w:pStyle w:val="Normal-pool"/>
              <w:spacing w:before="40" w:after="40"/>
              <w:ind w:left="174"/>
              <w:rPr>
                <w:b/>
                <w:bCs/>
                <w:sz w:val="18"/>
                <w:szCs w:val="18"/>
                <w:lang w:val="en-GB"/>
              </w:rPr>
            </w:pPr>
            <w:r w:rsidRPr="00BD7721">
              <w:rPr>
                <w:b/>
                <w:bCs/>
                <w:sz w:val="18"/>
                <w:szCs w:val="18"/>
                <w:lang w:val="en-GB"/>
              </w:rPr>
              <w:t>Subtotal (1</w:t>
            </w:r>
            <w:r w:rsidR="004212A9" w:rsidRPr="00BD7721">
              <w:rPr>
                <w:b/>
                <w:bCs/>
                <w:sz w:val="18"/>
                <w:szCs w:val="18"/>
                <w:lang w:val="en-GB"/>
              </w:rPr>
              <w:t xml:space="preserve"> </w:t>
            </w:r>
            <w:r w:rsidRPr="00BD7721">
              <w:rPr>
                <w:b/>
                <w:bCs/>
                <w:sz w:val="18"/>
                <w:szCs w:val="18"/>
                <w:lang w:val="en-GB"/>
              </w:rPr>
              <w:t>+</w:t>
            </w:r>
            <w:r w:rsidR="004212A9" w:rsidRPr="00BD7721">
              <w:rPr>
                <w:b/>
                <w:bCs/>
                <w:sz w:val="18"/>
                <w:szCs w:val="18"/>
                <w:lang w:val="en-GB"/>
              </w:rPr>
              <w:t xml:space="preserve"> </w:t>
            </w:r>
            <w:r w:rsidRPr="00BD7721">
              <w:rPr>
                <w:b/>
                <w:bCs/>
                <w:sz w:val="18"/>
                <w:szCs w:val="18"/>
                <w:lang w:val="en-GB"/>
              </w:rPr>
              <w:t>2)</w:t>
            </w:r>
          </w:p>
        </w:tc>
        <w:tc>
          <w:tcPr>
            <w:tcW w:w="993" w:type="dxa"/>
            <w:tcBorders>
              <w:top w:val="single" w:sz="4" w:space="0" w:color="000000"/>
              <w:left w:val="nil"/>
              <w:bottom w:val="single" w:sz="4" w:space="0" w:color="000000"/>
              <w:right w:val="nil"/>
            </w:tcBorders>
            <w:vAlign w:val="bottom"/>
            <w:hideMark/>
          </w:tcPr>
          <w:p w14:paraId="07AAF4B3"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5 037 037</w:t>
            </w:r>
          </w:p>
        </w:tc>
        <w:tc>
          <w:tcPr>
            <w:tcW w:w="992" w:type="dxa"/>
            <w:tcBorders>
              <w:top w:val="single" w:sz="4" w:space="0" w:color="000000"/>
              <w:left w:val="nil"/>
              <w:bottom w:val="single" w:sz="4" w:space="0" w:color="000000"/>
              <w:right w:val="nil"/>
            </w:tcBorders>
            <w:vAlign w:val="bottom"/>
            <w:hideMark/>
          </w:tcPr>
          <w:p w14:paraId="447A20FD"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6 936 048</w:t>
            </w:r>
          </w:p>
        </w:tc>
        <w:tc>
          <w:tcPr>
            <w:tcW w:w="1086" w:type="dxa"/>
            <w:tcBorders>
              <w:top w:val="single" w:sz="4" w:space="0" w:color="000000"/>
              <w:left w:val="nil"/>
              <w:bottom w:val="single" w:sz="4" w:space="0" w:color="000000"/>
              <w:right w:val="nil"/>
            </w:tcBorders>
            <w:vAlign w:val="bottom"/>
            <w:hideMark/>
          </w:tcPr>
          <w:p w14:paraId="1C5058F6"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3 791 379</w:t>
            </w:r>
          </w:p>
        </w:tc>
        <w:tc>
          <w:tcPr>
            <w:tcW w:w="1213" w:type="dxa"/>
            <w:tcBorders>
              <w:top w:val="single" w:sz="4" w:space="0" w:color="000000"/>
              <w:left w:val="nil"/>
              <w:bottom w:val="single" w:sz="4" w:space="0" w:color="000000"/>
              <w:right w:val="nil"/>
            </w:tcBorders>
            <w:vAlign w:val="bottom"/>
            <w:hideMark/>
          </w:tcPr>
          <w:p w14:paraId="5171A10B"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5 568 774</w:t>
            </w:r>
          </w:p>
        </w:tc>
        <w:tc>
          <w:tcPr>
            <w:tcW w:w="1213" w:type="dxa"/>
            <w:tcBorders>
              <w:top w:val="single" w:sz="4" w:space="0" w:color="000000"/>
              <w:left w:val="nil"/>
              <w:bottom w:val="single" w:sz="4" w:space="0" w:color="000000"/>
              <w:right w:val="nil"/>
            </w:tcBorders>
            <w:vAlign w:val="bottom"/>
            <w:hideMark/>
          </w:tcPr>
          <w:p w14:paraId="0F3C0E5F"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5 425 703</w:t>
            </w:r>
          </w:p>
        </w:tc>
        <w:tc>
          <w:tcPr>
            <w:tcW w:w="1166" w:type="dxa"/>
            <w:tcBorders>
              <w:top w:val="single" w:sz="4" w:space="0" w:color="000000"/>
              <w:left w:val="nil"/>
              <w:bottom w:val="single" w:sz="4" w:space="0" w:color="000000"/>
              <w:right w:val="single" w:sz="4" w:space="0" w:color="000000"/>
            </w:tcBorders>
            <w:vAlign w:val="bottom"/>
            <w:hideMark/>
          </w:tcPr>
          <w:p w14:paraId="0E001128"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4 711 177</w:t>
            </w:r>
          </w:p>
        </w:tc>
        <w:tc>
          <w:tcPr>
            <w:tcW w:w="1293" w:type="dxa"/>
            <w:tcBorders>
              <w:top w:val="single" w:sz="4" w:space="0" w:color="000000"/>
              <w:left w:val="single" w:sz="4" w:space="0" w:color="000000"/>
              <w:bottom w:val="single" w:sz="4" w:space="0" w:color="000000"/>
              <w:right w:val="nil"/>
            </w:tcBorders>
            <w:vAlign w:val="bottom"/>
            <w:hideMark/>
          </w:tcPr>
          <w:p w14:paraId="339ED950"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2 401 354</w:t>
            </w:r>
          </w:p>
        </w:tc>
        <w:tc>
          <w:tcPr>
            <w:tcW w:w="1166" w:type="dxa"/>
            <w:tcBorders>
              <w:top w:val="single" w:sz="4" w:space="0" w:color="000000"/>
              <w:left w:val="nil"/>
              <w:bottom w:val="single" w:sz="4" w:space="0" w:color="000000"/>
              <w:right w:val="nil"/>
            </w:tcBorders>
            <w:vAlign w:val="bottom"/>
            <w:hideMark/>
          </w:tcPr>
          <w:p w14:paraId="7003AB39"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1 710 071</w:t>
            </w:r>
          </w:p>
        </w:tc>
        <w:tc>
          <w:tcPr>
            <w:tcW w:w="1072" w:type="dxa"/>
            <w:tcBorders>
              <w:top w:val="single" w:sz="4" w:space="0" w:color="000000"/>
              <w:left w:val="nil"/>
              <w:bottom w:val="single" w:sz="4" w:space="0" w:color="000000"/>
              <w:right w:val="nil"/>
            </w:tcBorders>
            <w:vAlign w:val="bottom"/>
            <w:hideMark/>
          </w:tcPr>
          <w:p w14:paraId="57CCAFC1"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3 392 051</w:t>
            </w:r>
          </w:p>
        </w:tc>
        <w:tc>
          <w:tcPr>
            <w:tcW w:w="1399" w:type="dxa"/>
            <w:tcBorders>
              <w:top w:val="single" w:sz="4" w:space="0" w:color="000000"/>
              <w:left w:val="nil"/>
              <w:bottom w:val="single" w:sz="4" w:space="0" w:color="000000"/>
              <w:right w:val="nil"/>
            </w:tcBorders>
            <w:vAlign w:val="bottom"/>
            <w:hideMark/>
          </w:tcPr>
          <w:p w14:paraId="627F574D"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7 503 476</w:t>
            </w:r>
          </w:p>
        </w:tc>
      </w:tr>
      <w:tr w:rsidR="00992A45" w:rsidRPr="00BD7721" w14:paraId="18714732" w14:textId="77777777" w:rsidTr="001C113A">
        <w:trPr>
          <w:trHeight w:val="57"/>
          <w:jc w:val="right"/>
        </w:trPr>
        <w:tc>
          <w:tcPr>
            <w:tcW w:w="2835" w:type="dxa"/>
            <w:tcBorders>
              <w:top w:val="single" w:sz="4" w:space="0" w:color="000000"/>
              <w:left w:val="nil"/>
              <w:bottom w:val="single" w:sz="4" w:space="0" w:color="000000"/>
              <w:right w:val="nil"/>
            </w:tcBorders>
            <w:hideMark/>
          </w:tcPr>
          <w:p w14:paraId="587C6EDB" w14:textId="77777777" w:rsidR="00992A45" w:rsidRPr="00BD7721" w:rsidRDefault="00992A45" w:rsidP="004E48D5">
            <w:pPr>
              <w:pStyle w:val="Normal-pool"/>
              <w:tabs>
                <w:tab w:val="left" w:pos="174"/>
              </w:tabs>
              <w:spacing w:before="40" w:after="40"/>
              <w:ind w:left="174" w:hanging="174"/>
              <w:rPr>
                <w:b/>
                <w:bCs/>
                <w:i/>
                <w:sz w:val="18"/>
                <w:szCs w:val="18"/>
                <w:lang w:val="en-GB"/>
              </w:rPr>
            </w:pPr>
            <w:r w:rsidRPr="00BD7721">
              <w:rPr>
                <w:b/>
                <w:bCs/>
                <w:sz w:val="18"/>
                <w:szCs w:val="18"/>
                <w:lang w:val="en-GB"/>
              </w:rPr>
              <w:t>3.</w:t>
            </w:r>
            <w:r w:rsidRPr="00BD7721">
              <w:rPr>
                <w:b/>
                <w:bCs/>
                <w:i/>
                <w:sz w:val="18"/>
                <w:szCs w:val="18"/>
                <w:lang w:val="en-GB"/>
              </w:rPr>
              <w:tab/>
            </w:r>
            <w:r w:rsidRPr="00BD7721">
              <w:rPr>
                <w:b/>
                <w:bCs/>
                <w:sz w:val="18"/>
                <w:szCs w:val="18"/>
                <w:lang w:val="en-GB"/>
              </w:rPr>
              <w:t xml:space="preserve">Investment and miscellaneous </w:t>
            </w:r>
            <w:proofErr w:type="spellStart"/>
            <w:r w:rsidRPr="00BD7721">
              <w:rPr>
                <w:b/>
                <w:bCs/>
                <w:sz w:val="18"/>
                <w:szCs w:val="18"/>
                <w:lang w:val="en-GB"/>
              </w:rPr>
              <w:t>income</w:t>
            </w:r>
            <w:r w:rsidRPr="00BD7721">
              <w:rPr>
                <w:b/>
                <w:bCs/>
                <w:iCs/>
                <w:sz w:val="18"/>
                <w:szCs w:val="18"/>
                <w:vertAlign w:val="superscript"/>
                <w:lang w:val="en-GB"/>
              </w:rPr>
              <w:t>b</w:t>
            </w:r>
            <w:proofErr w:type="spellEnd"/>
          </w:p>
        </w:tc>
        <w:tc>
          <w:tcPr>
            <w:tcW w:w="993" w:type="dxa"/>
            <w:tcBorders>
              <w:top w:val="single" w:sz="4" w:space="0" w:color="000000"/>
              <w:left w:val="nil"/>
              <w:bottom w:val="single" w:sz="4" w:space="0" w:color="000000"/>
              <w:right w:val="nil"/>
            </w:tcBorders>
            <w:vAlign w:val="bottom"/>
            <w:hideMark/>
          </w:tcPr>
          <w:p w14:paraId="38B5B3E8"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158 546</w:t>
            </w:r>
          </w:p>
        </w:tc>
        <w:tc>
          <w:tcPr>
            <w:tcW w:w="992" w:type="dxa"/>
            <w:tcBorders>
              <w:top w:val="single" w:sz="4" w:space="0" w:color="000000"/>
              <w:left w:val="nil"/>
              <w:bottom w:val="single" w:sz="4" w:space="0" w:color="000000"/>
              <w:right w:val="nil"/>
            </w:tcBorders>
            <w:vAlign w:val="bottom"/>
            <w:hideMark/>
          </w:tcPr>
          <w:p w14:paraId="2DC397C9"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217 091</w:t>
            </w:r>
          </w:p>
        </w:tc>
        <w:tc>
          <w:tcPr>
            <w:tcW w:w="1086" w:type="dxa"/>
            <w:tcBorders>
              <w:top w:val="single" w:sz="4" w:space="0" w:color="000000"/>
              <w:left w:val="nil"/>
              <w:bottom w:val="single" w:sz="4" w:space="0" w:color="000000"/>
              <w:right w:val="nil"/>
            </w:tcBorders>
            <w:vAlign w:val="bottom"/>
            <w:hideMark/>
          </w:tcPr>
          <w:p w14:paraId="43A2BEF4"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179 314</w:t>
            </w:r>
          </w:p>
        </w:tc>
        <w:tc>
          <w:tcPr>
            <w:tcW w:w="1213" w:type="dxa"/>
            <w:tcBorders>
              <w:top w:val="single" w:sz="4" w:space="0" w:color="000000"/>
              <w:left w:val="nil"/>
              <w:bottom w:val="single" w:sz="4" w:space="0" w:color="000000"/>
              <w:right w:val="nil"/>
            </w:tcBorders>
            <w:vAlign w:val="bottom"/>
            <w:hideMark/>
          </w:tcPr>
          <w:p w14:paraId="558474AD"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(8 856)</w:t>
            </w:r>
          </w:p>
        </w:tc>
        <w:tc>
          <w:tcPr>
            <w:tcW w:w="1213" w:type="dxa"/>
            <w:tcBorders>
              <w:top w:val="single" w:sz="4" w:space="0" w:color="000000"/>
              <w:left w:val="nil"/>
              <w:bottom w:val="single" w:sz="4" w:space="0" w:color="000000"/>
              <w:right w:val="nil"/>
            </w:tcBorders>
            <w:vAlign w:val="bottom"/>
            <w:hideMark/>
          </w:tcPr>
          <w:p w14:paraId="557CE91D"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41 965</w:t>
            </w:r>
          </w:p>
        </w:tc>
        <w:tc>
          <w:tcPr>
            <w:tcW w:w="1166" w:type="dxa"/>
            <w:tcBorders>
              <w:top w:val="single" w:sz="4" w:space="0" w:color="000000"/>
              <w:left w:val="nil"/>
              <w:bottom w:val="single" w:sz="4" w:space="0" w:color="000000"/>
              <w:right w:val="single" w:sz="4" w:space="0" w:color="000000"/>
            </w:tcBorders>
            <w:vAlign w:val="bottom"/>
            <w:hideMark/>
          </w:tcPr>
          <w:p w14:paraId="3407D654"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198 234</w:t>
            </w:r>
          </w:p>
        </w:tc>
        <w:tc>
          <w:tcPr>
            <w:tcW w:w="1293" w:type="dxa"/>
            <w:tcBorders>
              <w:top w:val="single" w:sz="4" w:space="0" w:color="000000"/>
              <w:left w:val="single" w:sz="4" w:space="0" w:color="000000"/>
              <w:bottom w:val="single" w:sz="4" w:space="0" w:color="000000"/>
              <w:right w:val="nil"/>
            </w:tcBorders>
            <w:vAlign w:val="bottom"/>
            <w:hideMark/>
          </w:tcPr>
          <w:p w14:paraId="2BB6115C"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w:t>
            </w:r>
          </w:p>
        </w:tc>
        <w:tc>
          <w:tcPr>
            <w:tcW w:w="1166" w:type="dxa"/>
            <w:tcBorders>
              <w:top w:val="single" w:sz="4" w:space="0" w:color="000000"/>
              <w:left w:val="nil"/>
              <w:bottom w:val="single" w:sz="4" w:space="0" w:color="000000"/>
              <w:right w:val="nil"/>
            </w:tcBorders>
            <w:vAlign w:val="bottom"/>
            <w:hideMark/>
          </w:tcPr>
          <w:p w14:paraId="02C4BCC9"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w:t>
            </w:r>
          </w:p>
        </w:tc>
        <w:tc>
          <w:tcPr>
            <w:tcW w:w="1072" w:type="dxa"/>
            <w:tcBorders>
              <w:top w:val="single" w:sz="4" w:space="0" w:color="000000"/>
              <w:left w:val="nil"/>
              <w:bottom w:val="single" w:sz="4" w:space="0" w:color="000000"/>
              <w:right w:val="nil"/>
            </w:tcBorders>
            <w:vAlign w:val="bottom"/>
            <w:hideMark/>
          </w:tcPr>
          <w:p w14:paraId="508B0DA3"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w:t>
            </w:r>
          </w:p>
        </w:tc>
        <w:tc>
          <w:tcPr>
            <w:tcW w:w="1399" w:type="dxa"/>
            <w:tcBorders>
              <w:top w:val="single" w:sz="4" w:space="0" w:color="000000"/>
              <w:left w:val="nil"/>
              <w:bottom w:val="single" w:sz="4" w:space="0" w:color="000000"/>
              <w:right w:val="nil"/>
            </w:tcBorders>
            <w:vAlign w:val="bottom"/>
            <w:hideMark/>
          </w:tcPr>
          <w:p w14:paraId="0196FCEA"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w:t>
            </w:r>
          </w:p>
        </w:tc>
      </w:tr>
      <w:tr w:rsidR="00992A45" w:rsidRPr="00BD7721" w14:paraId="0E3B8640" w14:textId="77777777" w:rsidTr="001C113A">
        <w:trPr>
          <w:trHeight w:val="57"/>
          <w:jc w:val="right"/>
        </w:trPr>
        <w:tc>
          <w:tcPr>
            <w:tcW w:w="2835" w:type="dxa"/>
            <w:tcBorders>
              <w:top w:val="single" w:sz="4" w:space="0" w:color="000000"/>
              <w:left w:val="nil"/>
              <w:bottom w:val="single" w:sz="12" w:space="0" w:color="000000"/>
              <w:right w:val="nil"/>
            </w:tcBorders>
            <w:hideMark/>
          </w:tcPr>
          <w:p w14:paraId="4CC506C1" w14:textId="5C2B63C2" w:rsidR="00992A45" w:rsidRPr="00BD7721" w:rsidRDefault="00992A45" w:rsidP="004E48D5">
            <w:pPr>
              <w:pStyle w:val="Normal-pool"/>
              <w:spacing w:before="40" w:after="40"/>
              <w:ind w:left="174"/>
              <w:rPr>
                <w:b/>
                <w:bCs/>
                <w:sz w:val="18"/>
                <w:szCs w:val="18"/>
                <w:lang w:val="en-GB"/>
              </w:rPr>
            </w:pPr>
            <w:r w:rsidRPr="00BD7721">
              <w:rPr>
                <w:b/>
                <w:bCs/>
                <w:sz w:val="18"/>
                <w:szCs w:val="18"/>
                <w:lang w:val="en-GB"/>
              </w:rPr>
              <w:t>Total (1</w:t>
            </w:r>
            <w:r w:rsidR="001C113A" w:rsidRPr="00BD7721">
              <w:rPr>
                <w:b/>
                <w:bCs/>
                <w:sz w:val="18"/>
                <w:szCs w:val="18"/>
                <w:lang w:val="en-GB"/>
              </w:rPr>
              <w:t xml:space="preserve"> </w:t>
            </w:r>
            <w:r w:rsidRPr="00BD7721">
              <w:rPr>
                <w:b/>
                <w:bCs/>
                <w:sz w:val="18"/>
                <w:szCs w:val="18"/>
                <w:lang w:val="en-GB"/>
              </w:rPr>
              <w:t>+</w:t>
            </w:r>
            <w:r w:rsidR="001C113A" w:rsidRPr="00BD7721">
              <w:rPr>
                <w:b/>
                <w:bCs/>
                <w:sz w:val="18"/>
                <w:szCs w:val="18"/>
                <w:lang w:val="en-GB"/>
              </w:rPr>
              <w:t xml:space="preserve"> </w:t>
            </w:r>
            <w:r w:rsidRPr="00BD7721">
              <w:rPr>
                <w:b/>
                <w:bCs/>
                <w:sz w:val="18"/>
                <w:szCs w:val="18"/>
                <w:lang w:val="en-GB"/>
              </w:rPr>
              <w:t>2</w:t>
            </w:r>
            <w:r w:rsidR="001C113A" w:rsidRPr="00BD7721">
              <w:rPr>
                <w:b/>
                <w:bCs/>
                <w:sz w:val="18"/>
                <w:szCs w:val="18"/>
                <w:lang w:val="en-GB"/>
              </w:rPr>
              <w:t xml:space="preserve"> </w:t>
            </w:r>
            <w:r w:rsidRPr="00BD7721">
              <w:rPr>
                <w:b/>
                <w:bCs/>
                <w:sz w:val="18"/>
                <w:szCs w:val="18"/>
                <w:lang w:val="en-GB"/>
              </w:rPr>
              <w:t>+</w:t>
            </w:r>
            <w:r w:rsidR="001C113A" w:rsidRPr="00BD7721">
              <w:rPr>
                <w:b/>
                <w:bCs/>
                <w:sz w:val="18"/>
                <w:szCs w:val="18"/>
                <w:lang w:val="en-GB"/>
              </w:rPr>
              <w:t xml:space="preserve"> </w:t>
            </w:r>
            <w:r w:rsidRPr="00BD7721">
              <w:rPr>
                <w:b/>
                <w:bCs/>
                <w:sz w:val="18"/>
                <w:szCs w:val="18"/>
                <w:lang w:val="en-GB"/>
              </w:rPr>
              <w:t>3)</w:t>
            </w:r>
          </w:p>
        </w:tc>
        <w:tc>
          <w:tcPr>
            <w:tcW w:w="993" w:type="dxa"/>
            <w:tcBorders>
              <w:top w:val="single" w:sz="4" w:space="0" w:color="000000"/>
              <w:left w:val="nil"/>
              <w:bottom w:val="single" w:sz="12" w:space="0" w:color="000000"/>
              <w:right w:val="nil"/>
            </w:tcBorders>
            <w:vAlign w:val="bottom"/>
            <w:hideMark/>
          </w:tcPr>
          <w:p w14:paraId="3DA10B4B"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5 195 583</w:t>
            </w:r>
          </w:p>
        </w:tc>
        <w:tc>
          <w:tcPr>
            <w:tcW w:w="992" w:type="dxa"/>
            <w:tcBorders>
              <w:top w:val="single" w:sz="4" w:space="0" w:color="000000"/>
              <w:left w:val="nil"/>
              <w:bottom w:val="single" w:sz="12" w:space="0" w:color="000000"/>
              <w:right w:val="nil"/>
            </w:tcBorders>
            <w:vAlign w:val="bottom"/>
            <w:hideMark/>
          </w:tcPr>
          <w:p w14:paraId="663B1110"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7 153 139</w:t>
            </w:r>
          </w:p>
        </w:tc>
        <w:tc>
          <w:tcPr>
            <w:tcW w:w="1086" w:type="dxa"/>
            <w:tcBorders>
              <w:top w:val="single" w:sz="4" w:space="0" w:color="000000"/>
              <w:left w:val="nil"/>
              <w:bottom w:val="single" w:sz="12" w:space="0" w:color="000000"/>
              <w:right w:val="nil"/>
            </w:tcBorders>
            <w:vAlign w:val="bottom"/>
            <w:hideMark/>
          </w:tcPr>
          <w:p w14:paraId="030A8455"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3 970 693</w:t>
            </w:r>
          </w:p>
        </w:tc>
        <w:tc>
          <w:tcPr>
            <w:tcW w:w="1213" w:type="dxa"/>
            <w:tcBorders>
              <w:top w:val="single" w:sz="4" w:space="0" w:color="000000"/>
              <w:left w:val="nil"/>
              <w:bottom w:val="single" w:sz="12" w:space="0" w:color="000000"/>
              <w:right w:val="nil"/>
            </w:tcBorders>
            <w:vAlign w:val="bottom"/>
            <w:hideMark/>
          </w:tcPr>
          <w:p w14:paraId="45836B79"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5 559 918</w:t>
            </w:r>
          </w:p>
        </w:tc>
        <w:tc>
          <w:tcPr>
            <w:tcW w:w="1213" w:type="dxa"/>
            <w:tcBorders>
              <w:top w:val="single" w:sz="4" w:space="0" w:color="000000"/>
              <w:left w:val="nil"/>
              <w:bottom w:val="single" w:sz="12" w:space="0" w:color="000000"/>
              <w:right w:val="nil"/>
            </w:tcBorders>
            <w:vAlign w:val="bottom"/>
            <w:hideMark/>
          </w:tcPr>
          <w:p w14:paraId="5DBEDC72"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5 467 668</w:t>
            </w:r>
          </w:p>
        </w:tc>
        <w:tc>
          <w:tcPr>
            <w:tcW w:w="1166" w:type="dxa"/>
            <w:tcBorders>
              <w:top w:val="single" w:sz="4" w:space="0" w:color="000000"/>
              <w:left w:val="nil"/>
              <w:bottom w:val="single" w:sz="12" w:space="0" w:color="000000"/>
              <w:right w:val="single" w:sz="4" w:space="0" w:color="000000"/>
            </w:tcBorders>
            <w:vAlign w:val="bottom"/>
            <w:hideMark/>
          </w:tcPr>
          <w:p w14:paraId="7E1BE9F0"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4 909 411</w:t>
            </w:r>
          </w:p>
        </w:tc>
        <w:tc>
          <w:tcPr>
            <w:tcW w:w="1293" w:type="dxa"/>
            <w:tcBorders>
              <w:top w:val="single" w:sz="4" w:space="0" w:color="000000"/>
              <w:left w:val="single" w:sz="4" w:space="0" w:color="000000"/>
              <w:bottom w:val="single" w:sz="12" w:space="0" w:color="000000"/>
              <w:right w:val="nil"/>
            </w:tcBorders>
            <w:vAlign w:val="bottom"/>
            <w:hideMark/>
          </w:tcPr>
          <w:p w14:paraId="0FEA84F1"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2 401 354</w:t>
            </w:r>
          </w:p>
        </w:tc>
        <w:tc>
          <w:tcPr>
            <w:tcW w:w="1166" w:type="dxa"/>
            <w:tcBorders>
              <w:top w:val="single" w:sz="4" w:space="0" w:color="000000"/>
              <w:left w:val="nil"/>
              <w:bottom w:val="single" w:sz="12" w:space="0" w:color="000000"/>
              <w:right w:val="nil"/>
            </w:tcBorders>
            <w:vAlign w:val="bottom"/>
            <w:hideMark/>
          </w:tcPr>
          <w:p w14:paraId="32FAC2A1"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1 710 071</w:t>
            </w:r>
          </w:p>
        </w:tc>
        <w:tc>
          <w:tcPr>
            <w:tcW w:w="1072" w:type="dxa"/>
            <w:tcBorders>
              <w:top w:val="single" w:sz="4" w:space="0" w:color="000000"/>
              <w:left w:val="nil"/>
              <w:bottom w:val="single" w:sz="12" w:space="0" w:color="000000"/>
              <w:right w:val="nil"/>
            </w:tcBorders>
            <w:vAlign w:val="bottom"/>
            <w:hideMark/>
          </w:tcPr>
          <w:p w14:paraId="5909735A"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3 392 051</w:t>
            </w:r>
          </w:p>
        </w:tc>
        <w:tc>
          <w:tcPr>
            <w:tcW w:w="1399" w:type="dxa"/>
            <w:tcBorders>
              <w:top w:val="single" w:sz="4" w:space="0" w:color="000000"/>
              <w:left w:val="nil"/>
              <w:bottom w:val="single" w:sz="12" w:space="0" w:color="000000"/>
              <w:right w:val="nil"/>
            </w:tcBorders>
            <w:vAlign w:val="bottom"/>
            <w:hideMark/>
          </w:tcPr>
          <w:p w14:paraId="5A9B2DDE"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7 503 476</w:t>
            </w:r>
          </w:p>
        </w:tc>
      </w:tr>
    </w:tbl>
    <w:p w14:paraId="1C9A0E9B" w14:textId="49BE460D" w:rsidR="00992A45" w:rsidRPr="00BD7721" w:rsidRDefault="00992A45" w:rsidP="00992A45">
      <w:pPr>
        <w:pStyle w:val="Normal-pool"/>
        <w:spacing w:before="60"/>
        <w:ind w:left="1247"/>
        <w:rPr>
          <w:sz w:val="18"/>
          <w:szCs w:val="18"/>
          <w:lang w:val="en-GB"/>
        </w:rPr>
      </w:pPr>
      <w:r w:rsidRPr="00BD7721">
        <w:rPr>
          <w:i/>
          <w:sz w:val="18"/>
          <w:szCs w:val="18"/>
          <w:vertAlign w:val="superscript"/>
          <w:lang w:val="en-GB"/>
        </w:rPr>
        <w:tab/>
      </w:r>
      <w:proofErr w:type="spellStart"/>
      <w:r w:rsidRPr="00BD7721">
        <w:rPr>
          <w:iCs/>
          <w:sz w:val="18"/>
          <w:szCs w:val="18"/>
          <w:vertAlign w:val="superscript"/>
          <w:lang w:val="en-GB"/>
        </w:rPr>
        <w:t>a</w:t>
      </w:r>
      <w:proofErr w:type="spellEnd"/>
      <w:r w:rsidRPr="00BD7721">
        <w:rPr>
          <w:sz w:val="18"/>
          <w:szCs w:val="18"/>
          <w:lang w:val="en-GB"/>
        </w:rPr>
        <w:t xml:space="preserve"> </w:t>
      </w:r>
      <w:proofErr w:type="gramStart"/>
      <w:r w:rsidRPr="00BD7721">
        <w:rPr>
          <w:sz w:val="18"/>
          <w:szCs w:val="18"/>
          <w:lang w:val="en-GB"/>
        </w:rPr>
        <w:t>The</w:t>
      </w:r>
      <w:proofErr w:type="gramEnd"/>
      <w:r w:rsidRPr="00BD7721">
        <w:rPr>
          <w:sz w:val="18"/>
          <w:szCs w:val="18"/>
          <w:lang w:val="en-GB"/>
        </w:rPr>
        <w:t xml:space="preserve"> contribution from the donor includes an earmarked component. Please refer to table 2, part 1</w:t>
      </w:r>
      <w:r w:rsidR="005F3A21" w:rsidRPr="00BD7721">
        <w:rPr>
          <w:sz w:val="18"/>
          <w:szCs w:val="18"/>
          <w:lang w:val="en-GB"/>
        </w:rPr>
        <w:t>,</w:t>
      </w:r>
      <w:r w:rsidRPr="00BD7721">
        <w:rPr>
          <w:sz w:val="18"/>
          <w:szCs w:val="18"/>
          <w:lang w:val="en-GB"/>
        </w:rPr>
        <w:t xml:space="preserve"> for details.</w:t>
      </w:r>
    </w:p>
    <w:p w14:paraId="5D2F237A" w14:textId="77777777" w:rsidR="00992A45" w:rsidRPr="00BD7721" w:rsidRDefault="00992A45" w:rsidP="00992A45">
      <w:pPr>
        <w:pStyle w:val="Normal-pool"/>
        <w:spacing w:before="60"/>
        <w:ind w:left="1247"/>
        <w:rPr>
          <w:sz w:val="18"/>
          <w:szCs w:val="18"/>
          <w:lang w:val="en-GB"/>
        </w:rPr>
      </w:pPr>
      <w:r w:rsidRPr="00BD7721">
        <w:rPr>
          <w:i/>
          <w:sz w:val="18"/>
          <w:szCs w:val="18"/>
          <w:vertAlign w:val="superscript"/>
          <w:lang w:val="en-GB"/>
        </w:rPr>
        <w:tab/>
      </w:r>
      <w:r w:rsidRPr="00BD7721">
        <w:rPr>
          <w:iCs/>
          <w:sz w:val="18"/>
          <w:szCs w:val="18"/>
          <w:vertAlign w:val="superscript"/>
          <w:lang w:val="en-GB"/>
        </w:rPr>
        <w:t>b</w:t>
      </w:r>
      <w:r w:rsidRPr="00BD7721">
        <w:rPr>
          <w:sz w:val="18"/>
          <w:szCs w:val="18"/>
          <w:lang w:val="en-GB"/>
        </w:rPr>
        <w:t xml:space="preserve"> Investment income earned on cash pool resources of UNEP. </w:t>
      </w:r>
    </w:p>
    <w:p w14:paraId="3682FB90" w14:textId="392A347E" w:rsidR="0046445C" w:rsidRPr="00BD7721" w:rsidRDefault="0046445C" w:rsidP="0046445C">
      <w:pPr>
        <w:pStyle w:val="Normal-pool"/>
        <w:rPr>
          <w:lang w:val="en-GB"/>
        </w:rPr>
      </w:pPr>
      <w:r w:rsidRPr="00BD7721">
        <w:rPr>
          <w:lang w:val="en-GB"/>
        </w:rPr>
        <w:br w:type="page"/>
      </w:r>
    </w:p>
    <w:p w14:paraId="2BD9E271" w14:textId="77777777" w:rsidR="00992A45" w:rsidRPr="00BD7721" w:rsidRDefault="00992A45" w:rsidP="005554A2">
      <w:pPr>
        <w:pStyle w:val="Titletable"/>
        <w:rPr>
          <w:lang w:val="en-GB"/>
        </w:rPr>
      </w:pPr>
      <w:r w:rsidRPr="00BD7721">
        <w:rPr>
          <w:b w:val="0"/>
          <w:bCs w:val="0"/>
          <w:lang w:val="en-GB"/>
        </w:rPr>
        <w:t xml:space="preserve">Table 2 </w:t>
      </w:r>
      <w:r w:rsidRPr="00BD7721">
        <w:rPr>
          <w:b w:val="0"/>
          <w:bCs w:val="0"/>
          <w:lang w:val="en-GB"/>
        </w:rPr>
        <w:br/>
      </w:r>
      <w:r w:rsidRPr="00BD7721">
        <w:rPr>
          <w:lang w:val="en-GB"/>
        </w:rPr>
        <w:t>Earmarked contributions received in cash and pledges made for the period 2018–</w:t>
      </w:r>
      <w:proofErr w:type="gramStart"/>
      <w:r w:rsidRPr="00BD7721">
        <w:rPr>
          <w:lang w:val="en-GB"/>
        </w:rPr>
        <w:t>2024</w:t>
      </w:r>
      <w:proofErr w:type="gramEnd"/>
    </w:p>
    <w:p w14:paraId="60D0DC4B" w14:textId="77777777" w:rsidR="00992A45" w:rsidRPr="00BD7721" w:rsidRDefault="00992A45" w:rsidP="00992A45">
      <w:pPr>
        <w:pStyle w:val="Titletable"/>
        <w:rPr>
          <w:b w:val="0"/>
          <w:bCs w:val="0"/>
          <w:color w:val="000000"/>
          <w:sz w:val="18"/>
          <w:szCs w:val="18"/>
          <w:lang w:val="en-GB"/>
        </w:rPr>
      </w:pPr>
      <w:r w:rsidRPr="00BD7721">
        <w:rPr>
          <w:b w:val="0"/>
          <w:bCs w:val="0"/>
          <w:sz w:val="18"/>
          <w:szCs w:val="18"/>
          <w:lang w:val="en-GB"/>
        </w:rPr>
        <w:t>(United States dollars)</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2717"/>
        <w:gridCol w:w="1134"/>
        <w:gridCol w:w="1032"/>
        <w:gridCol w:w="932"/>
        <w:gridCol w:w="1013"/>
        <w:gridCol w:w="851"/>
        <w:gridCol w:w="992"/>
        <w:gridCol w:w="903"/>
        <w:gridCol w:w="969"/>
        <w:gridCol w:w="962"/>
        <w:gridCol w:w="962"/>
      </w:tblGrid>
      <w:tr w:rsidR="00992A45" w:rsidRPr="00BD7721" w14:paraId="57FA1EC4" w14:textId="77777777" w:rsidTr="00046423">
        <w:trPr>
          <w:trHeight w:val="57"/>
          <w:tblHeader/>
          <w:jc w:val="right"/>
        </w:trPr>
        <w:tc>
          <w:tcPr>
            <w:tcW w:w="1961" w:type="dxa"/>
            <w:vMerge w:val="restart"/>
            <w:tcBorders>
              <w:top w:val="single" w:sz="4" w:space="0" w:color="auto"/>
              <w:left w:val="nil"/>
              <w:bottom w:val="single" w:sz="12" w:space="0" w:color="auto"/>
              <w:right w:val="nil"/>
            </w:tcBorders>
            <w:vAlign w:val="bottom"/>
            <w:hideMark/>
          </w:tcPr>
          <w:p w14:paraId="47A021E1"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 xml:space="preserve">Government/institution </w:t>
            </w:r>
          </w:p>
        </w:tc>
        <w:tc>
          <w:tcPr>
            <w:tcW w:w="2717" w:type="dxa"/>
            <w:vMerge w:val="restart"/>
            <w:tcBorders>
              <w:top w:val="single" w:sz="4" w:space="0" w:color="auto"/>
              <w:left w:val="nil"/>
              <w:bottom w:val="single" w:sz="12" w:space="0" w:color="auto"/>
              <w:right w:val="nil"/>
            </w:tcBorders>
            <w:vAlign w:val="bottom"/>
            <w:hideMark/>
          </w:tcPr>
          <w:p w14:paraId="65409F82"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Activity</w:t>
            </w:r>
          </w:p>
        </w:tc>
        <w:tc>
          <w:tcPr>
            <w:tcW w:w="1134" w:type="dxa"/>
            <w:vMerge w:val="restart"/>
            <w:tcBorders>
              <w:top w:val="single" w:sz="4" w:space="0" w:color="auto"/>
              <w:left w:val="nil"/>
              <w:bottom w:val="single" w:sz="12" w:space="0" w:color="auto"/>
              <w:right w:val="nil"/>
            </w:tcBorders>
            <w:vAlign w:val="bottom"/>
            <w:hideMark/>
          </w:tcPr>
          <w:p w14:paraId="7B343835"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Type of support</w:t>
            </w:r>
          </w:p>
        </w:tc>
        <w:tc>
          <w:tcPr>
            <w:tcW w:w="4820" w:type="dxa"/>
            <w:gridSpan w:val="5"/>
            <w:tcBorders>
              <w:top w:val="single" w:sz="4" w:space="0" w:color="000000"/>
              <w:left w:val="nil"/>
              <w:bottom w:val="single" w:sz="4" w:space="0" w:color="000000"/>
              <w:right w:val="nil"/>
            </w:tcBorders>
            <w:vAlign w:val="bottom"/>
            <w:hideMark/>
          </w:tcPr>
          <w:p w14:paraId="1D5D3E5F" w14:textId="77777777" w:rsidR="00992A45" w:rsidRPr="00BD7721" w:rsidRDefault="00992A45" w:rsidP="004E48D5">
            <w:pPr>
              <w:pStyle w:val="Normal-pool"/>
              <w:spacing w:before="40" w:after="40"/>
              <w:jc w:val="center"/>
              <w:rPr>
                <w:i/>
                <w:iCs/>
                <w:sz w:val="18"/>
                <w:szCs w:val="18"/>
                <w:lang w:val="en-GB"/>
              </w:rPr>
            </w:pPr>
            <w:r w:rsidRPr="00BD7721">
              <w:rPr>
                <w:i/>
                <w:iCs/>
                <w:sz w:val="18"/>
                <w:szCs w:val="18"/>
                <w:lang w:val="en-GB"/>
              </w:rPr>
              <w:t>Contributions received</w:t>
            </w:r>
          </w:p>
        </w:tc>
        <w:tc>
          <w:tcPr>
            <w:tcW w:w="903" w:type="dxa"/>
            <w:tcBorders>
              <w:top w:val="single" w:sz="4" w:space="0" w:color="000000"/>
              <w:left w:val="nil"/>
              <w:bottom w:val="single" w:sz="4" w:space="0" w:color="000000"/>
              <w:right w:val="single" w:sz="4" w:space="0" w:color="000000"/>
            </w:tcBorders>
            <w:vAlign w:val="bottom"/>
          </w:tcPr>
          <w:p w14:paraId="1D2E7265" w14:textId="77777777" w:rsidR="00992A45" w:rsidRPr="00BD7721" w:rsidRDefault="00992A45" w:rsidP="004E48D5">
            <w:pPr>
              <w:pStyle w:val="Normal-pool"/>
              <w:spacing w:before="40" w:after="40"/>
              <w:jc w:val="center"/>
              <w:rPr>
                <w:i/>
                <w:iCs/>
                <w:sz w:val="18"/>
                <w:szCs w:val="18"/>
                <w:lang w:val="en-GB"/>
              </w:rPr>
            </w:pPr>
          </w:p>
        </w:tc>
        <w:tc>
          <w:tcPr>
            <w:tcW w:w="2893" w:type="dxa"/>
            <w:gridSpan w:val="3"/>
            <w:tcBorders>
              <w:top w:val="single" w:sz="4" w:space="0" w:color="000000"/>
              <w:left w:val="single" w:sz="4" w:space="0" w:color="000000"/>
              <w:bottom w:val="single" w:sz="4" w:space="0" w:color="000000"/>
              <w:right w:val="nil"/>
            </w:tcBorders>
            <w:vAlign w:val="bottom"/>
            <w:hideMark/>
          </w:tcPr>
          <w:p w14:paraId="19E742CB" w14:textId="77777777" w:rsidR="00992A45" w:rsidRPr="00BD7721" w:rsidRDefault="00992A45" w:rsidP="004E48D5">
            <w:pPr>
              <w:pStyle w:val="Normal-pool"/>
              <w:spacing w:before="40" w:after="40"/>
              <w:jc w:val="center"/>
              <w:rPr>
                <w:i/>
                <w:iCs/>
                <w:sz w:val="18"/>
                <w:szCs w:val="18"/>
                <w:lang w:val="en-GB"/>
              </w:rPr>
            </w:pPr>
            <w:r w:rsidRPr="00BD7721">
              <w:rPr>
                <w:i/>
                <w:iCs/>
                <w:sz w:val="18"/>
                <w:szCs w:val="18"/>
                <w:lang w:val="en-GB"/>
              </w:rPr>
              <w:t>Pledges made</w:t>
            </w:r>
          </w:p>
        </w:tc>
      </w:tr>
      <w:tr w:rsidR="00992A45" w:rsidRPr="00BD7721" w14:paraId="36BCBF24" w14:textId="77777777" w:rsidTr="00046423">
        <w:trPr>
          <w:trHeight w:val="57"/>
          <w:tblHeader/>
          <w:jc w:val="right"/>
        </w:trPr>
        <w:tc>
          <w:tcPr>
            <w:tcW w:w="1961" w:type="dxa"/>
            <w:vMerge/>
            <w:tcBorders>
              <w:top w:val="nil"/>
              <w:left w:val="nil"/>
              <w:bottom w:val="single" w:sz="12" w:space="0" w:color="auto"/>
              <w:right w:val="nil"/>
            </w:tcBorders>
            <w:vAlign w:val="center"/>
            <w:hideMark/>
          </w:tcPr>
          <w:p w14:paraId="317B27CF" w14:textId="77777777" w:rsidR="00992A45" w:rsidRPr="00BD7721" w:rsidRDefault="00992A45" w:rsidP="004E48D5">
            <w:pPr>
              <w:rPr>
                <w:i/>
                <w:iCs/>
                <w:sz w:val="18"/>
                <w:szCs w:val="18"/>
              </w:rPr>
            </w:pPr>
          </w:p>
        </w:tc>
        <w:tc>
          <w:tcPr>
            <w:tcW w:w="2717" w:type="dxa"/>
            <w:vMerge/>
            <w:tcBorders>
              <w:top w:val="nil"/>
              <w:left w:val="nil"/>
              <w:bottom w:val="single" w:sz="12" w:space="0" w:color="auto"/>
              <w:right w:val="nil"/>
            </w:tcBorders>
            <w:vAlign w:val="center"/>
            <w:hideMark/>
          </w:tcPr>
          <w:p w14:paraId="5CB30B89" w14:textId="77777777" w:rsidR="00992A45" w:rsidRPr="00BD7721" w:rsidRDefault="00992A45" w:rsidP="004E48D5">
            <w:pPr>
              <w:rPr>
                <w:i/>
                <w:iCs/>
                <w:sz w:val="18"/>
                <w:szCs w:val="18"/>
              </w:rPr>
            </w:pPr>
          </w:p>
        </w:tc>
        <w:tc>
          <w:tcPr>
            <w:tcW w:w="1134" w:type="dxa"/>
            <w:vMerge/>
            <w:tcBorders>
              <w:top w:val="single" w:sz="12" w:space="0" w:color="auto"/>
              <w:left w:val="nil"/>
              <w:bottom w:val="single" w:sz="12" w:space="0" w:color="auto"/>
              <w:right w:val="nil"/>
            </w:tcBorders>
            <w:vAlign w:val="center"/>
            <w:hideMark/>
          </w:tcPr>
          <w:p w14:paraId="5BCE70B7" w14:textId="77777777" w:rsidR="00992A45" w:rsidRPr="00BD7721" w:rsidRDefault="00992A45" w:rsidP="004E48D5">
            <w:pPr>
              <w:rPr>
                <w:i/>
                <w:iCs/>
                <w:sz w:val="18"/>
                <w:szCs w:val="18"/>
              </w:rPr>
            </w:pPr>
          </w:p>
        </w:tc>
        <w:tc>
          <w:tcPr>
            <w:tcW w:w="1032" w:type="dxa"/>
            <w:tcBorders>
              <w:top w:val="single" w:sz="4" w:space="0" w:color="000000"/>
              <w:left w:val="nil"/>
              <w:bottom w:val="single" w:sz="12" w:space="0" w:color="auto"/>
              <w:right w:val="nil"/>
            </w:tcBorders>
            <w:vAlign w:val="bottom"/>
            <w:hideMark/>
          </w:tcPr>
          <w:p w14:paraId="19C7168B" w14:textId="77777777" w:rsidR="00992A45" w:rsidRPr="00BD7721" w:rsidRDefault="00992A45" w:rsidP="00212CBC">
            <w:pPr>
              <w:pStyle w:val="Normal-pool"/>
              <w:spacing w:before="40" w:after="40"/>
              <w:jc w:val="right"/>
              <w:rPr>
                <w:i/>
                <w:iCs/>
                <w:sz w:val="18"/>
                <w:szCs w:val="18"/>
                <w:lang w:val="en-GB"/>
              </w:rPr>
            </w:pPr>
            <w:r w:rsidRPr="00BD7721">
              <w:rPr>
                <w:i/>
                <w:iCs/>
                <w:sz w:val="18"/>
                <w:szCs w:val="18"/>
                <w:lang w:val="en-GB"/>
              </w:rPr>
              <w:t>2018</w:t>
            </w:r>
          </w:p>
        </w:tc>
        <w:tc>
          <w:tcPr>
            <w:tcW w:w="932" w:type="dxa"/>
            <w:tcBorders>
              <w:top w:val="single" w:sz="4" w:space="0" w:color="000000"/>
              <w:left w:val="nil"/>
              <w:bottom w:val="single" w:sz="12" w:space="0" w:color="auto"/>
              <w:right w:val="nil"/>
            </w:tcBorders>
            <w:vAlign w:val="bottom"/>
            <w:hideMark/>
          </w:tcPr>
          <w:p w14:paraId="05B881DB" w14:textId="77777777" w:rsidR="00992A45" w:rsidRPr="00BD7721" w:rsidRDefault="00992A45" w:rsidP="00212CBC">
            <w:pPr>
              <w:pStyle w:val="Normal-pool"/>
              <w:spacing w:before="40" w:after="40"/>
              <w:jc w:val="right"/>
              <w:rPr>
                <w:i/>
                <w:iCs/>
                <w:sz w:val="18"/>
                <w:szCs w:val="18"/>
                <w:lang w:val="en-GB"/>
              </w:rPr>
            </w:pPr>
            <w:r w:rsidRPr="00BD7721">
              <w:rPr>
                <w:i/>
                <w:iCs/>
                <w:sz w:val="18"/>
                <w:szCs w:val="18"/>
                <w:lang w:val="en-GB"/>
              </w:rPr>
              <w:t>2019</w:t>
            </w:r>
          </w:p>
        </w:tc>
        <w:tc>
          <w:tcPr>
            <w:tcW w:w="1013" w:type="dxa"/>
            <w:tcBorders>
              <w:top w:val="single" w:sz="4" w:space="0" w:color="000000"/>
              <w:left w:val="nil"/>
              <w:bottom w:val="single" w:sz="12" w:space="0" w:color="auto"/>
              <w:right w:val="nil"/>
            </w:tcBorders>
            <w:vAlign w:val="bottom"/>
            <w:hideMark/>
          </w:tcPr>
          <w:p w14:paraId="125A5A3F" w14:textId="77777777" w:rsidR="00992A45" w:rsidRPr="00BD7721" w:rsidRDefault="00992A45" w:rsidP="00212CBC">
            <w:pPr>
              <w:pStyle w:val="Normal-pool"/>
              <w:spacing w:before="40" w:after="40"/>
              <w:jc w:val="right"/>
              <w:rPr>
                <w:i/>
                <w:iCs/>
                <w:sz w:val="18"/>
                <w:szCs w:val="18"/>
                <w:lang w:val="en-GB"/>
              </w:rPr>
            </w:pPr>
            <w:r w:rsidRPr="00BD7721">
              <w:rPr>
                <w:i/>
                <w:iCs/>
                <w:sz w:val="18"/>
                <w:szCs w:val="18"/>
                <w:lang w:val="en-GB"/>
              </w:rPr>
              <w:t>2020</w:t>
            </w:r>
          </w:p>
        </w:tc>
        <w:tc>
          <w:tcPr>
            <w:tcW w:w="851" w:type="dxa"/>
            <w:tcBorders>
              <w:top w:val="single" w:sz="4" w:space="0" w:color="000000"/>
              <w:left w:val="nil"/>
              <w:bottom w:val="single" w:sz="12" w:space="0" w:color="auto"/>
              <w:right w:val="nil"/>
            </w:tcBorders>
            <w:vAlign w:val="bottom"/>
            <w:hideMark/>
          </w:tcPr>
          <w:p w14:paraId="2F44D265" w14:textId="77777777" w:rsidR="00992A45" w:rsidRPr="00BD7721" w:rsidRDefault="00992A45" w:rsidP="00212CBC">
            <w:pPr>
              <w:pStyle w:val="Normal-pool"/>
              <w:spacing w:before="40" w:after="40"/>
              <w:jc w:val="right"/>
              <w:rPr>
                <w:i/>
                <w:iCs/>
                <w:sz w:val="18"/>
                <w:szCs w:val="18"/>
                <w:lang w:val="en-GB"/>
              </w:rPr>
            </w:pPr>
            <w:r w:rsidRPr="00BD7721">
              <w:rPr>
                <w:i/>
                <w:iCs/>
                <w:sz w:val="18"/>
                <w:szCs w:val="18"/>
                <w:lang w:val="en-GB"/>
              </w:rPr>
              <w:t>2021</w:t>
            </w:r>
          </w:p>
        </w:tc>
        <w:tc>
          <w:tcPr>
            <w:tcW w:w="992" w:type="dxa"/>
            <w:tcBorders>
              <w:top w:val="single" w:sz="4" w:space="0" w:color="000000"/>
              <w:left w:val="nil"/>
              <w:bottom w:val="single" w:sz="12" w:space="0" w:color="auto"/>
              <w:right w:val="nil"/>
            </w:tcBorders>
            <w:vAlign w:val="bottom"/>
            <w:hideMark/>
          </w:tcPr>
          <w:p w14:paraId="7E48264F" w14:textId="77777777" w:rsidR="00992A45" w:rsidRPr="00BD7721" w:rsidRDefault="00992A45" w:rsidP="00212CBC">
            <w:pPr>
              <w:pStyle w:val="Normal-pool"/>
              <w:spacing w:before="40" w:after="40"/>
              <w:jc w:val="right"/>
              <w:rPr>
                <w:i/>
                <w:iCs/>
                <w:sz w:val="18"/>
                <w:szCs w:val="18"/>
                <w:lang w:val="en-GB"/>
              </w:rPr>
            </w:pPr>
            <w:r w:rsidRPr="00BD7721">
              <w:rPr>
                <w:i/>
                <w:iCs/>
                <w:sz w:val="18"/>
                <w:szCs w:val="18"/>
                <w:lang w:val="en-GB"/>
              </w:rPr>
              <w:t>2022</w:t>
            </w:r>
          </w:p>
        </w:tc>
        <w:tc>
          <w:tcPr>
            <w:tcW w:w="903" w:type="dxa"/>
            <w:tcBorders>
              <w:top w:val="single" w:sz="4" w:space="0" w:color="000000"/>
              <w:left w:val="nil"/>
              <w:bottom w:val="single" w:sz="12" w:space="0" w:color="auto"/>
              <w:right w:val="single" w:sz="4" w:space="0" w:color="000000"/>
            </w:tcBorders>
            <w:vAlign w:val="bottom"/>
            <w:hideMark/>
          </w:tcPr>
          <w:p w14:paraId="30F298B1" w14:textId="77777777" w:rsidR="00992A45" w:rsidRPr="00BD7721" w:rsidRDefault="00992A45" w:rsidP="00212CBC">
            <w:pPr>
              <w:pStyle w:val="Normal-pool"/>
              <w:spacing w:before="40" w:after="40"/>
              <w:jc w:val="right"/>
              <w:rPr>
                <w:i/>
                <w:iCs/>
                <w:sz w:val="18"/>
                <w:szCs w:val="18"/>
                <w:lang w:val="en-GB"/>
              </w:rPr>
            </w:pPr>
            <w:r w:rsidRPr="00BD7721">
              <w:rPr>
                <w:i/>
                <w:iCs/>
                <w:sz w:val="18"/>
                <w:szCs w:val="18"/>
                <w:lang w:val="en-GB"/>
              </w:rPr>
              <w:t>2023</w:t>
            </w:r>
          </w:p>
        </w:tc>
        <w:tc>
          <w:tcPr>
            <w:tcW w:w="969" w:type="dxa"/>
            <w:tcBorders>
              <w:top w:val="single" w:sz="4" w:space="0" w:color="000000"/>
              <w:left w:val="single" w:sz="4" w:space="0" w:color="000000"/>
              <w:bottom w:val="single" w:sz="12" w:space="0" w:color="auto"/>
              <w:right w:val="nil"/>
            </w:tcBorders>
            <w:vAlign w:val="bottom"/>
            <w:hideMark/>
          </w:tcPr>
          <w:p w14:paraId="65D878AB" w14:textId="77777777" w:rsidR="00992A45" w:rsidRPr="00BD7721" w:rsidRDefault="00992A45" w:rsidP="00212CBC">
            <w:pPr>
              <w:pStyle w:val="Normal-pool"/>
              <w:spacing w:before="40" w:after="40"/>
              <w:jc w:val="right"/>
              <w:rPr>
                <w:i/>
                <w:iCs/>
                <w:sz w:val="18"/>
                <w:szCs w:val="18"/>
                <w:lang w:val="en-GB"/>
              </w:rPr>
            </w:pPr>
            <w:r w:rsidRPr="00BD7721">
              <w:rPr>
                <w:i/>
                <w:iCs/>
                <w:sz w:val="18"/>
                <w:szCs w:val="18"/>
                <w:lang w:val="en-GB"/>
              </w:rPr>
              <w:t>2023</w:t>
            </w:r>
          </w:p>
        </w:tc>
        <w:tc>
          <w:tcPr>
            <w:tcW w:w="962" w:type="dxa"/>
            <w:tcBorders>
              <w:top w:val="single" w:sz="4" w:space="0" w:color="000000"/>
              <w:left w:val="nil"/>
              <w:bottom w:val="single" w:sz="12" w:space="0" w:color="auto"/>
              <w:right w:val="nil"/>
            </w:tcBorders>
            <w:vAlign w:val="bottom"/>
            <w:hideMark/>
          </w:tcPr>
          <w:p w14:paraId="3C9A2511" w14:textId="77777777" w:rsidR="00992A45" w:rsidRPr="00BD7721" w:rsidRDefault="00992A45" w:rsidP="00212CBC">
            <w:pPr>
              <w:pStyle w:val="Normal-pool"/>
              <w:spacing w:before="40" w:after="40"/>
              <w:jc w:val="right"/>
              <w:rPr>
                <w:i/>
                <w:iCs/>
                <w:sz w:val="18"/>
                <w:szCs w:val="18"/>
                <w:lang w:val="en-GB"/>
              </w:rPr>
            </w:pPr>
            <w:r w:rsidRPr="00BD7721">
              <w:rPr>
                <w:i/>
                <w:iCs/>
                <w:sz w:val="18"/>
                <w:szCs w:val="18"/>
                <w:lang w:val="en-GB"/>
              </w:rPr>
              <w:t>2024</w:t>
            </w:r>
          </w:p>
        </w:tc>
        <w:tc>
          <w:tcPr>
            <w:tcW w:w="962" w:type="dxa"/>
            <w:tcBorders>
              <w:top w:val="single" w:sz="4" w:space="0" w:color="000000"/>
              <w:left w:val="nil"/>
              <w:bottom w:val="single" w:sz="12" w:space="0" w:color="auto"/>
              <w:right w:val="nil"/>
            </w:tcBorders>
            <w:vAlign w:val="bottom"/>
            <w:hideMark/>
          </w:tcPr>
          <w:p w14:paraId="008CDB11" w14:textId="77777777" w:rsidR="00992A45" w:rsidRPr="00BD7721" w:rsidRDefault="00992A45" w:rsidP="00212CBC">
            <w:pPr>
              <w:pStyle w:val="Normal-pool"/>
              <w:spacing w:before="40" w:after="40"/>
              <w:jc w:val="right"/>
              <w:rPr>
                <w:i/>
                <w:iCs/>
                <w:sz w:val="18"/>
                <w:szCs w:val="18"/>
                <w:lang w:val="en-GB"/>
              </w:rPr>
            </w:pPr>
            <w:r w:rsidRPr="00BD7721">
              <w:rPr>
                <w:i/>
                <w:iCs/>
                <w:sz w:val="18"/>
                <w:szCs w:val="18"/>
                <w:lang w:val="en-GB"/>
              </w:rPr>
              <w:t>Total pledges</w:t>
            </w:r>
          </w:p>
        </w:tc>
      </w:tr>
      <w:tr w:rsidR="00992A45" w:rsidRPr="00BD7721" w14:paraId="77652FFC" w14:textId="77777777" w:rsidTr="004E48D5">
        <w:trPr>
          <w:trHeight w:val="57"/>
          <w:jc w:val="right"/>
        </w:trPr>
        <w:tc>
          <w:tcPr>
            <w:tcW w:w="7776" w:type="dxa"/>
            <w:gridSpan w:val="5"/>
            <w:tcBorders>
              <w:top w:val="single" w:sz="12" w:space="0" w:color="auto"/>
              <w:left w:val="nil"/>
              <w:bottom w:val="nil"/>
              <w:right w:val="nil"/>
            </w:tcBorders>
            <w:hideMark/>
          </w:tcPr>
          <w:p w14:paraId="01FDA91E" w14:textId="77777777" w:rsidR="00992A45" w:rsidRPr="00BD7721" w:rsidRDefault="00992A45" w:rsidP="004E48D5">
            <w:pPr>
              <w:pStyle w:val="Normal-pool"/>
              <w:tabs>
                <w:tab w:val="left" w:pos="269"/>
              </w:tabs>
              <w:spacing w:before="40" w:after="40"/>
              <w:rPr>
                <w:b/>
                <w:bCs/>
                <w:sz w:val="18"/>
                <w:szCs w:val="18"/>
                <w:lang w:val="en-GB"/>
              </w:rPr>
            </w:pPr>
            <w:r w:rsidRPr="00BD7721">
              <w:rPr>
                <w:b/>
                <w:bCs/>
                <w:sz w:val="18"/>
                <w:szCs w:val="18"/>
                <w:lang w:val="en-GB"/>
              </w:rPr>
              <w:t>1.</w:t>
            </w:r>
            <w:r w:rsidRPr="00BD7721">
              <w:rPr>
                <w:b/>
                <w:bCs/>
                <w:sz w:val="18"/>
                <w:szCs w:val="18"/>
                <w:lang w:val="en-GB"/>
              </w:rPr>
              <w:tab/>
              <w:t>Earmarked contributions received in cash in support of the approved work programme</w:t>
            </w:r>
          </w:p>
        </w:tc>
        <w:tc>
          <w:tcPr>
            <w:tcW w:w="1013" w:type="dxa"/>
            <w:tcBorders>
              <w:top w:val="single" w:sz="12" w:space="0" w:color="auto"/>
              <w:left w:val="nil"/>
              <w:bottom w:val="nil"/>
              <w:right w:val="nil"/>
            </w:tcBorders>
            <w:hideMark/>
          </w:tcPr>
          <w:p w14:paraId="7B4D8517" w14:textId="19002E4B" w:rsidR="00992A45" w:rsidRPr="00BD7721" w:rsidRDefault="008A335A" w:rsidP="004E48D5">
            <w:pPr>
              <w:pStyle w:val="Normal-pool"/>
              <w:spacing w:before="40" w:after="40"/>
              <w:rPr>
                <w:sz w:val="18"/>
                <w:szCs w:val="18"/>
                <w:lang w:val="en-GB"/>
              </w:rPr>
            </w:pPr>
            <w:r w:rsidRPr="00BD7721">
              <w:rPr>
                <w:sz w:val="18"/>
                <w:szCs w:val="18"/>
                <w:lang w:val="en-GB"/>
              </w:rPr>
              <w:t xml:space="preserve"> </w:t>
            </w:r>
          </w:p>
        </w:tc>
        <w:tc>
          <w:tcPr>
            <w:tcW w:w="851" w:type="dxa"/>
            <w:tcBorders>
              <w:top w:val="single" w:sz="12" w:space="0" w:color="auto"/>
              <w:left w:val="nil"/>
              <w:bottom w:val="nil"/>
              <w:right w:val="nil"/>
            </w:tcBorders>
          </w:tcPr>
          <w:p w14:paraId="67F7AF1A" w14:textId="77777777" w:rsidR="00992A45" w:rsidRPr="00BD7721" w:rsidRDefault="00992A45" w:rsidP="004E48D5">
            <w:pPr>
              <w:pStyle w:val="Normal-pool"/>
              <w:spacing w:before="40" w:after="40"/>
              <w:rPr>
                <w:sz w:val="18"/>
                <w:szCs w:val="18"/>
                <w:lang w:val="en-GB"/>
              </w:rPr>
            </w:pPr>
          </w:p>
        </w:tc>
        <w:tc>
          <w:tcPr>
            <w:tcW w:w="992" w:type="dxa"/>
            <w:tcBorders>
              <w:top w:val="single" w:sz="12" w:space="0" w:color="auto"/>
              <w:left w:val="nil"/>
              <w:bottom w:val="nil"/>
              <w:right w:val="nil"/>
            </w:tcBorders>
          </w:tcPr>
          <w:p w14:paraId="24057102" w14:textId="77777777" w:rsidR="00992A45" w:rsidRPr="00BD7721" w:rsidRDefault="00992A45" w:rsidP="004E48D5">
            <w:pPr>
              <w:pStyle w:val="Normal-pool"/>
              <w:spacing w:before="40" w:after="40"/>
              <w:rPr>
                <w:sz w:val="18"/>
                <w:szCs w:val="18"/>
                <w:lang w:val="en-GB"/>
              </w:rPr>
            </w:pPr>
          </w:p>
        </w:tc>
        <w:tc>
          <w:tcPr>
            <w:tcW w:w="903" w:type="dxa"/>
            <w:tcBorders>
              <w:top w:val="single" w:sz="12" w:space="0" w:color="auto"/>
              <w:left w:val="nil"/>
              <w:bottom w:val="nil"/>
              <w:right w:val="single" w:sz="4" w:space="0" w:color="000000"/>
            </w:tcBorders>
          </w:tcPr>
          <w:p w14:paraId="7FCD172A" w14:textId="77777777" w:rsidR="00992A45" w:rsidRPr="00BD7721" w:rsidRDefault="00992A45" w:rsidP="004E48D5">
            <w:pPr>
              <w:pStyle w:val="Normal-pool"/>
              <w:spacing w:before="40" w:after="40"/>
              <w:rPr>
                <w:sz w:val="18"/>
                <w:szCs w:val="18"/>
                <w:lang w:val="en-GB"/>
              </w:rPr>
            </w:pPr>
          </w:p>
        </w:tc>
        <w:tc>
          <w:tcPr>
            <w:tcW w:w="969" w:type="dxa"/>
            <w:tcBorders>
              <w:top w:val="single" w:sz="12" w:space="0" w:color="auto"/>
              <w:left w:val="single" w:sz="4" w:space="0" w:color="000000"/>
              <w:bottom w:val="nil"/>
              <w:right w:val="nil"/>
            </w:tcBorders>
            <w:hideMark/>
          </w:tcPr>
          <w:p w14:paraId="79FEA45C" w14:textId="174F84F7" w:rsidR="00992A45" w:rsidRPr="00BD7721" w:rsidRDefault="008A335A" w:rsidP="004E48D5">
            <w:pPr>
              <w:pStyle w:val="Normal-pool"/>
              <w:spacing w:before="40" w:after="40"/>
              <w:rPr>
                <w:sz w:val="18"/>
                <w:szCs w:val="18"/>
                <w:lang w:val="en-GB"/>
              </w:rPr>
            </w:pPr>
            <w:r w:rsidRPr="00BD7721">
              <w:rPr>
                <w:sz w:val="18"/>
                <w:szCs w:val="18"/>
                <w:lang w:val="en-GB"/>
              </w:rPr>
              <w:t xml:space="preserve"> </w:t>
            </w:r>
          </w:p>
        </w:tc>
        <w:tc>
          <w:tcPr>
            <w:tcW w:w="962" w:type="dxa"/>
            <w:tcBorders>
              <w:top w:val="single" w:sz="12" w:space="0" w:color="auto"/>
              <w:left w:val="nil"/>
              <w:bottom w:val="nil"/>
              <w:right w:val="nil"/>
            </w:tcBorders>
            <w:hideMark/>
          </w:tcPr>
          <w:p w14:paraId="38F4523C" w14:textId="5DC04470" w:rsidR="00992A45" w:rsidRPr="00BD7721" w:rsidRDefault="008A335A" w:rsidP="004E48D5">
            <w:pPr>
              <w:pStyle w:val="Normal-pool"/>
              <w:spacing w:before="40" w:after="40"/>
              <w:rPr>
                <w:sz w:val="18"/>
                <w:szCs w:val="18"/>
                <w:lang w:val="en-GB"/>
              </w:rPr>
            </w:pPr>
            <w:r w:rsidRPr="00BD7721">
              <w:rPr>
                <w:sz w:val="18"/>
                <w:szCs w:val="18"/>
                <w:lang w:val="en-GB"/>
              </w:rPr>
              <w:t xml:space="preserve"> </w:t>
            </w:r>
          </w:p>
        </w:tc>
        <w:tc>
          <w:tcPr>
            <w:tcW w:w="962" w:type="dxa"/>
            <w:tcBorders>
              <w:top w:val="single" w:sz="12" w:space="0" w:color="auto"/>
              <w:left w:val="nil"/>
              <w:bottom w:val="nil"/>
              <w:right w:val="nil"/>
            </w:tcBorders>
            <w:hideMark/>
          </w:tcPr>
          <w:p w14:paraId="1003A888" w14:textId="27F469DE" w:rsidR="00992A45" w:rsidRPr="00BD7721" w:rsidRDefault="008A335A" w:rsidP="004E48D5">
            <w:pPr>
              <w:pStyle w:val="Normal-pool"/>
              <w:spacing w:before="40" w:after="40"/>
              <w:rPr>
                <w:sz w:val="18"/>
                <w:szCs w:val="18"/>
                <w:lang w:val="en-GB"/>
              </w:rPr>
            </w:pPr>
            <w:r w:rsidRPr="00BD7721">
              <w:rPr>
                <w:sz w:val="18"/>
                <w:szCs w:val="18"/>
                <w:lang w:val="en-GB"/>
              </w:rPr>
              <w:t xml:space="preserve"> </w:t>
            </w:r>
          </w:p>
        </w:tc>
      </w:tr>
      <w:tr w:rsidR="00992A45" w:rsidRPr="00BD7721" w14:paraId="45968810" w14:textId="77777777" w:rsidTr="004E48D5">
        <w:trPr>
          <w:trHeight w:val="57"/>
          <w:jc w:val="right"/>
        </w:trPr>
        <w:tc>
          <w:tcPr>
            <w:tcW w:w="8789" w:type="dxa"/>
            <w:gridSpan w:val="6"/>
            <w:tcBorders>
              <w:top w:val="nil"/>
              <w:left w:val="nil"/>
              <w:bottom w:val="nil"/>
              <w:right w:val="nil"/>
            </w:tcBorders>
            <w:hideMark/>
          </w:tcPr>
          <w:p w14:paraId="7FEEDACB" w14:textId="77777777" w:rsidR="00992A45" w:rsidRPr="00BD7721" w:rsidRDefault="00992A45" w:rsidP="004E48D5">
            <w:pPr>
              <w:pStyle w:val="Normal-pool"/>
              <w:tabs>
                <w:tab w:val="left" w:pos="269"/>
              </w:tabs>
              <w:spacing w:before="40" w:after="40"/>
              <w:rPr>
                <w:b/>
                <w:bCs/>
                <w:sz w:val="18"/>
                <w:szCs w:val="18"/>
                <w:lang w:val="en-GB"/>
              </w:rPr>
            </w:pPr>
            <w:r w:rsidRPr="00BD7721">
              <w:rPr>
                <w:b/>
                <w:bCs/>
                <w:sz w:val="18"/>
                <w:szCs w:val="18"/>
                <w:lang w:val="en-GB"/>
              </w:rPr>
              <w:t>1.1</w:t>
            </w:r>
            <w:r w:rsidRPr="00BD7721">
              <w:rPr>
                <w:b/>
                <w:bCs/>
                <w:sz w:val="18"/>
                <w:szCs w:val="18"/>
                <w:lang w:val="en-GB"/>
              </w:rPr>
              <w:tab/>
              <w:t>Earmarked contributions received in cash in support of the approved work programme from Governments</w:t>
            </w:r>
          </w:p>
        </w:tc>
        <w:tc>
          <w:tcPr>
            <w:tcW w:w="851" w:type="dxa"/>
            <w:tcBorders>
              <w:top w:val="nil"/>
              <w:left w:val="nil"/>
              <w:bottom w:val="nil"/>
              <w:right w:val="nil"/>
            </w:tcBorders>
          </w:tcPr>
          <w:p w14:paraId="094C8E84" w14:textId="77777777" w:rsidR="00992A45" w:rsidRPr="00BD7721" w:rsidRDefault="00992A45" w:rsidP="004E48D5">
            <w:pPr>
              <w:pStyle w:val="Normal-pool"/>
              <w:spacing w:before="40" w:after="40"/>
              <w:rPr>
                <w:sz w:val="18"/>
                <w:szCs w:val="18"/>
                <w:lang w:val="en-GB"/>
              </w:rPr>
            </w:pPr>
          </w:p>
        </w:tc>
        <w:tc>
          <w:tcPr>
            <w:tcW w:w="992" w:type="dxa"/>
            <w:tcBorders>
              <w:top w:val="nil"/>
              <w:left w:val="nil"/>
              <w:bottom w:val="nil"/>
              <w:right w:val="nil"/>
            </w:tcBorders>
          </w:tcPr>
          <w:p w14:paraId="59041FAA" w14:textId="77777777" w:rsidR="00992A45" w:rsidRPr="00BD7721" w:rsidRDefault="00992A45" w:rsidP="004E48D5">
            <w:pPr>
              <w:pStyle w:val="Normal-pool"/>
              <w:spacing w:before="40" w:after="40"/>
              <w:rPr>
                <w:sz w:val="18"/>
                <w:szCs w:val="18"/>
                <w:lang w:val="en-GB"/>
              </w:rPr>
            </w:pPr>
          </w:p>
        </w:tc>
        <w:tc>
          <w:tcPr>
            <w:tcW w:w="903" w:type="dxa"/>
            <w:tcBorders>
              <w:top w:val="nil"/>
              <w:left w:val="nil"/>
              <w:bottom w:val="nil"/>
              <w:right w:val="single" w:sz="4" w:space="0" w:color="000000"/>
            </w:tcBorders>
          </w:tcPr>
          <w:p w14:paraId="0E3FA210" w14:textId="77777777" w:rsidR="00992A45" w:rsidRPr="00BD7721" w:rsidRDefault="00992A45" w:rsidP="004E48D5">
            <w:pPr>
              <w:pStyle w:val="Normal-pool"/>
              <w:spacing w:before="40" w:after="40"/>
              <w:rPr>
                <w:sz w:val="18"/>
                <w:szCs w:val="18"/>
                <w:lang w:val="en-GB"/>
              </w:rPr>
            </w:pPr>
          </w:p>
        </w:tc>
        <w:tc>
          <w:tcPr>
            <w:tcW w:w="969" w:type="dxa"/>
            <w:tcBorders>
              <w:top w:val="nil"/>
              <w:left w:val="single" w:sz="4" w:space="0" w:color="000000"/>
              <w:bottom w:val="nil"/>
              <w:right w:val="nil"/>
            </w:tcBorders>
            <w:hideMark/>
          </w:tcPr>
          <w:p w14:paraId="3A390978" w14:textId="790AF7BD" w:rsidR="00992A45" w:rsidRPr="00BD7721" w:rsidRDefault="008A335A" w:rsidP="004E48D5">
            <w:pPr>
              <w:pStyle w:val="Normal-pool"/>
              <w:spacing w:before="40" w:after="40"/>
              <w:rPr>
                <w:sz w:val="18"/>
                <w:szCs w:val="18"/>
                <w:lang w:val="en-GB"/>
              </w:rPr>
            </w:pPr>
            <w:r w:rsidRPr="00BD7721">
              <w:rPr>
                <w:sz w:val="18"/>
                <w:szCs w:val="18"/>
                <w:lang w:val="en-GB"/>
              </w:rPr>
              <w:t xml:space="preserve"> </w:t>
            </w:r>
          </w:p>
        </w:tc>
        <w:tc>
          <w:tcPr>
            <w:tcW w:w="962" w:type="dxa"/>
            <w:tcBorders>
              <w:top w:val="nil"/>
              <w:left w:val="nil"/>
              <w:bottom w:val="nil"/>
              <w:right w:val="nil"/>
            </w:tcBorders>
            <w:hideMark/>
          </w:tcPr>
          <w:p w14:paraId="392D0946" w14:textId="0265964D" w:rsidR="00992A45" w:rsidRPr="00BD7721" w:rsidRDefault="008A335A" w:rsidP="004E48D5">
            <w:pPr>
              <w:pStyle w:val="Normal-pool"/>
              <w:spacing w:before="40" w:after="40"/>
              <w:rPr>
                <w:sz w:val="18"/>
                <w:szCs w:val="18"/>
                <w:lang w:val="en-GB"/>
              </w:rPr>
            </w:pPr>
            <w:r w:rsidRPr="00BD7721">
              <w:rPr>
                <w:sz w:val="18"/>
                <w:szCs w:val="18"/>
                <w:lang w:val="en-GB"/>
              </w:rPr>
              <w:t xml:space="preserve"> </w:t>
            </w:r>
          </w:p>
        </w:tc>
        <w:tc>
          <w:tcPr>
            <w:tcW w:w="962" w:type="dxa"/>
            <w:tcBorders>
              <w:top w:val="nil"/>
              <w:left w:val="nil"/>
              <w:bottom w:val="nil"/>
              <w:right w:val="nil"/>
            </w:tcBorders>
            <w:hideMark/>
          </w:tcPr>
          <w:p w14:paraId="0FC9A39D" w14:textId="5624EBD7" w:rsidR="00992A45" w:rsidRPr="00BD7721" w:rsidRDefault="008A335A" w:rsidP="004E48D5">
            <w:pPr>
              <w:pStyle w:val="Normal-pool"/>
              <w:spacing w:before="40" w:after="40"/>
              <w:rPr>
                <w:sz w:val="18"/>
                <w:szCs w:val="18"/>
                <w:lang w:val="en-GB"/>
              </w:rPr>
            </w:pPr>
            <w:r w:rsidRPr="00BD7721">
              <w:rPr>
                <w:sz w:val="18"/>
                <w:szCs w:val="18"/>
                <w:lang w:val="en-GB"/>
              </w:rPr>
              <w:t xml:space="preserve"> </w:t>
            </w:r>
          </w:p>
        </w:tc>
      </w:tr>
      <w:tr w:rsidR="00992A45" w:rsidRPr="00BD7721" w14:paraId="29C13A13" w14:textId="77777777" w:rsidTr="008A335A">
        <w:trPr>
          <w:trHeight w:val="57"/>
          <w:jc w:val="right"/>
        </w:trPr>
        <w:tc>
          <w:tcPr>
            <w:tcW w:w="1961" w:type="dxa"/>
            <w:tcBorders>
              <w:top w:val="nil"/>
              <w:left w:val="nil"/>
              <w:bottom w:val="nil"/>
              <w:right w:val="nil"/>
            </w:tcBorders>
            <w:hideMark/>
          </w:tcPr>
          <w:p w14:paraId="3AEEB956" w14:textId="77777777" w:rsidR="00992A45" w:rsidRPr="00BD7721" w:rsidRDefault="00992A45" w:rsidP="004E48D5">
            <w:pPr>
              <w:pStyle w:val="Normal-pool"/>
              <w:spacing w:before="40" w:after="40"/>
              <w:rPr>
                <w:b/>
                <w:sz w:val="18"/>
                <w:szCs w:val="18"/>
                <w:lang w:val="en-GB"/>
              </w:rPr>
            </w:pPr>
            <w:r w:rsidRPr="00BD7721">
              <w:rPr>
                <w:sz w:val="18"/>
                <w:szCs w:val="18"/>
                <w:lang w:val="en-GB"/>
              </w:rPr>
              <w:t>Canada</w:t>
            </w:r>
          </w:p>
        </w:tc>
        <w:tc>
          <w:tcPr>
            <w:tcW w:w="2717" w:type="dxa"/>
            <w:tcBorders>
              <w:top w:val="nil"/>
              <w:left w:val="nil"/>
              <w:bottom w:val="nil"/>
              <w:right w:val="nil"/>
            </w:tcBorders>
            <w:hideMark/>
          </w:tcPr>
          <w:p w14:paraId="7348E4D1"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the work programme</w:t>
            </w:r>
          </w:p>
        </w:tc>
        <w:tc>
          <w:tcPr>
            <w:tcW w:w="1134" w:type="dxa"/>
            <w:tcBorders>
              <w:top w:val="nil"/>
              <w:left w:val="nil"/>
              <w:bottom w:val="nil"/>
              <w:right w:val="nil"/>
            </w:tcBorders>
            <w:hideMark/>
          </w:tcPr>
          <w:p w14:paraId="4E7F1831"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deliverables</w:t>
            </w:r>
          </w:p>
        </w:tc>
        <w:tc>
          <w:tcPr>
            <w:tcW w:w="1032" w:type="dxa"/>
            <w:tcBorders>
              <w:top w:val="nil"/>
              <w:left w:val="nil"/>
              <w:bottom w:val="nil"/>
              <w:right w:val="nil"/>
            </w:tcBorders>
            <w:vAlign w:val="bottom"/>
            <w:hideMark/>
          </w:tcPr>
          <w:p w14:paraId="7CCFE9C9"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25 583</w:t>
            </w:r>
          </w:p>
        </w:tc>
        <w:tc>
          <w:tcPr>
            <w:tcW w:w="932" w:type="dxa"/>
            <w:tcBorders>
              <w:top w:val="nil"/>
              <w:left w:val="nil"/>
              <w:bottom w:val="nil"/>
              <w:right w:val="nil"/>
            </w:tcBorders>
            <w:vAlign w:val="bottom"/>
            <w:hideMark/>
          </w:tcPr>
          <w:p w14:paraId="4F48C9FE"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30 312</w:t>
            </w:r>
          </w:p>
        </w:tc>
        <w:tc>
          <w:tcPr>
            <w:tcW w:w="1013" w:type="dxa"/>
            <w:tcBorders>
              <w:top w:val="nil"/>
              <w:left w:val="nil"/>
              <w:bottom w:val="nil"/>
              <w:right w:val="nil"/>
            </w:tcBorders>
            <w:vAlign w:val="bottom"/>
            <w:hideMark/>
          </w:tcPr>
          <w:p w14:paraId="3679E66C"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31 260</w:t>
            </w:r>
          </w:p>
        </w:tc>
        <w:tc>
          <w:tcPr>
            <w:tcW w:w="851" w:type="dxa"/>
            <w:tcBorders>
              <w:top w:val="nil"/>
              <w:left w:val="nil"/>
              <w:bottom w:val="nil"/>
              <w:right w:val="nil"/>
            </w:tcBorders>
            <w:vAlign w:val="bottom"/>
            <w:hideMark/>
          </w:tcPr>
          <w:p w14:paraId="7D898C35"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31 216</w:t>
            </w:r>
          </w:p>
        </w:tc>
        <w:tc>
          <w:tcPr>
            <w:tcW w:w="992" w:type="dxa"/>
            <w:tcBorders>
              <w:top w:val="nil"/>
              <w:left w:val="nil"/>
              <w:bottom w:val="nil"/>
              <w:right w:val="nil"/>
            </w:tcBorders>
            <w:vAlign w:val="bottom"/>
            <w:hideMark/>
          </w:tcPr>
          <w:p w14:paraId="20D4B854"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31 119</w:t>
            </w:r>
          </w:p>
        </w:tc>
        <w:tc>
          <w:tcPr>
            <w:tcW w:w="903" w:type="dxa"/>
            <w:tcBorders>
              <w:top w:val="nil"/>
              <w:left w:val="nil"/>
              <w:bottom w:val="nil"/>
              <w:right w:val="single" w:sz="4" w:space="0" w:color="000000"/>
            </w:tcBorders>
            <w:vAlign w:val="bottom"/>
            <w:hideMark/>
          </w:tcPr>
          <w:p w14:paraId="1BB037B9"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29 577</w:t>
            </w:r>
          </w:p>
        </w:tc>
        <w:tc>
          <w:tcPr>
            <w:tcW w:w="969" w:type="dxa"/>
            <w:tcBorders>
              <w:top w:val="nil"/>
              <w:left w:val="single" w:sz="4" w:space="0" w:color="000000"/>
              <w:bottom w:val="nil"/>
              <w:right w:val="nil"/>
            </w:tcBorders>
            <w:vAlign w:val="bottom"/>
          </w:tcPr>
          <w:p w14:paraId="52567971" w14:textId="77777777" w:rsidR="00992A45" w:rsidRPr="00BD7721" w:rsidRDefault="00992A45" w:rsidP="004E48D5">
            <w:pPr>
              <w:pStyle w:val="Normal-pool"/>
              <w:spacing w:before="40" w:after="40"/>
              <w:jc w:val="right"/>
              <w:rPr>
                <w:b/>
                <w:sz w:val="18"/>
                <w:szCs w:val="18"/>
                <w:lang w:val="en-GB"/>
              </w:rPr>
            </w:pPr>
          </w:p>
        </w:tc>
        <w:tc>
          <w:tcPr>
            <w:tcW w:w="962" w:type="dxa"/>
            <w:tcBorders>
              <w:top w:val="nil"/>
              <w:left w:val="nil"/>
              <w:bottom w:val="nil"/>
              <w:right w:val="nil"/>
            </w:tcBorders>
            <w:vAlign w:val="bottom"/>
            <w:hideMark/>
          </w:tcPr>
          <w:p w14:paraId="5A7DB798"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31 397</w:t>
            </w:r>
          </w:p>
        </w:tc>
        <w:tc>
          <w:tcPr>
            <w:tcW w:w="962" w:type="dxa"/>
            <w:tcBorders>
              <w:top w:val="nil"/>
              <w:left w:val="nil"/>
              <w:bottom w:val="nil"/>
              <w:right w:val="nil"/>
            </w:tcBorders>
            <w:vAlign w:val="bottom"/>
            <w:hideMark/>
          </w:tcPr>
          <w:p w14:paraId="23F9305E"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31 397</w:t>
            </w:r>
          </w:p>
        </w:tc>
      </w:tr>
      <w:tr w:rsidR="00992A45" w:rsidRPr="00BD7721" w14:paraId="162710BF" w14:textId="77777777" w:rsidTr="008A335A">
        <w:trPr>
          <w:trHeight w:val="57"/>
          <w:jc w:val="right"/>
        </w:trPr>
        <w:tc>
          <w:tcPr>
            <w:tcW w:w="1961" w:type="dxa"/>
            <w:tcBorders>
              <w:top w:val="nil"/>
              <w:left w:val="nil"/>
              <w:bottom w:val="nil"/>
              <w:right w:val="nil"/>
            </w:tcBorders>
            <w:hideMark/>
          </w:tcPr>
          <w:p w14:paraId="74DDC005" w14:textId="77777777" w:rsidR="00992A45" w:rsidRPr="00BD7721" w:rsidRDefault="00992A45" w:rsidP="004E48D5">
            <w:pPr>
              <w:pStyle w:val="Normal-pool"/>
              <w:spacing w:before="40" w:after="40"/>
              <w:rPr>
                <w:b/>
                <w:sz w:val="18"/>
                <w:szCs w:val="18"/>
                <w:lang w:val="en-GB"/>
              </w:rPr>
            </w:pPr>
            <w:r w:rsidRPr="00BD7721">
              <w:rPr>
                <w:sz w:val="18"/>
                <w:szCs w:val="18"/>
                <w:lang w:val="en-GB"/>
              </w:rPr>
              <w:t>Finland</w:t>
            </w:r>
          </w:p>
        </w:tc>
        <w:tc>
          <w:tcPr>
            <w:tcW w:w="2717" w:type="dxa"/>
            <w:tcBorders>
              <w:top w:val="nil"/>
              <w:left w:val="nil"/>
              <w:bottom w:val="nil"/>
              <w:right w:val="nil"/>
            </w:tcBorders>
            <w:hideMark/>
          </w:tcPr>
          <w:p w14:paraId="7A1C66D7"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the work programme and for participants in meetings of IPBES bodies</w:t>
            </w:r>
          </w:p>
        </w:tc>
        <w:tc>
          <w:tcPr>
            <w:tcW w:w="1134" w:type="dxa"/>
            <w:tcBorders>
              <w:top w:val="nil"/>
              <w:left w:val="nil"/>
              <w:bottom w:val="nil"/>
              <w:right w:val="nil"/>
            </w:tcBorders>
            <w:hideMark/>
          </w:tcPr>
          <w:p w14:paraId="2EA23D05"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deliverables</w:t>
            </w:r>
          </w:p>
        </w:tc>
        <w:tc>
          <w:tcPr>
            <w:tcW w:w="1032" w:type="dxa"/>
            <w:tcBorders>
              <w:top w:val="nil"/>
              <w:left w:val="nil"/>
              <w:bottom w:val="nil"/>
              <w:right w:val="nil"/>
            </w:tcBorders>
            <w:vAlign w:val="bottom"/>
            <w:hideMark/>
          </w:tcPr>
          <w:p w14:paraId="210BA67C" w14:textId="66B3ED03"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32" w:type="dxa"/>
            <w:tcBorders>
              <w:top w:val="nil"/>
              <w:left w:val="nil"/>
              <w:bottom w:val="nil"/>
              <w:right w:val="nil"/>
            </w:tcBorders>
            <w:vAlign w:val="bottom"/>
            <w:hideMark/>
          </w:tcPr>
          <w:p w14:paraId="56FEA954" w14:textId="37DE06DA"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1013" w:type="dxa"/>
            <w:tcBorders>
              <w:top w:val="nil"/>
              <w:left w:val="nil"/>
              <w:bottom w:val="nil"/>
              <w:right w:val="nil"/>
            </w:tcBorders>
            <w:vAlign w:val="bottom"/>
            <w:hideMark/>
          </w:tcPr>
          <w:p w14:paraId="02B2E3E5" w14:textId="7F2FE544"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851" w:type="dxa"/>
            <w:tcBorders>
              <w:top w:val="nil"/>
              <w:left w:val="nil"/>
              <w:bottom w:val="nil"/>
              <w:right w:val="nil"/>
            </w:tcBorders>
            <w:vAlign w:val="bottom"/>
            <w:hideMark/>
          </w:tcPr>
          <w:p w14:paraId="23DD7CA5"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23 866</w:t>
            </w:r>
          </w:p>
        </w:tc>
        <w:tc>
          <w:tcPr>
            <w:tcW w:w="992" w:type="dxa"/>
            <w:tcBorders>
              <w:top w:val="nil"/>
              <w:left w:val="nil"/>
              <w:bottom w:val="nil"/>
              <w:right w:val="nil"/>
            </w:tcBorders>
            <w:vAlign w:val="bottom"/>
            <w:hideMark/>
          </w:tcPr>
          <w:p w14:paraId="03037F1E"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30 060</w:t>
            </w:r>
          </w:p>
        </w:tc>
        <w:tc>
          <w:tcPr>
            <w:tcW w:w="903" w:type="dxa"/>
            <w:tcBorders>
              <w:top w:val="nil"/>
              <w:left w:val="nil"/>
              <w:bottom w:val="nil"/>
              <w:right w:val="single" w:sz="4" w:space="0" w:color="000000"/>
            </w:tcBorders>
            <w:vAlign w:val="bottom"/>
          </w:tcPr>
          <w:p w14:paraId="38305CB8"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hideMark/>
          </w:tcPr>
          <w:p w14:paraId="3261C8E0" w14:textId="744E76B8" w:rsidR="00992A45" w:rsidRPr="00BD7721" w:rsidRDefault="00992A45" w:rsidP="004E48D5">
            <w:pPr>
              <w:pStyle w:val="Normal-pool"/>
              <w:spacing w:before="40" w:after="40"/>
              <w:jc w:val="right"/>
              <w:rPr>
                <w:b/>
                <w:sz w:val="18"/>
                <w:szCs w:val="18"/>
                <w:lang w:val="en-GB"/>
              </w:rPr>
            </w:pPr>
            <w:r w:rsidRPr="00BD7721">
              <w:rPr>
                <w:sz w:val="18"/>
                <w:szCs w:val="18"/>
                <w:lang w:val="en-GB"/>
              </w:rPr>
              <w:t>38 504</w:t>
            </w:r>
            <w:r w:rsidR="008A335A" w:rsidRPr="00BD7721">
              <w:rPr>
                <w:sz w:val="18"/>
                <w:szCs w:val="18"/>
                <w:lang w:val="en-GB"/>
              </w:rPr>
              <w:t xml:space="preserve"> </w:t>
            </w:r>
          </w:p>
        </w:tc>
        <w:tc>
          <w:tcPr>
            <w:tcW w:w="962" w:type="dxa"/>
            <w:tcBorders>
              <w:top w:val="nil"/>
              <w:left w:val="nil"/>
              <w:bottom w:val="nil"/>
              <w:right w:val="nil"/>
            </w:tcBorders>
            <w:vAlign w:val="bottom"/>
            <w:hideMark/>
          </w:tcPr>
          <w:p w14:paraId="6C641589" w14:textId="464E3701"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hideMark/>
          </w:tcPr>
          <w:p w14:paraId="569B12A4"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38 504</w:t>
            </w:r>
          </w:p>
        </w:tc>
      </w:tr>
      <w:tr w:rsidR="00992A45" w:rsidRPr="00BD7721" w14:paraId="54A61FB3" w14:textId="77777777" w:rsidTr="008A335A">
        <w:trPr>
          <w:trHeight w:val="57"/>
          <w:jc w:val="right"/>
        </w:trPr>
        <w:tc>
          <w:tcPr>
            <w:tcW w:w="1961" w:type="dxa"/>
            <w:tcBorders>
              <w:top w:val="nil"/>
              <w:left w:val="nil"/>
              <w:bottom w:val="nil"/>
              <w:right w:val="nil"/>
            </w:tcBorders>
            <w:hideMark/>
          </w:tcPr>
          <w:p w14:paraId="73BA29D4" w14:textId="77777777" w:rsidR="00992A45" w:rsidRPr="00891BFE" w:rsidRDefault="00992A45" w:rsidP="004E48D5">
            <w:pPr>
              <w:pStyle w:val="Normal-pool"/>
              <w:spacing w:before="40" w:after="40"/>
              <w:rPr>
                <w:b/>
                <w:sz w:val="18"/>
                <w:szCs w:val="18"/>
                <w:lang w:val="fr-FR"/>
              </w:rPr>
            </w:pPr>
            <w:r w:rsidRPr="00891BFE">
              <w:rPr>
                <w:sz w:val="18"/>
                <w:szCs w:val="18"/>
                <w:lang w:val="fr-FR"/>
              </w:rPr>
              <w:t>France (Office français de la biodiversité)</w:t>
            </w:r>
          </w:p>
        </w:tc>
        <w:tc>
          <w:tcPr>
            <w:tcW w:w="2717" w:type="dxa"/>
            <w:tcBorders>
              <w:top w:val="nil"/>
              <w:left w:val="nil"/>
              <w:bottom w:val="nil"/>
              <w:right w:val="nil"/>
            </w:tcBorders>
            <w:hideMark/>
          </w:tcPr>
          <w:p w14:paraId="47E39DEE"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the global assessment of biodiversity and ecosystem services</w:t>
            </w:r>
          </w:p>
        </w:tc>
        <w:tc>
          <w:tcPr>
            <w:tcW w:w="1134" w:type="dxa"/>
            <w:tcBorders>
              <w:top w:val="nil"/>
              <w:left w:val="nil"/>
              <w:bottom w:val="nil"/>
              <w:right w:val="nil"/>
            </w:tcBorders>
            <w:hideMark/>
          </w:tcPr>
          <w:p w14:paraId="022E8D4E"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deliverables</w:t>
            </w:r>
          </w:p>
        </w:tc>
        <w:tc>
          <w:tcPr>
            <w:tcW w:w="1032" w:type="dxa"/>
            <w:tcBorders>
              <w:top w:val="nil"/>
              <w:left w:val="nil"/>
              <w:bottom w:val="nil"/>
              <w:right w:val="nil"/>
            </w:tcBorders>
            <w:vAlign w:val="bottom"/>
            <w:hideMark/>
          </w:tcPr>
          <w:p w14:paraId="4EEF94A5"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102 740</w:t>
            </w:r>
          </w:p>
        </w:tc>
        <w:tc>
          <w:tcPr>
            <w:tcW w:w="932" w:type="dxa"/>
            <w:tcBorders>
              <w:top w:val="nil"/>
              <w:left w:val="nil"/>
              <w:bottom w:val="nil"/>
              <w:right w:val="nil"/>
            </w:tcBorders>
            <w:vAlign w:val="bottom"/>
            <w:hideMark/>
          </w:tcPr>
          <w:p w14:paraId="58265755"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71 903</w:t>
            </w:r>
          </w:p>
        </w:tc>
        <w:tc>
          <w:tcPr>
            <w:tcW w:w="1013" w:type="dxa"/>
            <w:tcBorders>
              <w:top w:val="nil"/>
              <w:left w:val="nil"/>
              <w:bottom w:val="nil"/>
              <w:right w:val="nil"/>
            </w:tcBorders>
            <w:vAlign w:val="bottom"/>
            <w:hideMark/>
          </w:tcPr>
          <w:p w14:paraId="51F13D1B" w14:textId="581F7389"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851" w:type="dxa"/>
            <w:tcBorders>
              <w:top w:val="nil"/>
              <w:left w:val="nil"/>
              <w:bottom w:val="nil"/>
              <w:right w:val="nil"/>
            </w:tcBorders>
            <w:vAlign w:val="bottom"/>
          </w:tcPr>
          <w:p w14:paraId="2EC21DDC" w14:textId="77777777" w:rsidR="00992A45" w:rsidRPr="00BD7721" w:rsidRDefault="00992A45" w:rsidP="004E48D5">
            <w:pPr>
              <w:pStyle w:val="Normal-pool"/>
              <w:spacing w:before="40" w:after="40"/>
              <w:jc w:val="right"/>
              <w:rPr>
                <w:b/>
                <w:sz w:val="18"/>
                <w:szCs w:val="18"/>
                <w:lang w:val="en-GB"/>
              </w:rPr>
            </w:pPr>
          </w:p>
        </w:tc>
        <w:tc>
          <w:tcPr>
            <w:tcW w:w="992" w:type="dxa"/>
            <w:tcBorders>
              <w:top w:val="nil"/>
              <w:left w:val="nil"/>
              <w:bottom w:val="nil"/>
              <w:right w:val="nil"/>
            </w:tcBorders>
            <w:vAlign w:val="bottom"/>
          </w:tcPr>
          <w:p w14:paraId="68004DB9" w14:textId="77777777" w:rsidR="00992A45" w:rsidRPr="00BD7721" w:rsidRDefault="00992A45" w:rsidP="004E48D5">
            <w:pPr>
              <w:pStyle w:val="Normal-pool"/>
              <w:spacing w:before="40" w:after="40"/>
              <w:jc w:val="right"/>
              <w:rPr>
                <w:b/>
                <w:sz w:val="18"/>
                <w:szCs w:val="18"/>
                <w:lang w:val="en-GB"/>
              </w:rPr>
            </w:pPr>
          </w:p>
        </w:tc>
        <w:tc>
          <w:tcPr>
            <w:tcW w:w="903" w:type="dxa"/>
            <w:tcBorders>
              <w:top w:val="nil"/>
              <w:left w:val="nil"/>
              <w:bottom w:val="nil"/>
              <w:right w:val="single" w:sz="4" w:space="0" w:color="000000"/>
            </w:tcBorders>
            <w:vAlign w:val="bottom"/>
          </w:tcPr>
          <w:p w14:paraId="6EB29303"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hideMark/>
          </w:tcPr>
          <w:p w14:paraId="53BECE01" w14:textId="1F90825D"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hideMark/>
          </w:tcPr>
          <w:p w14:paraId="59F1D633" w14:textId="62207A13"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2DB35A90" w14:textId="77777777" w:rsidR="00992A45" w:rsidRPr="00BD7721" w:rsidRDefault="00992A45" w:rsidP="004E48D5">
            <w:pPr>
              <w:pStyle w:val="Normal-pool"/>
              <w:spacing w:before="40" w:after="40"/>
              <w:jc w:val="right"/>
              <w:rPr>
                <w:b/>
                <w:sz w:val="18"/>
                <w:szCs w:val="18"/>
                <w:lang w:val="en-GB"/>
              </w:rPr>
            </w:pPr>
          </w:p>
        </w:tc>
      </w:tr>
      <w:tr w:rsidR="00992A45" w:rsidRPr="00BD7721" w14:paraId="2B95326A" w14:textId="77777777" w:rsidTr="008A335A">
        <w:trPr>
          <w:trHeight w:val="57"/>
          <w:jc w:val="right"/>
        </w:trPr>
        <w:tc>
          <w:tcPr>
            <w:tcW w:w="1961" w:type="dxa"/>
            <w:tcBorders>
              <w:top w:val="nil"/>
              <w:left w:val="nil"/>
              <w:bottom w:val="nil"/>
              <w:right w:val="nil"/>
            </w:tcBorders>
            <w:hideMark/>
          </w:tcPr>
          <w:p w14:paraId="041B0A9F" w14:textId="77777777" w:rsidR="00992A45" w:rsidRPr="00891BFE" w:rsidRDefault="00992A45" w:rsidP="004E48D5">
            <w:pPr>
              <w:pStyle w:val="Normal-pool"/>
              <w:spacing w:before="40" w:after="40"/>
              <w:rPr>
                <w:b/>
                <w:sz w:val="18"/>
                <w:szCs w:val="18"/>
                <w:lang w:val="fr-FR"/>
              </w:rPr>
            </w:pPr>
            <w:r w:rsidRPr="00891BFE">
              <w:rPr>
                <w:sz w:val="18"/>
                <w:szCs w:val="18"/>
                <w:lang w:val="fr-FR"/>
              </w:rPr>
              <w:t>France (Office français de la biodiversité)</w:t>
            </w:r>
          </w:p>
        </w:tc>
        <w:tc>
          <w:tcPr>
            <w:tcW w:w="2717" w:type="dxa"/>
            <w:tcBorders>
              <w:top w:val="nil"/>
              <w:left w:val="nil"/>
              <w:bottom w:val="nil"/>
              <w:right w:val="nil"/>
            </w:tcBorders>
            <w:hideMark/>
          </w:tcPr>
          <w:p w14:paraId="1C731B27" w14:textId="77777777" w:rsidR="00992A45" w:rsidRPr="00BD7721" w:rsidRDefault="00992A45" w:rsidP="004E48D5">
            <w:pPr>
              <w:pStyle w:val="Normal-pool"/>
              <w:spacing w:before="40" w:after="40"/>
              <w:rPr>
                <w:b/>
                <w:sz w:val="18"/>
                <w:szCs w:val="18"/>
                <w:lang w:val="en-GB"/>
              </w:rPr>
            </w:pPr>
            <w:r w:rsidRPr="00BD7721">
              <w:rPr>
                <w:sz w:val="18"/>
                <w:szCs w:val="18"/>
                <w:lang w:val="en-GB"/>
              </w:rPr>
              <w:t xml:space="preserve">Support for the thematic assessment of invasive alien species </w:t>
            </w:r>
          </w:p>
        </w:tc>
        <w:tc>
          <w:tcPr>
            <w:tcW w:w="1134" w:type="dxa"/>
            <w:tcBorders>
              <w:top w:val="nil"/>
              <w:left w:val="nil"/>
              <w:bottom w:val="nil"/>
              <w:right w:val="nil"/>
            </w:tcBorders>
            <w:hideMark/>
          </w:tcPr>
          <w:p w14:paraId="06E57326"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deliverables</w:t>
            </w:r>
          </w:p>
        </w:tc>
        <w:tc>
          <w:tcPr>
            <w:tcW w:w="1032" w:type="dxa"/>
            <w:tcBorders>
              <w:top w:val="nil"/>
              <w:left w:val="nil"/>
              <w:bottom w:val="nil"/>
              <w:right w:val="nil"/>
            </w:tcBorders>
            <w:vAlign w:val="bottom"/>
            <w:hideMark/>
          </w:tcPr>
          <w:p w14:paraId="2B7F3353" w14:textId="51B7E93A"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32" w:type="dxa"/>
            <w:tcBorders>
              <w:top w:val="nil"/>
              <w:left w:val="nil"/>
              <w:bottom w:val="nil"/>
              <w:right w:val="nil"/>
            </w:tcBorders>
            <w:vAlign w:val="bottom"/>
            <w:hideMark/>
          </w:tcPr>
          <w:p w14:paraId="49E0CBAC"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79 545</w:t>
            </w:r>
          </w:p>
        </w:tc>
        <w:tc>
          <w:tcPr>
            <w:tcW w:w="1013" w:type="dxa"/>
            <w:tcBorders>
              <w:top w:val="nil"/>
              <w:left w:val="nil"/>
              <w:bottom w:val="nil"/>
              <w:right w:val="nil"/>
            </w:tcBorders>
            <w:vAlign w:val="bottom"/>
            <w:hideMark/>
          </w:tcPr>
          <w:p w14:paraId="4FF25B20"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116 959</w:t>
            </w:r>
          </w:p>
        </w:tc>
        <w:tc>
          <w:tcPr>
            <w:tcW w:w="851" w:type="dxa"/>
            <w:tcBorders>
              <w:top w:val="nil"/>
              <w:left w:val="nil"/>
              <w:bottom w:val="nil"/>
              <w:right w:val="nil"/>
            </w:tcBorders>
            <w:vAlign w:val="bottom"/>
          </w:tcPr>
          <w:p w14:paraId="1F9ECC12" w14:textId="77777777" w:rsidR="00992A45" w:rsidRPr="00BD7721" w:rsidRDefault="00992A45" w:rsidP="004E48D5">
            <w:pPr>
              <w:pStyle w:val="Normal-pool"/>
              <w:spacing w:before="40" w:after="40"/>
              <w:jc w:val="right"/>
              <w:rPr>
                <w:b/>
                <w:sz w:val="18"/>
                <w:szCs w:val="18"/>
                <w:lang w:val="en-GB"/>
              </w:rPr>
            </w:pPr>
          </w:p>
        </w:tc>
        <w:tc>
          <w:tcPr>
            <w:tcW w:w="992" w:type="dxa"/>
            <w:tcBorders>
              <w:top w:val="nil"/>
              <w:left w:val="nil"/>
              <w:bottom w:val="nil"/>
              <w:right w:val="nil"/>
            </w:tcBorders>
            <w:vAlign w:val="bottom"/>
          </w:tcPr>
          <w:p w14:paraId="2A07822B" w14:textId="77777777" w:rsidR="00992A45" w:rsidRPr="00BD7721" w:rsidRDefault="00992A45" w:rsidP="004E48D5">
            <w:pPr>
              <w:pStyle w:val="Normal-pool"/>
              <w:spacing w:before="40" w:after="40"/>
              <w:jc w:val="right"/>
              <w:rPr>
                <w:b/>
                <w:sz w:val="18"/>
                <w:szCs w:val="18"/>
                <w:lang w:val="en-GB"/>
              </w:rPr>
            </w:pPr>
          </w:p>
        </w:tc>
        <w:tc>
          <w:tcPr>
            <w:tcW w:w="903" w:type="dxa"/>
            <w:tcBorders>
              <w:top w:val="nil"/>
              <w:left w:val="nil"/>
              <w:bottom w:val="nil"/>
              <w:right w:val="single" w:sz="4" w:space="0" w:color="000000"/>
            </w:tcBorders>
            <w:vAlign w:val="bottom"/>
          </w:tcPr>
          <w:p w14:paraId="7D1964DD"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hideMark/>
          </w:tcPr>
          <w:p w14:paraId="523F69CC"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60 506</w:t>
            </w:r>
          </w:p>
        </w:tc>
        <w:tc>
          <w:tcPr>
            <w:tcW w:w="962" w:type="dxa"/>
            <w:tcBorders>
              <w:top w:val="nil"/>
              <w:left w:val="nil"/>
              <w:bottom w:val="nil"/>
              <w:right w:val="nil"/>
            </w:tcBorders>
            <w:vAlign w:val="bottom"/>
            <w:hideMark/>
          </w:tcPr>
          <w:p w14:paraId="65CA8628" w14:textId="6CCFC4F8"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hideMark/>
          </w:tcPr>
          <w:p w14:paraId="25899E93"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60 506</w:t>
            </w:r>
          </w:p>
        </w:tc>
      </w:tr>
      <w:tr w:rsidR="00992A45" w:rsidRPr="00BD7721" w14:paraId="492C57CA" w14:textId="77777777" w:rsidTr="008A335A">
        <w:trPr>
          <w:trHeight w:val="57"/>
          <w:jc w:val="right"/>
        </w:trPr>
        <w:tc>
          <w:tcPr>
            <w:tcW w:w="1961" w:type="dxa"/>
            <w:tcBorders>
              <w:top w:val="nil"/>
              <w:left w:val="nil"/>
              <w:bottom w:val="nil"/>
              <w:right w:val="nil"/>
            </w:tcBorders>
            <w:hideMark/>
          </w:tcPr>
          <w:p w14:paraId="15BBCB27" w14:textId="77777777" w:rsidR="00992A45" w:rsidRPr="00891BFE" w:rsidRDefault="00992A45" w:rsidP="004E48D5">
            <w:pPr>
              <w:pStyle w:val="Normal-pool"/>
              <w:spacing w:before="40" w:after="40"/>
              <w:rPr>
                <w:b/>
                <w:sz w:val="18"/>
                <w:szCs w:val="18"/>
                <w:lang w:val="fr-FR"/>
              </w:rPr>
            </w:pPr>
            <w:r w:rsidRPr="00891BFE">
              <w:rPr>
                <w:sz w:val="18"/>
                <w:szCs w:val="18"/>
                <w:lang w:val="fr-FR"/>
              </w:rPr>
              <w:t>France (Office français de la biodiversité)</w:t>
            </w:r>
          </w:p>
        </w:tc>
        <w:tc>
          <w:tcPr>
            <w:tcW w:w="2717" w:type="dxa"/>
            <w:tcBorders>
              <w:top w:val="nil"/>
              <w:left w:val="nil"/>
              <w:bottom w:val="nil"/>
              <w:right w:val="nil"/>
            </w:tcBorders>
            <w:hideMark/>
          </w:tcPr>
          <w:p w14:paraId="606D44F3"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the thematic assessment of the diverse values and valuation of nature</w:t>
            </w:r>
          </w:p>
        </w:tc>
        <w:tc>
          <w:tcPr>
            <w:tcW w:w="1134" w:type="dxa"/>
            <w:tcBorders>
              <w:top w:val="nil"/>
              <w:left w:val="nil"/>
              <w:bottom w:val="nil"/>
              <w:right w:val="nil"/>
            </w:tcBorders>
            <w:hideMark/>
          </w:tcPr>
          <w:p w14:paraId="5AFAF771"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deliverables</w:t>
            </w:r>
          </w:p>
        </w:tc>
        <w:tc>
          <w:tcPr>
            <w:tcW w:w="1032" w:type="dxa"/>
            <w:tcBorders>
              <w:top w:val="nil"/>
              <w:left w:val="nil"/>
              <w:bottom w:val="nil"/>
              <w:right w:val="nil"/>
            </w:tcBorders>
            <w:vAlign w:val="bottom"/>
            <w:hideMark/>
          </w:tcPr>
          <w:p w14:paraId="68F389BB"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84 541</w:t>
            </w:r>
          </w:p>
        </w:tc>
        <w:tc>
          <w:tcPr>
            <w:tcW w:w="932" w:type="dxa"/>
            <w:tcBorders>
              <w:top w:val="nil"/>
              <w:left w:val="nil"/>
              <w:bottom w:val="nil"/>
              <w:right w:val="nil"/>
            </w:tcBorders>
            <w:vAlign w:val="bottom"/>
            <w:hideMark/>
          </w:tcPr>
          <w:p w14:paraId="61F7C969"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55 741</w:t>
            </w:r>
          </w:p>
        </w:tc>
        <w:tc>
          <w:tcPr>
            <w:tcW w:w="1013" w:type="dxa"/>
            <w:tcBorders>
              <w:top w:val="nil"/>
              <w:left w:val="nil"/>
              <w:bottom w:val="nil"/>
              <w:right w:val="nil"/>
            </w:tcBorders>
            <w:vAlign w:val="bottom"/>
            <w:hideMark/>
          </w:tcPr>
          <w:p w14:paraId="79F6B25C"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58 480</w:t>
            </w:r>
          </w:p>
        </w:tc>
        <w:tc>
          <w:tcPr>
            <w:tcW w:w="851" w:type="dxa"/>
            <w:tcBorders>
              <w:top w:val="nil"/>
              <w:left w:val="nil"/>
              <w:bottom w:val="nil"/>
              <w:right w:val="nil"/>
            </w:tcBorders>
            <w:vAlign w:val="bottom"/>
          </w:tcPr>
          <w:p w14:paraId="08255EDF" w14:textId="77777777" w:rsidR="00992A45" w:rsidRPr="00BD7721" w:rsidRDefault="00992A45" w:rsidP="004E48D5">
            <w:pPr>
              <w:pStyle w:val="Normal-pool"/>
              <w:spacing w:before="40" w:after="40"/>
              <w:jc w:val="right"/>
              <w:rPr>
                <w:b/>
                <w:sz w:val="18"/>
                <w:szCs w:val="18"/>
                <w:lang w:val="en-GB"/>
              </w:rPr>
            </w:pPr>
          </w:p>
        </w:tc>
        <w:tc>
          <w:tcPr>
            <w:tcW w:w="992" w:type="dxa"/>
            <w:tcBorders>
              <w:top w:val="nil"/>
              <w:left w:val="nil"/>
              <w:bottom w:val="nil"/>
              <w:right w:val="nil"/>
            </w:tcBorders>
            <w:vAlign w:val="bottom"/>
            <w:hideMark/>
          </w:tcPr>
          <w:p w14:paraId="1CB556C6"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56 584</w:t>
            </w:r>
          </w:p>
        </w:tc>
        <w:tc>
          <w:tcPr>
            <w:tcW w:w="903" w:type="dxa"/>
            <w:tcBorders>
              <w:top w:val="nil"/>
              <w:left w:val="nil"/>
              <w:bottom w:val="nil"/>
              <w:right w:val="single" w:sz="4" w:space="0" w:color="000000"/>
            </w:tcBorders>
            <w:vAlign w:val="bottom"/>
          </w:tcPr>
          <w:p w14:paraId="73CEA186"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hideMark/>
          </w:tcPr>
          <w:p w14:paraId="59178957" w14:textId="79E74372"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hideMark/>
          </w:tcPr>
          <w:p w14:paraId="76FCAB97" w14:textId="59329E10"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564FA9A7" w14:textId="77777777" w:rsidR="00992A45" w:rsidRPr="00BD7721" w:rsidRDefault="00992A45" w:rsidP="004E48D5">
            <w:pPr>
              <w:pStyle w:val="Normal-pool"/>
              <w:spacing w:before="40" w:after="40"/>
              <w:jc w:val="right"/>
              <w:rPr>
                <w:b/>
                <w:sz w:val="18"/>
                <w:szCs w:val="18"/>
                <w:lang w:val="en-GB"/>
              </w:rPr>
            </w:pPr>
          </w:p>
        </w:tc>
      </w:tr>
      <w:tr w:rsidR="00992A45" w:rsidRPr="00BD7721" w14:paraId="3D40BD44" w14:textId="77777777" w:rsidTr="008A335A">
        <w:trPr>
          <w:trHeight w:val="57"/>
          <w:jc w:val="right"/>
        </w:trPr>
        <w:tc>
          <w:tcPr>
            <w:tcW w:w="1961" w:type="dxa"/>
            <w:tcBorders>
              <w:top w:val="nil"/>
              <w:left w:val="nil"/>
              <w:bottom w:val="nil"/>
              <w:right w:val="nil"/>
            </w:tcBorders>
            <w:hideMark/>
          </w:tcPr>
          <w:p w14:paraId="4530BE58" w14:textId="77777777" w:rsidR="00992A45" w:rsidRPr="00891BFE" w:rsidRDefault="00992A45" w:rsidP="004E48D5">
            <w:pPr>
              <w:pStyle w:val="Normal-pool"/>
              <w:spacing w:before="40" w:after="40"/>
              <w:rPr>
                <w:b/>
                <w:sz w:val="18"/>
                <w:szCs w:val="18"/>
                <w:lang w:val="fr-FR"/>
              </w:rPr>
            </w:pPr>
            <w:r w:rsidRPr="00891BFE">
              <w:rPr>
                <w:sz w:val="18"/>
                <w:szCs w:val="18"/>
                <w:lang w:val="fr-FR"/>
              </w:rPr>
              <w:t>France (Office français de la biodiversité)</w:t>
            </w:r>
          </w:p>
        </w:tc>
        <w:tc>
          <w:tcPr>
            <w:tcW w:w="2717" w:type="dxa"/>
            <w:tcBorders>
              <w:top w:val="nil"/>
              <w:left w:val="nil"/>
              <w:bottom w:val="nil"/>
              <w:right w:val="nil"/>
            </w:tcBorders>
            <w:hideMark/>
          </w:tcPr>
          <w:p w14:paraId="7A030743" w14:textId="77777777" w:rsidR="00992A45" w:rsidRPr="00BD7721" w:rsidRDefault="00992A45" w:rsidP="004E48D5">
            <w:pPr>
              <w:pStyle w:val="Normal-pool"/>
              <w:spacing w:before="40" w:after="40"/>
              <w:rPr>
                <w:b/>
                <w:sz w:val="18"/>
                <w:szCs w:val="18"/>
                <w:lang w:val="en-GB"/>
              </w:rPr>
            </w:pPr>
            <w:r w:rsidRPr="00BD7721">
              <w:rPr>
                <w:sz w:val="18"/>
                <w:szCs w:val="18"/>
                <w:lang w:val="en-GB"/>
              </w:rPr>
              <w:t xml:space="preserve">Support for the thematic assessment of sustainable use of wild species </w:t>
            </w:r>
          </w:p>
        </w:tc>
        <w:tc>
          <w:tcPr>
            <w:tcW w:w="1134" w:type="dxa"/>
            <w:tcBorders>
              <w:top w:val="nil"/>
              <w:left w:val="nil"/>
              <w:bottom w:val="nil"/>
              <w:right w:val="nil"/>
            </w:tcBorders>
            <w:hideMark/>
          </w:tcPr>
          <w:p w14:paraId="613A989D"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deliverables</w:t>
            </w:r>
          </w:p>
        </w:tc>
        <w:tc>
          <w:tcPr>
            <w:tcW w:w="1032" w:type="dxa"/>
            <w:tcBorders>
              <w:top w:val="nil"/>
              <w:left w:val="nil"/>
              <w:bottom w:val="nil"/>
              <w:right w:val="nil"/>
            </w:tcBorders>
            <w:vAlign w:val="bottom"/>
            <w:hideMark/>
          </w:tcPr>
          <w:p w14:paraId="1FFDA1DE"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84 541</w:t>
            </w:r>
          </w:p>
        </w:tc>
        <w:tc>
          <w:tcPr>
            <w:tcW w:w="932" w:type="dxa"/>
            <w:tcBorders>
              <w:top w:val="nil"/>
              <w:left w:val="nil"/>
              <w:bottom w:val="nil"/>
              <w:right w:val="nil"/>
            </w:tcBorders>
            <w:vAlign w:val="bottom"/>
            <w:hideMark/>
          </w:tcPr>
          <w:p w14:paraId="60378B87"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55 741</w:t>
            </w:r>
          </w:p>
        </w:tc>
        <w:tc>
          <w:tcPr>
            <w:tcW w:w="1013" w:type="dxa"/>
            <w:tcBorders>
              <w:top w:val="nil"/>
              <w:left w:val="nil"/>
              <w:bottom w:val="nil"/>
              <w:right w:val="nil"/>
            </w:tcBorders>
            <w:vAlign w:val="bottom"/>
            <w:hideMark/>
          </w:tcPr>
          <w:p w14:paraId="4DF097A1"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58 480</w:t>
            </w:r>
          </w:p>
        </w:tc>
        <w:tc>
          <w:tcPr>
            <w:tcW w:w="851" w:type="dxa"/>
            <w:tcBorders>
              <w:top w:val="nil"/>
              <w:left w:val="nil"/>
              <w:bottom w:val="nil"/>
              <w:right w:val="nil"/>
            </w:tcBorders>
            <w:vAlign w:val="bottom"/>
          </w:tcPr>
          <w:p w14:paraId="21F5D04F" w14:textId="77777777" w:rsidR="00992A45" w:rsidRPr="00BD7721" w:rsidRDefault="00992A45" w:rsidP="004E48D5">
            <w:pPr>
              <w:pStyle w:val="Normal-pool"/>
              <w:spacing w:before="40" w:after="40"/>
              <w:jc w:val="right"/>
              <w:rPr>
                <w:b/>
                <w:sz w:val="18"/>
                <w:szCs w:val="18"/>
                <w:lang w:val="en-GB"/>
              </w:rPr>
            </w:pPr>
          </w:p>
        </w:tc>
        <w:tc>
          <w:tcPr>
            <w:tcW w:w="992" w:type="dxa"/>
            <w:tcBorders>
              <w:top w:val="nil"/>
              <w:left w:val="nil"/>
              <w:bottom w:val="nil"/>
              <w:right w:val="nil"/>
            </w:tcBorders>
            <w:vAlign w:val="bottom"/>
            <w:hideMark/>
          </w:tcPr>
          <w:p w14:paraId="6E4531DA"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56 584</w:t>
            </w:r>
          </w:p>
        </w:tc>
        <w:tc>
          <w:tcPr>
            <w:tcW w:w="903" w:type="dxa"/>
            <w:tcBorders>
              <w:top w:val="nil"/>
              <w:left w:val="nil"/>
              <w:bottom w:val="nil"/>
              <w:right w:val="single" w:sz="4" w:space="0" w:color="000000"/>
            </w:tcBorders>
            <w:vAlign w:val="bottom"/>
          </w:tcPr>
          <w:p w14:paraId="6F965926"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hideMark/>
          </w:tcPr>
          <w:p w14:paraId="75E708CD" w14:textId="7D6D9DD4"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hideMark/>
          </w:tcPr>
          <w:p w14:paraId="3B49A65F" w14:textId="2745D20F"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138054C5" w14:textId="77777777" w:rsidR="00992A45" w:rsidRPr="00BD7721" w:rsidRDefault="00992A45" w:rsidP="004E48D5">
            <w:pPr>
              <w:pStyle w:val="Normal-pool"/>
              <w:spacing w:before="40" w:after="40"/>
              <w:jc w:val="right"/>
              <w:rPr>
                <w:b/>
                <w:sz w:val="18"/>
                <w:szCs w:val="18"/>
                <w:lang w:val="en-GB"/>
              </w:rPr>
            </w:pPr>
          </w:p>
        </w:tc>
      </w:tr>
      <w:tr w:rsidR="00992A45" w:rsidRPr="00BD7721" w14:paraId="0356AB7A" w14:textId="77777777" w:rsidTr="008A335A">
        <w:trPr>
          <w:trHeight w:val="57"/>
          <w:jc w:val="right"/>
        </w:trPr>
        <w:tc>
          <w:tcPr>
            <w:tcW w:w="1961" w:type="dxa"/>
            <w:tcBorders>
              <w:top w:val="nil"/>
              <w:left w:val="nil"/>
              <w:bottom w:val="nil"/>
              <w:right w:val="nil"/>
            </w:tcBorders>
            <w:hideMark/>
          </w:tcPr>
          <w:p w14:paraId="77A9C047" w14:textId="77777777" w:rsidR="00992A45" w:rsidRPr="00BD7721" w:rsidRDefault="00992A45" w:rsidP="004E48D5">
            <w:pPr>
              <w:pStyle w:val="Normal-pool"/>
              <w:spacing w:before="40" w:after="40"/>
              <w:rPr>
                <w:b/>
                <w:sz w:val="18"/>
                <w:szCs w:val="18"/>
                <w:lang w:val="en-GB"/>
              </w:rPr>
            </w:pPr>
            <w:r w:rsidRPr="00BD7721">
              <w:rPr>
                <w:sz w:val="18"/>
                <w:szCs w:val="18"/>
                <w:lang w:val="en-GB"/>
              </w:rPr>
              <w:t xml:space="preserve">Germany </w:t>
            </w:r>
          </w:p>
        </w:tc>
        <w:tc>
          <w:tcPr>
            <w:tcW w:w="2717" w:type="dxa"/>
            <w:tcBorders>
              <w:top w:val="nil"/>
              <w:left w:val="nil"/>
              <w:bottom w:val="nil"/>
              <w:right w:val="nil"/>
            </w:tcBorders>
            <w:hideMark/>
          </w:tcPr>
          <w:p w14:paraId="4642572F" w14:textId="35CA643C" w:rsidR="00992A45" w:rsidRPr="00BD7721" w:rsidRDefault="00992A45" w:rsidP="004E48D5">
            <w:pPr>
              <w:pStyle w:val="Normal-pool"/>
              <w:spacing w:before="40" w:after="40"/>
              <w:rPr>
                <w:b/>
                <w:sz w:val="18"/>
                <w:szCs w:val="18"/>
                <w:lang w:val="en-GB"/>
              </w:rPr>
            </w:pPr>
            <w:r w:rsidRPr="00BD7721">
              <w:rPr>
                <w:sz w:val="18"/>
                <w:szCs w:val="18"/>
                <w:lang w:val="en-GB"/>
              </w:rPr>
              <w:t>Support to cover the cost of a P3</w:t>
            </w:r>
            <w:r w:rsidR="002C3750" w:rsidRPr="00BD7721">
              <w:rPr>
                <w:lang w:val="en-GB"/>
              </w:rPr>
              <w:noBreakHyphen/>
            </w:r>
            <w:r w:rsidRPr="00BD7721">
              <w:rPr>
                <w:sz w:val="18"/>
                <w:szCs w:val="18"/>
                <w:lang w:val="en-GB"/>
              </w:rPr>
              <w:t>level consultant for the technical support unit of the global assessment of biodiversity and ecosystem services</w:t>
            </w:r>
          </w:p>
        </w:tc>
        <w:tc>
          <w:tcPr>
            <w:tcW w:w="1134" w:type="dxa"/>
            <w:tcBorders>
              <w:top w:val="nil"/>
              <w:left w:val="nil"/>
              <w:bottom w:val="nil"/>
              <w:right w:val="nil"/>
            </w:tcBorders>
            <w:hideMark/>
          </w:tcPr>
          <w:p w14:paraId="7A17756C" w14:textId="77777777" w:rsidR="00992A45" w:rsidRPr="00BD7721" w:rsidRDefault="00992A45" w:rsidP="004E48D5">
            <w:pPr>
              <w:pStyle w:val="Normal-pool"/>
              <w:spacing w:before="40" w:after="40"/>
              <w:rPr>
                <w:b/>
                <w:sz w:val="18"/>
                <w:szCs w:val="18"/>
                <w:lang w:val="en-GB"/>
              </w:rPr>
            </w:pPr>
            <w:r w:rsidRPr="00BD7721">
              <w:rPr>
                <w:sz w:val="18"/>
                <w:szCs w:val="18"/>
                <w:lang w:val="en-GB"/>
              </w:rPr>
              <w:t>Staff costs</w:t>
            </w:r>
          </w:p>
        </w:tc>
        <w:tc>
          <w:tcPr>
            <w:tcW w:w="1032" w:type="dxa"/>
            <w:tcBorders>
              <w:top w:val="nil"/>
              <w:left w:val="nil"/>
              <w:bottom w:val="nil"/>
              <w:right w:val="nil"/>
            </w:tcBorders>
            <w:vAlign w:val="bottom"/>
            <w:hideMark/>
          </w:tcPr>
          <w:p w14:paraId="710097C8"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102 108</w:t>
            </w:r>
          </w:p>
        </w:tc>
        <w:tc>
          <w:tcPr>
            <w:tcW w:w="932" w:type="dxa"/>
            <w:tcBorders>
              <w:top w:val="nil"/>
              <w:left w:val="nil"/>
              <w:bottom w:val="nil"/>
              <w:right w:val="nil"/>
            </w:tcBorders>
            <w:vAlign w:val="bottom"/>
            <w:hideMark/>
          </w:tcPr>
          <w:p w14:paraId="3ECBD50F"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73 594</w:t>
            </w:r>
          </w:p>
        </w:tc>
        <w:tc>
          <w:tcPr>
            <w:tcW w:w="1013" w:type="dxa"/>
            <w:tcBorders>
              <w:top w:val="nil"/>
              <w:left w:val="nil"/>
              <w:bottom w:val="nil"/>
              <w:right w:val="nil"/>
            </w:tcBorders>
            <w:vAlign w:val="bottom"/>
            <w:hideMark/>
          </w:tcPr>
          <w:p w14:paraId="2CB96E9A" w14:textId="3C28EAF0"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851" w:type="dxa"/>
            <w:tcBorders>
              <w:top w:val="nil"/>
              <w:left w:val="nil"/>
              <w:bottom w:val="nil"/>
              <w:right w:val="nil"/>
            </w:tcBorders>
            <w:vAlign w:val="bottom"/>
            <w:hideMark/>
          </w:tcPr>
          <w:p w14:paraId="60D4CEBA" w14:textId="3E7B6A34"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92" w:type="dxa"/>
            <w:tcBorders>
              <w:top w:val="nil"/>
              <w:left w:val="nil"/>
              <w:bottom w:val="nil"/>
              <w:right w:val="nil"/>
            </w:tcBorders>
            <w:vAlign w:val="bottom"/>
            <w:hideMark/>
          </w:tcPr>
          <w:p w14:paraId="5F0BAC08" w14:textId="427F38BF"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03" w:type="dxa"/>
            <w:tcBorders>
              <w:top w:val="nil"/>
              <w:left w:val="nil"/>
              <w:bottom w:val="nil"/>
              <w:right w:val="single" w:sz="4" w:space="0" w:color="000000"/>
            </w:tcBorders>
            <w:vAlign w:val="bottom"/>
          </w:tcPr>
          <w:p w14:paraId="5DD38F6A"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hideMark/>
          </w:tcPr>
          <w:p w14:paraId="1831AD8D" w14:textId="0AB0B73F"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hideMark/>
          </w:tcPr>
          <w:p w14:paraId="44DBBE1C" w14:textId="219A75FA"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3D190161" w14:textId="77777777" w:rsidR="00992A45" w:rsidRPr="00BD7721" w:rsidRDefault="00992A45" w:rsidP="004E48D5">
            <w:pPr>
              <w:pStyle w:val="Normal-pool"/>
              <w:spacing w:before="40" w:after="40"/>
              <w:jc w:val="right"/>
              <w:rPr>
                <w:b/>
                <w:sz w:val="18"/>
                <w:szCs w:val="18"/>
                <w:lang w:val="en-GB"/>
              </w:rPr>
            </w:pPr>
          </w:p>
        </w:tc>
      </w:tr>
      <w:tr w:rsidR="00992A45" w:rsidRPr="00BD7721" w14:paraId="5D9FE7D5" w14:textId="77777777" w:rsidTr="008A335A">
        <w:trPr>
          <w:trHeight w:val="57"/>
          <w:jc w:val="right"/>
        </w:trPr>
        <w:tc>
          <w:tcPr>
            <w:tcW w:w="1961" w:type="dxa"/>
            <w:tcBorders>
              <w:top w:val="nil"/>
              <w:left w:val="nil"/>
              <w:bottom w:val="nil"/>
              <w:right w:val="nil"/>
            </w:tcBorders>
            <w:hideMark/>
          </w:tcPr>
          <w:p w14:paraId="2EFD1481" w14:textId="77777777" w:rsidR="00992A45" w:rsidRPr="00BD7721" w:rsidRDefault="00992A45" w:rsidP="004E48D5">
            <w:pPr>
              <w:pStyle w:val="Normal-pool"/>
              <w:spacing w:before="40" w:after="40"/>
              <w:rPr>
                <w:b/>
                <w:sz w:val="18"/>
                <w:szCs w:val="18"/>
                <w:lang w:val="en-GB"/>
              </w:rPr>
            </w:pPr>
            <w:proofErr w:type="spellStart"/>
            <w:r w:rsidRPr="00BD7721">
              <w:rPr>
                <w:sz w:val="18"/>
                <w:szCs w:val="18"/>
                <w:lang w:val="en-GB"/>
              </w:rPr>
              <w:t>Germany</w:t>
            </w:r>
            <w:r w:rsidRPr="00BD7721">
              <w:rPr>
                <w:sz w:val="18"/>
                <w:szCs w:val="18"/>
                <w:vertAlign w:val="superscript"/>
                <w:lang w:val="en-GB"/>
              </w:rPr>
              <w:t>a</w:t>
            </w:r>
            <w:proofErr w:type="spellEnd"/>
            <w:r w:rsidRPr="00BD7721">
              <w:rPr>
                <w:sz w:val="18"/>
                <w:szCs w:val="18"/>
                <w:lang w:val="en-GB"/>
              </w:rPr>
              <w:t xml:space="preserve"> </w:t>
            </w:r>
          </w:p>
        </w:tc>
        <w:tc>
          <w:tcPr>
            <w:tcW w:w="2717" w:type="dxa"/>
            <w:tcBorders>
              <w:top w:val="nil"/>
              <w:left w:val="nil"/>
              <w:bottom w:val="nil"/>
              <w:right w:val="nil"/>
            </w:tcBorders>
            <w:hideMark/>
          </w:tcPr>
          <w:p w14:paraId="3E0860A5"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to cover the information system assistant position</w:t>
            </w:r>
          </w:p>
        </w:tc>
        <w:tc>
          <w:tcPr>
            <w:tcW w:w="1134" w:type="dxa"/>
            <w:tcBorders>
              <w:top w:val="nil"/>
              <w:left w:val="nil"/>
              <w:bottom w:val="nil"/>
              <w:right w:val="nil"/>
            </w:tcBorders>
            <w:hideMark/>
          </w:tcPr>
          <w:p w14:paraId="6270743A" w14:textId="77777777" w:rsidR="00992A45" w:rsidRPr="00BD7721" w:rsidRDefault="00992A45" w:rsidP="004E48D5">
            <w:pPr>
              <w:pStyle w:val="Normal-pool"/>
              <w:spacing w:before="40" w:after="40"/>
              <w:rPr>
                <w:b/>
                <w:sz w:val="18"/>
                <w:szCs w:val="18"/>
                <w:lang w:val="en-GB"/>
              </w:rPr>
            </w:pPr>
            <w:r w:rsidRPr="00BD7721">
              <w:rPr>
                <w:sz w:val="18"/>
                <w:szCs w:val="18"/>
                <w:lang w:val="en-GB"/>
              </w:rPr>
              <w:t>Staff costs</w:t>
            </w:r>
          </w:p>
        </w:tc>
        <w:tc>
          <w:tcPr>
            <w:tcW w:w="1032" w:type="dxa"/>
            <w:tcBorders>
              <w:top w:val="nil"/>
              <w:left w:val="nil"/>
              <w:bottom w:val="nil"/>
              <w:right w:val="nil"/>
            </w:tcBorders>
            <w:vAlign w:val="bottom"/>
            <w:hideMark/>
          </w:tcPr>
          <w:p w14:paraId="0F27D08E" w14:textId="23F51721"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32" w:type="dxa"/>
            <w:tcBorders>
              <w:top w:val="nil"/>
              <w:left w:val="nil"/>
              <w:bottom w:val="nil"/>
              <w:right w:val="nil"/>
            </w:tcBorders>
            <w:vAlign w:val="bottom"/>
            <w:hideMark/>
          </w:tcPr>
          <w:p w14:paraId="05789841"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51 500</w:t>
            </w:r>
          </w:p>
        </w:tc>
        <w:tc>
          <w:tcPr>
            <w:tcW w:w="1013" w:type="dxa"/>
            <w:tcBorders>
              <w:top w:val="nil"/>
              <w:left w:val="nil"/>
              <w:bottom w:val="nil"/>
              <w:right w:val="nil"/>
            </w:tcBorders>
            <w:vAlign w:val="bottom"/>
            <w:hideMark/>
          </w:tcPr>
          <w:p w14:paraId="7E759FB8" w14:textId="67750F9F"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851" w:type="dxa"/>
            <w:tcBorders>
              <w:top w:val="nil"/>
              <w:left w:val="nil"/>
              <w:bottom w:val="nil"/>
              <w:right w:val="nil"/>
            </w:tcBorders>
            <w:vAlign w:val="bottom"/>
            <w:hideMark/>
          </w:tcPr>
          <w:p w14:paraId="017D5932"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103 000</w:t>
            </w:r>
          </w:p>
        </w:tc>
        <w:tc>
          <w:tcPr>
            <w:tcW w:w="992" w:type="dxa"/>
            <w:tcBorders>
              <w:top w:val="nil"/>
              <w:left w:val="nil"/>
              <w:bottom w:val="nil"/>
              <w:right w:val="nil"/>
            </w:tcBorders>
            <w:vAlign w:val="bottom"/>
            <w:hideMark/>
          </w:tcPr>
          <w:p w14:paraId="40D396AD" w14:textId="44E09A6C"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03" w:type="dxa"/>
            <w:tcBorders>
              <w:top w:val="nil"/>
              <w:left w:val="nil"/>
              <w:bottom w:val="nil"/>
              <w:right w:val="single" w:sz="4" w:space="0" w:color="000000"/>
            </w:tcBorders>
            <w:vAlign w:val="bottom"/>
          </w:tcPr>
          <w:p w14:paraId="10483794"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hideMark/>
          </w:tcPr>
          <w:p w14:paraId="3D88E7B5" w14:textId="109DD256"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hideMark/>
          </w:tcPr>
          <w:p w14:paraId="482DD469" w14:textId="7D894610"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213A88D4" w14:textId="77777777" w:rsidR="00992A45" w:rsidRPr="00BD7721" w:rsidRDefault="00992A45" w:rsidP="004E48D5">
            <w:pPr>
              <w:pStyle w:val="Normal-pool"/>
              <w:spacing w:before="40" w:after="40"/>
              <w:jc w:val="right"/>
              <w:rPr>
                <w:b/>
                <w:sz w:val="18"/>
                <w:szCs w:val="18"/>
                <w:lang w:val="en-GB"/>
              </w:rPr>
            </w:pPr>
          </w:p>
        </w:tc>
      </w:tr>
      <w:tr w:rsidR="00992A45" w:rsidRPr="00BD7721" w14:paraId="4A2B3242" w14:textId="77777777" w:rsidTr="008A335A">
        <w:trPr>
          <w:trHeight w:val="57"/>
          <w:jc w:val="right"/>
        </w:trPr>
        <w:tc>
          <w:tcPr>
            <w:tcW w:w="1961" w:type="dxa"/>
            <w:tcBorders>
              <w:top w:val="nil"/>
              <w:left w:val="nil"/>
              <w:bottom w:val="nil"/>
              <w:right w:val="nil"/>
            </w:tcBorders>
            <w:hideMark/>
          </w:tcPr>
          <w:p w14:paraId="5A8DC6C5" w14:textId="77777777" w:rsidR="00992A45" w:rsidRPr="00BD7721" w:rsidRDefault="00992A45" w:rsidP="004E48D5">
            <w:pPr>
              <w:pStyle w:val="Normal-pool"/>
              <w:spacing w:before="40" w:after="40"/>
              <w:rPr>
                <w:b/>
                <w:sz w:val="18"/>
                <w:szCs w:val="18"/>
                <w:lang w:val="en-GB"/>
              </w:rPr>
            </w:pPr>
            <w:r w:rsidRPr="00BD7721">
              <w:rPr>
                <w:sz w:val="18"/>
                <w:szCs w:val="18"/>
                <w:lang w:val="en-GB"/>
              </w:rPr>
              <w:t xml:space="preserve">Germany </w:t>
            </w:r>
          </w:p>
        </w:tc>
        <w:tc>
          <w:tcPr>
            <w:tcW w:w="2717" w:type="dxa"/>
            <w:tcBorders>
              <w:top w:val="nil"/>
              <w:left w:val="nil"/>
              <w:bottom w:val="nil"/>
              <w:right w:val="nil"/>
            </w:tcBorders>
            <w:hideMark/>
          </w:tcPr>
          <w:p w14:paraId="0C0F5F18"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participants in the sixth session of the Plenary</w:t>
            </w:r>
          </w:p>
        </w:tc>
        <w:tc>
          <w:tcPr>
            <w:tcW w:w="1134" w:type="dxa"/>
            <w:tcBorders>
              <w:top w:val="nil"/>
              <w:left w:val="nil"/>
              <w:bottom w:val="nil"/>
              <w:right w:val="nil"/>
            </w:tcBorders>
            <w:hideMark/>
          </w:tcPr>
          <w:p w14:paraId="44BFC1EF"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participants</w:t>
            </w:r>
          </w:p>
        </w:tc>
        <w:tc>
          <w:tcPr>
            <w:tcW w:w="1032" w:type="dxa"/>
            <w:tcBorders>
              <w:top w:val="nil"/>
              <w:left w:val="nil"/>
              <w:bottom w:val="nil"/>
              <w:right w:val="nil"/>
            </w:tcBorders>
            <w:vAlign w:val="bottom"/>
            <w:hideMark/>
          </w:tcPr>
          <w:p w14:paraId="0B7FB9BB"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149 068</w:t>
            </w:r>
          </w:p>
        </w:tc>
        <w:tc>
          <w:tcPr>
            <w:tcW w:w="932" w:type="dxa"/>
            <w:tcBorders>
              <w:top w:val="nil"/>
              <w:left w:val="nil"/>
              <w:bottom w:val="nil"/>
              <w:right w:val="nil"/>
            </w:tcBorders>
            <w:vAlign w:val="bottom"/>
            <w:hideMark/>
          </w:tcPr>
          <w:p w14:paraId="3E04EE7C" w14:textId="5DD79CD6"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1013" w:type="dxa"/>
            <w:tcBorders>
              <w:top w:val="nil"/>
              <w:left w:val="nil"/>
              <w:bottom w:val="nil"/>
              <w:right w:val="nil"/>
            </w:tcBorders>
            <w:vAlign w:val="bottom"/>
            <w:hideMark/>
          </w:tcPr>
          <w:p w14:paraId="5E3DE3AF" w14:textId="6550665C"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851" w:type="dxa"/>
            <w:tcBorders>
              <w:top w:val="nil"/>
              <w:left w:val="nil"/>
              <w:bottom w:val="nil"/>
              <w:right w:val="nil"/>
            </w:tcBorders>
            <w:vAlign w:val="bottom"/>
            <w:hideMark/>
          </w:tcPr>
          <w:p w14:paraId="0754AC36" w14:textId="6CE220CA"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92" w:type="dxa"/>
            <w:tcBorders>
              <w:top w:val="nil"/>
              <w:left w:val="nil"/>
              <w:bottom w:val="nil"/>
              <w:right w:val="nil"/>
            </w:tcBorders>
            <w:vAlign w:val="bottom"/>
            <w:hideMark/>
          </w:tcPr>
          <w:p w14:paraId="565F3BDA" w14:textId="32DA78F8"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03" w:type="dxa"/>
            <w:tcBorders>
              <w:top w:val="nil"/>
              <w:left w:val="nil"/>
              <w:bottom w:val="nil"/>
              <w:right w:val="single" w:sz="4" w:space="0" w:color="000000"/>
            </w:tcBorders>
            <w:vAlign w:val="bottom"/>
          </w:tcPr>
          <w:p w14:paraId="1E8808CB"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hideMark/>
          </w:tcPr>
          <w:p w14:paraId="63C60B1E" w14:textId="29698BF0"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hideMark/>
          </w:tcPr>
          <w:p w14:paraId="3FA560A7" w14:textId="5BAC8EFD"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4679CFF1" w14:textId="77777777" w:rsidR="00992A45" w:rsidRPr="00BD7721" w:rsidRDefault="00992A45" w:rsidP="004E48D5">
            <w:pPr>
              <w:pStyle w:val="Normal-pool"/>
              <w:spacing w:before="40" w:after="40"/>
              <w:jc w:val="right"/>
              <w:rPr>
                <w:b/>
                <w:sz w:val="18"/>
                <w:szCs w:val="18"/>
                <w:lang w:val="en-GB"/>
              </w:rPr>
            </w:pPr>
          </w:p>
        </w:tc>
      </w:tr>
      <w:tr w:rsidR="00992A45" w:rsidRPr="00BD7721" w14:paraId="02D041D7" w14:textId="77777777" w:rsidTr="008A335A">
        <w:trPr>
          <w:trHeight w:val="57"/>
          <w:jc w:val="right"/>
        </w:trPr>
        <w:tc>
          <w:tcPr>
            <w:tcW w:w="1961" w:type="dxa"/>
            <w:tcBorders>
              <w:top w:val="nil"/>
              <w:left w:val="nil"/>
              <w:bottom w:val="nil"/>
              <w:right w:val="nil"/>
            </w:tcBorders>
            <w:hideMark/>
          </w:tcPr>
          <w:p w14:paraId="7633E26B" w14:textId="77777777" w:rsidR="00992A45" w:rsidRPr="00BD7721" w:rsidRDefault="00992A45" w:rsidP="004E48D5">
            <w:pPr>
              <w:pStyle w:val="Normal-pool"/>
              <w:spacing w:before="40" w:after="40"/>
              <w:rPr>
                <w:b/>
                <w:sz w:val="18"/>
                <w:szCs w:val="18"/>
                <w:lang w:val="en-GB"/>
              </w:rPr>
            </w:pPr>
            <w:r w:rsidRPr="00BD7721">
              <w:rPr>
                <w:sz w:val="18"/>
                <w:szCs w:val="18"/>
                <w:lang w:val="en-GB"/>
              </w:rPr>
              <w:t xml:space="preserve">Germany </w:t>
            </w:r>
          </w:p>
        </w:tc>
        <w:tc>
          <w:tcPr>
            <w:tcW w:w="2717" w:type="dxa"/>
            <w:tcBorders>
              <w:top w:val="nil"/>
              <w:left w:val="nil"/>
              <w:bottom w:val="nil"/>
              <w:right w:val="nil"/>
            </w:tcBorders>
            <w:hideMark/>
          </w:tcPr>
          <w:p w14:paraId="3F8217E9"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participants in the ninth session of the Plenary</w:t>
            </w:r>
          </w:p>
        </w:tc>
        <w:tc>
          <w:tcPr>
            <w:tcW w:w="1134" w:type="dxa"/>
            <w:tcBorders>
              <w:top w:val="nil"/>
              <w:left w:val="nil"/>
              <w:bottom w:val="nil"/>
              <w:right w:val="nil"/>
            </w:tcBorders>
            <w:hideMark/>
          </w:tcPr>
          <w:p w14:paraId="7CDC14FD"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participants</w:t>
            </w:r>
          </w:p>
        </w:tc>
        <w:tc>
          <w:tcPr>
            <w:tcW w:w="1032" w:type="dxa"/>
            <w:tcBorders>
              <w:top w:val="nil"/>
              <w:left w:val="nil"/>
              <w:bottom w:val="nil"/>
              <w:right w:val="nil"/>
            </w:tcBorders>
            <w:vAlign w:val="bottom"/>
            <w:hideMark/>
          </w:tcPr>
          <w:p w14:paraId="221E3BD4" w14:textId="59730EAD"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32" w:type="dxa"/>
            <w:tcBorders>
              <w:top w:val="nil"/>
              <w:left w:val="nil"/>
              <w:bottom w:val="nil"/>
              <w:right w:val="nil"/>
            </w:tcBorders>
            <w:vAlign w:val="bottom"/>
            <w:hideMark/>
          </w:tcPr>
          <w:p w14:paraId="7CE9E8B0" w14:textId="59EB0AFC"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1013" w:type="dxa"/>
            <w:tcBorders>
              <w:top w:val="nil"/>
              <w:left w:val="nil"/>
              <w:bottom w:val="nil"/>
              <w:right w:val="nil"/>
            </w:tcBorders>
            <w:vAlign w:val="bottom"/>
            <w:hideMark/>
          </w:tcPr>
          <w:p w14:paraId="34909C61" w14:textId="18B6283D"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851" w:type="dxa"/>
            <w:tcBorders>
              <w:top w:val="nil"/>
              <w:left w:val="nil"/>
              <w:bottom w:val="nil"/>
              <w:right w:val="nil"/>
            </w:tcBorders>
            <w:vAlign w:val="bottom"/>
            <w:hideMark/>
          </w:tcPr>
          <w:p w14:paraId="2ACBF335" w14:textId="6CED2678"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92" w:type="dxa"/>
            <w:tcBorders>
              <w:top w:val="nil"/>
              <w:left w:val="nil"/>
              <w:bottom w:val="nil"/>
              <w:right w:val="nil"/>
            </w:tcBorders>
            <w:vAlign w:val="bottom"/>
            <w:hideMark/>
          </w:tcPr>
          <w:p w14:paraId="6D3DF40B"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208 768</w:t>
            </w:r>
          </w:p>
        </w:tc>
        <w:tc>
          <w:tcPr>
            <w:tcW w:w="903" w:type="dxa"/>
            <w:tcBorders>
              <w:top w:val="nil"/>
              <w:left w:val="nil"/>
              <w:bottom w:val="nil"/>
              <w:right w:val="single" w:sz="4" w:space="0" w:color="000000"/>
            </w:tcBorders>
            <w:vAlign w:val="bottom"/>
          </w:tcPr>
          <w:p w14:paraId="7CC8483F"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hideMark/>
          </w:tcPr>
          <w:p w14:paraId="2A889BA3" w14:textId="7F6BDCD7"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hideMark/>
          </w:tcPr>
          <w:p w14:paraId="55C794B4" w14:textId="03FA04F8"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64A0AB15" w14:textId="77777777" w:rsidR="00992A45" w:rsidRPr="00BD7721" w:rsidRDefault="00992A45" w:rsidP="004E48D5">
            <w:pPr>
              <w:pStyle w:val="Normal-pool"/>
              <w:spacing w:before="40" w:after="40"/>
              <w:jc w:val="right"/>
              <w:rPr>
                <w:b/>
                <w:sz w:val="18"/>
                <w:szCs w:val="18"/>
                <w:lang w:val="en-GB"/>
              </w:rPr>
            </w:pPr>
          </w:p>
        </w:tc>
      </w:tr>
      <w:tr w:rsidR="00992A45" w:rsidRPr="00BD7721" w14:paraId="7A86341F" w14:textId="77777777" w:rsidTr="008A335A">
        <w:trPr>
          <w:trHeight w:val="57"/>
          <w:jc w:val="right"/>
        </w:trPr>
        <w:tc>
          <w:tcPr>
            <w:tcW w:w="1961" w:type="dxa"/>
            <w:tcBorders>
              <w:top w:val="nil"/>
              <w:left w:val="nil"/>
              <w:bottom w:val="nil"/>
              <w:right w:val="nil"/>
            </w:tcBorders>
            <w:hideMark/>
          </w:tcPr>
          <w:p w14:paraId="0A7A763A" w14:textId="77777777" w:rsidR="00992A45" w:rsidRPr="00BD7721" w:rsidRDefault="00992A45" w:rsidP="004E48D5">
            <w:pPr>
              <w:pStyle w:val="Normal-pool"/>
              <w:spacing w:before="40" w:after="40"/>
              <w:rPr>
                <w:b/>
                <w:sz w:val="18"/>
                <w:szCs w:val="18"/>
                <w:lang w:val="en-GB"/>
              </w:rPr>
            </w:pPr>
            <w:r w:rsidRPr="00BD7721">
              <w:rPr>
                <w:sz w:val="18"/>
                <w:szCs w:val="18"/>
                <w:lang w:val="en-GB"/>
              </w:rPr>
              <w:t xml:space="preserve">Germany </w:t>
            </w:r>
          </w:p>
        </w:tc>
        <w:tc>
          <w:tcPr>
            <w:tcW w:w="2717" w:type="dxa"/>
            <w:tcBorders>
              <w:top w:val="nil"/>
              <w:left w:val="nil"/>
              <w:bottom w:val="nil"/>
              <w:right w:val="nil"/>
            </w:tcBorders>
            <w:hideMark/>
          </w:tcPr>
          <w:p w14:paraId="17164D7E" w14:textId="77777777" w:rsidR="00992A45" w:rsidRPr="00BD7721" w:rsidRDefault="00992A45" w:rsidP="004E48D5">
            <w:pPr>
              <w:pStyle w:val="Normal-pool"/>
              <w:spacing w:before="40" w:after="40"/>
              <w:rPr>
                <w:b/>
                <w:sz w:val="18"/>
                <w:szCs w:val="18"/>
                <w:lang w:val="en-GB"/>
              </w:rPr>
            </w:pPr>
            <w:r w:rsidRPr="00BD7721">
              <w:rPr>
                <w:sz w:val="18"/>
                <w:szCs w:val="18"/>
                <w:lang w:val="en-GB"/>
              </w:rPr>
              <w:t>Third author meeting for the global assessment of biodiversity and ecosystem services</w:t>
            </w:r>
          </w:p>
        </w:tc>
        <w:tc>
          <w:tcPr>
            <w:tcW w:w="1134" w:type="dxa"/>
            <w:tcBorders>
              <w:top w:val="nil"/>
              <w:left w:val="nil"/>
              <w:bottom w:val="nil"/>
              <w:right w:val="nil"/>
            </w:tcBorders>
            <w:hideMark/>
          </w:tcPr>
          <w:p w14:paraId="4DA78AA5" w14:textId="77777777" w:rsidR="00992A45" w:rsidRPr="00BD7721" w:rsidRDefault="00992A45" w:rsidP="004E48D5">
            <w:pPr>
              <w:pStyle w:val="Normal-pool"/>
              <w:spacing w:before="40" w:after="40"/>
              <w:rPr>
                <w:b/>
                <w:sz w:val="18"/>
                <w:szCs w:val="18"/>
                <w:lang w:val="en-GB"/>
              </w:rPr>
            </w:pPr>
            <w:r w:rsidRPr="00BD7721">
              <w:rPr>
                <w:sz w:val="18"/>
                <w:szCs w:val="18"/>
                <w:lang w:val="en-GB"/>
              </w:rPr>
              <w:t>Venue and logistics</w:t>
            </w:r>
          </w:p>
        </w:tc>
        <w:tc>
          <w:tcPr>
            <w:tcW w:w="1032" w:type="dxa"/>
            <w:tcBorders>
              <w:top w:val="nil"/>
              <w:left w:val="nil"/>
              <w:bottom w:val="nil"/>
              <w:right w:val="nil"/>
            </w:tcBorders>
            <w:vAlign w:val="bottom"/>
            <w:hideMark/>
          </w:tcPr>
          <w:p w14:paraId="2F7EA928"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6 269</w:t>
            </w:r>
          </w:p>
        </w:tc>
        <w:tc>
          <w:tcPr>
            <w:tcW w:w="932" w:type="dxa"/>
            <w:tcBorders>
              <w:top w:val="nil"/>
              <w:left w:val="nil"/>
              <w:bottom w:val="nil"/>
              <w:right w:val="nil"/>
            </w:tcBorders>
            <w:vAlign w:val="bottom"/>
            <w:hideMark/>
          </w:tcPr>
          <w:p w14:paraId="292C3129" w14:textId="10B15DD9"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1013" w:type="dxa"/>
            <w:tcBorders>
              <w:top w:val="nil"/>
              <w:left w:val="nil"/>
              <w:bottom w:val="nil"/>
              <w:right w:val="nil"/>
            </w:tcBorders>
            <w:vAlign w:val="bottom"/>
            <w:hideMark/>
          </w:tcPr>
          <w:p w14:paraId="1F66AC44" w14:textId="20DAE436"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851" w:type="dxa"/>
            <w:tcBorders>
              <w:top w:val="nil"/>
              <w:left w:val="nil"/>
              <w:bottom w:val="nil"/>
              <w:right w:val="nil"/>
            </w:tcBorders>
            <w:vAlign w:val="bottom"/>
            <w:hideMark/>
          </w:tcPr>
          <w:p w14:paraId="40EB7349" w14:textId="0A13ABD8"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92" w:type="dxa"/>
            <w:tcBorders>
              <w:top w:val="nil"/>
              <w:left w:val="nil"/>
              <w:bottom w:val="nil"/>
              <w:right w:val="nil"/>
            </w:tcBorders>
            <w:vAlign w:val="bottom"/>
            <w:hideMark/>
          </w:tcPr>
          <w:p w14:paraId="23B29568" w14:textId="2D0BD981"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03" w:type="dxa"/>
            <w:tcBorders>
              <w:top w:val="nil"/>
              <w:left w:val="nil"/>
              <w:bottom w:val="nil"/>
              <w:right w:val="single" w:sz="4" w:space="0" w:color="000000"/>
            </w:tcBorders>
            <w:vAlign w:val="bottom"/>
          </w:tcPr>
          <w:p w14:paraId="151A811D"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hideMark/>
          </w:tcPr>
          <w:p w14:paraId="34D7F034" w14:textId="3E7D011A"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hideMark/>
          </w:tcPr>
          <w:p w14:paraId="5B26DD58" w14:textId="0416BD75"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7D066CBB" w14:textId="77777777" w:rsidR="00992A45" w:rsidRPr="00BD7721" w:rsidRDefault="00992A45" w:rsidP="004E48D5">
            <w:pPr>
              <w:pStyle w:val="Normal-pool"/>
              <w:spacing w:before="40" w:after="40"/>
              <w:jc w:val="right"/>
              <w:rPr>
                <w:b/>
                <w:sz w:val="18"/>
                <w:szCs w:val="18"/>
                <w:lang w:val="en-GB"/>
              </w:rPr>
            </w:pPr>
          </w:p>
        </w:tc>
      </w:tr>
      <w:tr w:rsidR="00992A45" w:rsidRPr="00BD7721" w14:paraId="13C96715" w14:textId="77777777" w:rsidTr="008A335A">
        <w:trPr>
          <w:trHeight w:val="57"/>
          <w:jc w:val="right"/>
        </w:trPr>
        <w:tc>
          <w:tcPr>
            <w:tcW w:w="1961" w:type="dxa"/>
            <w:tcBorders>
              <w:top w:val="nil"/>
              <w:left w:val="nil"/>
              <w:bottom w:val="nil"/>
              <w:right w:val="nil"/>
            </w:tcBorders>
            <w:hideMark/>
          </w:tcPr>
          <w:p w14:paraId="098A8293" w14:textId="77777777" w:rsidR="00992A45" w:rsidRPr="00BD7721" w:rsidRDefault="00992A45" w:rsidP="004E48D5">
            <w:pPr>
              <w:pStyle w:val="Normal-pool"/>
              <w:spacing w:before="40" w:after="40"/>
              <w:rPr>
                <w:b/>
                <w:sz w:val="18"/>
                <w:szCs w:val="18"/>
                <w:lang w:val="en-GB"/>
              </w:rPr>
            </w:pPr>
            <w:r w:rsidRPr="00BD7721">
              <w:rPr>
                <w:sz w:val="18"/>
                <w:szCs w:val="18"/>
                <w:lang w:val="en-GB"/>
              </w:rPr>
              <w:t>Republic of Korea</w:t>
            </w:r>
          </w:p>
        </w:tc>
        <w:tc>
          <w:tcPr>
            <w:tcW w:w="2717" w:type="dxa"/>
            <w:tcBorders>
              <w:top w:val="nil"/>
              <w:left w:val="nil"/>
              <w:bottom w:val="nil"/>
              <w:right w:val="nil"/>
            </w:tcBorders>
            <w:hideMark/>
          </w:tcPr>
          <w:p w14:paraId="21BFF7E1" w14:textId="77777777" w:rsidR="00992A45" w:rsidRPr="00BD7721" w:rsidRDefault="00992A45" w:rsidP="004E48D5">
            <w:pPr>
              <w:pStyle w:val="Normal-pool"/>
              <w:spacing w:before="40" w:after="40"/>
              <w:rPr>
                <w:b/>
                <w:sz w:val="18"/>
                <w:szCs w:val="18"/>
                <w:lang w:val="en-GB"/>
              </w:rPr>
            </w:pPr>
            <w:r w:rsidRPr="00BD7721">
              <w:rPr>
                <w:sz w:val="18"/>
                <w:szCs w:val="18"/>
                <w:lang w:val="en-GB"/>
              </w:rPr>
              <w:t>Meeting of the task force on knowledge and data</w:t>
            </w:r>
          </w:p>
        </w:tc>
        <w:tc>
          <w:tcPr>
            <w:tcW w:w="1134" w:type="dxa"/>
            <w:tcBorders>
              <w:top w:val="nil"/>
              <w:left w:val="nil"/>
              <w:bottom w:val="nil"/>
              <w:right w:val="nil"/>
            </w:tcBorders>
            <w:hideMark/>
          </w:tcPr>
          <w:p w14:paraId="5C95283C"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participants</w:t>
            </w:r>
          </w:p>
        </w:tc>
        <w:tc>
          <w:tcPr>
            <w:tcW w:w="1032" w:type="dxa"/>
            <w:tcBorders>
              <w:top w:val="nil"/>
              <w:left w:val="nil"/>
              <w:bottom w:val="nil"/>
              <w:right w:val="nil"/>
            </w:tcBorders>
            <w:vAlign w:val="bottom"/>
            <w:hideMark/>
          </w:tcPr>
          <w:p w14:paraId="61357A29"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 xml:space="preserve"> 123 378</w:t>
            </w:r>
          </w:p>
        </w:tc>
        <w:tc>
          <w:tcPr>
            <w:tcW w:w="932" w:type="dxa"/>
            <w:tcBorders>
              <w:top w:val="nil"/>
              <w:left w:val="nil"/>
              <w:bottom w:val="nil"/>
              <w:right w:val="nil"/>
            </w:tcBorders>
            <w:vAlign w:val="bottom"/>
            <w:hideMark/>
          </w:tcPr>
          <w:p w14:paraId="5B9C541B" w14:textId="7264D919"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1013" w:type="dxa"/>
            <w:tcBorders>
              <w:top w:val="nil"/>
              <w:left w:val="nil"/>
              <w:bottom w:val="nil"/>
              <w:right w:val="nil"/>
            </w:tcBorders>
            <w:vAlign w:val="bottom"/>
            <w:hideMark/>
          </w:tcPr>
          <w:p w14:paraId="17536827" w14:textId="15DCA972"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851" w:type="dxa"/>
            <w:tcBorders>
              <w:top w:val="nil"/>
              <w:left w:val="nil"/>
              <w:bottom w:val="nil"/>
              <w:right w:val="nil"/>
            </w:tcBorders>
            <w:vAlign w:val="bottom"/>
            <w:hideMark/>
          </w:tcPr>
          <w:p w14:paraId="75CF598F" w14:textId="0CF25BC4"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92" w:type="dxa"/>
            <w:tcBorders>
              <w:top w:val="nil"/>
              <w:left w:val="nil"/>
              <w:bottom w:val="nil"/>
              <w:right w:val="nil"/>
            </w:tcBorders>
            <w:vAlign w:val="bottom"/>
            <w:hideMark/>
          </w:tcPr>
          <w:p w14:paraId="2EABC866" w14:textId="38179968"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03" w:type="dxa"/>
            <w:tcBorders>
              <w:top w:val="nil"/>
              <w:left w:val="nil"/>
              <w:bottom w:val="nil"/>
              <w:right w:val="single" w:sz="4" w:space="0" w:color="000000"/>
            </w:tcBorders>
            <w:vAlign w:val="bottom"/>
          </w:tcPr>
          <w:p w14:paraId="0F33B7DD"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hideMark/>
          </w:tcPr>
          <w:p w14:paraId="4E2165B6" w14:textId="46C8E377"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hideMark/>
          </w:tcPr>
          <w:p w14:paraId="7247DB72" w14:textId="42F098AD"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49BA8692" w14:textId="77777777" w:rsidR="00992A45" w:rsidRPr="00BD7721" w:rsidRDefault="00992A45" w:rsidP="004E48D5">
            <w:pPr>
              <w:pStyle w:val="Normal-pool"/>
              <w:spacing w:before="40" w:after="40"/>
              <w:jc w:val="right"/>
              <w:rPr>
                <w:b/>
                <w:sz w:val="18"/>
                <w:szCs w:val="18"/>
                <w:lang w:val="en-GB"/>
              </w:rPr>
            </w:pPr>
          </w:p>
        </w:tc>
      </w:tr>
      <w:tr w:rsidR="00992A45" w:rsidRPr="00BD7721" w14:paraId="75AAA641" w14:textId="77777777" w:rsidTr="008A335A">
        <w:trPr>
          <w:trHeight w:val="57"/>
          <w:jc w:val="right"/>
        </w:trPr>
        <w:tc>
          <w:tcPr>
            <w:tcW w:w="1961" w:type="dxa"/>
            <w:tcBorders>
              <w:top w:val="nil"/>
              <w:left w:val="nil"/>
              <w:bottom w:val="single" w:sz="4" w:space="0" w:color="000000"/>
              <w:right w:val="nil"/>
            </w:tcBorders>
            <w:hideMark/>
          </w:tcPr>
          <w:p w14:paraId="30845484" w14:textId="77777777" w:rsidR="00992A45" w:rsidRPr="00BD7721" w:rsidRDefault="00992A45" w:rsidP="004E48D5">
            <w:pPr>
              <w:pStyle w:val="Normal-pool"/>
              <w:spacing w:before="40" w:after="40"/>
              <w:rPr>
                <w:b/>
                <w:sz w:val="18"/>
                <w:szCs w:val="18"/>
                <w:lang w:val="en-GB"/>
              </w:rPr>
            </w:pPr>
            <w:r w:rsidRPr="00BD7721">
              <w:rPr>
                <w:sz w:val="18"/>
                <w:szCs w:val="18"/>
                <w:lang w:val="en-GB"/>
              </w:rPr>
              <w:t>Sweden</w:t>
            </w:r>
          </w:p>
        </w:tc>
        <w:tc>
          <w:tcPr>
            <w:tcW w:w="2717" w:type="dxa"/>
            <w:tcBorders>
              <w:top w:val="nil"/>
              <w:left w:val="nil"/>
              <w:bottom w:val="single" w:sz="4" w:space="0" w:color="000000"/>
              <w:right w:val="nil"/>
            </w:tcBorders>
            <w:hideMark/>
          </w:tcPr>
          <w:p w14:paraId="5FAB1528"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the participation of Multidisciplinary Expert Panel members from developing countries</w:t>
            </w:r>
          </w:p>
        </w:tc>
        <w:tc>
          <w:tcPr>
            <w:tcW w:w="1134" w:type="dxa"/>
            <w:tcBorders>
              <w:top w:val="nil"/>
              <w:left w:val="nil"/>
              <w:bottom w:val="single" w:sz="4" w:space="0" w:color="000000"/>
              <w:right w:val="nil"/>
            </w:tcBorders>
            <w:hideMark/>
          </w:tcPr>
          <w:p w14:paraId="41578B21"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participants</w:t>
            </w:r>
          </w:p>
        </w:tc>
        <w:tc>
          <w:tcPr>
            <w:tcW w:w="1032" w:type="dxa"/>
            <w:tcBorders>
              <w:top w:val="nil"/>
              <w:left w:val="nil"/>
              <w:bottom w:val="single" w:sz="4" w:space="0" w:color="000000"/>
              <w:right w:val="nil"/>
            </w:tcBorders>
            <w:vAlign w:val="bottom"/>
            <w:hideMark/>
          </w:tcPr>
          <w:p w14:paraId="56814488"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84 603</w:t>
            </w:r>
          </w:p>
        </w:tc>
        <w:tc>
          <w:tcPr>
            <w:tcW w:w="932" w:type="dxa"/>
            <w:tcBorders>
              <w:top w:val="nil"/>
              <w:left w:val="nil"/>
              <w:bottom w:val="single" w:sz="4" w:space="0" w:color="000000"/>
              <w:right w:val="nil"/>
            </w:tcBorders>
            <w:vAlign w:val="bottom"/>
            <w:hideMark/>
          </w:tcPr>
          <w:p w14:paraId="382F038D" w14:textId="52D15FD0"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1013" w:type="dxa"/>
            <w:tcBorders>
              <w:top w:val="nil"/>
              <w:left w:val="nil"/>
              <w:bottom w:val="single" w:sz="4" w:space="0" w:color="000000"/>
              <w:right w:val="nil"/>
            </w:tcBorders>
            <w:vAlign w:val="bottom"/>
            <w:hideMark/>
          </w:tcPr>
          <w:p w14:paraId="7EA81282" w14:textId="7EA65A58"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851" w:type="dxa"/>
            <w:tcBorders>
              <w:top w:val="nil"/>
              <w:left w:val="nil"/>
              <w:bottom w:val="single" w:sz="4" w:space="0" w:color="000000"/>
              <w:right w:val="nil"/>
            </w:tcBorders>
            <w:vAlign w:val="bottom"/>
            <w:hideMark/>
          </w:tcPr>
          <w:p w14:paraId="10DB00B6" w14:textId="3C4A14CD"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92" w:type="dxa"/>
            <w:tcBorders>
              <w:top w:val="nil"/>
              <w:left w:val="nil"/>
              <w:bottom w:val="single" w:sz="4" w:space="0" w:color="000000"/>
              <w:right w:val="nil"/>
            </w:tcBorders>
            <w:vAlign w:val="bottom"/>
            <w:hideMark/>
          </w:tcPr>
          <w:p w14:paraId="3CB706C8" w14:textId="66891595"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03" w:type="dxa"/>
            <w:tcBorders>
              <w:top w:val="nil"/>
              <w:left w:val="nil"/>
              <w:bottom w:val="single" w:sz="4" w:space="0" w:color="000000"/>
              <w:right w:val="single" w:sz="4" w:space="0" w:color="000000"/>
            </w:tcBorders>
            <w:vAlign w:val="bottom"/>
          </w:tcPr>
          <w:p w14:paraId="548BF721"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single" w:sz="4" w:space="0" w:color="000000"/>
              <w:right w:val="nil"/>
            </w:tcBorders>
            <w:vAlign w:val="bottom"/>
            <w:hideMark/>
          </w:tcPr>
          <w:p w14:paraId="189489FA" w14:textId="15280AED"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single" w:sz="4" w:space="0" w:color="000000"/>
              <w:right w:val="nil"/>
            </w:tcBorders>
            <w:vAlign w:val="bottom"/>
            <w:hideMark/>
          </w:tcPr>
          <w:p w14:paraId="157DFF42" w14:textId="45972E97" w:rsidR="00992A45" w:rsidRPr="00BD7721" w:rsidRDefault="008A335A" w:rsidP="004E48D5">
            <w:pPr>
              <w:pStyle w:val="Normal-pool"/>
              <w:spacing w:before="40" w:after="40"/>
              <w:jc w:val="right"/>
              <w:rPr>
                <w:b/>
                <w:sz w:val="18"/>
                <w:szCs w:val="18"/>
                <w:lang w:val="en-GB"/>
              </w:rPr>
            </w:pPr>
            <w:r w:rsidRPr="00BD7721">
              <w:rPr>
                <w:sz w:val="18"/>
                <w:szCs w:val="18"/>
                <w:lang w:val="en-GB"/>
              </w:rPr>
              <w:t xml:space="preserve"> </w:t>
            </w:r>
          </w:p>
        </w:tc>
        <w:tc>
          <w:tcPr>
            <w:tcW w:w="962" w:type="dxa"/>
            <w:tcBorders>
              <w:top w:val="nil"/>
              <w:left w:val="nil"/>
              <w:bottom w:val="single" w:sz="4" w:space="0" w:color="000000"/>
              <w:right w:val="nil"/>
            </w:tcBorders>
            <w:vAlign w:val="bottom"/>
          </w:tcPr>
          <w:p w14:paraId="1DB64CBD" w14:textId="77777777" w:rsidR="00992A45" w:rsidRPr="00BD7721" w:rsidRDefault="00992A45" w:rsidP="004E48D5">
            <w:pPr>
              <w:pStyle w:val="Normal-pool"/>
              <w:spacing w:before="40" w:after="40"/>
              <w:jc w:val="right"/>
              <w:rPr>
                <w:b/>
                <w:sz w:val="18"/>
                <w:szCs w:val="18"/>
                <w:lang w:val="en-GB"/>
              </w:rPr>
            </w:pPr>
          </w:p>
        </w:tc>
      </w:tr>
      <w:tr w:rsidR="00992A45" w:rsidRPr="00BD7721" w14:paraId="4A214F72" w14:textId="77777777" w:rsidTr="008A335A">
        <w:trPr>
          <w:trHeight w:val="57"/>
          <w:jc w:val="right"/>
        </w:trPr>
        <w:tc>
          <w:tcPr>
            <w:tcW w:w="1961" w:type="dxa"/>
            <w:tcBorders>
              <w:top w:val="single" w:sz="4" w:space="0" w:color="000000"/>
              <w:left w:val="nil"/>
              <w:bottom w:val="single" w:sz="4" w:space="0" w:color="000000"/>
              <w:right w:val="nil"/>
            </w:tcBorders>
            <w:hideMark/>
          </w:tcPr>
          <w:p w14:paraId="2EB90346" w14:textId="77777777" w:rsidR="00992A45" w:rsidRPr="00BD7721" w:rsidRDefault="00992A45" w:rsidP="004E48D5">
            <w:pPr>
              <w:pStyle w:val="Normal-pool"/>
              <w:spacing w:before="40" w:after="40"/>
              <w:rPr>
                <w:b/>
                <w:bCs/>
                <w:sz w:val="18"/>
                <w:szCs w:val="18"/>
                <w:lang w:val="en-GB"/>
              </w:rPr>
            </w:pPr>
            <w:r w:rsidRPr="00BD7721">
              <w:rPr>
                <w:b/>
                <w:bCs/>
                <w:sz w:val="18"/>
                <w:szCs w:val="18"/>
                <w:lang w:val="en-GB"/>
              </w:rPr>
              <w:t>Subtotal 1.1</w:t>
            </w:r>
          </w:p>
        </w:tc>
        <w:tc>
          <w:tcPr>
            <w:tcW w:w="2717" w:type="dxa"/>
            <w:tcBorders>
              <w:top w:val="single" w:sz="4" w:space="0" w:color="000000"/>
              <w:left w:val="nil"/>
              <w:bottom w:val="single" w:sz="4" w:space="0" w:color="000000"/>
              <w:right w:val="nil"/>
            </w:tcBorders>
            <w:hideMark/>
          </w:tcPr>
          <w:p w14:paraId="0ABF716B" w14:textId="503712A9" w:rsidR="00992A45" w:rsidRPr="00BD7721" w:rsidRDefault="008A335A" w:rsidP="004E48D5">
            <w:pPr>
              <w:pStyle w:val="Normal-pool"/>
              <w:spacing w:before="40" w:after="40"/>
              <w:rPr>
                <w:b/>
                <w:bCs/>
                <w:sz w:val="18"/>
                <w:szCs w:val="18"/>
                <w:lang w:val="en-GB"/>
              </w:rPr>
            </w:pPr>
            <w:r w:rsidRPr="00BD7721">
              <w:rPr>
                <w:b/>
                <w:bCs/>
                <w:sz w:val="18"/>
                <w:szCs w:val="18"/>
                <w:lang w:val="en-GB"/>
              </w:rPr>
              <w:t xml:space="preserve"> </w:t>
            </w:r>
          </w:p>
        </w:tc>
        <w:tc>
          <w:tcPr>
            <w:tcW w:w="1134" w:type="dxa"/>
            <w:tcBorders>
              <w:top w:val="single" w:sz="4" w:space="0" w:color="000000"/>
              <w:left w:val="nil"/>
              <w:bottom w:val="single" w:sz="4" w:space="0" w:color="000000"/>
              <w:right w:val="nil"/>
            </w:tcBorders>
            <w:hideMark/>
          </w:tcPr>
          <w:p w14:paraId="6D6ED94E" w14:textId="34294A78" w:rsidR="00992A45" w:rsidRPr="00BD7721" w:rsidRDefault="008A335A" w:rsidP="004E48D5">
            <w:pPr>
              <w:pStyle w:val="Normal-pool"/>
              <w:spacing w:before="40" w:after="40"/>
              <w:rPr>
                <w:b/>
                <w:bCs/>
                <w:sz w:val="18"/>
                <w:szCs w:val="18"/>
                <w:lang w:val="en-GB"/>
              </w:rPr>
            </w:pPr>
            <w:r w:rsidRPr="00BD7721">
              <w:rPr>
                <w:b/>
                <w:bCs/>
                <w:sz w:val="18"/>
                <w:szCs w:val="18"/>
                <w:lang w:val="en-GB"/>
              </w:rPr>
              <w:t xml:space="preserve"> </w:t>
            </w:r>
          </w:p>
        </w:tc>
        <w:tc>
          <w:tcPr>
            <w:tcW w:w="1032" w:type="dxa"/>
            <w:tcBorders>
              <w:top w:val="single" w:sz="4" w:space="0" w:color="000000"/>
              <w:left w:val="nil"/>
              <w:bottom w:val="single" w:sz="4" w:space="0" w:color="000000"/>
              <w:right w:val="nil"/>
            </w:tcBorders>
            <w:vAlign w:val="bottom"/>
            <w:hideMark/>
          </w:tcPr>
          <w:p w14:paraId="50937175"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762 831</w:t>
            </w:r>
          </w:p>
        </w:tc>
        <w:tc>
          <w:tcPr>
            <w:tcW w:w="932" w:type="dxa"/>
            <w:tcBorders>
              <w:top w:val="single" w:sz="4" w:space="0" w:color="000000"/>
              <w:left w:val="nil"/>
              <w:bottom w:val="single" w:sz="4" w:space="0" w:color="000000"/>
              <w:right w:val="nil"/>
            </w:tcBorders>
            <w:vAlign w:val="bottom"/>
            <w:hideMark/>
          </w:tcPr>
          <w:p w14:paraId="4374738A"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418 336</w:t>
            </w:r>
          </w:p>
        </w:tc>
        <w:tc>
          <w:tcPr>
            <w:tcW w:w="1013" w:type="dxa"/>
            <w:tcBorders>
              <w:top w:val="single" w:sz="4" w:space="0" w:color="000000"/>
              <w:left w:val="nil"/>
              <w:bottom w:val="single" w:sz="4" w:space="0" w:color="000000"/>
              <w:right w:val="nil"/>
            </w:tcBorders>
            <w:vAlign w:val="bottom"/>
            <w:hideMark/>
          </w:tcPr>
          <w:p w14:paraId="65814D65"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265 179</w:t>
            </w:r>
          </w:p>
        </w:tc>
        <w:tc>
          <w:tcPr>
            <w:tcW w:w="851" w:type="dxa"/>
            <w:tcBorders>
              <w:top w:val="single" w:sz="4" w:space="0" w:color="000000"/>
              <w:left w:val="nil"/>
              <w:bottom w:val="single" w:sz="4" w:space="0" w:color="000000"/>
              <w:right w:val="nil"/>
            </w:tcBorders>
            <w:vAlign w:val="bottom"/>
            <w:hideMark/>
          </w:tcPr>
          <w:p w14:paraId="2C831AD9"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158 082</w:t>
            </w:r>
          </w:p>
        </w:tc>
        <w:tc>
          <w:tcPr>
            <w:tcW w:w="992" w:type="dxa"/>
            <w:tcBorders>
              <w:top w:val="single" w:sz="4" w:space="0" w:color="000000"/>
              <w:left w:val="nil"/>
              <w:bottom w:val="single" w:sz="4" w:space="0" w:color="000000"/>
              <w:right w:val="nil"/>
            </w:tcBorders>
            <w:vAlign w:val="bottom"/>
            <w:hideMark/>
          </w:tcPr>
          <w:p w14:paraId="3CA9B3AD"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383 116</w:t>
            </w:r>
          </w:p>
        </w:tc>
        <w:tc>
          <w:tcPr>
            <w:tcW w:w="903" w:type="dxa"/>
            <w:tcBorders>
              <w:top w:val="single" w:sz="4" w:space="0" w:color="000000"/>
              <w:left w:val="nil"/>
              <w:bottom w:val="single" w:sz="4" w:space="0" w:color="000000"/>
              <w:right w:val="single" w:sz="4" w:space="0" w:color="000000"/>
            </w:tcBorders>
            <w:vAlign w:val="bottom"/>
            <w:hideMark/>
          </w:tcPr>
          <w:p w14:paraId="555EBA34"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29 577</w:t>
            </w:r>
          </w:p>
        </w:tc>
        <w:tc>
          <w:tcPr>
            <w:tcW w:w="969" w:type="dxa"/>
            <w:tcBorders>
              <w:top w:val="single" w:sz="4" w:space="0" w:color="000000"/>
              <w:left w:val="single" w:sz="4" w:space="0" w:color="000000"/>
              <w:bottom w:val="single" w:sz="4" w:space="0" w:color="000000"/>
              <w:right w:val="nil"/>
            </w:tcBorders>
            <w:vAlign w:val="bottom"/>
            <w:hideMark/>
          </w:tcPr>
          <w:p w14:paraId="2E1A4C3C"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99 010</w:t>
            </w:r>
          </w:p>
        </w:tc>
        <w:tc>
          <w:tcPr>
            <w:tcW w:w="962" w:type="dxa"/>
            <w:tcBorders>
              <w:top w:val="single" w:sz="4" w:space="0" w:color="000000"/>
              <w:left w:val="nil"/>
              <w:bottom w:val="single" w:sz="4" w:space="0" w:color="000000"/>
              <w:right w:val="nil"/>
            </w:tcBorders>
            <w:vAlign w:val="bottom"/>
            <w:hideMark/>
          </w:tcPr>
          <w:p w14:paraId="41EB707D"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31 397</w:t>
            </w:r>
          </w:p>
        </w:tc>
        <w:tc>
          <w:tcPr>
            <w:tcW w:w="962" w:type="dxa"/>
            <w:tcBorders>
              <w:top w:val="single" w:sz="4" w:space="0" w:color="000000"/>
              <w:left w:val="nil"/>
              <w:bottom w:val="single" w:sz="4" w:space="0" w:color="000000"/>
              <w:right w:val="nil"/>
            </w:tcBorders>
            <w:vAlign w:val="bottom"/>
            <w:hideMark/>
          </w:tcPr>
          <w:p w14:paraId="00474B53"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130 407</w:t>
            </w:r>
          </w:p>
        </w:tc>
      </w:tr>
      <w:tr w:rsidR="00992A45" w:rsidRPr="00BD7721" w14:paraId="7A0B2979" w14:textId="77777777" w:rsidTr="004E48D5">
        <w:trPr>
          <w:trHeight w:val="57"/>
          <w:jc w:val="right"/>
        </w:trPr>
        <w:tc>
          <w:tcPr>
            <w:tcW w:w="10632" w:type="dxa"/>
            <w:gridSpan w:val="8"/>
            <w:tcBorders>
              <w:top w:val="single" w:sz="4" w:space="0" w:color="000000"/>
              <w:left w:val="nil"/>
              <w:bottom w:val="single" w:sz="4" w:space="0" w:color="000000"/>
              <w:right w:val="nil"/>
            </w:tcBorders>
            <w:hideMark/>
          </w:tcPr>
          <w:p w14:paraId="7AF1AD44" w14:textId="2EF06F84" w:rsidR="00992A45" w:rsidRPr="00BD7721" w:rsidRDefault="00992A45" w:rsidP="004E48D5">
            <w:pPr>
              <w:pStyle w:val="Normal-pool"/>
              <w:tabs>
                <w:tab w:val="left" w:pos="322"/>
              </w:tabs>
              <w:spacing w:before="40" w:after="40"/>
              <w:rPr>
                <w:sz w:val="18"/>
                <w:szCs w:val="18"/>
                <w:lang w:val="en-GB"/>
              </w:rPr>
            </w:pPr>
            <w:r w:rsidRPr="00BD7721">
              <w:rPr>
                <w:sz w:val="18"/>
                <w:szCs w:val="18"/>
                <w:lang w:val="en-GB"/>
              </w:rPr>
              <w:t>1.2</w:t>
            </w:r>
            <w:r w:rsidRPr="00BD7721">
              <w:rPr>
                <w:sz w:val="18"/>
                <w:szCs w:val="18"/>
                <w:lang w:val="en-GB"/>
              </w:rPr>
              <w:tab/>
              <w:t>Earmarked contribution received in cash in support of the approved work programme from other donors</w:t>
            </w:r>
            <w:r w:rsidR="008A335A" w:rsidRPr="00BD7721">
              <w:rPr>
                <w:sz w:val="18"/>
                <w:szCs w:val="18"/>
                <w:lang w:val="en-GB"/>
              </w:rPr>
              <w:t xml:space="preserve"> </w:t>
            </w:r>
          </w:p>
        </w:tc>
        <w:tc>
          <w:tcPr>
            <w:tcW w:w="903" w:type="dxa"/>
            <w:tcBorders>
              <w:top w:val="single" w:sz="4" w:space="0" w:color="000000"/>
              <w:left w:val="nil"/>
              <w:bottom w:val="single" w:sz="4" w:space="0" w:color="000000"/>
              <w:right w:val="nil"/>
            </w:tcBorders>
          </w:tcPr>
          <w:p w14:paraId="249104AA" w14:textId="77777777" w:rsidR="00992A45" w:rsidRPr="00BD7721" w:rsidRDefault="00992A45" w:rsidP="004E48D5">
            <w:pPr>
              <w:pStyle w:val="Normal-pool"/>
              <w:spacing w:before="40" w:after="40"/>
              <w:rPr>
                <w:sz w:val="18"/>
                <w:szCs w:val="18"/>
                <w:lang w:val="en-GB"/>
              </w:rPr>
            </w:pPr>
          </w:p>
        </w:tc>
        <w:tc>
          <w:tcPr>
            <w:tcW w:w="969" w:type="dxa"/>
            <w:tcBorders>
              <w:top w:val="single" w:sz="4" w:space="0" w:color="000000"/>
              <w:left w:val="nil"/>
              <w:bottom w:val="single" w:sz="4" w:space="0" w:color="000000"/>
              <w:right w:val="nil"/>
            </w:tcBorders>
            <w:hideMark/>
          </w:tcPr>
          <w:p w14:paraId="6A6CA414" w14:textId="784D47F4" w:rsidR="00992A45" w:rsidRPr="00BD7721" w:rsidRDefault="008A335A" w:rsidP="004E48D5">
            <w:pPr>
              <w:pStyle w:val="Normal-pool"/>
              <w:spacing w:before="40" w:after="40"/>
              <w:rPr>
                <w:sz w:val="18"/>
                <w:szCs w:val="18"/>
                <w:lang w:val="en-GB"/>
              </w:rPr>
            </w:pPr>
            <w:r w:rsidRPr="00BD7721">
              <w:rPr>
                <w:sz w:val="18"/>
                <w:szCs w:val="18"/>
                <w:lang w:val="en-GB"/>
              </w:rPr>
              <w:t xml:space="preserve"> </w:t>
            </w:r>
          </w:p>
        </w:tc>
        <w:tc>
          <w:tcPr>
            <w:tcW w:w="962" w:type="dxa"/>
            <w:tcBorders>
              <w:top w:val="single" w:sz="4" w:space="0" w:color="000000"/>
              <w:left w:val="nil"/>
              <w:bottom w:val="single" w:sz="4" w:space="0" w:color="000000"/>
              <w:right w:val="nil"/>
            </w:tcBorders>
            <w:hideMark/>
          </w:tcPr>
          <w:p w14:paraId="64DF878D" w14:textId="52A63F37" w:rsidR="00992A45" w:rsidRPr="00BD7721" w:rsidRDefault="008A335A" w:rsidP="004E48D5">
            <w:pPr>
              <w:pStyle w:val="Normal-pool"/>
              <w:spacing w:before="40" w:after="40"/>
              <w:rPr>
                <w:sz w:val="18"/>
                <w:szCs w:val="18"/>
                <w:lang w:val="en-GB"/>
              </w:rPr>
            </w:pPr>
            <w:r w:rsidRPr="00BD7721">
              <w:rPr>
                <w:sz w:val="18"/>
                <w:szCs w:val="18"/>
                <w:lang w:val="en-GB"/>
              </w:rPr>
              <w:t xml:space="preserve"> </w:t>
            </w:r>
          </w:p>
        </w:tc>
        <w:tc>
          <w:tcPr>
            <w:tcW w:w="962" w:type="dxa"/>
            <w:tcBorders>
              <w:top w:val="single" w:sz="4" w:space="0" w:color="000000"/>
              <w:left w:val="nil"/>
              <w:bottom w:val="single" w:sz="4" w:space="0" w:color="000000"/>
              <w:right w:val="nil"/>
            </w:tcBorders>
          </w:tcPr>
          <w:p w14:paraId="6E6028D3" w14:textId="77777777" w:rsidR="00992A45" w:rsidRPr="00BD7721" w:rsidRDefault="00992A45" w:rsidP="004E48D5">
            <w:pPr>
              <w:pStyle w:val="Normal-pool"/>
              <w:spacing w:before="40" w:after="40"/>
              <w:rPr>
                <w:sz w:val="18"/>
                <w:szCs w:val="18"/>
                <w:lang w:val="en-GB"/>
              </w:rPr>
            </w:pPr>
          </w:p>
        </w:tc>
      </w:tr>
      <w:tr w:rsidR="00992A45" w:rsidRPr="00BD7721" w14:paraId="7F2D0519" w14:textId="77777777" w:rsidTr="008A335A">
        <w:trPr>
          <w:trHeight w:val="57"/>
          <w:jc w:val="right"/>
        </w:trPr>
        <w:tc>
          <w:tcPr>
            <w:tcW w:w="1961" w:type="dxa"/>
            <w:tcBorders>
              <w:top w:val="single" w:sz="4" w:space="0" w:color="000000"/>
              <w:left w:val="nil"/>
              <w:bottom w:val="nil"/>
              <w:right w:val="nil"/>
            </w:tcBorders>
            <w:hideMark/>
          </w:tcPr>
          <w:p w14:paraId="19430CDB" w14:textId="77777777" w:rsidR="00992A45" w:rsidRPr="00BD7721" w:rsidRDefault="00992A45" w:rsidP="004E48D5">
            <w:pPr>
              <w:pStyle w:val="Normal-pool"/>
              <w:spacing w:before="40" w:after="40"/>
              <w:rPr>
                <w:b/>
                <w:sz w:val="18"/>
                <w:szCs w:val="18"/>
                <w:lang w:val="en-GB"/>
              </w:rPr>
            </w:pPr>
            <w:r w:rsidRPr="00BD7721">
              <w:rPr>
                <w:sz w:val="18"/>
                <w:szCs w:val="18"/>
                <w:lang w:val="en-GB"/>
              </w:rPr>
              <w:t>AXA SA</w:t>
            </w:r>
          </w:p>
        </w:tc>
        <w:tc>
          <w:tcPr>
            <w:tcW w:w="2717" w:type="dxa"/>
            <w:tcBorders>
              <w:top w:val="single" w:sz="4" w:space="0" w:color="000000"/>
              <w:left w:val="nil"/>
              <w:bottom w:val="nil"/>
              <w:right w:val="nil"/>
            </w:tcBorders>
            <w:hideMark/>
          </w:tcPr>
          <w:p w14:paraId="3C50F7D0"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the work programme – nexus assessment and transformative change assessment</w:t>
            </w:r>
          </w:p>
        </w:tc>
        <w:tc>
          <w:tcPr>
            <w:tcW w:w="1134" w:type="dxa"/>
            <w:tcBorders>
              <w:top w:val="single" w:sz="4" w:space="0" w:color="000000"/>
              <w:left w:val="nil"/>
              <w:bottom w:val="nil"/>
              <w:right w:val="nil"/>
            </w:tcBorders>
            <w:hideMark/>
          </w:tcPr>
          <w:p w14:paraId="093FC0A1"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deliverables</w:t>
            </w:r>
          </w:p>
        </w:tc>
        <w:tc>
          <w:tcPr>
            <w:tcW w:w="1032" w:type="dxa"/>
            <w:tcBorders>
              <w:top w:val="single" w:sz="4" w:space="0" w:color="000000"/>
              <w:left w:val="nil"/>
              <w:bottom w:val="nil"/>
              <w:right w:val="nil"/>
            </w:tcBorders>
            <w:vAlign w:val="bottom"/>
          </w:tcPr>
          <w:p w14:paraId="6DCDA0B3" w14:textId="77777777" w:rsidR="00992A45" w:rsidRPr="00BD7721" w:rsidRDefault="00992A45" w:rsidP="004E48D5">
            <w:pPr>
              <w:pStyle w:val="Normal-pool"/>
              <w:spacing w:before="40" w:after="40"/>
              <w:rPr>
                <w:b/>
                <w:sz w:val="18"/>
                <w:szCs w:val="18"/>
                <w:lang w:val="en-GB"/>
              </w:rPr>
            </w:pPr>
          </w:p>
        </w:tc>
        <w:tc>
          <w:tcPr>
            <w:tcW w:w="932" w:type="dxa"/>
            <w:tcBorders>
              <w:top w:val="single" w:sz="4" w:space="0" w:color="000000"/>
              <w:left w:val="nil"/>
              <w:bottom w:val="nil"/>
              <w:right w:val="nil"/>
            </w:tcBorders>
            <w:vAlign w:val="bottom"/>
          </w:tcPr>
          <w:p w14:paraId="049AE66C" w14:textId="77777777" w:rsidR="00992A45" w:rsidRPr="00BD7721" w:rsidRDefault="00992A45" w:rsidP="004E48D5">
            <w:pPr>
              <w:pStyle w:val="Normal-pool"/>
              <w:spacing w:before="40" w:after="40"/>
              <w:rPr>
                <w:b/>
                <w:sz w:val="18"/>
                <w:szCs w:val="18"/>
                <w:lang w:val="en-GB"/>
              </w:rPr>
            </w:pPr>
          </w:p>
        </w:tc>
        <w:tc>
          <w:tcPr>
            <w:tcW w:w="1013" w:type="dxa"/>
            <w:tcBorders>
              <w:top w:val="single" w:sz="4" w:space="0" w:color="000000"/>
              <w:left w:val="nil"/>
              <w:bottom w:val="nil"/>
              <w:right w:val="nil"/>
            </w:tcBorders>
            <w:vAlign w:val="bottom"/>
          </w:tcPr>
          <w:p w14:paraId="45866638" w14:textId="77777777" w:rsidR="00992A45" w:rsidRPr="00BD7721" w:rsidRDefault="00992A45" w:rsidP="004E48D5">
            <w:pPr>
              <w:pStyle w:val="Normal-pool"/>
              <w:spacing w:before="40" w:after="40"/>
              <w:rPr>
                <w:b/>
                <w:sz w:val="18"/>
                <w:szCs w:val="18"/>
                <w:lang w:val="en-GB"/>
              </w:rPr>
            </w:pPr>
          </w:p>
        </w:tc>
        <w:tc>
          <w:tcPr>
            <w:tcW w:w="851" w:type="dxa"/>
            <w:tcBorders>
              <w:top w:val="single" w:sz="4" w:space="0" w:color="000000"/>
              <w:left w:val="nil"/>
              <w:bottom w:val="nil"/>
              <w:right w:val="nil"/>
            </w:tcBorders>
            <w:vAlign w:val="bottom"/>
          </w:tcPr>
          <w:p w14:paraId="500C59E5" w14:textId="77777777" w:rsidR="00992A45" w:rsidRPr="00BD7721" w:rsidRDefault="00992A45" w:rsidP="004E48D5">
            <w:pPr>
              <w:pStyle w:val="Normal-pool"/>
              <w:spacing w:before="40" w:after="40"/>
              <w:jc w:val="right"/>
              <w:rPr>
                <w:b/>
                <w:sz w:val="18"/>
                <w:szCs w:val="18"/>
                <w:lang w:val="en-GB"/>
              </w:rPr>
            </w:pPr>
          </w:p>
        </w:tc>
        <w:tc>
          <w:tcPr>
            <w:tcW w:w="992" w:type="dxa"/>
            <w:tcBorders>
              <w:top w:val="single" w:sz="4" w:space="0" w:color="000000"/>
              <w:left w:val="nil"/>
              <w:bottom w:val="nil"/>
              <w:right w:val="nil"/>
            </w:tcBorders>
            <w:vAlign w:val="bottom"/>
            <w:hideMark/>
          </w:tcPr>
          <w:p w14:paraId="04E18115"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184 009</w:t>
            </w:r>
          </w:p>
        </w:tc>
        <w:tc>
          <w:tcPr>
            <w:tcW w:w="903" w:type="dxa"/>
            <w:tcBorders>
              <w:top w:val="single" w:sz="4" w:space="0" w:color="000000"/>
              <w:left w:val="nil"/>
              <w:bottom w:val="nil"/>
              <w:right w:val="single" w:sz="4" w:space="0" w:color="000000"/>
            </w:tcBorders>
            <w:vAlign w:val="bottom"/>
            <w:hideMark/>
          </w:tcPr>
          <w:p w14:paraId="5A21C2C4"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92 004</w:t>
            </w:r>
          </w:p>
        </w:tc>
        <w:tc>
          <w:tcPr>
            <w:tcW w:w="969" w:type="dxa"/>
            <w:tcBorders>
              <w:top w:val="single" w:sz="4" w:space="0" w:color="000000"/>
              <w:left w:val="single" w:sz="4" w:space="0" w:color="000000"/>
              <w:bottom w:val="nil"/>
              <w:right w:val="nil"/>
            </w:tcBorders>
            <w:vAlign w:val="bottom"/>
          </w:tcPr>
          <w:p w14:paraId="5C39C59F" w14:textId="77777777" w:rsidR="00992A45" w:rsidRPr="00BD7721" w:rsidRDefault="00992A45" w:rsidP="004E48D5">
            <w:pPr>
              <w:pStyle w:val="Normal-pool"/>
              <w:spacing w:before="40" w:after="40"/>
              <w:rPr>
                <w:b/>
                <w:sz w:val="18"/>
                <w:szCs w:val="18"/>
                <w:lang w:val="en-GB"/>
              </w:rPr>
            </w:pPr>
          </w:p>
        </w:tc>
        <w:tc>
          <w:tcPr>
            <w:tcW w:w="962" w:type="dxa"/>
            <w:tcBorders>
              <w:top w:val="single" w:sz="4" w:space="0" w:color="000000"/>
              <w:left w:val="nil"/>
              <w:bottom w:val="nil"/>
              <w:right w:val="nil"/>
            </w:tcBorders>
            <w:vAlign w:val="bottom"/>
            <w:hideMark/>
          </w:tcPr>
          <w:p w14:paraId="2F5F5E99" w14:textId="364430B6" w:rsidR="00992A45" w:rsidRPr="00BD7721" w:rsidRDefault="008A335A" w:rsidP="004E48D5">
            <w:pPr>
              <w:pStyle w:val="Normal-pool"/>
              <w:spacing w:before="40" w:after="40"/>
              <w:rPr>
                <w:b/>
                <w:sz w:val="18"/>
                <w:szCs w:val="18"/>
                <w:lang w:val="en-GB"/>
              </w:rPr>
            </w:pPr>
            <w:r w:rsidRPr="00BD7721">
              <w:rPr>
                <w:sz w:val="18"/>
                <w:szCs w:val="18"/>
                <w:lang w:val="en-GB"/>
              </w:rPr>
              <w:t xml:space="preserve"> </w:t>
            </w:r>
          </w:p>
        </w:tc>
        <w:tc>
          <w:tcPr>
            <w:tcW w:w="962" w:type="dxa"/>
            <w:tcBorders>
              <w:top w:val="single" w:sz="4" w:space="0" w:color="000000"/>
              <w:left w:val="nil"/>
              <w:bottom w:val="nil"/>
              <w:right w:val="nil"/>
            </w:tcBorders>
            <w:vAlign w:val="bottom"/>
          </w:tcPr>
          <w:p w14:paraId="78BCD464" w14:textId="77777777" w:rsidR="00992A45" w:rsidRPr="00BD7721" w:rsidRDefault="00992A45" w:rsidP="004E48D5">
            <w:pPr>
              <w:pStyle w:val="Normal-pool"/>
              <w:spacing w:before="40" w:after="40"/>
              <w:rPr>
                <w:b/>
                <w:sz w:val="18"/>
                <w:szCs w:val="18"/>
                <w:lang w:val="en-GB"/>
              </w:rPr>
            </w:pPr>
          </w:p>
        </w:tc>
      </w:tr>
      <w:tr w:rsidR="00992A45" w:rsidRPr="00BD7721" w14:paraId="2F3F3027" w14:textId="77777777" w:rsidTr="008A335A">
        <w:trPr>
          <w:trHeight w:val="57"/>
          <w:jc w:val="right"/>
        </w:trPr>
        <w:tc>
          <w:tcPr>
            <w:tcW w:w="1961" w:type="dxa"/>
            <w:tcBorders>
              <w:top w:val="nil"/>
              <w:left w:val="nil"/>
              <w:bottom w:val="single" w:sz="4" w:space="0" w:color="000000"/>
              <w:right w:val="nil"/>
            </w:tcBorders>
            <w:hideMark/>
          </w:tcPr>
          <w:p w14:paraId="7D298B30" w14:textId="77777777" w:rsidR="00992A45" w:rsidRPr="00BD7721" w:rsidRDefault="00992A45" w:rsidP="004E48D5">
            <w:pPr>
              <w:pStyle w:val="Normal-pool"/>
              <w:spacing w:before="40" w:after="40"/>
              <w:rPr>
                <w:b/>
                <w:sz w:val="18"/>
                <w:szCs w:val="18"/>
                <w:lang w:val="en-GB"/>
              </w:rPr>
            </w:pPr>
            <w:r w:rsidRPr="00BD7721">
              <w:rPr>
                <w:sz w:val="18"/>
                <w:szCs w:val="18"/>
                <w:lang w:val="en-GB"/>
              </w:rPr>
              <w:t>Bill and Melinda Gates Foundation</w:t>
            </w:r>
          </w:p>
        </w:tc>
        <w:tc>
          <w:tcPr>
            <w:tcW w:w="2717" w:type="dxa"/>
            <w:tcBorders>
              <w:top w:val="nil"/>
              <w:left w:val="nil"/>
              <w:bottom w:val="single" w:sz="4" w:space="0" w:color="000000"/>
              <w:right w:val="nil"/>
            </w:tcBorders>
            <w:hideMark/>
          </w:tcPr>
          <w:p w14:paraId="3DCD9B10"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the work programme – nexus assessment</w:t>
            </w:r>
          </w:p>
        </w:tc>
        <w:tc>
          <w:tcPr>
            <w:tcW w:w="1134" w:type="dxa"/>
            <w:tcBorders>
              <w:top w:val="nil"/>
              <w:left w:val="nil"/>
              <w:bottom w:val="single" w:sz="4" w:space="0" w:color="000000"/>
              <w:right w:val="nil"/>
            </w:tcBorders>
            <w:hideMark/>
          </w:tcPr>
          <w:p w14:paraId="13C27A93" w14:textId="77777777" w:rsidR="00992A45" w:rsidRPr="00BD7721" w:rsidRDefault="00992A45" w:rsidP="004E48D5">
            <w:pPr>
              <w:pStyle w:val="Normal-pool"/>
              <w:spacing w:before="40" w:after="40"/>
              <w:rPr>
                <w:b/>
                <w:sz w:val="18"/>
                <w:szCs w:val="18"/>
                <w:lang w:val="en-GB"/>
              </w:rPr>
            </w:pPr>
            <w:r w:rsidRPr="00BD7721">
              <w:rPr>
                <w:sz w:val="18"/>
                <w:szCs w:val="18"/>
                <w:lang w:val="en-GB"/>
              </w:rPr>
              <w:t>Staff costs</w:t>
            </w:r>
          </w:p>
        </w:tc>
        <w:tc>
          <w:tcPr>
            <w:tcW w:w="1032" w:type="dxa"/>
            <w:tcBorders>
              <w:top w:val="nil"/>
              <w:left w:val="nil"/>
              <w:bottom w:val="single" w:sz="4" w:space="0" w:color="000000"/>
              <w:right w:val="nil"/>
            </w:tcBorders>
            <w:vAlign w:val="bottom"/>
          </w:tcPr>
          <w:p w14:paraId="26E51100" w14:textId="77777777" w:rsidR="00992A45" w:rsidRPr="00BD7721" w:rsidRDefault="00992A45" w:rsidP="004E48D5">
            <w:pPr>
              <w:pStyle w:val="Normal-pool"/>
              <w:spacing w:before="40" w:after="40"/>
              <w:rPr>
                <w:b/>
                <w:sz w:val="18"/>
                <w:szCs w:val="18"/>
                <w:lang w:val="en-GB"/>
              </w:rPr>
            </w:pPr>
          </w:p>
        </w:tc>
        <w:tc>
          <w:tcPr>
            <w:tcW w:w="932" w:type="dxa"/>
            <w:tcBorders>
              <w:top w:val="nil"/>
              <w:left w:val="nil"/>
              <w:bottom w:val="single" w:sz="4" w:space="0" w:color="000000"/>
              <w:right w:val="nil"/>
            </w:tcBorders>
            <w:vAlign w:val="bottom"/>
          </w:tcPr>
          <w:p w14:paraId="3CC9FE4C" w14:textId="77777777" w:rsidR="00992A45" w:rsidRPr="00BD7721" w:rsidRDefault="00992A45" w:rsidP="004E48D5">
            <w:pPr>
              <w:pStyle w:val="Normal-pool"/>
              <w:spacing w:before="40" w:after="40"/>
              <w:rPr>
                <w:b/>
                <w:sz w:val="18"/>
                <w:szCs w:val="18"/>
                <w:lang w:val="en-GB"/>
              </w:rPr>
            </w:pPr>
          </w:p>
        </w:tc>
        <w:tc>
          <w:tcPr>
            <w:tcW w:w="1013" w:type="dxa"/>
            <w:tcBorders>
              <w:top w:val="nil"/>
              <w:left w:val="nil"/>
              <w:bottom w:val="single" w:sz="4" w:space="0" w:color="000000"/>
              <w:right w:val="nil"/>
            </w:tcBorders>
            <w:vAlign w:val="bottom"/>
          </w:tcPr>
          <w:p w14:paraId="2C2D8686" w14:textId="77777777" w:rsidR="00992A45" w:rsidRPr="00BD7721" w:rsidRDefault="00992A45" w:rsidP="004E48D5">
            <w:pPr>
              <w:pStyle w:val="Normal-pool"/>
              <w:spacing w:before="40" w:after="40"/>
              <w:rPr>
                <w:b/>
                <w:sz w:val="18"/>
                <w:szCs w:val="18"/>
                <w:lang w:val="en-GB"/>
              </w:rPr>
            </w:pPr>
          </w:p>
        </w:tc>
        <w:tc>
          <w:tcPr>
            <w:tcW w:w="851" w:type="dxa"/>
            <w:tcBorders>
              <w:top w:val="nil"/>
              <w:left w:val="nil"/>
              <w:bottom w:val="single" w:sz="4" w:space="0" w:color="000000"/>
              <w:right w:val="nil"/>
            </w:tcBorders>
            <w:vAlign w:val="bottom"/>
          </w:tcPr>
          <w:p w14:paraId="698E7F25" w14:textId="77777777" w:rsidR="00992A45" w:rsidRPr="00BD7721" w:rsidRDefault="00992A45" w:rsidP="004E48D5">
            <w:pPr>
              <w:pStyle w:val="Normal-pool"/>
              <w:spacing w:before="40" w:after="40"/>
              <w:jc w:val="right"/>
              <w:rPr>
                <w:b/>
                <w:sz w:val="18"/>
                <w:szCs w:val="18"/>
                <w:lang w:val="en-GB"/>
              </w:rPr>
            </w:pPr>
          </w:p>
        </w:tc>
        <w:tc>
          <w:tcPr>
            <w:tcW w:w="992" w:type="dxa"/>
            <w:tcBorders>
              <w:top w:val="nil"/>
              <w:left w:val="nil"/>
              <w:bottom w:val="single" w:sz="4" w:space="0" w:color="000000"/>
              <w:right w:val="nil"/>
            </w:tcBorders>
            <w:vAlign w:val="bottom"/>
            <w:hideMark/>
          </w:tcPr>
          <w:p w14:paraId="1AB09EB0"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286 740</w:t>
            </w:r>
          </w:p>
        </w:tc>
        <w:tc>
          <w:tcPr>
            <w:tcW w:w="903" w:type="dxa"/>
            <w:tcBorders>
              <w:top w:val="nil"/>
              <w:left w:val="nil"/>
              <w:bottom w:val="single" w:sz="4" w:space="0" w:color="000000"/>
              <w:right w:val="single" w:sz="4" w:space="0" w:color="000000"/>
            </w:tcBorders>
            <w:vAlign w:val="bottom"/>
          </w:tcPr>
          <w:p w14:paraId="04C47D2A"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single" w:sz="4" w:space="0" w:color="000000"/>
              <w:right w:val="nil"/>
            </w:tcBorders>
            <w:vAlign w:val="bottom"/>
            <w:hideMark/>
          </w:tcPr>
          <w:p w14:paraId="010262B8" w14:textId="2E4A7358" w:rsidR="00992A45" w:rsidRPr="00BD7721" w:rsidRDefault="008A335A" w:rsidP="004E48D5">
            <w:pPr>
              <w:pStyle w:val="Normal-pool"/>
              <w:spacing w:before="40" w:after="40"/>
              <w:rPr>
                <w:b/>
                <w:sz w:val="18"/>
                <w:szCs w:val="18"/>
                <w:lang w:val="en-GB"/>
              </w:rPr>
            </w:pPr>
            <w:r w:rsidRPr="00BD7721">
              <w:rPr>
                <w:sz w:val="18"/>
                <w:szCs w:val="18"/>
                <w:lang w:val="en-GB"/>
              </w:rPr>
              <w:t xml:space="preserve"> </w:t>
            </w:r>
          </w:p>
        </w:tc>
        <w:tc>
          <w:tcPr>
            <w:tcW w:w="962" w:type="dxa"/>
            <w:tcBorders>
              <w:top w:val="nil"/>
              <w:left w:val="nil"/>
              <w:bottom w:val="single" w:sz="4" w:space="0" w:color="000000"/>
              <w:right w:val="nil"/>
            </w:tcBorders>
            <w:vAlign w:val="bottom"/>
            <w:hideMark/>
          </w:tcPr>
          <w:p w14:paraId="5391D1A2" w14:textId="6B4CFE26" w:rsidR="00992A45" w:rsidRPr="00BD7721" w:rsidRDefault="008A335A" w:rsidP="004E48D5">
            <w:pPr>
              <w:pStyle w:val="Normal-pool"/>
              <w:spacing w:before="40" w:after="40"/>
              <w:rPr>
                <w:b/>
                <w:sz w:val="18"/>
                <w:szCs w:val="18"/>
                <w:lang w:val="en-GB"/>
              </w:rPr>
            </w:pPr>
            <w:r w:rsidRPr="00BD7721">
              <w:rPr>
                <w:sz w:val="18"/>
                <w:szCs w:val="18"/>
                <w:lang w:val="en-GB"/>
              </w:rPr>
              <w:t xml:space="preserve"> </w:t>
            </w:r>
          </w:p>
        </w:tc>
        <w:tc>
          <w:tcPr>
            <w:tcW w:w="962" w:type="dxa"/>
            <w:tcBorders>
              <w:top w:val="nil"/>
              <w:left w:val="nil"/>
              <w:bottom w:val="single" w:sz="4" w:space="0" w:color="000000"/>
              <w:right w:val="nil"/>
            </w:tcBorders>
            <w:vAlign w:val="bottom"/>
          </w:tcPr>
          <w:p w14:paraId="1C2414D0" w14:textId="77777777" w:rsidR="00992A45" w:rsidRPr="00BD7721" w:rsidRDefault="00992A45" w:rsidP="004E48D5">
            <w:pPr>
              <w:pStyle w:val="Normal-pool"/>
              <w:spacing w:before="40" w:after="40"/>
              <w:rPr>
                <w:b/>
                <w:sz w:val="18"/>
                <w:szCs w:val="18"/>
                <w:lang w:val="en-GB"/>
              </w:rPr>
            </w:pPr>
          </w:p>
        </w:tc>
      </w:tr>
      <w:tr w:rsidR="00992A45" w:rsidRPr="00BD7721" w14:paraId="38AB360C" w14:textId="77777777" w:rsidTr="008A335A">
        <w:trPr>
          <w:trHeight w:val="57"/>
          <w:jc w:val="right"/>
        </w:trPr>
        <w:tc>
          <w:tcPr>
            <w:tcW w:w="1961" w:type="dxa"/>
            <w:tcBorders>
              <w:top w:val="single" w:sz="4" w:space="0" w:color="000000"/>
              <w:left w:val="nil"/>
              <w:bottom w:val="single" w:sz="4" w:space="0" w:color="000000"/>
              <w:right w:val="nil"/>
            </w:tcBorders>
            <w:hideMark/>
          </w:tcPr>
          <w:p w14:paraId="262711AD" w14:textId="77777777" w:rsidR="00992A45" w:rsidRPr="00BD7721" w:rsidRDefault="00992A45" w:rsidP="004E48D5">
            <w:pPr>
              <w:pStyle w:val="Normal-pool"/>
              <w:spacing w:before="40" w:after="40"/>
              <w:rPr>
                <w:b/>
                <w:bCs/>
                <w:sz w:val="18"/>
                <w:szCs w:val="18"/>
                <w:lang w:val="en-GB"/>
              </w:rPr>
            </w:pPr>
            <w:r w:rsidRPr="00BD7721">
              <w:rPr>
                <w:b/>
                <w:bCs/>
                <w:sz w:val="18"/>
                <w:szCs w:val="18"/>
                <w:lang w:val="en-GB"/>
              </w:rPr>
              <w:t>Subtotal 1.2</w:t>
            </w:r>
          </w:p>
        </w:tc>
        <w:tc>
          <w:tcPr>
            <w:tcW w:w="2717" w:type="dxa"/>
            <w:tcBorders>
              <w:top w:val="single" w:sz="4" w:space="0" w:color="000000"/>
              <w:left w:val="nil"/>
              <w:bottom w:val="single" w:sz="4" w:space="0" w:color="000000"/>
              <w:right w:val="nil"/>
            </w:tcBorders>
          </w:tcPr>
          <w:p w14:paraId="43DDD497" w14:textId="77777777" w:rsidR="00992A45" w:rsidRPr="00BD7721" w:rsidRDefault="00992A45" w:rsidP="004E48D5">
            <w:pPr>
              <w:pStyle w:val="Normal-pool"/>
              <w:spacing w:before="40" w:after="40"/>
              <w:rPr>
                <w:b/>
                <w:bCs/>
                <w:sz w:val="18"/>
                <w:szCs w:val="18"/>
                <w:lang w:val="en-GB"/>
              </w:rPr>
            </w:pPr>
          </w:p>
        </w:tc>
        <w:tc>
          <w:tcPr>
            <w:tcW w:w="1134" w:type="dxa"/>
            <w:tcBorders>
              <w:top w:val="single" w:sz="4" w:space="0" w:color="000000"/>
              <w:left w:val="nil"/>
              <w:bottom w:val="single" w:sz="4" w:space="0" w:color="000000"/>
              <w:right w:val="nil"/>
            </w:tcBorders>
          </w:tcPr>
          <w:p w14:paraId="30318E48" w14:textId="77777777" w:rsidR="00992A45" w:rsidRPr="00BD7721" w:rsidRDefault="00992A45" w:rsidP="004E48D5">
            <w:pPr>
              <w:pStyle w:val="Normal-pool"/>
              <w:spacing w:before="40" w:after="40"/>
              <w:rPr>
                <w:b/>
                <w:bCs/>
                <w:sz w:val="18"/>
                <w:szCs w:val="18"/>
                <w:lang w:val="en-GB"/>
              </w:rPr>
            </w:pPr>
          </w:p>
        </w:tc>
        <w:tc>
          <w:tcPr>
            <w:tcW w:w="1032" w:type="dxa"/>
            <w:tcBorders>
              <w:top w:val="single" w:sz="4" w:space="0" w:color="000000"/>
              <w:left w:val="nil"/>
              <w:bottom w:val="single" w:sz="4" w:space="0" w:color="000000"/>
              <w:right w:val="nil"/>
            </w:tcBorders>
            <w:vAlign w:val="bottom"/>
          </w:tcPr>
          <w:p w14:paraId="782C296F" w14:textId="77777777" w:rsidR="00992A45" w:rsidRPr="00BD7721" w:rsidRDefault="00992A45" w:rsidP="004E48D5">
            <w:pPr>
              <w:pStyle w:val="Normal-pool"/>
              <w:spacing w:before="40" w:after="40"/>
              <w:rPr>
                <w:b/>
                <w:bCs/>
                <w:sz w:val="18"/>
                <w:szCs w:val="18"/>
                <w:lang w:val="en-GB"/>
              </w:rPr>
            </w:pPr>
          </w:p>
        </w:tc>
        <w:tc>
          <w:tcPr>
            <w:tcW w:w="932" w:type="dxa"/>
            <w:tcBorders>
              <w:top w:val="single" w:sz="4" w:space="0" w:color="000000"/>
              <w:left w:val="nil"/>
              <w:bottom w:val="single" w:sz="4" w:space="0" w:color="000000"/>
              <w:right w:val="nil"/>
            </w:tcBorders>
            <w:vAlign w:val="bottom"/>
          </w:tcPr>
          <w:p w14:paraId="513E79E4" w14:textId="77777777" w:rsidR="00992A45" w:rsidRPr="00BD7721" w:rsidRDefault="00992A45" w:rsidP="004E48D5">
            <w:pPr>
              <w:pStyle w:val="Normal-pool"/>
              <w:spacing w:before="40" w:after="40"/>
              <w:rPr>
                <w:b/>
                <w:bCs/>
                <w:sz w:val="18"/>
                <w:szCs w:val="18"/>
                <w:lang w:val="en-GB"/>
              </w:rPr>
            </w:pPr>
          </w:p>
        </w:tc>
        <w:tc>
          <w:tcPr>
            <w:tcW w:w="1013" w:type="dxa"/>
            <w:tcBorders>
              <w:top w:val="single" w:sz="4" w:space="0" w:color="000000"/>
              <w:left w:val="nil"/>
              <w:bottom w:val="single" w:sz="4" w:space="0" w:color="000000"/>
              <w:right w:val="nil"/>
            </w:tcBorders>
            <w:vAlign w:val="bottom"/>
          </w:tcPr>
          <w:p w14:paraId="64D6EF53" w14:textId="77777777" w:rsidR="00992A45" w:rsidRPr="00BD7721" w:rsidRDefault="00992A45" w:rsidP="004E48D5">
            <w:pPr>
              <w:pStyle w:val="Normal-pool"/>
              <w:spacing w:before="40" w:after="40"/>
              <w:rPr>
                <w:b/>
                <w:bCs/>
                <w:sz w:val="18"/>
                <w:szCs w:val="18"/>
                <w:lang w:val="en-GB"/>
              </w:rPr>
            </w:pPr>
          </w:p>
        </w:tc>
        <w:tc>
          <w:tcPr>
            <w:tcW w:w="851" w:type="dxa"/>
            <w:tcBorders>
              <w:top w:val="single" w:sz="4" w:space="0" w:color="000000"/>
              <w:left w:val="nil"/>
              <w:bottom w:val="single" w:sz="4" w:space="0" w:color="000000"/>
              <w:right w:val="nil"/>
            </w:tcBorders>
            <w:vAlign w:val="bottom"/>
          </w:tcPr>
          <w:p w14:paraId="24A838A4" w14:textId="77777777" w:rsidR="00992A45" w:rsidRPr="00BD7721" w:rsidRDefault="00992A45" w:rsidP="004E48D5">
            <w:pPr>
              <w:pStyle w:val="Normal-pool"/>
              <w:spacing w:before="40" w:after="40"/>
              <w:jc w:val="right"/>
              <w:rPr>
                <w:b/>
                <w:bCs/>
                <w:sz w:val="18"/>
                <w:szCs w:val="18"/>
                <w:lang w:val="en-GB"/>
              </w:rPr>
            </w:pPr>
          </w:p>
        </w:tc>
        <w:tc>
          <w:tcPr>
            <w:tcW w:w="992" w:type="dxa"/>
            <w:tcBorders>
              <w:top w:val="single" w:sz="4" w:space="0" w:color="000000"/>
              <w:left w:val="nil"/>
              <w:bottom w:val="single" w:sz="4" w:space="0" w:color="000000"/>
              <w:right w:val="nil"/>
            </w:tcBorders>
            <w:vAlign w:val="bottom"/>
            <w:hideMark/>
          </w:tcPr>
          <w:p w14:paraId="6491BE39"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470 749</w:t>
            </w:r>
          </w:p>
        </w:tc>
        <w:tc>
          <w:tcPr>
            <w:tcW w:w="903" w:type="dxa"/>
            <w:tcBorders>
              <w:top w:val="single" w:sz="4" w:space="0" w:color="000000"/>
              <w:left w:val="nil"/>
              <w:bottom w:val="single" w:sz="4" w:space="0" w:color="000000"/>
              <w:right w:val="single" w:sz="4" w:space="0" w:color="000000"/>
            </w:tcBorders>
            <w:vAlign w:val="bottom"/>
            <w:hideMark/>
          </w:tcPr>
          <w:p w14:paraId="463B77F5"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92 004</w:t>
            </w:r>
          </w:p>
        </w:tc>
        <w:tc>
          <w:tcPr>
            <w:tcW w:w="969" w:type="dxa"/>
            <w:tcBorders>
              <w:top w:val="single" w:sz="4" w:space="0" w:color="000000"/>
              <w:left w:val="single" w:sz="4" w:space="0" w:color="000000"/>
              <w:bottom w:val="single" w:sz="4" w:space="0" w:color="000000"/>
              <w:right w:val="nil"/>
            </w:tcBorders>
            <w:vAlign w:val="bottom"/>
          </w:tcPr>
          <w:p w14:paraId="7275D761" w14:textId="77777777" w:rsidR="00992A45" w:rsidRPr="00BD7721" w:rsidRDefault="00992A45" w:rsidP="004E48D5">
            <w:pPr>
              <w:pStyle w:val="Normal-pool"/>
              <w:spacing w:before="40" w:after="40"/>
              <w:rPr>
                <w:b/>
                <w:bCs/>
                <w:sz w:val="18"/>
                <w:szCs w:val="18"/>
                <w:lang w:val="en-GB"/>
              </w:rPr>
            </w:pPr>
          </w:p>
        </w:tc>
        <w:tc>
          <w:tcPr>
            <w:tcW w:w="962" w:type="dxa"/>
            <w:tcBorders>
              <w:top w:val="single" w:sz="4" w:space="0" w:color="000000"/>
              <w:left w:val="nil"/>
              <w:bottom w:val="single" w:sz="4" w:space="0" w:color="000000"/>
              <w:right w:val="nil"/>
            </w:tcBorders>
            <w:vAlign w:val="bottom"/>
          </w:tcPr>
          <w:p w14:paraId="2DD49B3A" w14:textId="77777777" w:rsidR="00992A45" w:rsidRPr="00BD7721" w:rsidRDefault="00992A45" w:rsidP="004E48D5">
            <w:pPr>
              <w:pStyle w:val="Normal-pool"/>
              <w:spacing w:before="40" w:after="40"/>
              <w:rPr>
                <w:b/>
                <w:bCs/>
                <w:sz w:val="18"/>
                <w:szCs w:val="18"/>
                <w:lang w:val="en-GB"/>
              </w:rPr>
            </w:pPr>
          </w:p>
        </w:tc>
        <w:tc>
          <w:tcPr>
            <w:tcW w:w="962" w:type="dxa"/>
            <w:tcBorders>
              <w:top w:val="single" w:sz="4" w:space="0" w:color="000000"/>
              <w:left w:val="nil"/>
              <w:bottom w:val="single" w:sz="4" w:space="0" w:color="000000"/>
              <w:right w:val="nil"/>
            </w:tcBorders>
            <w:vAlign w:val="bottom"/>
          </w:tcPr>
          <w:p w14:paraId="5053C4A1" w14:textId="77777777" w:rsidR="00992A45" w:rsidRPr="00BD7721" w:rsidRDefault="00992A45" w:rsidP="004E48D5">
            <w:pPr>
              <w:pStyle w:val="Normal-pool"/>
              <w:spacing w:before="40" w:after="40"/>
              <w:rPr>
                <w:b/>
                <w:bCs/>
                <w:sz w:val="18"/>
                <w:szCs w:val="18"/>
                <w:lang w:val="en-GB"/>
              </w:rPr>
            </w:pPr>
          </w:p>
        </w:tc>
      </w:tr>
      <w:tr w:rsidR="00992A45" w:rsidRPr="00BD7721" w14:paraId="04969EEB" w14:textId="77777777" w:rsidTr="008A335A">
        <w:trPr>
          <w:trHeight w:val="57"/>
          <w:jc w:val="right"/>
        </w:trPr>
        <w:tc>
          <w:tcPr>
            <w:tcW w:w="1961" w:type="dxa"/>
            <w:tcBorders>
              <w:top w:val="single" w:sz="4" w:space="0" w:color="000000"/>
              <w:left w:val="nil"/>
              <w:bottom w:val="single" w:sz="4" w:space="0" w:color="000000"/>
              <w:right w:val="nil"/>
            </w:tcBorders>
            <w:hideMark/>
          </w:tcPr>
          <w:p w14:paraId="1B4530DF" w14:textId="77777777" w:rsidR="00992A45" w:rsidRPr="00BD7721" w:rsidRDefault="00992A45" w:rsidP="004E48D5">
            <w:pPr>
              <w:pStyle w:val="Normal-pool"/>
              <w:spacing w:before="40" w:after="40"/>
              <w:rPr>
                <w:sz w:val="18"/>
                <w:szCs w:val="18"/>
                <w:lang w:val="en-GB"/>
              </w:rPr>
            </w:pPr>
            <w:r w:rsidRPr="00BD7721">
              <w:rPr>
                <w:sz w:val="18"/>
                <w:szCs w:val="18"/>
                <w:lang w:val="en-GB"/>
              </w:rPr>
              <w:t>Total 1</w:t>
            </w:r>
          </w:p>
        </w:tc>
        <w:tc>
          <w:tcPr>
            <w:tcW w:w="2717" w:type="dxa"/>
            <w:tcBorders>
              <w:top w:val="single" w:sz="4" w:space="0" w:color="000000"/>
              <w:left w:val="nil"/>
              <w:bottom w:val="single" w:sz="4" w:space="0" w:color="000000"/>
              <w:right w:val="nil"/>
            </w:tcBorders>
          </w:tcPr>
          <w:p w14:paraId="48708B91" w14:textId="77777777" w:rsidR="00992A45" w:rsidRPr="00BD7721" w:rsidRDefault="00992A45" w:rsidP="004E48D5">
            <w:pPr>
              <w:pStyle w:val="Normal-pool"/>
              <w:spacing w:before="40" w:after="40"/>
              <w:rPr>
                <w:sz w:val="18"/>
                <w:szCs w:val="18"/>
                <w:lang w:val="en-GB"/>
              </w:rPr>
            </w:pPr>
          </w:p>
        </w:tc>
        <w:tc>
          <w:tcPr>
            <w:tcW w:w="1134" w:type="dxa"/>
            <w:tcBorders>
              <w:top w:val="single" w:sz="4" w:space="0" w:color="000000"/>
              <w:left w:val="nil"/>
              <w:bottom w:val="single" w:sz="4" w:space="0" w:color="000000"/>
              <w:right w:val="nil"/>
            </w:tcBorders>
          </w:tcPr>
          <w:p w14:paraId="20A70821" w14:textId="77777777" w:rsidR="00992A45" w:rsidRPr="00BD7721" w:rsidRDefault="00992A45" w:rsidP="004E48D5">
            <w:pPr>
              <w:pStyle w:val="Normal-pool"/>
              <w:spacing w:before="40" w:after="40"/>
              <w:rPr>
                <w:sz w:val="18"/>
                <w:szCs w:val="18"/>
                <w:lang w:val="en-GB"/>
              </w:rPr>
            </w:pPr>
          </w:p>
        </w:tc>
        <w:tc>
          <w:tcPr>
            <w:tcW w:w="1032" w:type="dxa"/>
            <w:tcBorders>
              <w:top w:val="single" w:sz="4" w:space="0" w:color="000000"/>
              <w:left w:val="nil"/>
              <w:bottom w:val="single" w:sz="4" w:space="0" w:color="000000"/>
              <w:right w:val="nil"/>
            </w:tcBorders>
            <w:vAlign w:val="bottom"/>
            <w:hideMark/>
          </w:tcPr>
          <w:p w14:paraId="42EF944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762 831</w:t>
            </w:r>
          </w:p>
        </w:tc>
        <w:tc>
          <w:tcPr>
            <w:tcW w:w="932" w:type="dxa"/>
            <w:tcBorders>
              <w:top w:val="single" w:sz="4" w:space="0" w:color="000000"/>
              <w:left w:val="nil"/>
              <w:bottom w:val="single" w:sz="4" w:space="0" w:color="000000"/>
              <w:right w:val="nil"/>
            </w:tcBorders>
            <w:vAlign w:val="bottom"/>
            <w:hideMark/>
          </w:tcPr>
          <w:p w14:paraId="7C18742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418 336</w:t>
            </w:r>
          </w:p>
        </w:tc>
        <w:tc>
          <w:tcPr>
            <w:tcW w:w="1013" w:type="dxa"/>
            <w:tcBorders>
              <w:top w:val="single" w:sz="4" w:space="0" w:color="000000"/>
              <w:left w:val="nil"/>
              <w:bottom w:val="single" w:sz="4" w:space="0" w:color="000000"/>
              <w:right w:val="nil"/>
            </w:tcBorders>
            <w:vAlign w:val="bottom"/>
            <w:hideMark/>
          </w:tcPr>
          <w:p w14:paraId="512C1E5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265 179</w:t>
            </w:r>
          </w:p>
        </w:tc>
        <w:tc>
          <w:tcPr>
            <w:tcW w:w="851" w:type="dxa"/>
            <w:tcBorders>
              <w:top w:val="single" w:sz="4" w:space="0" w:color="000000"/>
              <w:left w:val="nil"/>
              <w:bottom w:val="single" w:sz="4" w:space="0" w:color="000000"/>
              <w:right w:val="nil"/>
            </w:tcBorders>
            <w:vAlign w:val="bottom"/>
            <w:hideMark/>
          </w:tcPr>
          <w:p w14:paraId="2495796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158 082</w:t>
            </w:r>
          </w:p>
        </w:tc>
        <w:tc>
          <w:tcPr>
            <w:tcW w:w="992" w:type="dxa"/>
            <w:tcBorders>
              <w:top w:val="single" w:sz="4" w:space="0" w:color="000000"/>
              <w:left w:val="nil"/>
              <w:bottom w:val="single" w:sz="4" w:space="0" w:color="000000"/>
              <w:right w:val="nil"/>
            </w:tcBorders>
            <w:vAlign w:val="bottom"/>
            <w:hideMark/>
          </w:tcPr>
          <w:p w14:paraId="155E3C6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853 865</w:t>
            </w:r>
          </w:p>
        </w:tc>
        <w:tc>
          <w:tcPr>
            <w:tcW w:w="903" w:type="dxa"/>
            <w:tcBorders>
              <w:top w:val="single" w:sz="4" w:space="0" w:color="000000"/>
              <w:left w:val="nil"/>
              <w:bottom w:val="single" w:sz="4" w:space="0" w:color="000000"/>
              <w:right w:val="single" w:sz="4" w:space="0" w:color="000000"/>
            </w:tcBorders>
            <w:vAlign w:val="bottom"/>
            <w:hideMark/>
          </w:tcPr>
          <w:p w14:paraId="5B4118A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121 581</w:t>
            </w:r>
          </w:p>
        </w:tc>
        <w:tc>
          <w:tcPr>
            <w:tcW w:w="969" w:type="dxa"/>
            <w:tcBorders>
              <w:top w:val="single" w:sz="4" w:space="0" w:color="000000"/>
              <w:left w:val="single" w:sz="4" w:space="0" w:color="000000"/>
              <w:bottom w:val="single" w:sz="4" w:space="0" w:color="000000"/>
              <w:right w:val="nil"/>
            </w:tcBorders>
            <w:vAlign w:val="bottom"/>
            <w:hideMark/>
          </w:tcPr>
          <w:p w14:paraId="6B5BD6E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99 010</w:t>
            </w:r>
          </w:p>
        </w:tc>
        <w:tc>
          <w:tcPr>
            <w:tcW w:w="962" w:type="dxa"/>
            <w:tcBorders>
              <w:top w:val="single" w:sz="4" w:space="0" w:color="000000"/>
              <w:left w:val="nil"/>
              <w:bottom w:val="single" w:sz="4" w:space="0" w:color="000000"/>
              <w:right w:val="nil"/>
            </w:tcBorders>
            <w:vAlign w:val="bottom"/>
            <w:hideMark/>
          </w:tcPr>
          <w:p w14:paraId="3D50F92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31 397</w:t>
            </w:r>
          </w:p>
        </w:tc>
        <w:tc>
          <w:tcPr>
            <w:tcW w:w="962" w:type="dxa"/>
            <w:tcBorders>
              <w:top w:val="single" w:sz="4" w:space="0" w:color="000000"/>
              <w:left w:val="nil"/>
              <w:bottom w:val="single" w:sz="4" w:space="0" w:color="000000"/>
              <w:right w:val="nil"/>
            </w:tcBorders>
            <w:vAlign w:val="bottom"/>
            <w:hideMark/>
          </w:tcPr>
          <w:p w14:paraId="6673D3F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130 407</w:t>
            </w:r>
          </w:p>
        </w:tc>
      </w:tr>
      <w:tr w:rsidR="00C15378" w:rsidRPr="00BD7721" w14:paraId="56C4C0D5" w14:textId="77777777" w:rsidTr="006957AA">
        <w:trPr>
          <w:trHeight w:val="57"/>
          <w:jc w:val="right"/>
        </w:trPr>
        <w:tc>
          <w:tcPr>
            <w:tcW w:w="13466" w:type="dxa"/>
            <w:gridSpan w:val="11"/>
            <w:tcBorders>
              <w:top w:val="single" w:sz="4" w:space="0" w:color="000000"/>
              <w:left w:val="nil"/>
              <w:bottom w:val="single" w:sz="4" w:space="0" w:color="000000"/>
              <w:right w:val="nil"/>
            </w:tcBorders>
            <w:hideMark/>
          </w:tcPr>
          <w:p w14:paraId="05EBBDED" w14:textId="7FC649C7" w:rsidR="00C15378" w:rsidRPr="00BD7721" w:rsidRDefault="00C15378" w:rsidP="00EE3531">
            <w:pPr>
              <w:pStyle w:val="Normal-pool"/>
              <w:tabs>
                <w:tab w:val="left" w:pos="269"/>
              </w:tabs>
              <w:spacing w:before="40" w:after="40"/>
              <w:rPr>
                <w:b/>
                <w:bCs/>
                <w:sz w:val="18"/>
                <w:szCs w:val="18"/>
                <w:lang w:val="en-GB"/>
              </w:rPr>
            </w:pPr>
            <w:r w:rsidRPr="00BD7721">
              <w:rPr>
                <w:b/>
                <w:bCs/>
                <w:sz w:val="18"/>
                <w:szCs w:val="18"/>
                <w:lang w:val="en-GB"/>
              </w:rPr>
              <w:t>2.</w:t>
            </w:r>
            <w:r w:rsidRPr="00BD7721">
              <w:rPr>
                <w:b/>
                <w:bCs/>
                <w:sz w:val="18"/>
                <w:szCs w:val="18"/>
                <w:lang w:val="en-GB"/>
              </w:rPr>
              <w:tab/>
              <w:t>Earmarked contribution received in cash in support of activities relevant to the work programme but not included in the approved budget</w:t>
            </w:r>
          </w:p>
        </w:tc>
        <w:tc>
          <w:tcPr>
            <w:tcW w:w="962" w:type="dxa"/>
            <w:tcBorders>
              <w:top w:val="single" w:sz="4" w:space="0" w:color="000000"/>
              <w:left w:val="nil"/>
              <w:bottom w:val="single" w:sz="4" w:space="0" w:color="000000"/>
              <w:right w:val="nil"/>
            </w:tcBorders>
          </w:tcPr>
          <w:p w14:paraId="3FE1DC14" w14:textId="77777777" w:rsidR="00C15378" w:rsidRPr="00BD7721" w:rsidRDefault="00C15378" w:rsidP="004E48D5">
            <w:pPr>
              <w:pStyle w:val="Normal-pool"/>
              <w:spacing w:before="40" w:after="40"/>
              <w:rPr>
                <w:b/>
                <w:bCs/>
                <w:sz w:val="18"/>
                <w:szCs w:val="18"/>
                <w:lang w:val="en-GB"/>
              </w:rPr>
            </w:pPr>
          </w:p>
        </w:tc>
      </w:tr>
      <w:tr w:rsidR="00992A45" w:rsidRPr="00BD7721" w14:paraId="038748E4" w14:textId="77777777" w:rsidTr="008A335A">
        <w:trPr>
          <w:trHeight w:val="57"/>
          <w:jc w:val="right"/>
        </w:trPr>
        <w:tc>
          <w:tcPr>
            <w:tcW w:w="1961" w:type="dxa"/>
            <w:tcBorders>
              <w:top w:val="single" w:sz="4" w:space="0" w:color="000000"/>
              <w:left w:val="nil"/>
              <w:bottom w:val="nil"/>
              <w:right w:val="nil"/>
            </w:tcBorders>
            <w:hideMark/>
          </w:tcPr>
          <w:p w14:paraId="552695DA" w14:textId="77777777" w:rsidR="00992A45" w:rsidRPr="00BD7721" w:rsidRDefault="00992A45" w:rsidP="004E48D5">
            <w:pPr>
              <w:pStyle w:val="Normal-pool"/>
              <w:spacing w:before="40" w:after="40"/>
              <w:rPr>
                <w:b/>
                <w:sz w:val="18"/>
                <w:szCs w:val="18"/>
                <w:lang w:val="en-GB"/>
              </w:rPr>
            </w:pPr>
            <w:r w:rsidRPr="00BD7721">
              <w:rPr>
                <w:sz w:val="18"/>
                <w:szCs w:val="18"/>
                <w:lang w:val="en-GB"/>
              </w:rPr>
              <w:t>Colombia</w:t>
            </w:r>
          </w:p>
        </w:tc>
        <w:tc>
          <w:tcPr>
            <w:tcW w:w="2717" w:type="dxa"/>
            <w:tcBorders>
              <w:top w:val="single" w:sz="4" w:space="0" w:color="000000"/>
              <w:left w:val="nil"/>
              <w:bottom w:val="nil"/>
              <w:right w:val="nil"/>
            </w:tcBorders>
            <w:hideMark/>
          </w:tcPr>
          <w:p w14:paraId="444FAA4E"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IPBES-5 in Medellin, Colombia, for conference services and staff travel</w:t>
            </w:r>
          </w:p>
        </w:tc>
        <w:tc>
          <w:tcPr>
            <w:tcW w:w="1134" w:type="dxa"/>
            <w:tcBorders>
              <w:top w:val="single" w:sz="4" w:space="0" w:color="000000"/>
              <w:left w:val="nil"/>
              <w:bottom w:val="nil"/>
              <w:right w:val="nil"/>
            </w:tcBorders>
            <w:hideMark/>
          </w:tcPr>
          <w:p w14:paraId="3F455192"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meetings</w:t>
            </w:r>
          </w:p>
        </w:tc>
        <w:tc>
          <w:tcPr>
            <w:tcW w:w="1032" w:type="dxa"/>
            <w:tcBorders>
              <w:top w:val="single" w:sz="4" w:space="0" w:color="000000"/>
              <w:left w:val="nil"/>
              <w:bottom w:val="nil"/>
              <w:right w:val="nil"/>
            </w:tcBorders>
            <w:vAlign w:val="bottom"/>
            <w:hideMark/>
          </w:tcPr>
          <w:p w14:paraId="615722B5"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325 065</w:t>
            </w:r>
          </w:p>
        </w:tc>
        <w:tc>
          <w:tcPr>
            <w:tcW w:w="932" w:type="dxa"/>
            <w:tcBorders>
              <w:top w:val="single" w:sz="4" w:space="0" w:color="000000"/>
              <w:left w:val="nil"/>
              <w:bottom w:val="nil"/>
              <w:right w:val="nil"/>
            </w:tcBorders>
            <w:vAlign w:val="bottom"/>
          </w:tcPr>
          <w:p w14:paraId="66DB5D55" w14:textId="77777777" w:rsidR="00992A45" w:rsidRPr="00BD7721" w:rsidRDefault="00992A45" w:rsidP="004E48D5">
            <w:pPr>
              <w:pStyle w:val="Normal-pool"/>
              <w:spacing w:before="40" w:after="40"/>
              <w:jc w:val="right"/>
              <w:rPr>
                <w:b/>
                <w:sz w:val="18"/>
                <w:szCs w:val="18"/>
                <w:lang w:val="en-GB"/>
              </w:rPr>
            </w:pPr>
          </w:p>
        </w:tc>
        <w:tc>
          <w:tcPr>
            <w:tcW w:w="1013" w:type="dxa"/>
            <w:tcBorders>
              <w:top w:val="single" w:sz="4" w:space="0" w:color="000000"/>
              <w:left w:val="nil"/>
              <w:bottom w:val="nil"/>
              <w:right w:val="nil"/>
            </w:tcBorders>
            <w:vAlign w:val="bottom"/>
          </w:tcPr>
          <w:p w14:paraId="08986F15" w14:textId="77777777" w:rsidR="00992A45" w:rsidRPr="00BD7721" w:rsidRDefault="00992A45" w:rsidP="004E48D5">
            <w:pPr>
              <w:pStyle w:val="Normal-pool"/>
              <w:spacing w:before="40" w:after="40"/>
              <w:jc w:val="right"/>
              <w:rPr>
                <w:b/>
                <w:sz w:val="18"/>
                <w:szCs w:val="18"/>
                <w:lang w:val="en-GB"/>
              </w:rPr>
            </w:pPr>
          </w:p>
        </w:tc>
        <w:tc>
          <w:tcPr>
            <w:tcW w:w="851" w:type="dxa"/>
            <w:tcBorders>
              <w:top w:val="single" w:sz="4" w:space="0" w:color="000000"/>
              <w:left w:val="nil"/>
              <w:bottom w:val="nil"/>
              <w:right w:val="nil"/>
            </w:tcBorders>
            <w:vAlign w:val="bottom"/>
          </w:tcPr>
          <w:p w14:paraId="5AEA2D01" w14:textId="77777777" w:rsidR="00992A45" w:rsidRPr="00BD7721" w:rsidRDefault="00992A45" w:rsidP="004E48D5">
            <w:pPr>
              <w:pStyle w:val="Normal-pool"/>
              <w:spacing w:before="40" w:after="40"/>
              <w:jc w:val="right"/>
              <w:rPr>
                <w:b/>
                <w:sz w:val="18"/>
                <w:szCs w:val="18"/>
                <w:lang w:val="en-GB"/>
              </w:rPr>
            </w:pPr>
          </w:p>
        </w:tc>
        <w:tc>
          <w:tcPr>
            <w:tcW w:w="992" w:type="dxa"/>
            <w:tcBorders>
              <w:top w:val="single" w:sz="4" w:space="0" w:color="000000"/>
              <w:left w:val="nil"/>
              <w:bottom w:val="nil"/>
              <w:right w:val="nil"/>
            </w:tcBorders>
            <w:vAlign w:val="bottom"/>
          </w:tcPr>
          <w:p w14:paraId="64CD57ED" w14:textId="77777777" w:rsidR="00992A45" w:rsidRPr="00BD7721" w:rsidRDefault="00992A45" w:rsidP="004E48D5">
            <w:pPr>
              <w:pStyle w:val="Normal-pool"/>
              <w:spacing w:before="40" w:after="40"/>
              <w:jc w:val="right"/>
              <w:rPr>
                <w:b/>
                <w:sz w:val="18"/>
                <w:szCs w:val="18"/>
                <w:lang w:val="en-GB"/>
              </w:rPr>
            </w:pPr>
          </w:p>
        </w:tc>
        <w:tc>
          <w:tcPr>
            <w:tcW w:w="903" w:type="dxa"/>
            <w:tcBorders>
              <w:top w:val="single" w:sz="4" w:space="0" w:color="000000"/>
              <w:left w:val="nil"/>
              <w:bottom w:val="nil"/>
              <w:right w:val="single" w:sz="4" w:space="0" w:color="000000"/>
            </w:tcBorders>
            <w:vAlign w:val="bottom"/>
          </w:tcPr>
          <w:p w14:paraId="34B313C3" w14:textId="77777777" w:rsidR="00992A45" w:rsidRPr="00BD7721" w:rsidRDefault="00992A45" w:rsidP="004E48D5">
            <w:pPr>
              <w:pStyle w:val="Normal-pool"/>
              <w:spacing w:before="40" w:after="40"/>
              <w:jc w:val="right"/>
              <w:rPr>
                <w:b/>
                <w:sz w:val="18"/>
                <w:szCs w:val="18"/>
                <w:lang w:val="en-GB"/>
              </w:rPr>
            </w:pPr>
          </w:p>
        </w:tc>
        <w:tc>
          <w:tcPr>
            <w:tcW w:w="969" w:type="dxa"/>
            <w:tcBorders>
              <w:top w:val="single" w:sz="4" w:space="0" w:color="000000"/>
              <w:left w:val="single" w:sz="4" w:space="0" w:color="000000"/>
              <w:bottom w:val="nil"/>
              <w:right w:val="nil"/>
            </w:tcBorders>
            <w:vAlign w:val="bottom"/>
          </w:tcPr>
          <w:p w14:paraId="5509F28F" w14:textId="77777777" w:rsidR="00992A45" w:rsidRPr="00BD7721" w:rsidRDefault="00992A45" w:rsidP="004E48D5">
            <w:pPr>
              <w:pStyle w:val="Normal-pool"/>
              <w:spacing w:before="40" w:after="40"/>
              <w:jc w:val="right"/>
              <w:rPr>
                <w:b/>
                <w:sz w:val="18"/>
                <w:szCs w:val="18"/>
                <w:lang w:val="en-GB"/>
              </w:rPr>
            </w:pPr>
          </w:p>
        </w:tc>
        <w:tc>
          <w:tcPr>
            <w:tcW w:w="962" w:type="dxa"/>
            <w:tcBorders>
              <w:top w:val="single" w:sz="4" w:space="0" w:color="000000"/>
              <w:left w:val="nil"/>
              <w:bottom w:val="nil"/>
              <w:right w:val="nil"/>
            </w:tcBorders>
            <w:vAlign w:val="bottom"/>
            <w:hideMark/>
          </w:tcPr>
          <w:p w14:paraId="79AB462A" w14:textId="4C6062F6" w:rsidR="00992A45" w:rsidRPr="00BD7721" w:rsidRDefault="008A335A" w:rsidP="004E48D5">
            <w:pPr>
              <w:pStyle w:val="Normal-pool"/>
              <w:spacing w:before="40" w:after="40"/>
              <w:rPr>
                <w:b/>
                <w:sz w:val="18"/>
                <w:szCs w:val="18"/>
                <w:lang w:val="en-GB"/>
              </w:rPr>
            </w:pPr>
            <w:r w:rsidRPr="00BD7721">
              <w:rPr>
                <w:sz w:val="18"/>
                <w:szCs w:val="18"/>
                <w:lang w:val="en-GB"/>
              </w:rPr>
              <w:t xml:space="preserve"> </w:t>
            </w:r>
          </w:p>
        </w:tc>
        <w:tc>
          <w:tcPr>
            <w:tcW w:w="962" w:type="dxa"/>
            <w:tcBorders>
              <w:top w:val="single" w:sz="4" w:space="0" w:color="000000"/>
              <w:left w:val="nil"/>
              <w:bottom w:val="nil"/>
              <w:right w:val="nil"/>
            </w:tcBorders>
            <w:vAlign w:val="bottom"/>
          </w:tcPr>
          <w:p w14:paraId="3AAFC0E1" w14:textId="77777777" w:rsidR="00992A45" w:rsidRPr="00BD7721" w:rsidRDefault="00992A45" w:rsidP="004E48D5">
            <w:pPr>
              <w:pStyle w:val="Normal-pool"/>
              <w:spacing w:before="40" w:after="40"/>
              <w:rPr>
                <w:b/>
                <w:sz w:val="18"/>
                <w:szCs w:val="18"/>
                <w:lang w:val="en-GB"/>
              </w:rPr>
            </w:pPr>
          </w:p>
        </w:tc>
      </w:tr>
      <w:tr w:rsidR="00992A45" w:rsidRPr="00BD7721" w14:paraId="7A6498D6" w14:textId="77777777" w:rsidTr="008A335A">
        <w:trPr>
          <w:trHeight w:val="57"/>
          <w:jc w:val="right"/>
        </w:trPr>
        <w:tc>
          <w:tcPr>
            <w:tcW w:w="1961" w:type="dxa"/>
            <w:tcBorders>
              <w:top w:val="nil"/>
              <w:left w:val="nil"/>
              <w:bottom w:val="nil"/>
              <w:right w:val="nil"/>
            </w:tcBorders>
            <w:hideMark/>
          </w:tcPr>
          <w:p w14:paraId="7803FB70" w14:textId="77777777" w:rsidR="00992A45" w:rsidRPr="00BD7721" w:rsidRDefault="00992A45" w:rsidP="004E48D5">
            <w:pPr>
              <w:pStyle w:val="Normal-pool"/>
              <w:spacing w:before="40" w:after="40"/>
              <w:rPr>
                <w:b/>
                <w:sz w:val="18"/>
                <w:szCs w:val="18"/>
                <w:lang w:val="en-GB"/>
              </w:rPr>
            </w:pPr>
            <w:r w:rsidRPr="00BD7721">
              <w:rPr>
                <w:sz w:val="18"/>
                <w:szCs w:val="18"/>
                <w:lang w:val="en-GB"/>
              </w:rPr>
              <w:t>France</w:t>
            </w:r>
          </w:p>
        </w:tc>
        <w:tc>
          <w:tcPr>
            <w:tcW w:w="2717" w:type="dxa"/>
            <w:tcBorders>
              <w:top w:val="nil"/>
              <w:left w:val="nil"/>
              <w:bottom w:val="nil"/>
              <w:right w:val="nil"/>
            </w:tcBorders>
            <w:hideMark/>
          </w:tcPr>
          <w:p w14:paraId="4BD1E2C2"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to IPBES-7 in Paris, France for conference services and staff travel</w:t>
            </w:r>
          </w:p>
        </w:tc>
        <w:tc>
          <w:tcPr>
            <w:tcW w:w="1134" w:type="dxa"/>
            <w:tcBorders>
              <w:top w:val="nil"/>
              <w:left w:val="nil"/>
              <w:bottom w:val="nil"/>
              <w:right w:val="nil"/>
            </w:tcBorders>
            <w:hideMark/>
          </w:tcPr>
          <w:p w14:paraId="4DF51C0B"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meetings</w:t>
            </w:r>
          </w:p>
        </w:tc>
        <w:tc>
          <w:tcPr>
            <w:tcW w:w="1032" w:type="dxa"/>
            <w:tcBorders>
              <w:top w:val="nil"/>
              <w:left w:val="nil"/>
              <w:bottom w:val="nil"/>
              <w:right w:val="nil"/>
            </w:tcBorders>
            <w:vAlign w:val="bottom"/>
          </w:tcPr>
          <w:p w14:paraId="4F41BD98" w14:textId="77777777" w:rsidR="00992A45" w:rsidRPr="00BD7721" w:rsidRDefault="00992A45" w:rsidP="004E48D5">
            <w:pPr>
              <w:pStyle w:val="Normal-pool"/>
              <w:spacing w:before="40" w:after="40"/>
              <w:jc w:val="right"/>
              <w:rPr>
                <w:b/>
                <w:sz w:val="18"/>
                <w:szCs w:val="18"/>
                <w:lang w:val="en-GB"/>
              </w:rPr>
            </w:pPr>
          </w:p>
        </w:tc>
        <w:tc>
          <w:tcPr>
            <w:tcW w:w="932" w:type="dxa"/>
            <w:tcBorders>
              <w:top w:val="nil"/>
              <w:left w:val="nil"/>
              <w:bottom w:val="nil"/>
              <w:right w:val="nil"/>
            </w:tcBorders>
            <w:vAlign w:val="bottom"/>
            <w:hideMark/>
          </w:tcPr>
          <w:p w14:paraId="281343C4"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265 114</w:t>
            </w:r>
          </w:p>
        </w:tc>
        <w:tc>
          <w:tcPr>
            <w:tcW w:w="1013" w:type="dxa"/>
            <w:tcBorders>
              <w:top w:val="nil"/>
              <w:left w:val="nil"/>
              <w:bottom w:val="nil"/>
              <w:right w:val="nil"/>
            </w:tcBorders>
            <w:vAlign w:val="bottom"/>
          </w:tcPr>
          <w:p w14:paraId="061B7DFD" w14:textId="77777777" w:rsidR="00992A45" w:rsidRPr="00BD7721" w:rsidRDefault="00992A45" w:rsidP="004E48D5">
            <w:pPr>
              <w:pStyle w:val="Normal-pool"/>
              <w:spacing w:before="40" w:after="40"/>
              <w:jc w:val="right"/>
              <w:rPr>
                <w:b/>
                <w:sz w:val="18"/>
                <w:szCs w:val="18"/>
                <w:lang w:val="en-GB"/>
              </w:rPr>
            </w:pPr>
          </w:p>
        </w:tc>
        <w:tc>
          <w:tcPr>
            <w:tcW w:w="851" w:type="dxa"/>
            <w:tcBorders>
              <w:top w:val="nil"/>
              <w:left w:val="nil"/>
              <w:bottom w:val="nil"/>
              <w:right w:val="nil"/>
            </w:tcBorders>
            <w:vAlign w:val="bottom"/>
          </w:tcPr>
          <w:p w14:paraId="67BD06D5" w14:textId="77777777" w:rsidR="00992A45" w:rsidRPr="00BD7721" w:rsidRDefault="00992A45" w:rsidP="004E48D5">
            <w:pPr>
              <w:pStyle w:val="Normal-pool"/>
              <w:spacing w:before="40" w:after="40"/>
              <w:jc w:val="right"/>
              <w:rPr>
                <w:b/>
                <w:sz w:val="18"/>
                <w:szCs w:val="18"/>
                <w:lang w:val="en-GB"/>
              </w:rPr>
            </w:pPr>
          </w:p>
        </w:tc>
        <w:tc>
          <w:tcPr>
            <w:tcW w:w="992" w:type="dxa"/>
            <w:tcBorders>
              <w:top w:val="nil"/>
              <w:left w:val="nil"/>
              <w:bottom w:val="nil"/>
              <w:right w:val="nil"/>
            </w:tcBorders>
            <w:vAlign w:val="bottom"/>
          </w:tcPr>
          <w:p w14:paraId="59BC14DC" w14:textId="77777777" w:rsidR="00992A45" w:rsidRPr="00BD7721" w:rsidRDefault="00992A45" w:rsidP="004E48D5">
            <w:pPr>
              <w:pStyle w:val="Normal-pool"/>
              <w:spacing w:before="40" w:after="40"/>
              <w:jc w:val="right"/>
              <w:rPr>
                <w:b/>
                <w:sz w:val="18"/>
                <w:szCs w:val="18"/>
                <w:lang w:val="en-GB"/>
              </w:rPr>
            </w:pPr>
          </w:p>
        </w:tc>
        <w:tc>
          <w:tcPr>
            <w:tcW w:w="903" w:type="dxa"/>
            <w:tcBorders>
              <w:top w:val="nil"/>
              <w:left w:val="nil"/>
              <w:bottom w:val="nil"/>
              <w:right w:val="single" w:sz="4" w:space="0" w:color="000000"/>
            </w:tcBorders>
            <w:vAlign w:val="bottom"/>
          </w:tcPr>
          <w:p w14:paraId="1F7922F3"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tcPr>
          <w:p w14:paraId="053E94C1" w14:textId="77777777" w:rsidR="00992A45" w:rsidRPr="00BD7721" w:rsidRDefault="00992A45" w:rsidP="004E48D5">
            <w:pPr>
              <w:pStyle w:val="Normal-pool"/>
              <w:spacing w:before="40" w:after="40"/>
              <w:jc w:val="right"/>
              <w:rPr>
                <w:b/>
                <w:sz w:val="18"/>
                <w:szCs w:val="18"/>
                <w:lang w:val="en-GB"/>
              </w:rPr>
            </w:pPr>
          </w:p>
        </w:tc>
        <w:tc>
          <w:tcPr>
            <w:tcW w:w="962" w:type="dxa"/>
            <w:tcBorders>
              <w:top w:val="nil"/>
              <w:left w:val="nil"/>
              <w:bottom w:val="nil"/>
              <w:right w:val="nil"/>
            </w:tcBorders>
            <w:vAlign w:val="bottom"/>
            <w:hideMark/>
          </w:tcPr>
          <w:p w14:paraId="4CDD66BC" w14:textId="1C0A47C8" w:rsidR="00992A45" w:rsidRPr="00BD7721" w:rsidRDefault="008A335A" w:rsidP="004E48D5">
            <w:pPr>
              <w:pStyle w:val="Normal-pool"/>
              <w:spacing w:before="40" w:after="40"/>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64BB2418" w14:textId="77777777" w:rsidR="00992A45" w:rsidRPr="00BD7721" w:rsidRDefault="00992A45" w:rsidP="004E48D5">
            <w:pPr>
              <w:pStyle w:val="Normal-pool"/>
              <w:spacing w:before="40" w:after="40"/>
              <w:rPr>
                <w:b/>
                <w:sz w:val="18"/>
                <w:szCs w:val="18"/>
                <w:lang w:val="en-GB"/>
              </w:rPr>
            </w:pPr>
          </w:p>
        </w:tc>
      </w:tr>
      <w:tr w:rsidR="00992A45" w:rsidRPr="00BD7721" w14:paraId="1EE4937E" w14:textId="77777777" w:rsidTr="008A335A">
        <w:trPr>
          <w:trHeight w:val="57"/>
          <w:jc w:val="right"/>
        </w:trPr>
        <w:tc>
          <w:tcPr>
            <w:tcW w:w="1961" w:type="dxa"/>
            <w:tcBorders>
              <w:top w:val="nil"/>
              <w:left w:val="nil"/>
              <w:bottom w:val="nil"/>
              <w:right w:val="nil"/>
            </w:tcBorders>
            <w:hideMark/>
          </w:tcPr>
          <w:p w14:paraId="00484E12" w14:textId="77777777" w:rsidR="00992A45" w:rsidRPr="00BD7721" w:rsidRDefault="00992A45" w:rsidP="004E48D5">
            <w:pPr>
              <w:pStyle w:val="Normal-pool"/>
              <w:spacing w:before="40" w:after="40"/>
              <w:rPr>
                <w:b/>
                <w:sz w:val="18"/>
                <w:szCs w:val="18"/>
                <w:lang w:val="en-GB"/>
              </w:rPr>
            </w:pPr>
            <w:r w:rsidRPr="00BD7721">
              <w:rPr>
                <w:sz w:val="18"/>
                <w:szCs w:val="18"/>
                <w:lang w:val="en-GB"/>
              </w:rPr>
              <w:t>Germany</w:t>
            </w:r>
          </w:p>
        </w:tc>
        <w:tc>
          <w:tcPr>
            <w:tcW w:w="2717" w:type="dxa"/>
            <w:tcBorders>
              <w:top w:val="nil"/>
              <w:left w:val="nil"/>
              <w:bottom w:val="nil"/>
              <w:right w:val="nil"/>
            </w:tcBorders>
            <w:hideMark/>
          </w:tcPr>
          <w:p w14:paraId="70E7B39F"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the information system assistant position</w:t>
            </w:r>
          </w:p>
        </w:tc>
        <w:tc>
          <w:tcPr>
            <w:tcW w:w="1134" w:type="dxa"/>
            <w:tcBorders>
              <w:top w:val="nil"/>
              <w:left w:val="nil"/>
              <w:bottom w:val="nil"/>
              <w:right w:val="nil"/>
            </w:tcBorders>
            <w:hideMark/>
          </w:tcPr>
          <w:p w14:paraId="03E2C59D" w14:textId="77777777" w:rsidR="00992A45" w:rsidRPr="00BD7721" w:rsidRDefault="00992A45" w:rsidP="004E48D5">
            <w:pPr>
              <w:pStyle w:val="Normal-pool"/>
              <w:spacing w:before="40" w:after="40"/>
              <w:rPr>
                <w:b/>
                <w:sz w:val="18"/>
                <w:szCs w:val="18"/>
                <w:lang w:val="en-GB"/>
              </w:rPr>
            </w:pPr>
            <w:r w:rsidRPr="00BD7721">
              <w:rPr>
                <w:sz w:val="18"/>
                <w:szCs w:val="18"/>
                <w:lang w:val="en-GB"/>
              </w:rPr>
              <w:t>Staff costs</w:t>
            </w:r>
          </w:p>
        </w:tc>
        <w:tc>
          <w:tcPr>
            <w:tcW w:w="1032" w:type="dxa"/>
            <w:tcBorders>
              <w:top w:val="nil"/>
              <w:left w:val="nil"/>
              <w:bottom w:val="nil"/>
              <w:right w:val="nil"/>
            </w:tcBorders>
            <w:vAlign w:val="bottom"/>
            <w:hideMark/>
          </w:tcPr>
          <w:p w14:paraId="2DC3DAA6"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30 000</w:t>
            </w:r>
          </w:p>
        </w:tc>
        <w:tc>
          <w:tcPr>
            <w:tcW w:w="932" w:type="dxa"/>
            <w:tcBorders>
              <w:top w:val="nil"/>
              <w:left w:val="nil"/>
              <w:bottom w:val="nil"/>
              <w:right w:val="nil"/>
            </w:tcBorders>
            <w:vAlign w:val="bottom"/>
          </w:tcPr>
          <w:p w14:paraId="4DA7D823" w14:textId="77777777" w:rsidR="00992A45" w:rsidRPr="00BD7721" w:rsidRDefault="00992A45" w:rsidP="004E48D5">
            <w:pPr>
              <w:pStyle w:val="Normal-pool"/>
              <w:spacing w:before="40" w:after="40"/>
              <w:jc w:val="right"/>
              <w:rPr>
                <w:b/>
                <w:sz w:val="18"/>
                <w:szCs w:val="18"/>
                <w:lang w:val="en-GB"/>
              </w:rPr>
            </w:pPr>
          </w:p>
        </w:tc>
        <w:tc>
          <w:tcPr>
            <w:tcW w:w="1013" w:type="dxa"/>
            <w:tcBorders>
              <w:top w:val="nil"/>
              <w:left w:val="nil"/>
              <w:bottom w:val="nil"/>
              <w:right w:val="nil"/>
            </w:tcBorders>
            <w:vAlign w:val="bottom"/>
          </w:tcPr>
          <w:p w14:paraId="3B1B9BA5" w14:textId="77777777" w:rsidR="00992A45" w:rsidRPr="00BD7721" w:rsidRDefault="00992A45" w:rsidP="004E48D5">
            <w:pPr>
              <w:pStyle w:val="Normal-pool"/>
              <w:spacing w:before="40" w:after="40"/>
              <w:jc w:val="right"/>
              <w:rPr>
                <w:b/>
                <w:sz w:val="18"/>
                <w:szCs w:val="18"/>
                <w:lang w:val="en-GB"/>
              </w:rPr>
            </w:pPr>
          </w:p>
        </w:tc>
        <w:tc>
          <w:tcPr>
            <w:tcW w:w="851" w:type="dxa"/>
            <w:tcBorders>
              <w:top w:val="nil"/>
              <w:left w:val="nil"/>
              <w:bottom w:val="nil"/>
              <w:right w:val="nil"/>
            </w:tcBorders>
            <w:vAlign w:val="bottom"/>
          </w:tcPr>
          <w:p w14:paraId="2D2ED61E" w14:textId="77777777" w:rsidR="00992A45" w:rsidRPr="00BD7721" w:rsidRDefault="00992A45" w:rsidP="004E48D5">
            <w:pPr>
              <w:pStyle w:val="Normal-pool"/>
              <w:spacing w:before="40" w:after="40"/>
              <w:jc w:val="right"/>
              <w:rPr>
                <w:b/>
                <w:sz w:val="18"/>
                <w:szCs w:val="18"/>
                <w:lang w:val="en-GB"/>
              </w:rPr>
            </w:pPr>
          </w:p>
        </w:tc>
        <w:tc>
          <w:tcPr>
            <w:tcW w:w="992" w:type="dxa"/>
            <w:tcBorders>
              <w:top w:val="nil"/>
              <w:left w:val="nil"/>
              <w:bottom w:val="nil"/>
              <w:right w:val="nil"/>
            </w:tcBorders>
            <w:vAlign w:val="bottom"/>
          </w:tcPr>
          <w:p w14:paraId="78D91A2E" w14:textId="77777777" w:rsidR="00992A45" w:rsidRPr="00BD7721" w:rsidRDefault="00992A45" w:rsidP="004E48D5">
            <w:pPr>
              <w:pStyle w:val="Normal-pool"/>
              <w:spacing w:before="40" w:after="40"/>
              <w:jc w:val="right"/>
              <w:rPr>
                <w:b/>
                <w:sz w:val="18"/>
                <w:szCs w:val="18"/>
                <w:lang w:val="en-GB"/>
              </w:rPr>
            </w:pPr>
          </w:p>
        </w:tc>
        <w:tc>
          <w:tcPr>
            <w:tcW w:w="903" w:type="dxa"/>
            <w:tcBorders>
              <w:top w:val="nil"/>
              <w:left w:val="nil"/>
              <w:bottom w:val="nil"/>
              <w:right w:val="single" w:sz="4" w:space="0" w:color="000000"/>
            </w:tcBorders>
            <w:vAlign w:val="bottom"/>
          </w:tcPr>
          <w:p w14:paraId="3BCE5C62"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tcPr>
          <w:p w14:paraId="76BAF73C" w14:textId="77777777" w:rsidR="00992A45" w:rsidRPr="00BD7721" w:rsidRDefault="00992A45" w:rsidP="004E48D5">
            <w:pPr>
              <w:pStyle w:val="Normal-pool"/>
              <w:spacing w:before="40" w:after="40"/>
              <w:jc w:val="right"/>
              <w:rPr>
                <w:b/>
                <w:sz w:val="18"/>
                <w:szCs w:val="18"/>
                <w:lang w:val="en-GB"/>
              </w:rPr>
            </w:pPr>
          </w:p>
        </w:tc>
        <w:tc>
          <w:tcPr>
            <w:tcW w:w="962" w:type="dxa"/>
            <w:tcBorders>
              <w:top w:val="nil"/>
              <w:left w:val="nil"/>
              <w:bottom w:val="nil"/>
              <w:right w:val="nil"/>
            </w:tcBorders>
            <w:vAlign w:val="bottom"/>
            <w:hideMark/>
          </w:tcPr>
          <w:p w14:paraId="7DABBE9E" w14:textId="63DBF668" w:rsidR="00992A45" w:rsidRPr="00BD7721" w:rsidRDefault="008A335A" w:rsidP="004E48D5">
            <w:pPr>
              <w:pStyle w:val="Normal-pool"/>
              <w:spacing w:before="40" w:after="40"/>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40BC9D1F" w14:textId="77777777" w:rsidR="00992A45" w:rsidRPr="00BD7721" w:rsidRDefault="00992A45" w:rsidP="004E48D5">
            <w:pPr>
              <w:pStyle w:val="Normal-pool"/>
              <w:spacing w:before="40" w:after="40"/>
              <w:rPr>
                <w:b/>
                <w:sz w:val="18"/>
                <w:szCs w:val="18"/>
                <w:lang w:val="en-GB"/>
              </w:rPr>
            </w:pPr>
          </w:p>
        </w:tc>
      </w:tr>
      <w:tr w:rsidR="00992A45" w:rsidRPr="00BD7721" w14:paraId="34CC3433" w14:textId="77777777" w:rsidTr="008A335A">
        <w:trPr>
          <w:trHeight w:val="57"/>
          <w:jc w:val="right"/>
        </w:trPr>
        <w:tc>
          <w:tcPr>
            <w:tcW w:w="1961" w:type="dxa"/>
            <w:tcBorders>
              <w:top w:val="nil"/>
              <w:left w:val="nil"/>
              <w:bottom w:val="nil"/>
              <w:right w:val="nil"/>
            </w:tcBorders>
            <w:hideMark/>
          </w:tcPr>
          <w:p w14:paraId="41FB0B76" w14:textId="77777777" w:rsidR="00992A45" w:rsidRPr="00BD7721" w:rsidRDefault="00992A45" w:rsidP="004E48D5">
            <w:pPr>
              <w:pStyle w:val="Normal-pool"/>
              <w:spacing w:before="40" w:after="40"/>
              <w:rPr>
                <w:b/>
                <w:sz w:val="18"/>
                <w:szCs w:val="18"/>
                <w:lang w:val="en-GB"/>
              </w:rPr>
            </w:pPr>
            <w:r w:rsidRPr="00BD7721">
              <w:rPr>
                <w:sz w:val="18"/>
                <w:szCs w:val="18"/>
                <w:lang w:val="en-GB"/>
              </w:rPr>
              <w:t>Germany</w:t>
            </w:r>
          </w:p>
        </w:tc>
        <w:tc>
          <w:tcPr>
            <w:tcW w:w="2717" w:type="dxa"/>
            <w:tcBorders>
              <w:top w:val="nil"/>
              <w:left w:val="nil"/>
              <w:bottom w:val="nil"/>
              <w:right w:val="nil"/>
            </w:tcBorders>
            <w:hideMark/>
          </w:tcPr>
          <w:p w14:paraId="56F37AAB"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the IPBES biodiversity and pandemics workshop</w:t>
            </w:r>
          </w:p>
        </w:tc>
        <w:tc>
          <w:tcPr>
            <w:tcW w:w="1134" w:type="dxa"/>
            <w:tcBorders>
              <w:top w:val="nil"/>
              <w:left w:val="nil"/>
              <w:bottom w:val="nil"/>
              <w:right w:val="nil"/>
            </w:tcBorders>
            <w:hideMark/>
          </w:tcPr>
          <w:p w14:paraId="55B5D2ED"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meetings</w:t>
            </w:r>
          </w:p>
        </w:tc>
        <w:tc>
          <w:tcPr>
            <w:tcW w:w="1032" w:type="dxa"/>
            <w:tcBorders>
              <w:top w:val="nil"/>
              <w:left w:val="nil"/>
              <w:bottom w:val="nil"/>
              <w:right w:val="nil"/>
            </w:tcBorders>
            <w:vAlign w:val="bottom"/>
          </w:tcPr>
          <w:p w14:paraId="3B69C203" w14:textId="77777777" w:rsidR="00992A45" w:rsidRPr="00BD7721" w:rsidRDefault="00992A45" w:rsidP="004E48D5">
            <w:pPr>
              <w:pStyle w:val="Normal-pool"/>
              <w:spacing w:before="40" w:after="40"/>
              <w:jc w:val="right"/>
              <w:rPr>
                <w:b/>
                <w:sz w:val="18"/>
                <w:szCs w:val="18"/>
                <w:lang w:val="en-GB"/>
              </w:rPr>
            </w:pPr>
          </w:p>
        </w:tc>
        <w:tc>
          <w:tcPr>
            <w:tcW w:w="932" w:type="dxa"/>
            <w:tcBorders>
              <w:top w:val="nil"/>
              <w:left w:val="nil"/>
              <w:bottom w:val="nil"/>
              <w:right w:val="nil"/>
            </w:tcBorders>
            <w:vAlign w:val="bottom"/>
          </w:tcPr>
          <w:p w14:paraId="6344C6DA" w14:textId="77777777" w:rsidR="00992A45" w:rsidRPr="00BD7721" w:rsidRDefault="00992A45" w:rsidP="004E48D5">
            <w:pPr>
              <w:pStyle w:val="Normal-pool"/>
              <w:spacing w:before="40" w:after="40"/>
              <w:jc w:val="right"/>
              <w:rPr>
                <w:b/>
                <w:sz w:val="18"/>
                <w:szCs w:val="18"/>
                <w:lang w:val="en-GB"/>
              </w:rPr>
            </w:pPr>
          </w:p>
        </w:tc>
        <w:tc>
          <w:tcPr>
            <w:tcW w:w="1013" w:type="dxa"/>
            <w:tcBorders>
              <w:top w:val="nil"/>
              <w:left w:val="nil"/>
              <w:bottom w:val="nil"/>
              <w:right w:val="nil"/>
            </w:tcBorders>
            <w:vAlign w:val="bottom"/>
            <w:hideMark/>
          </w:tcPr>
          <w:p w14:paraId="608D8A43"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38 664</w:t>
            </w:r>
          </w:p>
        </w:tc>
        <w:tc>
          <w:tcPr>
            <w:tcW w:w="851" w:type="dxa"/>
            <w:tcBorders>
              <w:top w:val="nil"/>
              <w:left w:val="nil"/>
              <w:bottom w:val="nil"/>
              <w:right w:val="nil"/>
            </w:tcBorders>
            <w:vAlign w:val="bottom"/>
          </w:tcPr>
          <w:p w14:paraId="30FE09DA" w14:textId="77777777" w:rsidR="00992A45" w:rsidRPr="00BD7721" w:rsidRDefault="00992A45" w:rsidP="004E48D5">
            <w:pPr>
              <w:pStyle w:val="Normal-pool"/>
              <w:spacing w:before="40" w:after="40"/>
              <w:jc w:val="right"/>
              <w:rPr>
                <w:b/>
                <w:sz w:val="18"/>
                <w:szCs w:val="18"/>
                <w:lang w:val="en-GB"/>
              </w:rPr>
            </w:pPr>
          </w:p>
        </w:tc>
        <w:tc>
          <w:tcPr>
            <w:tcW w:w="992" w:type="dxa"/>
            <w:tcBorders>
              <w:top w:val="nil"/>
              <w:left w:val="nil"/>
              <w:bottom w:val="nil"/>
              <w:right w:val="nil"/>
            </w:tcBorders>
            <w:vAlign w:val="bottom"/>
          </w:tcPr>
          <w:p w14:paraId="1CCCBE0C" w14:textId="77777777" w:rsidR="00992A45" w:rsidRPr="00BD7721" w:rsidRDefault="00992A45" w:rsidP="004E48D5">
            <w:pPr>
              <w:pStyle w:val="Normal-pool"/>
              <w:spacing w:before="40" w:after="40"/>
              <w:jc w:val="right"/>
              <w:rPr>
                <w:b/>
                <w:sz w:val="18"/>
                <w:szCs w:val="18"/>
                <w:lang w:val="en-GB"/>
              </w:rPr>
            </w:pPr>
          </w:p>
        </w:tc>
        <w:tc>
          <w:tcPr>
            <w:tcW w:w="903" w:type="dxa"/>
            <w:tcBorders>
              <w:top w:val="nil"/>
              <w:left w:val="nil"/>
              <w:bottom w:val="nil"/>
              <w:right w:val="single" w:sz="4" w:space="0" w:color="000000"/>
            </w:tcBorders>
            <w:vAlign w:val="bottom"/>
          </w:tcPr>
          <w:p w14:paraId="75A3A1A1"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tcPr>
          <w:p w14:paraId="217CA470" w14:textId="77777777" w:rsidR="00992A45" w:rsidRPr="00BD7721" w:rsidRDefault="00992A45" w:rsidP="004E48D5">
            <w:pPr>
              <w:pStyle w:val="Normal-pool"/>
              <w:spacing w:before="40" w:after="40"/>
              <w:jc w:val="right"/>
              <w:rPr>
                <w:b/>
                <w:sz w:val="18"/>
                <w:szCs w:val="18"/>
                <w:lang w:val="en-GB"/>
              </w:rPr>
            </w:pPr>
          </w:p>
        </w:tc>
        <w:tc>
          <w:tcPr>
            <w:tcW w:w="962" w:type="dxa"/>
            <w:tcBorders>
              <w:top w:val="nil"/>
              <w:left w:val="nil"/>
              <w:bottom w:val="nil"/>
              <w:right w:val="nil"/>
            </w:tcBorders>
            <w:vAlign w:val="bottom"/>
            <w:hideMark/>
          </w:tcPr>
          <w:p w14:paraId="45BD1568" w14:textId="0827862E" w:rsidR="00992A45" w:rsidRPr="00BD7721" w:rsidRDefault="008A335A" w:rsidP="004E48D5">
            <w:pPr>
              <w:pStyle w:val="Normal-pool"/>
              <w:spacing w:before="40" w:after="40"/>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01EB23E2" w14:textId="77777777" w:rsidR="00992A45" w:rsidRPr="00BD7721" w:rsidRDefault="00992A45" w:rsidP="004E48D5">
            <w:pPr>
              <w:pStyle w:val="Normal-pool"/>
              <w:spacing w:before="40" w:after="40"/>
              <w:rPr>
                <w:b/>
                <w:sz w:val="18"/>
                <w:szCs w:val="18"/>
                <w:lang w:val="en-GB"/>
              </w:rPr>
            </w:pPr>
          </w:p>
        </w:tc>
      </w:tr>
      <w:tr w:rsidR="00992A45" w:rsidRPr="00BD7721" w14:paraId="37F4C420" w14:textId="77777777" w:rsidTr="008A335A">
        <w:trPr>
          <w:trHeight w:val="57"/>
          <w:jc w:val="right"/>
        </w:trPr>
        <w:tc>
          <w:tcPr>
            <w:tcW w:w="1961" w:type="dxa"/>
            <w:tcBorders>
              <w:top w:val="nil"/>
              <w:left w:val="nil"/>
              <w:bottom w:val="nil"/>
              <w:right w:val="nil"/>
            </w:tcBorders>
            <w:hideMark/>
          </w:tcPr>
          <w:p w14:paraId="18FB4A9F" w14:textId="77777777" w:rsidR="00992A45" w:rsidRPr="00BD7721" w:rsidRDefault="00992A45" w:rsidP="004E48D5">
            <w:pPr>
              <w:pStyle w:val="Normal-pool"/>
              <w:spacing w:before="40" w:after="40"/>
              <w:rPr>
                <w:b/>
                <w:sz w:val="18"/>
                <w:szCs w:val="18"/>
                <w:lang w:val="en-GB"/>
              </w:rPr>
            </w:pPr>
            <w:r w:rsidRPr="00BD7721">
              <w:rPr>
                <w:sz w:val="18"/>
                <w:szCs w:val="18"/>
                <w:lang w:val="en-GB"/>
              </w:rPr>
              <w:t>Germany</w:t>
            </w:r>
          </w:p>
        </w:tc>
        <w:tc>
          <w:tcPr>
            <w:tcW w:w="2717" w:type="dxa"/>
            <w:tcBorders>
              <w:top w:val="nil"/>
              <w:left w:val="nil"/>
              <w:bottom w:val="nil"/>
              <w:right w:val="nil"/>
            </w:tcBorders>
            <w:hideMark/>
          </w:tcPr>
          <w:p w14:paraId="7B6A61D1"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IPBES-9 in Bonn, Germany, for venue cost and meeting participants</w:t>
            </w:r>
          </w:p>
        </w:tc>
        <w:tc>
          <w:tcPr>
            <w:tcW w:w="1134" w:type="dxa"/>
            <w:tcBorders>
              <w:top w:val="nil"/>
              <w:left w:val="nil"/>
              <w:bottom w:val="nil"/>
              <w:right w:val="nil"/>
            </w:tcBorders>
            <w:hideMark/>
          </w:tcPr>
          <w:p w14:paraId="3B3787A3"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meetings</w:t>
            </w:r>
          </w:p>
        </w:tc>
        <w:tc>
          <w:tcPr>
            <w:tcW w:w="1032" w:type="dxa"/>
            <w:tcBorders>
              <w:top w:val="nil"/>
              <w:left w:val="nil"/>
              <w:bottom w:val="nil"/>
              <w:right w:val="nil"/>
            </w:tcBorders>
            <w:vAlign w:val="bottom"/>
          </w:tcPr>
          <w:p w14:paraId="5C5B43AB" w14:textId="77777777" w:rsidR="00992A45" w:rsidRPr="00BD7721" w:rsidRDefault="00992A45" w:rsidP="004E48D5">
            <w:pPr>
              <w:pStyle w:val="Normal-pool"/>
              <w:spacing w:before="40" w:after="40"/>
              <w:jc w:val="right"/>
              <w:rPr>
                <w:b/>
                <w:sz w:val="18"/>
                <w:szCs w:val="18"/>
                <w:lang w:val="en-GB"/>
              </w:rPr>
            </w:pPr>
          </w:p>
        </w:tc>
        <w:tc>
          <w:tcPr>
            <w:tcW w:w="932" w:type="dxa"/>
            <w:tcBorders>
              <w:top w:val="nil"/>
              <w:left w:val="nil"/>
              <w:bottom w:val="nil"/>
              <w:right w:val="nil"/>
            </w:tcBorders>
            <w:vAlign w:val="bottom"/>
          </w:tcPr>
          <w:p w14:paraId="343FCD97" w14:textId="77777777" w:rsidR="00992A45" w:rsidRPr="00BD7721" w:rsidRDefault="00992A45" w:rsidP="004E48D5">
            <w:pPr>
              <w:pStyle w:val="Normal-pool"/>
              <w:spacing w:before="40" w:after="40"/>
              <w:jc w:val="right"/>
              <w:rPr>
                <w:b/>
                <w:sz w:val="18"/>
                <w:szCs w:val="18"/>
                <w:lang w:val="en-GB"/>
              </w:rPr>
            </w:pPr>
          </w:p>
        </w:tc>
        <w:tc>
          <w:tcPr>
            <w:tcW w:w="1013" w:type="dxa"/>
            <w:tcBorders>
              <w:top w:val="nil"/>
              <w:left w:val="nil"/>
              <w:bottom w:val="nil"/>
              <w:right w:val="nil"/>
            </w:tcBorders>
            <w:vAlign w:val="bottom"/>
          </w:tcPr>
          <w:p w14:paraId="0EBEE4DD" w14:textId="77777777" w:rsidR="00992A45" w:rsidRPr="00BD7721" w:rsidRDefault="00992A45" w:rsidP="004E48D5">
            <w:pPr>
              <w:pStyle w:val="Normal-pool"/>
              <w:spacing w:before="40" w:after="40"/>
              <w:jc w:val="right"/>
              <w:rPr>
                <w:b/>
                <w:sz w:val="18"/>
                <w:szCs w:val="18"/>
                <w:lang w:val="en-GB"/>
              </w:rPr>
            </w:pPr>
          </w:p>
        </w:tc>
        <w:tc>
          <w:tcPr>
            <w:tcW w:w="851" w:type="dxa"/>
            <w:tcBorders>
              <w:top w:val="nil"/>
              <w:left w:val="nil"/>
              <w:bottom w:val="nil"/>
              <w:right w:val="nil"/>
            </w:tcBorders>
            <w:vAlign w:val="bottom"/>
          </w:tcPr>
          <w:p w14:paraId="4C5E9EF1" w14:textId="77777777" w:rsidR="00992A45" w:rsidRPr="00BD7721" w:rsidRDefault="00992A45" w:rsidP="004E48D5">
            <w:pPr>
              <w:pStyle w:val="Normal-pool"/>
              <w:spacing w:before="40" w:after="40"/>
              <w:jc w:val="right"/>
              <w:rPr>
                <w:b/>
                <w:sz w:val="18"/>
                <w:szCs w:val="18"/>
                <w:lang w:val="en-GB"/>
              </w:rPr>
            </w:pPr>
          </w:p>
        </w:tc>
        <w:tc>
          <w:tcPr>
            <w:tcW w:w="992" w:type="dxa"/>
            <w:tcBorders>
              <w:top w:val="nil"/>
              <w:left w:val="nil"/>
              <w:bottom w:val="nil"/>
              <w:right w:val="nil"/>
            </w:tcBorders>
            <w:vAlign w:val="bottom"/>
            <w:hideMark/>
          </w:tcPr>
          <w:p w14:paraId="65046747"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982 367</w:t>
            </w:r>
          </w:p>
        </w:tc>
        <w:tc>
          <w:tcPr>
            <w:tcW w:w="903" w:type="dxa"/>
            <w:tcBorders>
              <w:top w:val="nil"/>
              <w:left w:val="nil"/>
              <w:bottom w:val="nil"/>
              <w:right w:val="single" w:sz="4" w:space="0" w:color="000000"/>
            </w:tcBorders>
            <w:vAlign w:val="bottom"/>
          </w:tcPr>
          <w:p w14:paraId="74FB05ED"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tcPr>
          <w:p w14:paraId="5D1F4DF5" w14:textId="77777777" w:rsidR="00992A45" w:rsidRPr="00BD7721" w:rsidRDefault="00992A45" w:rsidP="004E48D5">
            <w:pPr>
              <w:pStyle w:val="Normal-pool"/>
              <w:spacing w:before="40" w:after="40"/>
              <w:jc w:val="right"/>
              <w:rPr>
                <w:b/>
                <w:sz w:val="18"/>
                <w:szCs w:val="18"/>
                <w:lang w:val="en-GB"/>
              </w:rPr>
            </w:pPr>
          </w:p>
        </w:tc>
        <w:tc>
          <w:tcPr>
            <w:tcW w:w="962" w:type="dxa"/>
            <w:tcBorders>
              <w:top w:val="nil"/>
              <w:left w:val="nil"/>
              <w:bottom w:val="nil"/>
              <w:right w:val="nil"/>
            </w:tcBorders>
            <w:vAlign w:val="bottom"/>
            <w:hideMark/>
          </w:tcPr>
          <w:p w14:paraId="14FE8965" w14:textId="6A36BFE8" w:rsidR="00992A45" w:rsidRPr="00BD7721" w:rsidRDefault="008A335A" w:rsidP="004E48D5">
            <w:pPr>
              <w:pStyle w:val="Normal-pool"/>
              <w:spacing w:before="40" w:after="40"/>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03E9B5EC" w14:textId="77777777" w:rsidR="00992A45" w:rsidRPr="00BD7721" w:rsidRDefault="00992A45" w:rsidP="004E48D5">
            <w:pPr>
              <w:pStyle w:val="Normal-pool"/>
              <w:spacing w:before="40" w:after="40"/>
              <w:rPr>
                <w:b/>
                <w:sz w:val="18"/>
                <w:szCs w:val="18"/>
                <w:lang w:val="en-GB"/>
              </w:rPr>
            </w:pPr>
          </w:p>
        </w:tc>
      </w:tr>
      <w:tr w:rsidR="00992A45" w:rsidRPr="00BD7721" w14:paraId="0ECF23B5" w14:textId="77777777" w:rsidTr="008A335A">
        <w:trPr>
          <w:trHeight w:val="57"/>
          <w:jc w:val="right"/>
        </w:trPr>
        <w:tc>
          <w:tcPr>
            <w:tcW w:w="1961" w:type="dxa"/>
            <w:tcBorders>
              <w:top w:val="nil"/>
              <w:left w:val="nil"/>
              <w:bottom w:val="nil"/>
              <w:right w:val="nil"/>
            </w:tcBorders>
            <w:hideMark/>
          </w:tcPr>
          <w:p w14:paraId="4414CB9A" w14:textId="77777777" w:rsidR="00992A45" w:rsidRPr="00BD7721" w:rsidRDefault="00992A45" w:rsidP="004E48D5">
            <w:pPr>
              <w:pStyle w:val="Normal-pool"/>
              <w:spacing w:before="40" w:after="40"/>
              <w:rPr>
                <w:b/>
                <w:sz w:val="18"/>
                <w:szCs w:val="18"/>
                <w:lang w:val="en-GB"/>
              </w:rPr>
            </w:pPr>
            <w:proofErr w:type="spellStart"/>
            <w:r w:rsidRPr="00BD7721">
              <w:rPr>
                <w:sz w:val="18"/>
                <w:szCs w:val="18"/>
                <w:lang w:val="en-GB"/>
              </w:rPr>
              <w:t>Norway</w:t>
            </w:r>
            <w:r w:rsidRPr="00BD7721">
              <w:rPr>
                <w:sz w:val="18"/>
                <w:szCs w:val="18"/>
                <w:vertAlign w:val="superscript"/>
                <w:lang w:val="en-GB"/>
              </w:rPr>
              <w:t>b</w:t>
            </w:r>
            <w:proofErr w:type="spellEnd"/>
          </w:p>
        </w:tc>
        <w:tc>
          <w:tcPr>
            <w:tcW w:w="2717" w:type="dxa"/>
            <w:tcBorders>
              <w:top w:val="nil"/>
              <w:left w:val="nil"/>
              <w:bottom w:val="nil"/>
              <w:right w:val="nil"/>
            </w:tcBorders>
            <w:hideMark/>
          </w:tcPr>
          <w:p w14:paraId="6CD3B3D3" w14:textId="2C10CFB3" w:rsidR="00992A45" w:rsidRPr="00BD7721" w:rsidRDefault="00992A45" w:rsidP="004E48D5">
            <w:pPr>
              <w:pStyle w:val="Normal-pool"/>
              <w:spacing w:before="40" w:after="40"/>
              <w:rPr>
                <w:b/>
                <w:sz w:val="18"/>
                <w:szCs w:val="18"/>
                <w:lang w:val="en-GB"/>
              </w:rPr>
            </w:pPr>
            <w:r w:rsidRPr="00BD7721">
              <w:rPr>
                <w:sz w:val="18"/>
                <w:szCs w:val="18"/>
                <w:lang w:val="en-GB"/>
              </w:rPr>
              <w:t>Support for the IPCC-IPBES co</w:t>
            </w:r>
            <w:r w:rsidR="00980AA9" w:rsidRPr="00BD7721">
              <w:rPr>
                <w:lang w:val="en-GB"/>
              </w:rPr>
              <w:noBreakHyphen/>
            </w:r>
            <w:r w:rsidRPr="00BD7721">
              <w:rPr>
                <w:sz w:val="18"/>
                <w:szCs w:val="18"/>
                <w:lang w:val="en-GB"/>
              </w:rPr>
              <w:t>sponsored workshop on climate and biodiversity</w:t>
            </w:r>
          </w:p>
        </w:tc>
        <w:tc>
          <w:tcPr>
            <w:tcW w:w="1134" w:type="dxa"/>
            <w:tcBorders>
              <w:top w:val="nil"/>
              <w:left w:val="nil"/>
              <w:bottom w:val="nil"/>
              <w:right w:val="nil"/>
            </w:tcBorders>
            <w:hideMark/>
          </w:tcPr>
          <w:p w14:paraId="10A6A08A"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meetings</w:t>
            </w:r>
          </w:p>
        </w:tc>
        <w:tc>
          <w:tcPr>
            <w:tcW w:w="1032" w:type="dxa"/>
            <w:tcBorders>
              <w:top w:val="nil"/>
              <w:left w:val="nil"/>
              <w:bottom w:val="nil"/>
              <w:right w:val="nil"/>
            </w:tcBorders>
            <w:vAlign w:val="bottom"/>
          </w:tcPr>
          <w:p w14:paraId="63697D69" w14:textId="77777777" w:rsidR="00992A45" w:rsidRPr="00BD7721" w:rsidRDefault="00992A45" w:rsidP="004E48D5">
            <w:pPr>
              <w:pStyle w:val="Normal-pool"/>
              <w:spacing w:before="40" w:after="40"/>
              <w:jc w:val="right"/>
              <w:rPr>
                <w:b/>
                <w:sz w:val="18"/>
                <w:szCs w:val="18"/>
                <w:lang w:val="en-GB"/>
              </w:rPr>
            </w:pPr>
          </w:p>
        </w:tc>
        <w:tc>
          <w:tcPr>
            <w:tcW w:w="932" w:type="dxa"/>
            <w:tcBorders>
              <w:top w:val="nil"/>
              <w:left w:val="nil"/>
              <w:bottom w:val="nil"/>
              <w:right w:val="nil"/>
            </w:tcBorders>
            <w:vAlign w:val="bottom"/>
          </w:tcPr>
          <w:p w14:paraId="60FD1696" w14:textId="77777777" w:rsidR="00992A45" w:rsidRPr="00BD7721" w:rsidRDefault="00992A45" w:rsidP="004E48D5">
            <w:pPr>
              <w:pStyle w:val="Normal-pool"/>
              <w:spacing w:before="40" w:after="40"/>
              <w:jc w:val="right"/>
              <w:rPr>
                <w:b/>
                <w:sz w:val="18"/>
                <w:szCs w:val="18"/>
                <w:lang w:val="en-GB"/>
              </w:rPr>
            </w:pPr>
          </w:p>
        </w:tc>
        <w:tc>
          <w:tcPr>
            <w:tcW w:w="1013" w:type="dxa"/>
            <w:tcBorders>
              <w:top w:val="nil"/>
              <w:left w:val="nil"/>
              <w:bottom w:val="nil"/>
              <w:right w:val="nil"/>
            </w:tcBorders>
            <w:vAlign w:val="bottom"/>
            <w:hideMark/>
          </w:tcPr>
          <w:p w14:paraId="6858527B"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39 325</w:t>
            </w:r>
          </w:p>
        </w:tc>
        <w:tc>
          <w:tcPr>
            <w:tcW w:w="851" w:type="dxa"/>
            <w:tcBorders>
              <w:top w:val="nil"/>
              <w:left w:val="nil"/>
              <w:bottom w:val="nil"/>
              <w:right w:val="nil"/>
            </w:tcBorders>
            <w:vAlign w:val="bottom"/>
          </w:tcPr>
          <w:p w14:paraId="1F61184B" w14:textId="77777777" w:rsidR="00992A45" w:rsidRPr="00BD7721" w:rsidRDefault="00992A45" w:rsidP="004E48D5">
            <w:pPr>
              <w:pStyle w:val="Normal-pool"/>
              <w:spacing w:before="40" w:after="40"/>
              <w:jc w:val="right"/>
              <w:rPr>
                <w:b/>
                <w:sz w:val="18"/>
                <w:szCs w:val="18"/>
                <w:lang w:val="en-GB"/>
              </w:rPr>
            </w:pPr>
          </w:p>
        </w:tc>
        <w:tc>
          <w:tcPr>
            <w:tcW w:w="992" w:type="dxa"/>
            <w:tcBorders>
              <w:top w:val="nil"/>
              <w:left w:val="nil"/>
              <w:bottom w:val="nil"/>
              <w:right w:val="nil"/>
            </w:tcBorders>
            <w:vAlign w:val="bottom"/>
          </w:tcPr>
          <w:p w14:paraId="6AEDC664" w14:textId="77777777" w:rsidR="00992A45" w:rsidRPr="00BD7721" w:rsidRDefault="00992A45" w:rsidP="004E48D5">
            <w:pPr>
              <w:pStyle w:val="Normal-pool"/>
              <w:spacing w:before="40" w:after="40"/>
              <w:jc w:val="right"/>
              <w:rPr>
                <w:b/>
                <w:sz w:val="18"/>
                <w:szCs w:val="18"/>
                <w:lang w:val="en-GB"/>
              </w:rPr>
            </w:pPr>
          </w:p>
        </w:tc>
        <w:tc>
          <w:tcPr>
            <w:tcW w:w="903" w:type="dxa"/>
            <w:tcBorders>
              <w:top w:val="nil"/>
              <w:left w:val="nil"/>
              <w:bottom w:val="nil"/>
              <w:right w:val="single" w:sz="4" w:space="0" w:color="000000"/>
            </w:tcBorders>
            <w:vAlign w:val="bottom"/>
          </w:tcPr>
          <w:p w14:paraId="3EE0DFAB"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nil"/>
              <w:right w:val="nil"/>
            </w:tcBorders>
            <w:vAlign w:val="bottom"/>
          </w:tcPr>
          <w:p w14:paraId="53F167FB" w14:textId="77777777" w:rsidR="00992A45" w:rsidRPr="00BD7721" w:rsidRDefault="00992A45" w:rsidP="004E48D5">
            <w:pPr>
              <w:pStyle w:val="Normal-pool"/>
              <w:spacing w:before="40" w:after="40"/>
              <w:jc w:val="right"/>
              <w:rPr>
                <w:b/>
                <w:sz w:val="18"/>
                <w:szCs w:val="18"/>
                <w:lang w:val="en-GB"/>
              </w:rPr>
            </w:pPr>
          </w:p>
        </w:tc>
        <w:tc>
          <w:tcPr>
            <w:tcW w:w="962" w:type="dxa"/>
            <w:tcBorders>
              <w:top w:val="nil"/>
              <w:left w:val="nil"/>
              <w:bottom w:val="nil"/>
              <w:right w:val="nil"/>
            </w:tcBorders>
            <w:vAlign w:val="bottom"/>
            <w:hideMark/>
          </w:tcPr>
          <w:p w14:paraId="6F2EDF3F" w14:textId="61DBA560" w:rsidR="00992A45" w:rsidRPr="00BD7721" w:rsidRDefault="008A335A" w:rsidP="004E48D5">
            <w:pPr>
              <w:pStyle w:val="Normal-pool"/>
              <w:spacing w:before="40" w:after="40"/>
              <w:rPr>
                <w:b/>
                <w:sz w:val="18"/>
                <w:szCs w:val="18"/>
                <w:lang w:val="en-GB"/>
              </w:rPr>
            </w:pPr>
            <w:r w:rsidRPr="00BD7721">
              <w:rPr>
                <w:sz w:val="18"/>
                <w:szCs w:val="18"/>
                <w:lang w:val="en-GB"/>
              </w:rPr>
              <w:t xml:space="preserve"> </w:t>
            </w:r>
          </w:p>
        </w:tc>
        <w:tc>
          <w:tcPr>
            <w:tcW w:w="962" w:type="dxa"/>
            <w:tcBorders>
              <w:top w:val="nil"/>
              <w:left w:val="nil"/>
              <w:bottom w:val="nil"/>
              <w:right w:val="nil"/>
            </w:tcBorders>
            <w:vAlign w:val="bottom"/>
          </w:tcPr>
          <w:p w14:paraId="743776A2" w14:textId="77777777" w:rsidR="00992A45" w:rsidRPr="00BD7721" w:rsidRDefault="00992A45" w:rsidP="004E48D5">
            <w:pPr>
              <w:pStyle w:val="Normal-pool"/>
              <w:spacing w:before="40" w:after="40"/>
              <w:rPr>
                <w:b/>
                <w:sz w:val="18"/>
                <w:szCs w:val="18"/>
                <w:lang w:val="en-GB"/>
              </w:rPr>
            </w:pPr>
          </w:p>
        </w:tc>
      </w:tr>
      <w:tr w:rsidR="00992A45" w:rsidRPr="00BD7721" w14:paraId="0F2B9A8C" w14:textId="77777777" w:rsidTr="008A335A">
        <w:trPr>
          <w:trHeight w:val="57"/>
          <w:jc w:val="right"/>
        </w:trPr>
        <w:tc>
          <w:tcPr>
            <w:tcW w:w="1961" w:type="dxa"/>
            <w:tcBorders>
              <w:top w:val="nil"/>
              <w:left w:val="nil"/>
              <w:bottom w:val="single" w:sz="4" w:space="0" w:color="000000"/>
              <w:right w:val="nil"/>
            </w:tcBorders>
            <w:hideMark/>
          </w:tcPr>
          <w:p w14:paraId="3B999E29" w14:textId="77777777" w:rsidR="00992A45" w:rsidRPr="00BD7721" w:rsidRDefault="00992A45" w:rsidP="004E48D5">
            <w:pPr>
              <w:pStyle w:val="Normal-pool"/>
              <w:spacing w:before="40" w:after="40"/>
              <w:rPr>
                <w:b/>
                <w:sz w:val="18"/>
                <w:szCs w:val="18"/>
                <w:lang w:val="en-GB"/>
              </w:rPr>
            </w:pPr>
            <w:r w:rsidRPr="00BD7721">
              <w:rPr>
                <w:sz w:val="18"/>
                <w:szCs w:val="18"/>
                <w:lang w:val="en-GB"/>
              </w:rPr>
              <w:t>United States of America</w:t>
            </w:r>
          </w:p>
        </w:tc>
        <w:tc>
          <w:tcPr>
            <w:tcW w:w="2717" w:type="dxa"/>
            <w:tcBorders>
              <w:top w:val="nil"/>
              <w:left w:val="nil"/>
              <w:bottom w:val="single" w:sz="4" w:space="0" w:color="000000"/>
              <w:right w:val="nil"/>
            </w:tcBorders>
            <w:hideMark/>
          </w:tcPr>
          <w:p w14:paraId="0F5568B5"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to IPBES-10 in Bonn, Germany, for venue and other meeting costs</w:t>
            </w:r>
          </w:p>
        </w:tc>
        <w:tc>
          <w:tcPr>
            <w:tcW w:w="1134" w:type="dxa"/>
            <w:tcBorders>
              <w:top w:val="nil"/>
              <w:left w:val="nil"/>
              <w:bottom w:val="single" w:sz="4" w:space="0" w:color="000000"/>
              <w:right w:val="nil"/>
            </w:tcBorders>
            <w:hideMark/>
          </w:tcPr>
          <w:p w14:paraId="5A9EAB1D" w14:textId="77777777" w:rsidR="00992A45" w:rsidRPr="00BD7721" w:rsidRDefault="00992A45" w:rsidP="004E48D5">
            <w:pPr>
              <w:pStyle w:val="Normal-pool"/>
              <w:spacing w:before="40" w:after="40"/>
              <w:rPr>
                <w:b/>
                <w:sz w:val="18"/>
                <w:szCs w:val="18"/>
                <w:lang w:val="en-GB"/>
              </w:rPr>
            </w:pPr>
            <w:r w:rsidRPr="00BD7721">
              <w:rPr>
                <w:sz w:val="18"/>
                <w:szCs w:val="18"/>
                <w:lang w:val="en-GB"/>
              </w:rPr>
              <w:t>Support for meetings</w:t>
            </w:r>
          </w:p>
        </w:tc>
        <w:tc>
          <w:tcPr>
            <w:tcW w:w="1032" w:type="dxa"/>
            <w:tcBorders>
              <w:top w:val="nil"/>
              <w:left w:val="nil"/>
              <w:bottom w:val="single" w:sz="4" w:space="0" w:color="000000"/>
              <w:right w:val="nil"/>
            </w:tcBorders>
            <w:vAlign w:val="bottom"/>
          </w:tcPr>
          <w:p w14:paraId="14175CB1" w14:textId="77777777" w:rsidR="00992A45" w:rsidRPr="00BD7721" w:rsidRDefault="00992A45" w:rsidP="004E48D5">
            <w:pPr>
              <w:pStyle w:val="Normal-pool"/>
              <w:spacing w:before="40" w:after="40"/>
              <w:jc w:val="right"/>
              <w:rPr>
                <w:b/>
                <w:sz w:val="18"/>
                <w:szCs w:val="18"/>
                <w:lang w:val="en-GB"/>
              </w:rPr>
            </w:pPr>
          </w:p>
        </w:tc>
        <w:tc>
          <w:tcPr>
            <w:tcW w:w="932" w:type="dxa"/>
            <w:tcBorders>
              <w:top w:val="nil"/>
              <w:left w:val="nil"/>
              <w:bottom w:val="single" w:sz="4" w:space="0" w:color="000000"/>
              <w:right w:val="nil"/>
            </w:tcBorders>
            <w:vAlign w:val="bottom"/>
          </w:tcPr>
          <w:p w14:paraId="5F4BAE04" w14:textId="77777777" w:rsidR="00992A45" w:rsidRPr="00BD7721" w:rsidRDefault="00992A45" w:rsidP="004E48D5">
            <w:pPr>
              <w:pStyle w:val="Normal-pool"/>
              <w:spacing w:before="40" w:after="40"/>
              <w:jc w:val="right"/>
              <w:rPr>
                <w:b/>
                <w:sz w:val="18"/>
                <w:szCs w:val="18"/>
                <w:lang w:val="en-GB"/>
              </w:rPr>
            </w:pPr>
          </w:p>
        </w:tc>
        <w:tc>
          <w:tcPr>
            <w:tcW w:w="1013" w:type="dxa"/>
            <w:tcBorders>
              <w:top w:val="nil"/>
              <w:left w:val="nil"/>
              <w:bottom w:val="single" w:sz="4" w:space="0" w:color="000000"/>
              <w:right w:val="nil"/>
            </w:tcBorders>
            <w:vAlign w:val="bottom"/>
          </w:tcPr>
          <w:p w14:paraId="755FC6BC" w14:textId="77777777" w:rsidR="00992A45" w:rsidRPr="00BD7721" w:rsidRDefault="00992A45" w:rsidP="004E48D5">
            <w:pPr>
              <w:pStyle w:val="Normal-pool"/>
              <w:spacing w:before="40" w:after="40"/>
              <w:jc w:val="right"/>
              <w:rPr>
                <w:b/>
                <w:sz w:val="18"/>
                <w:szCs w:val="18"/>
                <w:lang w:val="en-GB"/>
              </w:rPr>
            </w:pPr>
          </w:p>
        </w:tc>
        <w:tc>
          <w:tcPr>
            <w:tcW w:w="851" w:type="dxa"/>
            <w:tcBorders>
              <w:top w:val="nil"/>
              <w:left w:val="nil"/>
              <w:bottom w:val="single" w:sz="4" w:space="0" w:color="000000"/>
              <w:right w:val="nil"/>
            </w:tcBorders>
            <w:vAlign w:val="bottom"/>
          </w:tcPr>
          <w:p w14:paraId="76582117" w14:textId="77777777" w:rsidR="00992A45" w:rsidRPr="00BD7721" w:rsidRDefault="00992A45" w:rsidP="004E48D5">
            <w:pPr>
              <w:pStyle w:val="Normal-pool"/>
              <w:spacing w:before="40" w:after="40"/>
              <w:jc w:val="right"/>
              <w:rPr>
                <w:b/>
                <w:sz w:val="18"/>
                <w:szCs w:val="18"/>
                <w:lang w:val="en-GB"/>
              </w:rPr>
            </w:pPr>
          </w:p>
        </w:tc>
        <w:tc>
          <w:tcPr>
            <w:tcW w:w="992" w:type="dxa"/>
            <w:tcBorders>
              <w:top w:val="nil"/>
              <w:left w:val="nil"/>
              <w:bottom w:val="single" w:sz="4" w:space="0" w:color="000000"/>
              <w:right w:val="nil"/>
            </w:tcBorders>
            <w:vAlign w:val="bottom"/>
            <w:hideMark/>
          </w:tcPr>
          <w:p w14:paraId="2DFA66DE" w14:textId="77777777" w:rsidR="00992A45" w:rsidRPr="00BD7721" w:rsidRDefault="00992A45" w:rsidP="004E48D5">
            <w:pPr>
              <w:pStyle w:val="Normal-pool"/>
              <w:spacing w:before="40" w:after="40"/>
              <w:jc w:val="right"/>
              <w:rPr>
                <w:b/>
                <w:sz w:val="18"/>
                <w:szCs w:val="18"/>
                <w:lang w:val="en-GB"/>
              </w:rPr>
            </w:pPr>
            <w:r w:rsidRPr="00BD7721">
              <w:rPr>
                <w:sz w:val="18"/>
                <w:szCs w:val="18"/>
                <w:lang w:val="en-GB"/>
              </w:rPr>
              <w:t>1 295 000</w:t>
            </w:r>
          </w:p>
        </w:tc>
        <w:tc>
          <w:tcPr>
            <w:tcW w:w="903" w:type="dxa"/>
            <w:tcBorders>
              <w:top w:val="nil"/>
              <w:left w:val="nil"/>
              <w:bottom w:val="single" w:sz="4" w:space="0" w:color="000000"/>
              <w:right w:val="single" w:sz="4" w:space="0" w:color="000000"/>
            </w:tcBorders>
            <w:vAlign w:val="bottom"/>
          </w:tcPr>
          <w:p w14:paraId="7A4921B2" w14:textId="77777777" w:rsidR="00992A45" w:rsidRPr="00BD7721" w:rsidRDefault="00992A45" w:rsidP="004E48D5">
            <w:pPr>
              <w:pStyle w:val="Normal-pool"/>
              <w:spacing w:before="40" w:after="40"/>
              <w:jc w:val="right"/>
              <w:rPr>
                <w:b/>
                <w:sz w:val="18"/>
                <w:szCs w:val="18"/>
                <w:lang w:val="en-GB"/>
              </w:rPr>
            </w:pPr>
          </w:p>
        </w:tc>
        <w:tc>
          <w:tcPr>
            <w:tcW w:w="969" w:type="dxa"/>
            <w:tcBorders>
              <w:top w:val="nil"/>
              <w:left w:val="single" w:sz="4" w:space="0" w:color="000000"/>
              <w:bottom w:val="single" w:sz="4" w:space="0" w:color="000000"/>
              <w:right w:val="nil"/>
            </w:tcBorders>
            <w:vAlign w:val="bottom"/>
          </w:tcPr>
          <w:p w14:paraId="629E9BB4" w14:textId="77777777" w:rsidR="00992A45" w:rsidRPr="00BD7721" w:rsidRDefault="00992A45" w:rsidP="004E48D5">
            <w:pPr>
              <w:pStyle w:val="Normal-pool"/>
              <w:spacing w:before="40" w:after="40"/>
              <w:jc w:val="right"/>
              <w:rPr>
                <w:b/>
                <w:sz w:val="18"/>
                <w:szCs w:val="18"/>
                <w:lang w:val="en-GB"/>
              </w:rPr>
            </w:pPr>
          </w:p>
        </w:tc>
        <w:tc>
          <w:tcPr>
            <w:tcW w:w="962" w:type="dxa"/>
            <w:tcBorders>
              <w:top w:val="nil"/>
              <w:left w:val="nil"/>
              <w:bottom w:val="single" w:sz="4" w:space="0" w:color="000000"/>
              <w:right w:val="nil"/>
            </w:tcBorders>
            <w:vAlign w:val="bottom"/>
          </w:tcPr>
          <w:p w14:paraId="79C833E9" w14:textId="77777777" w:rsidR="00992A45" w:rsidRPr="00BD7721" w:rsidRDefault="00992A45" w:rsidP="004E48D5">
            <w:pPr>
              <w:pStyle w:val="Normal-pool"/>
              <w:spacing w:before="40" w:after="40"/>
              <w:jc w:val="right"/>
              <w:rPr>
                <w:b/>
                <w:sz w:val="18"/>
                <w:szCs w:val="18"/>
                <w:lang w:val="en-GB"/>
              </w:rPr>
            </w:pPr>
          </w:p>
        </w:tc>
        <w:tc>
          <w:tcPr>
            <w:tcW w:w="962" w:type="dxa"/>
            <w:tcBorders>
              <w:top w:val="nil"/>
              <w:left w:val="nil"/>
              <w:bottom w:val="single" w:sz="4" w:space="0" w:color="000000"/>
              <w:right w:val="nil"/>
            </w:tcBorders>
            <w:vAlign w:val="bottom"/>
          </w:tcPr>
          <w:p w14:paraId="107C6496" w14:textId="77777777" w:rsidR="00992A45" w:rsidRPr="00BD7721" w:rsidRDefault="00992A45" w:rsidP="004E48D5">
            <w:pPr>
              <w:pStyle w:val="Normal-pool"/>
              <w:spacing w:before="40" w:after="40"/>
              <w:jc w:val="right"/>
              <w:rPr>
                <w:b/>
                <w:sz w:val="18"/>
                <w:szCs w:val="18"/>
                <w:lang w:val="en-GB"/>
              </w:rPr>
            </w:pPr>
          </w:p>
        </w:tc>
      </w:tr>
      <w:tr w:rsidR="00992A45" w:rsidRPr="00BD7721" w14:paraId="64DC0003" w14:textId="77777777" w:rsidTr="008A335A">
        <w:trPr>
          <w:trHeight w:val="57"/>
          <w:jc w:val="right"/>
        </w:trPr>
        <w:tc>
          <w:tcPr>
            <w:tcW w:w="1961" w:type="dxa"/>
            <w:tcBorders>
              <w:top w:val="single" w:sz="4" w:space="0" w:color="000000"/>
              <w:left w:val="nil"/>
              <w:bottom w:val="single" w:sz="4" w:space="0" w:color="000000"/>
              <w:right w:val="nil"/>
            </w:tcBorders>
            <w:hideMark/>
          </w:tcPr>
          <w:p w14:paraId="16D4AE59" w14:textId="77777777" w:rsidR="00992A45" w:rsidRPr="00BD7721" w:rsidRDefault="00992A45" w:rsidP="004E48D5">
            <w:pPr>
              <w:pStyle w:val="Normal-pool"/>
              <w:spacing w:before="40" w:after="40"/>
              <w:rPr>
                <w:b/>
                <w:bCs/>
                <w:sz w:val="18"/>
                <w:szCs w:val="18"/>
                <w:lang w:val="en-GB"/>
              </w:rPr>
            </w:pPr>
            <w:r w:rsidRPr="00BD7721">
              <w:rPr>
                <w:b/>
                <w:bCs/>
                <w:sz w:val="18"/>
                <w:szCs w:val="18"/>
                <w:lang w:val="en-GB"/>
              </w:rPr>
              <w:t>Total 2</w:t>
            </w:r>
          </w:p>
        </w:tc>
        <w:tc>
          <w:tcPr>
            <w:tcW w:w="2717" w:type="dxa"/>
            <w:tcBorders>
              <w:top w:val="single" w:sz="4" w:space="0" w:color="000000"/>
              <w:left w:val="nil"/>
              <w:bottom w:val="single" w:sz="4" w:space="0" w:color="000000"/>
              <w:right w:val="nil"/>
            </w:tcBorders>
          </w:tcPr>
          <w:p w14:paraId="78315CBA" w14:textId="77777777" w:rsidR="00992A45" w:rsidRPr="00BD7721" w:rsidRDefault="00992A45" w:rsidP="004E48D5">
            <w:pPr>
              <w:pStyle w:val="Normal-pool"/>
              <w:spacing w:before="40" w:after="40"/>
              <w:rPr>
                <w:b/>
                <w:bCs/>
                <w:sz w:val="18"/>
                <w:szCs w:val="18"/>
                <w:lang w:val="en-GB"/>
              </w:rPr>
            </w:pPr>
          </w:p>
        </w:tc>
        <w:tc>
          <w:tcPr>
            <w:tcW w:w="1134" w:type="dxa"/>
            <w:tcBorders>
              <w:top w:val="single" w:sz="4" w:space="0" w:color="000000"/>
              <w:left w:val="nil"/>
              <w:bottom w:val="single" w:sz="4" w:space="0" w:color="000000"/>
              <w:right w:val="nil"/>
            </w:tcBorders>
          </w:tcPr>
          <w:p w14:paraId="18BF47F4" w14:textId="77777777" w:rsidR="00992A45" w:rsidRPr="00BD7721" w:rsidRDefault="00992A45" w:rsidP="004E48D5">
            <w:pPr>
              <w:pStyle w:val="Normal-pool"/>
              <w:spacing w:before="40" w:after="40"/>
              <w:rPr>
                <w:b/>
                <w:bCs/>
                <w:sz w:val="18"/>
                <w:szCs w:val="18"/>
                <w:lang w:val="en-GB"/>
              </w:rPr>
            </w:pPr>
          </w:p>
        </w:tc>
        <w:tc>
          <w:tcPr>
            <w:tcW w:w="1032" w:type="dxa"/>
            <w:tcBorders>
              <w:top w:val="single" w:sz="4" w:space="0" w:color="000000"/>
              <w:left w:val="nil"/>
              <w:bottom w:val="single" w:sz="4" w:space="0" w:color="000000"/>
              <w:right w:val="nil"/>
            </w:tcBorders>
            <w:vAlign w:val="bottom"/>
            <w:hideMark/>
          </w:tcPr>
          <w:p w14:paraId="7D382332"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355 065</w:t>
            </w:r>
          </w:p>
        </w:tc>
        <w:tc>
          <w:tcPr>
            <w:tcW w:w="932" w:type="dxa"/>
            <w:tcBorders>
              <w:top w:val="single" w:sz="4" w:space="0" w:color="000000"/>
              <w:left w:val="nil"/>
              <w:bottom w:val="single" w:sz="4" w:space="0" w:color="000000"/>
              <w:right w:val="nil"/>
            </w:tcBorders>
            <w:vAlign w:val="bottom"/>
            <w:hideMark/>
          </w:tcPr>
          <w:p w14:paraId="6DAB20E9"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265 114</w:t>
            </w:r>
          </w:p>
        </w:tc>
        <w:tc>
          <w:tcPr>
            <w:tcW w:w="1013" w:type="dxa"/>
            <w:tcBorders>
              <w:top w:val="single" w:sz="4" w:space="0" w:color="000000"/>
              <w:left w:val="nil"/>
              <w:bottom w:val="single" w:sz="4" w:space="0" w:color="000000"/>
              <w:right w:val="nil"/>
            </w:tcBorders>
            <w:vAlign w:val="bottom"/>
            <w:hideMark/>
          </w:tcPr>
          <w:p w14:paraId="591A6C46"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77 989</w:t>
            </w:r>
          </w:p>
        </w:tc>
        <w:tc>
          <w:tcPr>
            <w:tcW w:w="851" w:type="dxa"/>
            <w:tcBorders>
              <w:top w:val="single" w:sz="4" w:space="0" w:color="000000"/>
              <w:left w:val="nil"/>
              <w:bottom w:val="single" w:sz="4" w:space="0" w:color="000000"/>
              <w:right w:val="nil"/>
            </w:tcBorders>
            <w:vAlign w:val="bottom"/>
          </w:tcPr>
          <w:p w14:paraId="65B8AD57" w14:textId="77777777" w:rsidR="00992A45" w:rsidRPr="00BD7721" w:rsidRDefault="00992A45" w:rsidP="004E48D5">
            <w:pPr>
              <w:pStyle w:val="Normal-pool"/>
              <w:spacing w:before="40" w:after="40"/>
              <w:jc w:val="right"/>
              <w:rPr>
                <w:b/>
                <w:bCs/>
                <w:sz w:val="18"/>
                <w:szCs w:val="18"/>
                <w:lang w:val="en-GB"/>
              </w:rPr>
            </w:pPr>
          </w:p>
        </w:tc>
        <w:tc>
          <w:tcPr>
            <w:tcW w:w="992" w:type="dxa"/>
            <w:tcBorders>
              <w:top w:val="single" w:sz="4" w:space="0" w:color="000000"/>
              <w:left w:val="nil"/>
              <w:bottom w:val="single" w:sz="4" w:space="0" w:color="000000"/>
              <w:right w:val="nil"/>
            </w:tcBorders>
            <w:vAlign w:val="bottom"/>
            <w:hideMark/>
          </w:tcPr>
          <w:p w14:paraId="78DEE2BB"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2 277 367</w:t>
            </w:r>
          </w:p>
        </w:tc>
        <w:tc>
          <w:tcPr>
            <w:tcW w:w="903" w:type="dxa"/>
            <w:tcBorders>
              <w:top w:val="single" w:sz="4" w:space="0" w:color="000000"/>
              <w:left w:val="nil"/>
              <w:bottom w:val="single" w:sz="4" w:space="0" w:color="000000"/>
              <w:right w:val="single" w:sz="4" w:space="0" w:color="000000"/>
            </w:tcBorders>
            <w:vAlign w:val="bottom"/>
          </w:tcPr>
          <w:p w14:paraId="19AD1101" w14:textId="77777777" w:rsidR="00992A45" w:rsidRPr="00BD7721" w:rsidRDefault="00992A45" w:rsidP="004E48D5">
            <w:pPr>
              <w:pStyle w:val="Normal-pool"/>
              <w:spacing w:before="40" w:after="40"/>
              <w:jc w:val="right"/>
              <w:rPr>
                <w:b/>
                <w:bCs/>
                <w:sz w:val="18"/>
                <w:szCs w:val="18"/>
                <w:lang w:val="en-GB"/>
              </w:rPr>
            </w:pPr>
          </w:p>
        </w:tc>
        <w:tc>
          <w:tcPr>
            <w:tcW w:w="969" w:type="dxa"/>
            <w:tcBorders>
              <w:top w:val="single" w:sz="4" w:space="0" w:color="000000"/>
              <w:left w:val="single" w:sz="4" w:space="0" w:color="000000"/>
              <w:bottom w:val="single" w:sz="4" w:space="0" w:color="000000"/>
              <w:right w:val="nil"/>
            </w:tcBorders>
            <w:vAlign w:val="bottom"/>
          </w:tcPr>
          <w:p w14:paraId="1F720A96" w14:textId="77777777" w:rsidR="00992A45" w:rsidRPr="00BD7721" w:rsidRDefault="00992A45" w:rsidP="004E48D5">
            <w:pPr>
              <w:pStyle w:val="Normal-pool"/>
              <w:spacing w:before="40" w:after="40"/>
              <w:jc w:val="right"/>
              <w:rPr>
                <w:b/>
                <w:bCs/>
                <w:sz w:val="18"/>
                <w:szCs w:val="18"/>
                <w:lang w:val="en-GB"/>
              </w:rPr>
            </w:pPr>
          </w:p>
        </w:tc>
        <w:tc>
          <w:tcPr>
            <w:tcW w:w="962" w:type="dxa"/>
            <w:tcBorders>
              <w:top w:val="single" w:sz="4" w:space="0" w:color="000000"/>
              <w:left w:val="nil"/>
              <w:bottom w:val="single" w:sz="4" w:space="0" w:color="000000"/>
              <w:right w:val="nil"/>
            </w:tcBorders>
            <w:vAlign w:val="bottom"/>
          </w:tcPr>
          <w:p w14:paraId="750CF14F" w14:textId="77777777" w:rsidR="00992A45" w:rsidRPr="00BD7721" w:rsidRDefault="00992A45" w:rsidP="004E48D5">
            <w:pPr>
              <w:pStyle w:val="Normal-pool"/>
              <w:spacing w:before="40" w:after="40"/>
              <w:jc w:val="right"/>
              <w:rPr>
                <w:b/>
                <w:bCs/>
                <w:sz w:val="18"/>
                <w:szCs w:val="18"/>
                <w:lang w:val="en-GB"/>
              </w:rPr>
            </w:pPr>
          </w:p>
        </w:tc>
        <w:tc>
          <w:tcPr>
            <w:tcW w:w="962" w:type="dxa"/>
            <w:tcBorders>
              <w:top w:val="single" w:sz="4" w:space="0" w:color="000000"/>
              <w:left w:val="nil"/>
              <w:bottom w:val="single" w:sz="4" w:space="0" w:color="000000"/>
              <w:right w:val="nil"/>
            </w:tcBorders>
            <w:vAlign w:val="bottom"/>
          </w:tcPr>
          <w:p w14:paraId="0C925538" w14:textId="77777777" w:rsidR="00992A45" w:rsidRPr="00BD7721" w:rsidRDefault="00992A45" w:rsidP="004E48D5">
            <w:pPr>
              <w:pStyle w:val="Normal-pool"/>
              <w:spacing w:before="40" w:after="40"/>
              <w:jc w:val="right"/>
              <w:rPr>
                <w:b/>
                <w:bCs/>
                <w:sz w:val="18"/>
                <w:szCs w:val="18"/>
                <w:lang w:val="en-GB"/>
              </w:rPr>
            </w:pPr>
          </w:p>
        </w:tc>
      </w:tr>
      <w:tr w:rsidR="00992A45" w:rsidRPr="00BD7721" w14:paraId="557EF48E" w14:textId="77777777" w:rsidTr="008A335A">
        <w:trPr>
          <w:trHeight w:val="57"/>
          <w:jc w:val="right"/>
        </w:trPr>
        <w:tc>
          <w:tcPr>
            <w:tcW w:w="1961" w:type="dxa"/>
            <w:tcBorders>
              <w:top w:val="single" w:sz="4" w:space="0" w:color="000000"/>
              <w:left w:val="nil"/>
              <w:bottom w:val="single" w:sz="12" w:space="0" w:color="auto"/>
              <w:right w:val="nil"/>
            </w:tcBorders>
            <w:hideMark/>
          </w:tcPr>
          <w:p w14:paraId="66F9558B" w14:textId="77777777" w:rsidR="00992A45" w:rsidRPr="00BD7721" w:rsidRDefault="00992A45" w:rsidP="004E48D5">
            <w:pPr>
              <w:pStyle w:val="Normal-pool"/>
              <w:spacing w:before="40" w:after="40"/>
              <w:rPr>
                <w:b/>
                <w:bCs/>
                <w:sz w:val="18"/>
                <w:szCs w:val="18"/>
                <w:lang w:val="en-GB"/>
              </w:rPr>
            </w:pPr>
            <w:r w:rsidRPr="00BD7721">
              <w:rPr>
                <w:b/>
                <w:bCs/>
                <w:sz w:val="18"/>
                <w:szCs w:val="18"/>
                <w:lang w:val="en-GB"/>
              </w:rPr>
              <w:t>Total 1 + 2</w:t>
            </w:r>
          </w:p>
        </w:tc>
        <w:tc>
          <w:tcPr>
            <w:tcW w:w="2717" w:type="dxa"/>
            <w:tcBorders>
              <w:top w:val="single" w:sz="4" w:space="0" w:color="000000"/>
              <w:left w:val="nil"/>
              <w:bottom w:val="single" w:sz="12" w:space="0" w:color="auto"/>
              <w:right w:val="nil"/>
            </w:tcBorders>
          </w:tcPr>
          <w:p w14:paraId="0653A944" w14:textId="77777777" w:rsidR="00992A45" w:rsidRPr="00BD7721" w:rsidRDefault="00992A45" w:rsidP="004E48D5">
            <w:pPr>
              <w:pStyle w:val="Normal-pool"/>
              <w:spacing w:before="40" w:after="40"/>
              <w:rPr>
                <w:b/>
                <w:bCs/>
                <w:sz w:val="18"/>
                <w:szCs w:val="18"/>
                <w:lang w:val="en-GB"/>
              </w:rPr>
            </w:pPr>
          </w:p>
        </w:tc>
        <w:tc>
          <w:tcPr>
            <w:tcW w:w="1134" w:type="dxa"/>
            <w:tcBorders>
              <w:top w:val="single" w:sz="4" w:space="0" w:color="000000"/>
              <w:left w:val="nil"/>
              <w:bottom w:val="single" w:sz="12" w:space="0" w:color="auto"/>
              <w:right w:val="nil"/>
            </w:tcBorders>
          </w:tcPr>
          <w:p w14:paraId="52913B2B" w14:textId="77777777" w:rsidR="00992A45" w:rsidRPr="00BD7721" w:rsidRDefault="00992A45" w:rsidP="004E48D5">
            <w:pPr>
              <w:pStyle w:val="Normal-pool"/>
              <w:spacing w:before="40" w:after="40"/>
              <w:rPr>
                <w:b/>
                <w:bCs/>
                <w:sz w:val="18"/>
                <w:szCs w:val="18"/>
                <w:lang w:val="en-GB"/>
              </w:rPr>
            </w:pPr>
          </w:p>
        </w:tc>
        <w:tc>
          <w:tcPr>
            <w:tcW w:w="1032" w:type="dxa"/>
            <w:tcBorders>
              <w:top w:val="single" w:sz="4" w:space="0" w:color="000000"/>
              <w:left w:val="nil"/>
              <w:bottom w:val="single" w:sz="12" w:space="0" w:color="auto"/>
              <w:right w:val="nil"/>
            </w:tcBorders>
            <w:vAlign w:val="bottom"/>
            <w:hideMark/>
          </w:tcPr>
          <w:p w14:paraId="2897B392"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1 117 896</w:t>
            </w:r>
          </w:p>
        </w:tc>
        <w:tc>
          <w:tcPr>
            <w:tcW w:w="932" w:type="dxa"/>
            <w:tcBorders>
              <w:top w:val="single" w:sz="4" w:space="0" w:color="000000"/>
              <w:left w:val="nil"/>
              <w:bottom w:val="single" w:sz="12" w:space="0" w:color="auto"/>
              <w:right w:val="nil"/>
            </w:tcBorders>
            <w:vAlign w:val="bottom"/>
            <w:hideMark/>
          </w:tcPr>
          <w:p w14:paraId="5ED09E6F"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683 450</w:t>
            </w:r>
          </w:p>
        </w:tc>
        <w:tc>
          <w:tcPr>
            <w:tcW w:w="1013" w:type="dxa"/>
            <w:tcBorders>
              <w:top w:val="single" w:sz="4" w:space="0" w:color="000000"/>
              <w:left w:val="nil"/>
              <w:bottom w:val="single" w:sz="12" w:space="0" w:color="auto"/>
              <w:right w:val="nil"/>
            </w:tcBorders>
            <w:vAlign w:val="bottom"/>
            <w:hideMark/>
          </w:tcPr>
          <w:p w14:paraId="045B0396"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343 168</w:t>
            </w:r>
          </w:p>
        </w:tc>
        <w:tc>
          <w:tcPr>
            <w:tcW w:w="851" w:type="dxa"/>
            <w:tcBorders>
              <w:top w:val="single" w:sz="4" w:space="0" w:color="000000"/>
              <w:left w:val="nil"/>
              <w:bottom w:val="single" w:sz="12" w:space="0" w:color="auto"/>
              <w:right w:val="nil"/>
            </w:tcBorders>
            <w:vAlign w:val="bottom"/>
            <w:hideMark/>
          </w:tcPr>
          <w:p w14:paraId="32A53D40"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158 082</w:t>
            </w:r>
          </w:p>
        </w:tc>
        <w:tc>
          <w:tcPr>
            <w:tcW w:w="992" w:type="dxa"/>
            <w:tcBorders>
              <w:top w:val="single" w:sz="4" w:space="0" w:color="000000"/>
              <w:left w:val="nil"/>
              <w:bottom w:val="single" w:sz="12" w:space="0" w:color="auto"/>
              <w:right w:val="nil"/>
            </w:tcBorders>
            <w:vAlign w:val="bottom"/>
            <w:hideMark/>
          </w:tcPr>
          <w:p w14:paraId="082B9D17"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3 131 232</w:t>
            </w:r>
          </w:p>
        </w:tc>
        <w:tc>
          <w:tcPr>
            <w:tcW w:w="903" w:type="dxa"/>
            <w:tcBorders>
              <w:top w:val="single" w:sz="4" w:space="0" w:color="000000"/>
              <w:left w:val="nil"/>
              <w:bottom w:val="single" w:sz="12" w:space="0" w:color="auto"/>
              <w:right w:val="single" w:sz="4" w:space="0" w:color="000000"/>
            </w:tcBorders>
            <w:vAlign w:val="bottom"/>
            <w:hideMark/>
          </w:tcPr>
          <w:p w14:paraId="0C3630DC"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121 581</w:t>
            </w:r>
          </w:p>
        </w:tc>
        <w:tc>
          <w:tcPr>
            <w:tcW w:w="969" w:type="dxa"/>
            <w:tcBorders>
              <w:top w:val="single" w:sz="4" w:space="0" w:color="000000"/>
              <w:left w:val="single" w:sz="4" w:space="0" w:color="000000"/>
              <w:bottom w:val="single" w:sz="12" w:space="0" w:color="auto"/>
              <w:right w:val="nil"/>
            </w:tcBorders>
            <w:vAlign w:val="bottom"/>
            <w:hideMark/>
          </w:tcPr>
          <w:p w14:paraId="15FD0F90"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99 010</w:t>
            </w:r>
          </w:p>
        </w:tc>
        <w:tc>
          <w:tcPr>
            <w:tcW w:w="962" w:type="dxa"/>
            <w:tcBorders>
              <w:top w:val="single" w:sz="4" w:space="0" w:color="000000"/>
              <w:left w:val="nil"/>
              <w:bottom w:val="single" w:sz="12" w:space="0" w:color="auto"/>
              <w:right w:val="nil"/>
            </w:tcBorders>
            <w:vAlign w:val="bottom"/>
            <w:hideMark/>
          </w:tcPr>
          <w:p w14:paraId="284ABE29"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31 397</w:t>
            </w:r>
          </w:p>
        </w:tc>
        <w:tc>
          <w:tcPr>
            <w:tcW w:w="962" w:type="dxa"/>
            <w:tcBorders>
              <w:top w:val="single" w:sz="4" w:space="0" w:color="000000"/>
              <w:left w:val="nil"/>
              <w:bottom w:val="single" w:sz="12" w:space="0" w:color="auto"/>
              <w:right w:val="nil"/>
            </w:tcBorders>
            <w:vAlign w:val="bottom"/>
            <w:hideMark/>
          </w:tcPr>
          <w:p w14:paraId="566E033C"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130 407</w:t>
            </w:r>
          </w:p>
        </w:tc>
      </w:tr>
    </w:tbl>
    <w:p w14:paraId="0278CAAD" w14:textId="77777777" w:rsidR="00992A45" w:rsidRPr="00BD7721" w:rsidRDefault="00992A45" w:rsidP="00992A45">
      <w:pPr>
        <w:pStyle w:val="Normal-pool"/>
        <w:spacing w:before="60"/>
        <w:ind w:left="1247"/>
        <w:rPr>
          <w:sz w:val="18"/>
          <w:szCs w:val="18"/>
          <w:lang w:val="en-GB"/>
        </w:rPr>
      </w:pPr>
      <w:r w:rsidRPr="00BD7721">
        <w:rPr>
          <w:sz w:val="18"/>
          <w:szCs w:val="18"/>
          <w:vertAlign w:val="superscript"/>
          <w:lang w:val="en-GB"/>
        </w:rPr>
        <w:tab/>
      </w:r>
      <w:proofErr w:type="gramStart"/>
      <w:r w:rsidRPr="00BD7721">
        <w:rPr>
          <w:iCs/>
          <w:sz w:val="18"/>
          <w:szCs w:val="18"/>
          <w:vertAlign w:val="superscript"/>
          <w:lang w:val="en-GB"/>
        </w:rPr>
        <w:t>a</w:t>
      </w:r>
      <w:proofErr w:type="gramEnd"/>
      <w:r w:rsidRPr="00BD7721">
        <w:rPr>
          <w:sz w:val="18"/>
          <w:szCs w:val="18"/>
          <w:lang w:val="en-GB"/>
        </w:rPr>
        <w:t xml:space="preserve"> Owing to an extended vacancy of the position, an amount of $40,773 from this support was returned to Germany in 2022.</w:t>
      </w:r>
    </w:p>
    <w:p w14:paraId="6F03EF37" w14:textId="608DCBA7" w:rsidR="00992A45" w:rsidRPr="00BD7721" w:rsidRDefault="00992A45" w:rsidP="00992A45">
      <w:pPr>
        <w:pStyle w:val="Normal-pool"/>
        <w:spacing w:before="60"/>
        <w:ind w:left="1247"/>
        <w:rPr>
          <w:sz w:val="18"/>
          <w:szCs w:val="18"/>
          <w:lang w:val="en-GB"/>
        </w:rPr>
      </w:pPr>
      <w:r w:rsidRPr="00BD7721">
        <w:rPr>
          <w:sz w:val="18"/>
          <w:szCs w:val="18"/>
          <w:vertAlign w:val="superscript"/>
          <w:lang w:val="en-GB"/>
        </w:rPr>
        <w:tab/>
      </w:r>
      <w:r w:rsidRPr="00BD7721">
        <w:rPr>
          <w:iCs/>
          <w:sz w:val="18"/>
          <w:szCs w:val="18"/>
          <w:vertAlign w:val="superscript"/>
          <w:lang w:val="en-GB"/>
        </w:rPr>
        <w:t>b</w:t>
      </w:r>
      <w:r w:rsidRPr="00BD7721">
        <w:rPr>
          <w:sz w:val="18"/>
          <w:szCs w:val="18"/>
          <w:lang w:val="en-GB"/>
        </w:rPr>
        <w:t xml:space="preserve"> </w:t>
      </w:r>
      <w:proofErr w:type="gramStart"/>
      <w:r w:rsidRPr="00BD7721">
        <w:rPr>
          <w:sz w:val="18"/>
          <w:szCs w:val="18"/>
          <w:lang w:val="en-GB"/>
        </w:rPr>
        <w:t>The</w:t>
      </w:r>
      <w:proofErr w:type="gramEnd"/>
      <w:r w:rsidRPr="00BD7721">
        <w:rPr>
          <w:sz w:val="18"/>
          <w:szCs w:val="18"/>
          <w:lang w:val="en-GB"/>
        </w:rPr>
        <w:t xml:space="preserve"> remaining balance of $24,401, resulting from the fact that the workshop was held online, was added to the IPBES trust fund as part of the contribution of Norway in</w:t>
      </w:r>
      <w:r w:rsidR="00046423" w:rsidRPr="00BD7721">
        <w:rPr>
          <w:sz w:val="18"/>
          <w:szCs w:val="18"/>
          <w:lang w:val="en-GB"/>
        </w:rPr>
        <w:t> </w:t>
      </w:r>
      <w:r w:rsidRPr="00BD7721">
        <w:rPr>
          <w:sz w:val="18"/>
          <w:szCs w:val="18"/>
          <w:lang w:val="en-GB"/>
        </w:rPr>
        <w:t xml:space="preserve">2022. </w:t>
      </w:r>
    </w:p>
    <w:p w14:paraId="31038491" w14:textId="64423475" w:rsidR="005554A2" w:rsidRPr="00BD7721" w:rsidRDefault="005554A2" w:rsidP="005554A2">
      <w:pPr>
        <w:pStyle w:val="Normal-pool"/>
        <w:rPr>
          <w:lang w:val="en-GB"/>
        </w:rPr>
      </w:pPr>
      <w:r w:rsidRPr="00BD7721">
        <w:rPr>
          <w:lang w:val="en-GB"/>
        </w:rPr>
        <w:br w:type="page"/>
      </w:r>
    </w:p>
    <w:p w14:paraId="787B43EC" w14:textId="21ED8B3E" w:rsidR="00992A45" w:rsidRPr="00BD7721" w:rsidRDefault="00992A45" w:rsidP="005554A2">
      <w:pPr>
        <w:pStyle w:val="Titletable"/>
        <w:rPr>
          <w:lang w:val="en-GB"/>
        </w:rPr>
      </w:pPr>
      <w:r w:rsidRPr="00BD7721">
        <w:rPr>
          <w:b w:val="0"/>
          <w:bCs w:val="0"/>
          <w:lang w:val="en-GB"/>
        </w:rPr>
        <w:t>Table 3</w:t>
      </w:r>
      <w:r w:rsidRPr="00BD7721">
        <w:rPr>
          <w:lang w:val="en-GB"/>
        </w:rPr>
        <w:t xml:space="preserve"> </w:t>
      </w:r>
      <w:r w:rsidRPr="00BD7721">
        <w:rPr>
          <w:lang w:val="en-GB"/>
        </w:rPr>
        <w:br/>
        <w:t xml:space="preserve">In-kind contributions received in </w:t>
      </w:r>
      <w:proofErr w:type="gramStart"/>
      <w:r w:rsidRPr="00BD7721">
        <w:rPr>
          <w:lang w:val="en-GB"/>
        </w:rPr>
        <w:t>2022</w:t>
      </w:r>
      <w:proofErr w:type="gramEnd"/>
    </w:p>
    <w:p w14:paraId="2BE9B3D0" w14:textId="77777777" w:rsidR="00992A45" w:rsidRPr="00BD7721" w:rsidRDefault="00992A45" w:rsidP="00AB0B26">
      <w:pPr>
        <w:pStyle w:val="Titletable"/>
        <w:rPr>
          <w:b w:val="0"/>
          <w:bCs w:val="0"/>
          <w:sz w:val="18"/>
          <w:szCs w:val="18"/>
          <w:lang w:val="en-GB"/>
        </w:rPr>
      </w:pPr>
      <w:r w:rsidRPr="00BD7721">
        <w:rPr>
          <w:b w:val="0"/>
          <w:bCs w:val="0"/>
          <w:sz w:val="18"/>
          <w:szCs w:val="18"/>
          <w:lang w:val="en-GB"/>
        </w:rPr>
        <w:t>(United States dollars)</w:t>
      </w:r>
    </w:p>
    <w:tbl>
      <w:tblPr>
        <w:tblW w:w="5000" w:type="pct"/>
        <w:jc w:val="right"/>
        <w:tblBorders>
          <w:insideH w:val="nil"/>
          <w:insideV w:val="nil"/>
        </w:tblBorders>
        <w:tblLayout w:type="fixed"/>
        <w:tblLook w:val="0400" w:firstRow="0" w:lastRow="0" w:firstColumn="0" w:lastColumn="0" w:noHBand="0" w:noVBand="1"/>
      </w:tblPr>
      <w:tblGrid>
        <w:gridCol w:w="3951"/>
        <w:gridCol w:w="5372"/>
        <w:gridCol w:w="3490"/>
        <w:gridCol w:w="1616"/>
      </w:tblGrid>
      <w:tr w:rsidR="00992A45" w:rsidRPr="00BD7721" w14:paraId="52BACB98" w14:textId="77777777" w:rsidTr="004E48D5">
        <w:trPr>
          <w:trHeight w:val="57"/>
          <w:tblHeader/>
          <w:jc w:val="right"/>
        </w:trPr>
        <w:tc>
          <w:tcPr>
            <w:tcW w:w="3950" w:type="dxa"/>
            <w:tcBorders>
              <w:top w:val="single" w:sz="4" w:space="0" w:color="000000"/>
              <w:left w:val="nil"/>
              <w:bottom w:val="single" w:sz="12" w:space="0" w:color="000000"/>
              <w:right w:val="nil"/>
            </w:tcBorders>
            <w:vAlign w:val="bottom"/>
            <w:hideMark/>
          </w:tcPr>
          <w:p w14:paraId="3FA40ECD"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Government/institution</w:t>
            </w:r>
          </w:p>
        </w:tc>
        <w:tc>
          <w:tcPr>
            <w:tcW w:w="5372" w:type="dxa"/>
            <w:tcBorders>
              <w:top w:val="single" w:sz="4" w:space="0" w:color="000000"/>
              <w:left w:val="nil"/>
              <w:bottom w:val="single" w:sz="12" w:space="0" w:color="000000"/>
              <w:right w:val="nil"/>
            </w:tcBorders>
            <w:vAlign w:val="bottom"/>
            <w:hideMark/>
          </w:tcPr>
          <w:p w14:paraId="13D898F4"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Activity</w:t>
            </w:r>
          </w:p>
        </w:tc>
        <w:tc>
          <w:tcPr>
            <w:tcW w:w="3490" w:type="dxa"/>
            <w:tcBorders>
              <w:top w:val="single" w:sz="4" w:space="0" w:color="000000"/>
              <w:left w:val="nil"/>
              <w:bottom w:val="single" w:sz="12" w:space="0" w:color="000000"/>
              <w:right w:val="nil"/>
            </w:tcBorders>
            <w:vAlign w:val="bottom"/>
            <w:hideMark/>
          </w:tcPr>
          <w:p w14:paraId="7770913E"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Type of support</w:t>
            </w:r>
          </w:p>
        </w:tc>
        <w:tc>
          <w:tcPr>
            <w:tcW w:w="1616" w:type="dxa"/>
            <w:tcBorders>
              <w:top w:val="single" w:sz="4" w:space="0" w:color="000000"/>
              <w:left w:val="nil"/>
              <w:bottom w:val="single" w:sz="12" w:space="0" w:color="000000"/>
              <w:right w:val="nil"/>
            </w:tcBorders>
            <w:vAlign w:val="bottom"/>
            <w:hideMark/>
          </w:tcPr>
          <w:p w14:paraId="3480F81A"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Estimated value</w:t>
            </w:r>
          </w:p>
        </w:tc>
      </w:tr>
      <w:tr w:rsidR="00992A45" w:rsidRPr="00BD7721" w14:paraId="1506F340" w14:textId="77777777" w:rsidTr="004E48D5">
        <w:trPr>
          <w:trHeight w:val="57"/>
          <w:jc w:val="right"/>
        </w:trPr>
        <w:tc>
          <w:tcPr>
            <w:tcW w:w="14428" w:type="dxa"/>
            <w:gridSpan w:val="4"/>
            <w:tcBorders>
              <w:top w:val="single" w:sz="12" w:space="0" w:color="000000"/>
              <w:left w:val="nil"/>
              <w:bottom w:val="nil"/>
              <w:right w:val="nil"/>
            </w:tcBorders>
            <w:hideMark/>
          </w:tcPr>
          <w:p w14:paraId="6321715D" w14:textId="77777777" w:rsidR="00992A45" w:rsidRPr="00BD7721" w:rsidRDefault="00992A45" w:rsidP="004E48D5">
            <w:pPr>
              <w:pStyle w:val="Normal-pool"/>
              <w:tabs>
                <w:tab w:val="left" w:pos="177"/>
              </w:tabs>
              <w:spacing w:before="40" w:after="40"/>
              <w:rPr>
                <w:sz w:val="18"/>
                <w:szCs w:val="18"/>
                <w:lang w:val="en-GB"/>
              </w:rPr>
            </w:pPr>
            <w:r w:rsidRPr="00BD7721">
              <w:rPr>
                <w:b/>
                <w:bCs/>
                <w:sz w:val="18"/>
                <w:szCs w:val="18"/>
                <w:lang w:val="en-GB"/>
              </w:rPr>
              <w:t>1.</w:t>
            </w:r>
            <w:r w:rsidRPr="00BD7721">
              <w:rPr>
                <w:sz w:val="18"/>
                <w:szCs w:val="18"/>
                <w:lang w:val="en-GB"/>
              </w:rPr>
              <w:tab/>
            </w:r>
            <w:r w:rsidRPr="00BD7721">
              <w:rPr>
                <w:b/>
                <w:bCs/>
                <w:sz w:val="18"/>
                <w:szCs w:val="18"/>
                <w:lang w:val="en-GB"/>
              </w:rPr>
              <w:t>Support provided directly for approved and costed activities of the work programme</w:t>
            </w:r>
          </w:p>
        </w:tc>
      </w:tr>
      <w:tr w:rsidR="00992A45" w:rsidRPr="00BD7721" w14:paraId="63A5FD63" w14:textId="77777777" w:rsidTr="00B7775A">
        <w:trPr>
          <w:trHeight w:val="57"/>
          <w:jc w:val="right"/>
        </w:trPr>
        <w:tc>
          <w:tcPr>
            <w:tcW w:w="3950" w:type="dxa"/>
            <w:tcBorders>
              <w:top w:val="nil"/>
              <w:left w:val="nil"/>
              <w:bottom w:val="nil"/>
              <w:right w:val="nil"/>
            </w:tcBorders>
            <w:hideMark/>
          </w:tcPr>
          <w:p w14:paraId="46AE9865"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Aarhus University, Denmark</w:t>
            </w:r>
          </w:p>
        </w:tc>
        <w:tc>
          <w:tcPr>
            <w:tcW w:w="5372" w:type="dxa"/>
            <w:tcBorders>
              <w:top w:val="nil"/>
              <w:left w:val="nil"/>
              <w:bottom w:val="nil"/>
              <w:right w:val="nil"/>
            </w:tcBorders>
            <w:hideMark/>
          </w:tcPr>
          <w:p w14:paraId="331932BC" w14:textId="77777777" w:rsidR="00992A45" w:rsidRPr="00BD7721" w:rsidRDefault="00992A45" w:rsidP="004E48D5">
            <w:pPr>
              <w:pStyle w:val="Normal-pool"/>
              <w:spacing w:before="40" w:after="40"/>
              <w:rPr>
                <w:sz w:val="18"/>
                <w:szCs w:val="18"/>
                <w:lang w:val="en-GB"/>
              </w:rPr>
            </w:pPr>
            <w:r w:rsidRPr="00BD7721">
              <w:rPr>
                <w:sz w:val="18"/>
                <w:szCs w:val="18"/>
                <w:lang w:val="en-GB"/>
              </w:rPr>
              <w:t>Third author meeting and meeting to develop the summary for policymakers of the assessment of invasive alien species</w:t>
            </w:r>
          </w:p>
        </w:tc>
        <w:tc>
          <w:tcPr>
            <w:tcW w:w="3490" w:type="dxa"/>
            <w:tcBorders>
              <w:top w:val="nil"/>
              <w:left w:val="nil"/>
              <w:bottom w:val="nil"/>
              <w:right w:val="nil"/>
            </w:tcBorders>
            <w:hideMark/>
          </w:tcPr>
          <w:p w14:paraId="68BC1A2E" w14:textId="77777777" w:rsidR="00992A45" w:rsidRPr="00BD7721" w:rsidRDefault="00992A45" w:rsidP="004E48D5">
            <w:pPr>
              <w:pStyle w:val="Normal-pool"/>
              <w:spacing w:before="40" w:after="40"/>
              <w:rPr>
                <w:sz w:val="18"/>
                <w:szCs w:val="18"/>
                <w:lang w:val="en-GB"/>
              </w:rPr>
            </w:pPr>
            <w:r w:rsidRPr="00BD7721">
              <w:rPr>
                <w:sz w:val="18"/>
                <w:szCs w:val="18"/>
                <w:lang w:val="en-GB"/>
              </w:rPr>
              <w:t>Venue and logistical costs</w:t>
            </w:r>
          </w:p>
        </w:tc>
        <w:tc>
          <w:tcPr>
            <w:tcW w:w="1616" w:type="dxa"/>
            <w:tcBorders>
              <w:top w:val="nil"/>
              <w:left w:val="nil"/>
              <w:bottom w:val="nil"/>
              <w:right w:val="nil"/>
            </w:tcBorders>
            <w:vAlign w:val="bottom"/>
            <w:hideMark/>
          </w:tcPr>
          <w:p w14:paraId="1345464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28 700</w:t>
            </w:r>
          </w:p>
        </w:tc>
      </w:tr>
      <w:tr w:rsidR="00992A45" w:rsidRPr="00BD7721" w14:paraId="2456D697" w14:textId="77777777" w:rsidTr="00B7775A">
        <w:trPr>
          <w:trHeight w:val="57"/>
          <w:jc w:val="right"/>
        </w:trPr>
        <w:tc>
          <w:tcPr>
            <w:tcW w:w="3950" w:type="dxa"/>
            <w:tcBorders>
              <w:top w:val="nil"/>
              <w:left w:val="nil"/>
              <w:bottom w:val="nil"/>
              <w:right w:val="nil"/>
            </w:tcBorders>
            <w:hideMark/>
          </w:tcPr>
          <w:p w14:paraId="71F6B8DF" w14:textId="77777777" w:rsidR="00992A45" w:rsidRPr="00891BFE" w:rsidRDefault="00992A45" w:rsidP="004E48D5">
            <w:pPr>
              <w:pStyle w:val="Normal-pool"/>
              <w:spacing w:before="40" w:after="40"/>
              <w:ind w:left="177"/>
              <w:rPr>
                <w:sz w:val="18"/>
                <w:szCs w:val="18"/>
                <w:lang w:val="fr-FR"/>
              </w:rPr>
            </w:pPr>
            <w:proofErr w:type="spellStart"/>
            <w:r w:rsidRPr="00891BFE">
              <w:rPr>
                <w:sz w:val="18"/>
                <w:szCs w:val="18"/>
                <w:lang w:val="fr-FR"/>
              </w:rPr>
              <w:t>Biodiversa</w:t>
            </w:r>
            <w:proofErr w:type="spellEnd"/>
            <w:r w:rsidRPr="00891BFE">
              <w:rPr>
                <w:sz w:val="18"/>
                <w:szCs w:val="18"/>
                <w:lang w:val="fr-FR"/>
              </w:rPr>
              <w:t>+ and Fondation pour la recherche sur la biodiversité, France</w:t>
            </w:r>
          </w:p>
        </w:tc>
        <w:tc>
          <w:tcPr>
            <w:tcW w:w="5372" w:type="dxa"/>
            <w:tcBorders>
              <w:top w:val="nil"/>
              <w:left w:val="nil"/>
              <w:bottom w:val="nil"/>
              <w:right w:val="nil"/>
            </w:tcBorders>
            <w:hideMark/>
          </w:tcPr>
          <w:p w14:paraId="211F3129"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unit for the task force on knowledge and data</w:t>
            </w:r>
          </w:p>
        </w:tc>
        <w:tc>
          <w:tcPr>
            <w:tcW w:w="3490" w:type="dxa"/>
            <w:tcBorders>
              <w:top w:val="nil"/>
              <w:left w:val="nil"/>
              <w:bottom w:val="nil"/>
              <w:right w:val="nil"/>
            </w:tcBorders>
            <w:hideMark/>
          </w:tcPr>
          <w:p w14:paraId="44ADA5F8" w14:textId="77777777" w:rsidR="00992A45" w:rsidRPr="00BD7721" w:rsidRDefault="00992A45" w:rsidP="004E48D5">
            <w:pPr>
              <w:pStyle w:val="Normal-pool"/>
              <w:spacing w:before="40" w:after="40"/>
              <w:rPr>
                <w:sz w:val="18"/>
                <w:szCs w:val="18"/>
                <w:lang w:val="en-GB"/>
              </w:rPr>
            </w:pPr>
            <w:r w:rsidRPr="00BD7721">
              <w:rPr>
                <w:sz w:val="18"/>
                <w:szCs w:val="18"/>
                <w:lang w:val="en-GB"/>
              </w:rPr>
              <w:t>Staff, office and general operating costs</w:t>
            </w:r>
          </w:p>
        </w:tc>
        <w:tc>
          <w:tcPr>
            <w:tcW w:w="1616" w:type="dxa"/>
            <w:tcBorders>
              <w:top w:val="nil"/>
              <w:left w:val="nil"/>
              <w:bottom w:val="nil"/>
              <w:right w:val="nil"/>
            </w:tcBorders>
            <w:vAlign w:val="bottom"/>
            <w:hideMark/>
          </w:tcPr>
          <w:p w14:paraId="54C4FE2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18 200</w:t>
            </w:r>
          </w:p>
        </w:tc>
      </w:tr>
      <w:tr w:rsidR="00992A45" w:rsidRPr="00BD7721" w14:paraId="51347695" w14:textId="77777777" w:rsidTr="00B7775A">
        <w:trPr>
          <w:trHeight w:val="57"/>
          <w:jc w:val="right"/>
        </w:trPr>
        <w:tc>
          <w:tcPr>
            <w:tcW w:w="3950" w:type="dxa"/>
            <w:tcBorders>
              <w:top w:val="nil"/>
              <w:left w:val="nil"/>
              <w:bottom w:val="nil"/>
              <w:right w:val="nil"/>
            </w:tcBorders>
            <w:hideMark/>
          </w:tcPr>
          <w:p w14:paraId="32733014" w14:textId="77777777" w:rsidR="00992A45" w:rsidRPr="00BD7721" w:rsidRDefault="00992A45" w:rsidP="004E48D5">
            <w:pPr>
              <w:pStyle w:val="Normal-pool"/>
              <w:spacing w:before="40" w:after="40"/>
              <w:ind w:left="177"/>
              <w:rPr>
                <w:sz w:val="18"/>
                <w:szCs w:val="18"/>
                <w:lang w:val="en-GB"/>
              </w:rPr>
            </w:pPr>
            <w:proofErr w:type="spellStart"/>
            <w:r w:rsidRPr="00BD7721">
              <w:rPr>
                <w:sz w:val="18"/>
                <w:szCs w:val="18"/>
                <w:lang w:val="en-GB"/>
              </w:rPr>
              <w:t>EcoHealth</w:t>
            </w:r>
            <w:proofErr w:type="spellEnd"/>
            <w:r w:rsidRPr="00BD7721">
              <w:rPr>
                <w:sz w:val="18"/>
                <w:szCs w:val="18"/>
                <w:lang w:val="en-GB"/>
              </w:rPr>
              <w:t xml:space="preserve"> Alliance</w:t>
            </w:r>
          </w:p>
        </w:tc>
        <w:tc>
          <w:tcPr>
            <w:tcW w:w="5372" w:type="dxa"/>
            <w:tcBorders>
              <w:top w:val="nil"/>
              <w:left w:val="nil"/>
              <w:bottom w:val="nil"/>
              <w:right w:val="nil"/>
            </w:tcBorders>
            <w:hideMark/>
          </w:tcPr>
          <w:p w14:paraId="08084536" w14:textId="77777777" w:rsidR="00992A45" w:rsidRPr="00BD7721" w:rsidRDefault="00992A45" w:rsidP="004E48D5">
            <w:pPr>
              <w:pStyle w:val="Normal-pool"/>
              <w:spacing w:before="40" w:after="40"/>
              <w:rPr>
                <w:sz w:val="18"/>
                <w:szCs w:val="18"/>
                <w:lang w:val="en-GB"/>
              </w:rPr>
            </w:pPr>
            <w:r w:rsidRPr="00BD7721">
              <w:rPr>
                <w:sz w:val="18"/>
                <w:szCs w:val="18"/>
                <w:lang w:val="en-GB"/>
              </w:rPr>
              <w:t>First author meeting for the nexus assessment</w:t>
            </w:r>
          </w:p>
        </w:tc>
        <w:tc>
          <w:tcPr>
            <w:tcW w:w="3490" w:type="dxa"/>
            <w:tcBorders>
              <w:top w:val="nil"/>
              <w:left w:val="nil"/>
              <w:bottom w:val="nil"/>
              <w:right w:val="nil"/>
            </w:tcBorders>
            <w:hideMark/>
          </w:tcPr>
          <w:p w14:paraId="4053E935" w14:textId="77777777" w:rsidR="00992A45" w:rsidRPr="00BD7721" w:rsidRDefault="00992A45" w:rsidP="004E48D5">
            <w:pPr>
              <w:pStyle w:val="Normal-pool"/>
              <w:spacing w:before="40" w:after="40"/>
              <w:rPr>
                <w:sz w:val="18"/>
                <w:szCs w:val="18"/>
                <w:lang w:val="en-GB"/>
              </w:rPr>
            </w:pPr>
            <w:r w:rsidRPr="00BD7721">
              <w:rPr>
                <w:sz w:val="18"/>
                <w:szCs w:val="18"/>
                <w:lang w:val="en-GB"/>
              </w:rPr>
              <w:t>Logistical costs</w:t>
            </w:r>
          </w:p>
        </w:tc>
        <w:tc>
          <w:tcPr>
            <w:tcW w:w="1616" w:type="dxa"/>
            <w:tcBorders>
              <w:top w:val="nil"/>
              <w:left w:val="nil"/>
              <w:bottom w:val="nil"/>
              <w:right w:val="nil"/>
            </w:tcBorders>
            <w:vAlign w:val="bottom"/>
            <w:hideMark/>
          </w:tcPr>
          <w:p w14:paraId="6E265FC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1 400</w:t>
            </w:r>
          </w:p>
        </w:tc>
      </w:tr>
      <w:tr w:rsidR="00992A45" w:rsidRPr="00BD7721" w14:paraId="3573D8EB" w14:textId="77777777" w:rsidTr="00B7775A">
        <w:trPr>
          <w:trHeight w:val="57"/>
          <w:jc w:val="right"/>
        </w:trPr>
        <w:tc>
          <w:tcPr>
            <w:tcW w:w="3950" w:type="dxa"/>
            <w:tcBorders>
              <w:top w:val="nil"/>
              <w:left w:val="nil"/>
              <w:bottom w:val="nil"/>
              <w:right w:val="nil"/>
            </w:tcBorders>
            <w:hideMark/>
          </w:tcPr>
          <w:p w14:paraId="64B61B8D" w14:textId="77777777" w:rsidR="00992A45" w:rsidRPr="00891BFE" w:rsidRDefault="00992A45" w:rsidP="004E48D5">
            <w:pPr>
              <w:pStyle w:val="Normal-pool"/>
              <w:spacing w:before="40" w:after="40"/>
              <w:ind w:left="177"/>
              <w:rPr>
                <w:sz w:val="18"/>
                <w:szCs w:val="18"/>
                <w:lang w:val="fr-FR"/>
              </w:rPr>
            </w:pPr>
            <w:r w:rsidRPr="00891BFE">
              <w:rPr>
                <w:sz w:val="18"/>
                <w:szCs w:val="18"/>
                <w:lang w:val="fr-FR"/>
              </w:rPr>
              <w:t>Fondation pour la recherche sur la biodiversité, France</w:t>
            </w:r>
          </w:p>
        </w:tc>
        <w:tc>
          <w:tcPr>
            <w:tcW w:w="5372" w:type="dxa"/>
            <w:tcBorders>
              <w:top w:val="nil"/>
              <w:left w:val="nil"/>
              <w:bottom w:val="nil"/>
              <w:right w:val="nil"/>
            </w:tcBorders>
            <w:hideMark/>
          </w:tcPr>
          <w:p w14:paraId="394BDFDE"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unit for the assessment of the sustainable use of wild species</w:t>
            </w:r>
          </w:p>
        </w:tc>
        <w:tc>
          <w:tcPr>
            <w:tcW w:w="3490" w:type="dxa"/>
            <w:tcBorders>
              <w:top w:val="nil"/>
              <w:left w:val="nil"/>
              <w:bottom w:val="nil"/>
              <w:right w:val="nil"/>
            </w:tcBorders>
            <w:hideMark/>
          </w:tcPr>
          <w:p w14:paraId="2ED813DA" w14:textId="77777777" w:rsidR="00992A45" w:rsidRPr="00BD7721" w:rsidRDefault="00992A45" w:rsidP="004E48D5">
            <w:pPr>
              <w:pStyle w:val="Normal-pool"/>
              <w:spacing w:before="40" w:after="40"/>
              <w:rPr>
                <w:sz w:val="18"/>
                <w:szCs w:val="18"/>
                <w:lang w:val="en-GB"/>
              </w:rPr>
            </w:pPr>
            <w:r w:rsidRPr="00BD7721">
              <w:rPr>
                <w:sz w:val="18"/>
                <w:szCs w:val="18"/>
                <w:lang w:val="en-GB"/>
              </w:rPr>
              <w:t>Staff, office and general operating costs</w:t>
            </w:r>
          </w:p>
        </w:tc>
        <w:tc>
          <w:tcPr>
            <w:tcW w:w="1616" w:type="dxa"/>
            <w:tcBorders>
              <w:top w:val="nil"/>
              <w:left w:val="nil"/>
              <w:bottom w:val="nil"/>
              <w:right w:val="nil"/>
            </w:tcBorders>
            <w:vAlign w:val="bottom"/>
            <w:hideMark/>
          </w:tcPr>
          <w:p w14:paraId="327E619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2 000</w:t>
            </w:r>
          </w:p>
        </w:tc>
      </w:tr>
      <w:tr w:rsidR="00992A45" w:rsidRPr="00BD7721" w14:paraId="4A5B8FBB" w14:textId="77777777" w:rsidTr="00B7775A">
        <w:trPr>
          <w:trHeight w:val="57"/>
          <w:jc w:val="right"/>
        </w:trPr>
        <w:tc>
          <w:tcPr>
            <w:tcW w:w="3950" w:type="dxa"/>
            <w:tcBorders>
              <w:top w:val="nil"/>
              <w:left w:val="nil"/>
              <w:bottom w:val="nil"/>
              <w:right w:val="nil"/>
            </w:tcBorders>
            <w:hideMark/>
          </w:tcPr>
          <w:p w14:paraId="38558624"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Future Ecosystems for Africa programme at the Global Change Institute, University of the Witwatersrand, in partnership with Oppenheimer Generations Research and Conservation, South Africa</w:t>
            </w:r>
          </w:p>
        </w:tc>
        <w:tc>
          <w:tcPr>
            <w:tcW w:w="5372" w:type="dxa"/>
            <w:tcBorders>
              <w:top w:val="nil"/>
              <w:left w:val="nil"/>
              <w:bottom w:val="nil"/>
              <w:right w:val="nil"/>
            </w:tcBorders>
            <w:hideMark/>
          </w:tcPr>
          <w:p w14:paraId="4407D397" w14:textId="77777777" w:rsidR="00992A45" w:rsidRPr="00BD7721" w:rsidRDefault="00992A45" w:rsidP="004E48D5">
            <w:pPr>
              <w:pStyle w:val="Normal-pool"/>
              <w:spacing w:before="40" w:after="40"/>
              <w:rPr>
                <w:sz w:val="18"/>
                <w:szCs w:val="18"/>
                <w:lang w:val="en-GB"/>
              </w:rPr>
            </w:pPr>
            <w:r w:rsidRPr="00BD7721">
              <w:rPr>
                <w:sz w:val="18"/>
                <w:szCs w:val="18"/>
                <w:lang w:val="en-GB"/>
              </w:rPr>
              <w:t>Workshop on the nature futures framework and its methodological guidance</w:t>
            </w:r>
          </w:p>
        </w:tc>
        <w:tc>
          <w:tcPr>
            <w:tcW w:w="3490" w:type="dxa"/>
            <w:tcBorders>
              <w:top w:val="nil"/>
              <w:left w:val="nil"/>
              <w:bottom w:val="nil"/>
              <w:right w:val="nil"/>
            </w:tcBorders>
            <w:hideMark/>
          </w:tcPr>
          <w:p w14:paraId="7B4D30C0" w14:textId="77777777" w:rsidR="00992A45" w:rsidRPr="00BD7721" w:rsidRDefault="00992A45" w:rsidP="004E48D5">
            <w:pPr>
              <w:pStyle w:val="Normal-pool"/>
              <w:spacing w:before="40" w:after="40"/>
              <w:rPr>
                <w:sz w:val="18"/>
                <w:szCs w:val="18"/>
                <w:lang w:val="en-GB"/>
              </w:rPr>
            </w:pPr>
            <w:r w:rsidRPr="00BD7721">
              <w:rPr>
                <w:sz w:val="18"/>
                <w:szCs w:val="18"/>
                <w:lang w:val="en-GB"/>
              </w:rPr>
              <w:t>Venue and logistical costs</w:t>
            </w:r>
          </w:p>
        </w:tc>
        <w:tc>
          <w:tcPr>
            <w:tcW w:w="1616" w:type="dxa"/>
            <w:tcBorders>
              <w:top w:val="nil"/>
              <w:left w:val="nil"/>
              <w:bottom w:val="nil"/>
              <w:right w:val="nil"/>
            </w:tcBorders>
            <w:vAlign w:val="bottom"/>
            <w:hideMark/>
          </w:tcPr>
          <w:p w14:paraId="5B54415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6 200</w:t>
            </w:r>
          </w:p>
        </w:tc>
      </w:tr>
      <w:tr w:rsidR="00992A45" w:rsidRPr="00BD7721" w14:paraId="575EE775" w14:textId="77777777" w:rsidTr="00B7775A">
        <w:trPr>
          <w:trHeight w:val="57"/>
          <w:jc w:val="right"/>
        </w:trPr>
        <w:tc>
          <w:tcPr>
            <w:tcW w:w="3950" w:type="dxa"/>
            <w:tcBorders>
              <w:top w:val="nil"/>
              <w:left w:val="nil"/>
              <w:bottom w:val="nil"/>
              <w:right w:val="nil"/>
            </w:tcBorders>
            <w:hideMark/>
          </w:tcPr>
          <w:p w14:paraId="35A5CCB4"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Government of Germany</w:t>
            </w:r>
          </w:p>
        </w:tc>
        <w:tc>
          <w:tcPr>
            <w:tcW w:w="5372" w:type="dxa"/>
            <w:tcBorders>
              <w:top w:val="nil"/>
              <w:left w:val="nil"/>
              <w:bottom w:val="nil"/>
              <w:right w:val="nil"/>
            </w:tcBorders>
            <w:hideMark/>
          </w:tcPr>
          <w:p w14:paraId="34AAF214" w14:textId="77777777" w:rsidR="00992A45" w:rsidRPr="00BD7721" w:rsidRDefault="00992A45" w:rsidP="004E48D5">
            <w:pPr>
              <w:pStyle w:val="Normal-pool"/>
              <w:spacing w:before="40" w:after="40"/>
              <w:rPr>
                <w:sz w:val="18"/>
                <w:szCs w:val="18"/>
                <w:lang w:val="en-GB"/>
              </w:rPr>
            </w:pPr>
            <w:r w:rsidRPr="00BD7721">
              <w:rPr>
                <w:sz w:val="18"/>
                <w:szCs w:val="18"/>
                <w:lang w:val="en-GB"/>
              </w:rPr>
              <w:t>Youth workshop</w:t>
            </w:r>
          </w:p>
        </w:tc>
        <w:tc>
          <w:tcPr>
            <w:tcW w:w="3490" w:type="dxa"/>
            <w:tcBorders>
              <w:top w:val="nil"/>
              <w:left w:val="nil"/>
              <w:bottom w:val="nil"/>
              <w:right w:val="nil"/>
            </w:tcBorders>
            <w:hideMark/>
          </w:tcPr>
          <w:p w14:paraId="1D15B732" w14:textId="77777777" w:rsidR="00992A45" w:rsidRPr="00BD7721" w:rsidRDefault="00992A45" w:rsidP="004E48D5">
            <w:pPr>
              <w:pStyle w:val="Normal-pool"/>
              <w:spacing w:before="40" w:after="40"/>
              <w:rPr>
                <w:sz w:val="18"/>
                <w:szCs w:val="18"/>
                <w:lang w:val="en-GB"/>
              </w:rPr>
            </w:pPr>
            <w:r w:rsidRPr="00BD7721">
              <w:rPr>
                <w:sz w:val="18"/>
                <w:szCs w:val="18"/>
                <w:lang w:val="en-GB"/>
              </w:rPr>
              <w:t>Venue and logistical costs</w:t>
            </w:r>
          </w:p>
        </w:tc>
        <w:tc>
          <w:tcPr>
            <w:tcW w:w="1616" w:type="dxa"/>
            <w:tcBorders>
              <w:top w:val="nil"/>
              <w:left w:val="nil"/>
              <w:bottom w:val="nil"/>
              <w:right w:val="nil"/>
            </w:tcBorders>
            <w:vAlign w:val="bottom"/>
            <w:hideMark/>
          </w:tcPr>
          <w:p w14:paraId="6521A90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18 300</w:t>
            </w:r>
          </w:p>
        </w:tc>
      </w:tr>
      <w:tr w:rsidR="00992A45" w:rsidRPr="00BD7721" w14:paraId="35B4FCB8" w14:textId="77777777" w:rsidTr="00B7775A">
        <w:trPr>
          <w:trHeight w:val="57"/>
          <w:jc w:val="right"/>
        </w:trPr>
        <w:tc>
          <w:tcPr>
            <w:tcW w:w="3950" w:type="dxa"/>
            <w:tcBorders>
              <w:top w:val="nil"/>
              <w:left w:val="nil"/>
              <w:bottom w:val="nil"/>
              <w:right w:val="nil"/>
            </w:tcBorders>
            <w:hideMark/>
          </w:tcPr>
          <w:p w14:paraId="6EE252E3"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Government of Norway</w:t>
            </w:r>
          </w:p>
        </w:tc>
        <w:tc>
          <w:tcPr>
            <w:tcW w:w="5372" w:type="dxa"/>
            <w:tcBorders>
              <w:top w:val="nil"/>
              <w:left w:val="nil"/>
              <w:bottom w:val="nil"/>
              <w:right w:val="nil"/>
            </w:tcBorders>
            <w:hideMark/>
          </w:tcPr>
          <w:p w14:paraId="7B92B111"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unit for the task force on capacity-building</w:t>
            </w:r>
          </w:p>
        </w:tc>
        <w:tc>
          <w:tcPr>
            <w:tcW w:w="3490" w:type="dxa"/>
            <w:tcBorders>
              <w:top w:val="nil"/>
              <w:left w:val="nil"/>
              <w:bottom w:val="nil"/>
              <w:right w:val="nil"/>
            </w:tcBorders>
            <w:hideMark/>
          </w:tcPr>
          <w:p w14:paraId="459FDAE0" w14:textId="77777777" w:rsidR="00992A45" w:rsidRPr="00BD7721" w:rsidRDefault="00992A45" w:rsidP="004E48D5">
            <w:pPr>
              <w:pStyle w:val="Normal-pool"/>
              <w:spacing w:before="40" w:after="40"/>
              <w:rPr>
                <w:sz w:val="18"/>
                <w:szCs w:val="18"/>
                <w:lang w:val="en-GB"/>
              </w:rPr>
            </w:pPr>
            <w:r w:rsidRPr="00BD7721">
              <w:rPr>
                <w:sz w:val="18"/>
                <w:szCs w:val="18"/>
                <w:lang w:val="en-GB"/>
              </w:rPr>
              <w:t>Staff, office and general operating costs</w:t>
            </w:r>
          </w:p>
        </w:tc>
        <w:tc>
          <w:tcPr>
            <w:tcW w:w="1616" w:type="dxa"/>
            <w:tcBorders>
              <w:top w:val="nil"/>
              <w:left w:val="nil"/>
              <w:bottom w:val="nil"/>
              <w:right w:val="nil"/>
            </w:tcBorders>
            <w:vAlign w:val="bottom"/>
            <w:hideMark/>
          </w:tcPr>
          <w:p w14:paraId="209CAD6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300 000</w:t>
            </w:r>
          </w:p>
        </w:tc>
      </w:tr>
      <w:tr w:rsidR="00992A45" w:rsidRPr="00BD7721" w14:paraId="75F033FA" w14:textId="77777777" w:rsidTr="00B7775A">
        <w:trPr>
          <w:trHeight w:val="57"/>
          <w:jc w:val="right"/>
        </w:trPr>
        <w:tc>
          <w:tcPr>
            <w:tcW w:w="3950" w:type="dxa"/>
            <w:tcBorders>
              <w:top w:val="nil"/>
              <w:left w:val="nil"/>
              <w:bottom w:val="nil"/>
              <w:right w:val="nil"/>
            </w:tcBorders>
            <w:hideMark/>
          </w:tcPr>
          <w:p w14:paraId="7B4FF070"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Government of the Kingdom of the Netherlands</w:t>
            </w:r>
          </w:p>
        </w:tc>
        <w:tc>
          <w:tcPr>
            <w:tcW w:w="5372" w:type="dxa"/>
            <w:tcBorders>
              <w:top w:val="nil"/>
              <w:left w:val="nil"/>
              <w:bottom w:val="nil"/>
              <w:right w:val="nil"/>
            </w:tcBorders>
            <w:hideMark/>
          </w:tcPr>
          <w:p w14:paraId="44C7F179"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unit for the task force on scenarios and models of biodiversity and ecosystem services</w:t>
            </w:r>
          </w:p>
        </w:tc>
        <w:tc>
          <w:tcPr>
            <w:tcW w:w="3490" w:type="dxa"/>
            <w:tcBorders>
              <w:top w:val="nil"/>
              <w:left w:val="nil"/>
              <w:bottom w:val="nil"/>
              <w:right w:val="nil"/>
            </w:tcBorders>
            <w:hideMark/>
          </w:tcPr>
          <w:p w14:paraId="4587814E" w14:textId="77777777" w:rsidR="00992A45" w:rsidRPr="00BD7721" w:rsidRDefault="00992A45" w:rsidP="004E48D5">
            <w:pPr>
              <w:pStyle w:val="Normal-pool"/>
              <w:spacing w:before="40" w:after="40"/>
              <w:rPr>
                <w:sz w:val="18"/>
                <w:szCs w:val="18"/>
                <w:lang w:val="en-GB"/>
              </w:rPr>
            </w:pPr>
            <w:r w:rsidRPr="00BD7721">
              <w:rPr>
                <w:sz w:val="18"/>
                <w:szCs w:val="18"/>
                <w:lang w:val="en-GB"/>
              </w:rPr>
              <w:t>Staff costs</w:t>
            </w:r>
          </w:p>
        </w:tc>
        <w:tc>
          <w:tcPr>
            <w:tcW w:w="1616" w:type="dxa"/>
            <w:tcBorders>
              <w:top w:val="nil"/>
              <w:left w:val="nil"/>
              <w:bottom w:val="nil"/>
              <w:right w:val="nil"/>
            </w:tcBorders>
            <w:vAlign w:val="bottom"/>
            <w:hideMark/>
          </w:tcPr>
          <w:p w14:paraId="7A7858B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280 500</w:t>
            </w:r>
          </w:p>
        </w:tc>
      </w:tr>
      <w:tr w:rsidR="00992A45" w:rsidRPr="00BD7721" w14:paraId="2B12F567" w14:textId="77777777" w:rsidTr="00B7775A">
        <w:trPr>
          <w:trHeight w:val="57"/>
          <w:jc w:val="right"/>
        </w:trPr>
        <w:tc>
          <w:tcPr>
            <w:tcW w:w="3950" w:type="dxa"/>
            <w:tcBorders>
              <w:top w:val="nil"/>
              <w:left w:val="nil"/>
              <w:bottom w:val="nil"/>
              <w:right w:val="nil"/>
            </w:tcBorders>
            <w:hideMark/>
          </w:tcPr>
          <w:p w14:paraId="1B06F363"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Ministry of Foreign Affairs, France</w:t>
            </w:r>
          </w:p>
        </w:tc>
        <w:tc>
          <w:tcPr>
            <w:tcW w:w="5372" w:type="dxa"/>
            <w:tcBorders>
              <w:top w:val="nil"/>
              <w:left w:val="nil"/>
              <w:bottom w:val="nil"/>
              <w:right w:val="nil"/>
            </w:tcBorders>
            <w:hideMark/>
          </w:tcPr>
          <w:p w14:paraId="74B3D04A"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to implement the fundraising strategy of IPBES</w:t>
            </w:r>
          </w:p>
        </w:tc>
        <w:tc>
          <w:tcPr>
            <w:tcW w:w="3490" w:type="dxa"/>
            <w:tcBorders>
              <w:top w:val="nil"/>
              <w:left w:val="nil"/>
              <w:bottom w:val="nil"/>
              <w:right w:val="nil"/>
            </w:tcBorders>
            <w:hideMark/>
          </w:tcPr>
          <w:p w14:paraId="314A90FC" w14:textId="77777777" w:rsidR="00992A45" w:rsidRPr="00BD7721" w:rsidRDefault="00992A45" w:rsidP="004E48D5">
            <w:pPr>
              <w:pStyle w:val="Normal-pool"/>
              <w:spacing w:before="40" w:after="40"/>
              <w:rPr>
                <w:sz w:val="18"/>
                <w:szCs w:val="18"/>
                <w:lang w:val="en-GB"/>
              </w:rPr>
            </w:pPr>
            <w:r w:rsidRPr="00BD7721">
              <w:rPr>
                <w:sz w:val="18"/>
                <w:szCs w:val="18"/>
                <w:lang w:val="en-GB"/>
              </w:rPr>
              <w:t>Staff costs</w:t>
            </w:r>
          </w:p>
        </w:tc>
        <w:tc>
          <w:tcPr>
            <w:tcW w:w="1616" w:type="dxa"/>
            <w:tcBorders>
              <w:top w:val="nil"/>
              <w:left w:val="nil"/>
              <w:bottom w:val="nil"/>
              <w:right w:val="nil"/>
            </w:tcBorders>
            <w:vAlign w:val="bottom"/>
            <w:hideMark/>
          </w:tcPr>
          <w:p w14:paraId="14A8CED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186 500</w:t>
            </w:r>
          </w:p>
        </w:tc>
      </w:tr>
      <w:tr w:rsidR="00992A45" w:rsidRPr="00BD7721" w14:paraId="008F67E6" w14:textId="77777777" w:rsidTr="00B7775A">
        <w:trPr>
          <w:trHeight w:val="57"/>
          <w:jc w:val="right"/>
        </w:trPr>
        <w:tc>
          <w:tcPr>
            <w:tcW w:w="3950" w:type="dxa"/>
            <w:tcBorders>
              <w:top w:val="nil"/>
              <w:left w:val="nil"/>
              <w:bottom w:val="nil"/>
              <w:right w:val="nil"/>
            </w:tcBorders>
            <w:hideMark/>
          </w:tcPr>
          <w:p w14:paraId="115D4338"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Ministry of the Environment, Japan</w:t>
            </w:r>
          </w:p>
        </w:tc>
        <w:tc>
          <w:tcPr>
            <w:tcW w:w="5372" w:type="dxa"/>
            <w:tcBorders>
              <w:top w:val="nil"/>
              <w:left w:val="nil"/>
              <w:bottom w:val="nil"/>
              <w:right w:val="nil"/>
            </w:tcBorders>
            <w:hideMark/>
          </w:tcPr>
          <w:p w14:paraId="41E863CE"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unit for the assessment of invasive alien species</w:t>
            </w:r>
          </w:p>
        </w:tc>
        <w:tc>
          <w:tcPr>
            <w:tcW w:w="3490" w:type="dxa"/>
            <w:tcBorders>
              <w:top w:val="nil"/>
              <w:left w:val="nil"/>
              <w:bottom w:val="nil"/>
              <w:right w:val="nil"/>
            </w:tcBorders>
            <w:hideMark/>
          </w:tcPr>
          <w:p w14:paraId="0B49B2FA" w14:textId="77777777" w:rsidR="00992A45" w:rsidRPr="00BD7721" w:rsidRDefault="00992A45" w:rsidP="004E48D5">
            <w:pPr>
              <w:pStyle w:val="Normal-pool"/>
              <w:spacing w:before="40" w:after="40"/>
              <w:rPr>
                <w:sz w:val="18"/>
                <w:szCs w:val="18"/>
                <w:lang w:val="en-GB"/>
              </w:rPr>
            </w:pPr>
            <w:r w:rsidRPr="00BD7721">
              <w:rPr>
                <w:sz w:val="18"/>
                <w:szCs w:val="18"/>
                <w:lang w:val="en-GB"/>
              </w:rPr>
              <w:t>Staff, office and general operating costs</w:t>
            </w:r>
          </w:p>
        </w:tc>
        <w:tc>
          <w:tcPr>
            <w:tcW w:w="1616" w:type="dxa"/>
            <w:tcBorders>
              <w:top w:val="nil"/>
              <w:left w:val="nil"/>
              <w:bottom w:val="nil"/>
              <w:right w:val="nil"/>
            </w:tcBorders>
            <w:vAlign w:val="bottom"/>
            <w:hideMark/>
          </w:tcPr>
          <w:p w14:paraId="2563CBD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212 300</w:t>
            </w:r>
          </w:p>
        </w:tc>
      </w:tr>
      <w:tr w:rsidR="00992A45" w:rsidRPr="00BD7721" w14:paraId="159C306F" w14:textId="77777777" w:rsidTr="00B7775A">
        <w:trPr>
          <w:trHeight w:val="57"/>
          <w:jc w:val="right"/>
        </w:trPr>
        <w:tc>
          <w:tcPr>
            <w:tcW w:w="3950" w:type="dxa"/>
            <w:tcBorders>
              <w:top w:val="nil"/>
              <w:left w:val="nil"/>
              <w:bottom w:val="nil"/>
              <w:right w:val="nil"/>
            </w:tcBorders>
            <w:hideMark/>
          </w:tcPr>
          <w:p w14:paraId="18919AE7"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National Autonomous University of Mexico</w:t>
            </w:r>
          </w:p>
        </w:tc>
        <w:tc>
          <w:tcPr>
            <w:tcW w:w="5372" w:type="dxa"/>
            <w:tcBorders>
              <w:top w:val="nil"/>
              <w:left w:val="nil"/>
              <w:bottom w:val="nil"/>
              <w:right w:val="nil"/>
            </w:tcBorders>
            <w:hideMark/>
          </w:tcPr>
          <w:p w14:paraId="24F05A2D"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unit for the assessment on values</w:t>
            </w:r>
          </w:p>
        </w:tc>
        <w:tc>
          <w:tcPr>
            <w:tcW w:w="3490" w:type="dxa"/>
            <w:tcBorders>
              <w:top w:val="nil"/>
              <w:left w:val="nil"/>
              <w:bottom w:val="nil"/>
              <w:right w:val="nil"/>
            </w:tcBorders>
            <w:hideMark/>
          </w:tcPr>
          <w:p w14:paraId="33C02F8D" w14:textId="77777777" w:rsidR="00992A45" w:rsidRPr="00BD7721" w:rsidRDefault="00992A45" w:rsidP="004E48D5">
            <w:pPr>
              <w:pStyle w:val="Normal-pool"/>
              <w:spacing w:before="40" w:after="40"/>
              <w:rPr>
                <w:sz w:val="18"/>
                <w:szCs w:val="18"/>
                <w:lang w:val="en-GB"/>
              </w:rPr>
            </w:pPr>
            <w:r w:rsidRPr="00BD7721">
              <w:rPr>
                <w:sz w:val="18"/>
                <w:szCs w:val="18"/>
                <w:lang w:val="en-GB"/>
              </w:rPr>
              <w:t>Staff, office and general operating costs</w:t>
            </w:r>
          </w:p>
        </w:tc>
        <w:tc>
          <w:tcPr>
            <w:tcW w:w="1616" w:type="dxa"/>
            <w:tcBorders>
              <w:top w:val="nil"/>
              <w:left w:val="nil"/>
              <w:bottom w:val="nil"/>
              <w:right w:val="nil"/>
            </w:tcBorders>
            <w:vAlign w:val="bottom"/>
            <w:hideMark/>
          </w:tcPr>
          <w:p w14:paraId="6EED031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13 800</w:t>
            </w:r>
          </w:p>
        </w:tc>
      </w:tr>
      <w:tr w:rsidR="00992A45" w:rsidRPr="00BD7721" w14:paraId="3EA6DCDD" w14:textId="77777777" w:rsidTr="00B7775A">
        <w:trPr>
          <w:trHeight w:val="57"/>
          <w:jc w:val="right"/>
        </w:trPr>
        <w:tc>
          <w:tcPr>
            <w:tcW w:w="3950" w:type="dxa"/>
            <w:tcBorders>
              <w:top w:val="nil"/>
              <w:left w:val="nil"/>
              <w:bottom w:val="nil"/>
              <w:right w:val="nil"/>
            </w:tcBorders>
            <w:hideMark/>
          </w:tcPr>
          <w:p w14:paraId="23FACE7E"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Norwegian Environment Agency</w:t>
            </w:r>
          </w:p>
        </w:tc>
        <w:tc>
          <w:tcPr>
            <w:tcW w:w="5372" w:type="dxa"/>
            <w:tcBorders>
              <w:top w:val="nil"/>
              <w:left w:val="nil"/>
              <w:bottom w:val="nil"/>
              <w:right w:val="nil"/>
            </w:tcBorders>
            <w:hideMark/>
          </w:tcPr>
          <w:p w14:paraId="67D08C24" w14:textId="77777777" w:rsidR="00992A45" w:rsidRPr="00BD7721" w:rsidRDefault="00992A45" w:rsidP="004E48D5">
            <w:pPr>
              <w:pStyle w:val="Normal-pool"/>
              <w:spacing w:before="40" w:after="40"/>
              <w:rPr>
                <w:sz w:val="18"/>
                <w:szCs w:val="18"/>
                <w:lang w:val="en-GB"/>
              </w:rPr>
            </w:pPr>
            <w:r w:rsidRPr="00BD7721">
              <w:rPr>
                <w:sz w:val="18"/>
                <w:szCs w:val="18"/>
                <w:lang w:val="en-GB"/>
              </w:rPr>
              <w:t>Youth workshop</w:t>
            </w:r>
          </w:p>
        </w:tc>
        <w:tc>
          <w:tcPr>
            <w:tcW w:w="3490" w:type="dxa"/>
            <w:tcBorders>
              <w:top w:val="nil"/>
              <w:left w:val="nil"/>
              <w:bottom w:val="nil"/>
              <w:right w:val="nil"/>
            </w:tcBorders>
            <w:hideMark/>
          </w:tcPr>
          <w:p w14:paraId="469D2F26" w14:textId="77777777" w:rsidR="00992A45" w:rsidRPr="00BD7721" w:rsidRDefault="00992A45" w:rsidP="004E48D5">
            <w:pPr>
              <w:pStyle w:val="Normal-pool"/>
              <w:spacing w:before="40" w:after="40"/>
              <w:rPr>
                <w:sz w:val="18"/>
                <w:szCs w:val="18"/>
                <w:lang w:val="en-GB"/>
              </w:rPr>
            </w:pPr>
            <w:r w:rsidRPr="00BD7721">
              <w:rPr>
                <w:sz w:val="18"/>
                <w:szCs w:val="18"/>
                <w:lang w:val="en-GB"/>
              </w:rPr>
              <w:t>Support for participants and logistical costs</w:t>
            </w:r>
          </w:p>
        </w:tc>
        <w:tc>
          <w:tcPr>
            <w:tcW w:w="1616" w:type="dxa"/>
            <w:tcBorders>
              <w:top w:val="nil"/>
              <w:left w:val="nil"/>
              <w:bottom w:val="nil"/>
              <w:right w:val="nil"/>
            </w:tcBorders>
            <w:vAlign w:val="bottom"/>
            <w:hideMark/>
          </w:tcPr>
          <w:p w14:paraId="1726982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56 700</w:t>
            </w:r>
          </w:p>
        </w:tc>
      </w:tr>
      <w:tr w:rsidR="00992A45" w:rsidRPr="00BD7721" w14:paraId="632A48FF" w14:textId="77777777" w:rsidTr="00B7775A">
        <w:trPr>
          <w:trHeight w:val="57"/>
          <w:jc w:val="right"/>
        </w:trPr>
        <w:tc>
          <w:tcPr>
            <w:tcW w:w="3950" w:type="dxa"/>
            <w:tcBorders>
              <w:top w:val="nil"/>
              <w:left w:val="nil"/>
              <w:bottom w:val="nil"/>
              <w:right w:val="nil"/>
            </w:tcBorders>
            <w:hideMark/>
          </w:tcPr>
          <w:p w14:paraId="2273F0F0"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PBL Netherlands Environmental Assessment Agency</w:t>
            </w:r>
          </w:p>
        </w:tc>
        <w:tc>
          <w:tcPr>
            <w:tcW w:w="5372" w:type="dxa"/>
            <w:tcBorders>
              <w:top w:val="nil"/>
              <w:left w:val="nil"/>
              <w:bottom w:val="nil"/>
              <w:right w:val="nil"/>
            </w:tcBorders>
            <w:hideMark/>
          </w:tcPr>
          <w:p w14:paraId="54EEFB2E"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unit for the task force on scenarios and models of biodiversity and ecosystem services</w:t>
            </w:r>
          </w:p>
        </w:tc>
        <w:tc>
          <w:tcPr>
            <w:tcW w:w="3490" w:type="dxa"/>
            <w:tcBorders>
              <w:top w:val="nil"/>
              <w:left w:val="nil"/>
              <w:bottom w:val="nil"/>
              <w:right w:val="nil"/>
            </w:tcBorders>
            <w:hideMark/>
          </w:tcPr>
          <w:p w14:paraId="6F27054D" w14:textId="77777777" w:rsidR="00992A45" w:rsidRPr="00BD7721" w:rsidRDefault="00992A45" w:rsidP="004E48D5">
            <w:pPr>
              <w:pStyle w:val="Normal-pool"/>
              <w:spacing w:before="40" w:after="40"/>
              <w:rPr>
                <w:sz w:val="18"/>
                <w:szCs w:val="18"/>
                <w:lang w:val="en-GB"/>
              </w:rPr>
            </w:pPr>
            <w:r w:rsidRPr="00BD7721">
              <w:rPr>
                <w:sz w:val="18"/>
                <w:szCs w:val="18"/>
                <w:lang w:val="en-GB"/>
              </w:rPr>
              <w:t>Office and general operating costs</w:t>
            </w:r>
          </w:p>
        </w:tc>
        <w:tc>
          <w:tcPr>
            <w:tcW w:w="1616" w:type="dxa"/>
            <w:tcBorders>
              <w:top w:val="nil"/>
              <w:left w:val="nil"/>
              <w:bottom w:val="nil"/>
              <w:right w:val="nil"/>
            </w:tcBorders>
            <w:vAlign w:val="bottom"/>
            <w:hideMark/>
          </w:tcPr>
          <w:p w14:paraId="470342E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15 700</w:t>
            </w:r>
          </w:p>
        </w:tc>
      </w:tr>
      <w:tr w:rsidR="00992A45" w:rsidRPr="00BD7721" w14:paraId="11BF9081" w14:textId="77777777" w:rsidTr="00B7775A">
        <w:trPr>
          <w:trHeight w:val="57"/>
          <w:jc w:val="right"/>
        </w:trPr>
        <w:tc>
          <w:tcPr>
            <w:tcW w:w="3950" w:type="dxa"/>
            <w:tcBorders>
              <w:top w:val="nil"/>
              <w:left w:val="nil"/>
              <w:bottom w:val="nil"/>
              <w:right w:val="nil"/>
            </w:tcBorders>
          </w:tcPr>
          <w:p w14:paraId="683F3780" w14:textId="77777777" w:rsidR="00992A45" w:rsidRPr="00BD7721" w:rsidRDefault="00992A45" w:rsidP="004E48D5">
            <w:pPr>
              <w:pStyle w:val="Normal-pool"/>
              <w:spacing w:before="40" w:after="40"/>
              <w:rPr>
                <w:sz w:val="18"/>
                <w:szCs w:val="18"/>
                <w:lang w:val="en-GB"/>
              </w:rPr>
            </w:pPr>
          </w:p>
        </w:tc>
        <w:tc>
          <w:tcPr>
            <w:tcW w:w="5372" w:type="dxa"/>
            <w:tcBorders>
              <w:top w:val="nil"/>
              <w:left w:val="nil"/>
              <w:bottom w:val="nil"/>
              <w:right w:val="nil"/>
            </w:tcBorders>
            <w:hideMark/>
          </w:tcPr>
          <w:p w14:paraId="5C4113AC" w14:textId="77777777" w:rsidR="00992A45" w:rsidRPr="00BD7721" w:rsidRDefault="00992A45" w:rsidP="004E48D5">
            <w:pPr>
              <w:pStyle w:val="Normal-pool"/>
              <w:spacing w:before="40" w:after="40"/>
              <w:rPr>
                <w:sz w:val="18"/>
                <w:szCs w:val="18"/>
                <w:lang w:val="en-GB"/>
              </w:rPr>
            </w:pPr>
            <w:r w:rsidRPr="00BD7721">
              <w:rPr>
                <w:sz w:val="18"/>
                <w:szCs w:val="18"/>
                <w:lang w:val="en-GB"/>
              </w:rPr>
              <w:t>Dialogue meetings and workshops on scenarios and models of biodiversity and ecosystem services</w:t>
            </w:r>
          </w:p>
        </w:tc>
        <w:tc>
          <w:tcPr>
            <w:tcW w:w="3490" w:type="dxa"/>
            <w:tcBorders>
              <w:top w:val="nil"/>
              <w:left w:val="nil"/>
              <w:bottom w:val="nil"/>
              <w:right w:val="nil"/>
            </w:tcBorders>
            <w:hideMark/>
          </w:tcPr>
          <w:p w14:paraId="479C9616" w14:textId="77777777" w:rsidR="00992A45" w:rsidRPr="00BD7721" w:rsidRDefault="00992A45" w:rsidP="004E48D5">
            <w:pPr>
              <w:pStyle w:val="Normal-pool"/>
              <w:spacing w:before="40" w:after="40"/>
              <w:rPr>
                <w:sz w:val="18"/>
                <w:szCs w:val="18"/>
                <w:lang w:val="en-GB"/>
              </w:rPr>
            </w:pPr>
            <w:r w:rsidRPr="00BD7721">
              <w:rPr>
                <w:sz w:val="18"/>
                <w:szCs w:val="18"/>
                <w:lang w:val="en-GB"/>
              </w:rPr>
              <w:t>Logistical costs</w:t>
            </w:r>
          </w:p>
        </w:tc>
        <w:tc>
          <w:tcPr>
            <w:tcW w:w="1616" w:type="dxa"/>
            <w:tcBorders>
              <w:top w:val="nil"/>
              <w:left w:val="nil"/>
              <w:bottom w:val="nil"/>
              <w:right w:val="nil"/>
            </w:tcBorders>
            <w:vAlign w:val="bottom"/>
            <w:hideMark/>
          </w:tcPr>
          <w:p w14:paraId="5D36935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35 900</w:t>
            </w:r>
          </w:p>
        </w:tc>
      </w:tr>
      <w:tr w:rsidR="00992A45" w:rsidRPr="00BD7721" w14:paraId="3F19F611" w14:textId="77777777" w:rsidTr="00B7775A">
        <w:trPr>
          <w:trHeight w:val="57"/>
          <w:jc w:val="right"/>
        </w:trPr>
        <w:tc>
          <w:tcPr>
            <w:tcW w:w="3950" w:type="dxa"/>
            <w:tcBorders>
              <w:top w:val="nil"/>
              <w:left w:val="nil"/>
              <w:bottom w:val="nil"/>
              <w:right w:val="nil"/>
            </w:tcBorders>
            <w:hideMark/>
          </w:tcPr>
          <w:p w14:paraId="7D17702A" w14:textId="77777777" w:rsidR="00992A45" w:rsidRPr="00BD7721" w:rsidRDefault="00992A45" w:rsidP="004E48D5">
            <w:pPr>
              <w:pStyle w:val="Normal-pool"/>
              <w:spacing w:before="40" w:after="40"/>
              <w:ind w:left="177"/>
              <w:rPr>
                <w:sz w:val="18"/>
                <w:szCs w:val="18"/>
                <w:lang w:val="en-GB"/>
              </w:rPr>
            </w:pPr>
            <w:proofErr w:type="spellStart"/>
            <w:r w:rsidRPr="00BD7721">
              <w:rPr>
                <w:sz w:val="18"/>
                <w:szCs w:val="18"/>
                <w:lang w:val="en-GB"/>
              </w:rPr>
              <w:t>Senckenberg</w:t>
            </w:r>
            <w:proofErr w:type="spellEnd"/>
            <w:r w:rsidRPr="00BD7721">
              <w:rPr>
                <w:sz w:val="18"/>
                <w:szCs w:val="18"/>
                <w:lang w:val="en-GB"/>
              </w:rPr>
              <w:t xml:space="preserve"> Nature Research Society, Germany</w:t>
            </w:r>
          </w:p>
        </w:tc>
        <w:tc>
          <w:tcPr>
            <w:tcW w:w="5372" w:type="dxa"/>
            <w:tcBorders>
              <w:top w:val="nil"/>
              <w:left w:val="nil"/>
              <w:bottom w:val="nil"/>
              <w:right w:val="nil"/>
            </w:tcBorders>
            <w:hideMark/>
          </w:tcPr>
          <w:p w14:paraId="0736EA28"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unit for the task force on knowledge and data</w:t>
            </w:r>
          </w:p>
        </w:tc>
        <w:tc>
          <w:tcPr>
            <w:tcW w:w="3490" w:type="dxa"/>
            <w:tcBorders>
              <w:top w:val="nil"/>
              <w:left w:val="nil"/>
              <w:bottom w:val="nil"/>
              <w:right w:val="nil"/>
            </w:tcBorders>
            <w:hideMark/>
          </w:tcPr>
          <w:p w14:paraId="60C1AD69" w14:textId="77777777" w:rsidR="00992A45" w:rsidRPr="00BD7721" w:rsidRDefault="00992A45" w:rsidP="004E48D5">
            <w:pPr>
              <w:pStyle w:val="Normal-pool"/>
              <w:spacing w:before="40" w:after="40"/>
              <w:rPr>
                <w:sz w:val="18"/>
                <w:szCs w:val="18"/>
                <w:lang w:val="en-GB"/>
              </w:rPr>
            </w:pPr>
            <w:r w:rsidRPr="00BD7721">
              <w:rPr>
                <w:sz w:val="18"/>
                <w:szCs w:val="18"/>
                <w:lang w:val="en-GB"/>
              </w:rPr>
              <w:t>Staff, office and general operating costs</w:t>
            </w:r>
          </w:p>
        </w:tc>
        <w:tc>
          <w:tcPr>
            <w:tcW w:w="1616" w:type="dxa"/>
            <w:tcBorders>
              <w:top w:val="nil"/>
              <w:left w:val="nil"/>
              <w:bottom w:val="nil"/>
              <w:right w:val="nil"/>
            </w:tcBorders>
            <w:vAlign w:val="bottom"/>
            <w:hideMark/>
          </w:tcPr>
          <w:p w14:paraId="01268DC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112 500</w:t>
            </w:r>
          </w:p>
        </w:tc>
      </w:tr>
      <w:tr w:rsidR="00992A45" w:rsidRPr="00BD7721" w14:paraId="0E9BED3C" w14:textId="77777777" w:rsidTr="00B7775A">
        <w:trPr>
          <w:trHeight w:val="57"/>
          <w:jc w:val="right"/>
        </w:trPr>
        <w:tc>
          <w:tcPr>
            <w:tcW w:w="3950" w:type="dxa"/>
            <w:tcBorders>
              <w:top w:val="nil"/>
              <w:left w:val="nil"/>
              <w:bottom w:val="nil"/>
              <w:right w:val="nil"/>
            </w:tcBorders>
          </w:tcPr>
          <w:p w14:paraId="6201BDCC" w14:textId="77777777" w:rsidR="00992A45" w:rsidRPr="00BD7721" w:rsidRDefault="00992A45" w:rsidP="004E48D5">
            <w:pPr>
              <w:pStyle w:val="Normal-pool"/>
              <w:spacing w:before="40" w:after="40"/>
              <w:rPr>
                <w:sz w:val="18"/>
                <w:szCs w:val="18"/>
                <w:lang w:val="en-GB"/>
              </w:rPr>
            </w:pPr>
          </w:p>
        </w:tc>
        <w:tc>
          <w:tcPr>
            <w:tcW w:w="5372" w:type="dxa"/>
            <w:tcBorders>
              <w:top w:val="nil"/>
              <w:left w:val="nil"/>
              <w:bottom w:val="nil"/>
              <w:right w:val="nil"/>
            </w:tcBorders>
            <w:hideMark/>
          </w:tcPr>
          <w:p w14:paraId="77DB1552" w14:textId="77777777" w:rsidR="00992A45" w:rsidRPr="00BD7721" w:rsidRDefault="00992A45" w:rsidP="004E48D5">
            <w:pPr>
              <w:pStyle w:val="Normal-pool"/>
              <w:spacing w:before="40" w:after="40"/>
              <w:rPr>
                <w:sz w:val="18"/>
                <w:szCs w:val="18"/>
                <w:lang w:val="en-GB"/>
              </w:rPr>
            </w:pPr>
            <w:r w:rsidRPr="00BD7721">
              <w:rPr>
                <w:sz w:val="18"/>
                <w:szCs w:val="18"/>
                <w:lang w:val="en-GB"/>
              </w:rPr>
              <w:t>First author meeting for the nexus assessment</w:t>
            </w:r>
          </w:p>
        </w:tc>
        <w:tc>
          <w:tcPr>
            <w:tcW w:w="3490" w:type="dxa"/>
            <w:tcBorders>
              <w:top w:val="nil"/>
              <w:left w:val="nil"/>
              <w:bottom w:val="nil"/>
              <w:right w:val="nil"/>
            </w:tcBorders>
            <w:hideMark/>
          </w:tcPr>
          <w:p w14:paraId="2ACDDF4E" w14:textId="77777777" w:rsidR="00992A45" w:rsidRPr="00BD7721" w:rsidRDefault="00992A45" w:rsidP="004E48D5">
            <w:pPr>
              <w:pStyle w:val="Normal-pool"/>
              <w:spacing w:before="40" w:after="40"/>
              <w:rPr>
                <w:sz w:val="18"/>
                <w:szCs w:val="18"/>
                <w:lang w:val="en-GB"/>
              </w:rPr>
            </w:pPr>
            <w:r w:rsidRPr="00BD7721">
              <w:rPr>
                <w:sz w:val="18"/>
                <w:szCs w:val="18"/>
                <w:lang w:val="en-GB"/>
              </w:rPr>
              <w:t>Venue costs</w:t>
            </w:r>
          </w:p>
        </w:tc>
        <w:tc>
          <w:tcPr>
            <w:tcW w:w="1616" w:type="dxa"/>
            <w:tcBorders>
              <w:top w:val="nil"/>
              <w:left w:val="nil"/>
              <w:bottom w:val="nil"/>
              <w:right w:val="nil"/>
            </w:tcBorders>
            <w:vAlign w:val="bottom"/>
            <w:hideMark/>
          </w:tcPr>
          <w:p w14:paraId="36FC783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12 000</w:t>
            </w:r>
          </w:p>
        </w:tc>
      </w:tr>
      <w:tr w:rsidR="00992A45" w:rsidRPr="00BD7721" w14:paraId="52E03664" w14:textId="77777777" w:rsidTr="00B7775A">
        <w:trPr>
          <w:trHeight w:val="57"/>
          <w:jc w:val="right"/>
        </w:trPr>
        <w:tc>
          <w:tcPr>
            <w:tcW w:w="3950" w:type="dxa"/>
            <w:tcBorders>
              <w:top w:val="nil"/>
              <w:left w:val="nil"/>
              <w:bottom w:val="nil"/>
              <w:right w:val="nil"/>
            </w:tcBorders>
            <w:hideMark/>
          </w:tcPr>
          <w:p w14:paraId="0EE8CCD3"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Swiss Academy of Sciences</w:t>
            </w:r>
          </w:p>
        </w:tc>
        <w:tc>
          <w:tcPr>
            <w:tcW w:w="5372" w:type="dxa"/>
            <w:tcBorders>
              <w:top w:val="nil"/>
              <w:left w:val="nil"/>
              <w:bottom w:val="nil"/>
              <w:right w:val="nil"/>
            </w:tcBorders>
            <w:hideMark/>
          </w:tcPr>
          <w:p w14:paraId="14066CB5" w14:textId="77777777" w:rsidR="00992A45" w:rsidRPr="00BD7721" w:rsidRDefault="00992A45" w:rsidP="004E48D5">
            <w:pPr>
              <w:pStyle w:val="Normal-pool"/>
              <w:spacing w:before="40" w:after="40"/>
              <w:rPr>
                <w:sz w:val="18"/>
                <w:szCs w:val="18"/>
                <w:lang w:val="en-GB"/>
              </w:rPr>
            </w:pPr>
            <w:r w:rsidRPr="00BD7721">
              <w:rPr>
                <w:sz w:val="18"/>
                <w:szCs w:val="18"/>
                <w:lang w:val="en-GB"/>
              </w:rPr>
              <w:t>Meeting to develop the summary for policymakers of the assessment of the sustainable use of wild species</w:t>
            </w:r>
          </w:p>
        </w:tc>
        <w:tc>
          <w:tcPr>
            <w:tcW w:w="3490" w:type="dxa"/>
            <w:tcBorders>
              <w:top w:val="nil"/>
              <w:left w:val="nil"/>
              <w:bottom w:val="nil"/>
              <w:right w:val="nil"/>
            </w:tcBorders>
            <w:hideMark/>
          </w:tcPr>
          <w:p w14:paraId="55851C1E" w14:textId="77777777" w:rsidR="00992A45" w:rsidRPr="00BD7721" w:rsidRDefault="00992A45" w:rsidP="004E48D5">
            <w:pPr>
              <w:pStyle w:val="Normal-pool"/>
              <w:spacing w:before="40" w:after="40"/>
              <w:rPr>
                <w:sz w:val="18"/>
                <w:szCs w:val="18"/>
                <w:lang w:val="en-GB"/>
              </w:rPr>
            </w:pPr>
            <w:r w:rsidRPr="00BD7721">
              <w:rPr>
                <w:sz w:val="18"/>
                <w:szCs w:val="18"/>
                <w:lang w:val="en-GB"/>
              </w:rPr>
              <w:t>Venue and logistical costs</w:t>
            </w:r>
          </w:p>
        </w:tc>
        <w:tc>
          <w:tcPr>
            <w:tcW w:w="1616" w:type="dxa"/>
            <w:tcBorders>
              <w:top w:val="nil"/>
              <w:left w:val="nil"/>
              <w:bottom w:val="nil"/>
              <w:right w:val="nil"/>
            </w:tcBorders>
            <w:vAlign w:val="bottom"/>
            <w:hideMark/>
          </w:tcPr>
          <w:p w14:paraId="6E9485D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3 000</w:t>
            </w:r>
          </w:p>
        </w:tc>
      </w:tr>
      <w:tr w:rsidR="00992A45" w:rsidRPr="00BD7721" w14:paraId="73398842" w14:textId="77777777" w:rsidTr="00B7775A">
        <w:trPr>
          <w:trHeight w:val="57"/>
          <w:jc w:val="right"/>
        </w:trPr>
        <w:tc>
          <w:tcPr>
            <w:tcW w:w="3950" w:type="dxa"/>
            <w:tcBorders>
              <w:top w:val="nil"/>
              <w:left w:val="nil"/>
              <w:bottom w:val="nil"/>
              <w:right w:val="nil"/>
            </w:tcBorders>
            <w:hideMark/>
          </w:tcPr>
          <w:p w14:paraId="7E9382B3"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UNEP</w:t>
            </w:r>
          </w:p>
        </w:tc>
        <w:tc>
          <w:tcPr>
            <w:tcW w:w="5372" w:type="dxa"/>
            <w:tcBorders>
              <w:top w:val="nil"/>
              <w:left w:val="nil"/>
              <w:bottom w:val="nil"/>
              <w:right w:val="nil"/>
            </w:tcBorders>
            <w:hideMark/>
          </w:tcPr>
          <w:p w14:paraId="7C0A0E33" w14:textId="77777777" w:rsidR="00992A45" w:rsidRPr="00BD7721" w:rsidRDefault="00992A45" w:rsidP="004E48D5">
            <w:pPr>
              <w:pStyle w:val="Normal-pool"/>
              <w:spacing w:before="40" w:after="40"/>
              <w:rPr>
                <w:sz w:val="18"/>
                <w:szCs w:val="18"/>
                <w:lang w:val="en-GB"/>
              </w:rPr>
            </w:pPr>
            <w:r w:rsidRPr="00BD7721">
              <w:rPr>
                <w:sz w:val="18"/>
                <w:szCs w:val="18"/>
                <w:lang w:val="en-GB"/>
              </w:rPr>
              <w:t>Secondment of a P-4 programme officer to the IPBES secretariat</w:t>
            </w:r>
          </w:p>
        </w:tc>
        <w:tc>
          <w:tcPr>
            <w:tcW w:w="3490" w:type="dxa"/>
            <w:tcBorders>
              <w:top w:val="nil"/>
              <w:left w:val="nil"/>
              <w:bottom w:val="nil"/>
              <w:right w:val="nil"/>
            </w:tcBorders>
            <w:hideMark/>
          </w:tcPr>
          <w:p w14:paraId="28CFC06D" w14:textId="77777777" w:rsidR="00992A45" w:rsidRPr="00BD7721" w:rsidRDefault="00992A45" w:rsidP="004E48D5">
            <w:pPr>
              <w:pStyle w:val="Normal-pool"/>
              <w:spacing w:before="40" w:after="40"/>
              <w:rPr>
                <w:sz w:val="18"/>
                <w:szCs w:val="18"/>
                <w:lang w:val="en-GB"/>
              </w:rPr>
            </w:pPr>
            <w:r w:rsidRPr="00BD7721">
              <w:rPr>
                <w:sz w:val="18"/>
                <w:szCs w:val="18"/>
                <w:lang w:val="en-GB"/>
              </w:rPr>
              <w:t>Staff costs</w:t>
            </w:r>
          </w:p>
        </w:tc>
        <w:tc>
          <w:tcPr>
            <w:tcW w:w="1616" w:type="dxa"/>
            <w:tcBorders>
              <w:top w:val="nil"/>
              <w:left w:val="nil"/>
              <w:bottom w:val="nil"/>
              <w:right w:val="nil"/>
            </w:tcBorders>
            <w:vAlign w:val="bottom"/>
            <w:hideMark/>
          </w:tcPr>
          <w:p w14:paraId="4515DFD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143 000</w:t>
            </w:r>
          </w:p>
        </w:tc>
      </w:tr>
      <w:tr w:rsidR="00992A45" w:rsidRPr="00BD7721" w14:paraId="66DA6678" w14:textId="77777777" w:rsidTr="00B7775A">
        <w:trPr>
          <w:trHeight w:val="57"/>
          <w:jc w:val="right"/>
        </w:trPr>
        <w:tc>
          <w:tcPr>
            <w:tcW w:w="3950" w:type="dxa"/>
            <w:tcBorders>
              <w:top w:val="nil"/>
              <w:left w:val="nil"/>
              <w:bottom w:val="nil"/>
              <w:right w:val="nil"/>
            </w:tcBorders>
            <w:hideMark/>
          </w:tcPr>
          <w:p w14:paraId="012D328F"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UNEP-World Conservation Monitoring Centre</w:t>
            </w:r>
          </w:p>
        </w:tc>
        <w:tc>
          <w:tcPr>
            <w:tcW w:w="5372" w:type="dxa"/>
            <w:tcBorders>
              <w:top w:val="nil"/>
              <w:left w:val="nil"/>
              <w:bottom w:val="nil"/>
              <w:right w:val="nil"/>
            </w:tcBorders>
            <w:hideMark/>
          </w:tcPr>
          <w:p w14:paraId="3DF93EB0"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unit for the task force on policy tools and methodologies</w:t>
            </w:r>
          </w:p>
        </w:tc>
        <w:tc>
          <w:tcPr>
            <w:tcW w:w="3490" w:type="dxa"/>
            <w:tcBorders>
              <w:top w:val="nil"/>
              <w:left w:val="nil"/>
              <w:bottom w:val="nil"/>
              <w:right w:val="nil"/>
            </w:tcBorders>
            <w:hideMark/>
          </w:tcPr>
          <w:p w14:paraId="1DE6BC42" w14:textId="77777777" w:rsidR="00992A45" w:rsidRPr="00BD7721" w:rsidRDefault="00992A45" w:rsidP="004E48D5">
            <w:pPr>
              <w:pStyle w:val="Normal-pool"/>
              <w:spacing w:before="40" w:after="40"/>
              <w:rPr>
                <w:sz w:val="18"/>
                <w:szCs w:val="18"/>
                <w:lang w:val="en-GB"/>
              </w:rPr>
            </w:pPr>
            <w:r w:rsidRPr="00BD7721">
              <w:rPr>
                <w:sz w:val="18"/>
                <w:szCs w:val="18"/>
                <w:lang w:val="en-GB"/>
              </w:rPr>
              <w:t>Staff, office and general operating costs</w:t>
            </w:r>
          </w:p>
        </w:tc>
        <w:tc>
          <w:tcPr>
            <w:tcW w:w="1616" w:type="dxa"/>
            <w:tcBorders>
              <w:top w:val="nil"/>
              <w:left w:val="nil"/>
              <w:bottom w:val="nil"/>
              <w:right w:val="nil"/>
            </w:tcBorders>
            <w:vAlign w:val="bottom"/>
            <w:hideMark/>
          </w:tcPr>
          <w:p w14:paraId="37D0F88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30 400</w:t>
            </w:r>
          </w:p>
        </w:tc>
      </w:tr>
      <w:tr w:rsidR="00992A45" w:rsidRPr="00BD7721" w14:paraId="0D1269FB" w14:textId="77777777" w:rsidTr="00B7775A">
        <w:trPr>
          <w:trHeight w:val="57"/>
          <w:jc w:val="right"/>
        </w:trPr>
        <w:tc>
          <w:tcPr>
            <w:tcW w:w="3950" w:type="dxa"/>
            <w:tcBorders>
              <w:top w:val="nil"/>
              <w:left w:val="nil"/>
              <w:bottom w:val="nil"/>
              <w:right w:val="nil"/>
            </w:tcBorders>
            <w:hideMark/>
          </w:tcPr>
          <w:p w14:paraId="639A023A"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United Nations Educational, Scientific and Cultural Organization</w:t>
            </w:r>
          </w:p>
        </w:tc>
        <w:tc>
          <w:tcPr>
            <w:tcW w:w="5372" w:type="dxa"/>
            <w:tcBorders>
              <w:top w:val="nil"/>
              <w:left w:val="nil"/>
              <w:bottom w:val="nil"/>
              <w:right w:val="nil"/>
            </w:tcBorders>
            <w:hideMark/>
          </w:tcPr>
          <w:p w14:paraId="265455D8"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unit for the task force on Indigenous and local knowledge</w:t>
            </w:r>
          </w:p>
        </w:tc>
        <w:tc>
          <w:tcPr>
            <w:tcW w:w="3490" w:type="dxa"/>
            <w:tcBorders>
              <w:top w:val="nil"/>
              <w:left w:val="nil"/>
              <w:bottom w:val="nil"/>
              <w:right w:val="nil"/>
            </w:tcBorders>
            <w:hideMark/>
          </w:tcPr>
          <w:p w14:paraId="0C6E1318" w14:textId="77777777" w:rsidR="00992A45" w:rsidRPr="00BD7721" w:rsidRDefault="00992A45" w:rsidP="004E48D5">
            <w:pPr>
              <w:pStyle w:val="Normal-pool"/>
              <w:spacing w:before="40" w:after="40"/>
              <w:rPr>
                <w:sz w:val="18"/>
                <w:szCs w:val="18"/>
                <w:lang w:val="en-GB"/>
              </w:rPr>
            </w:pPr>
            <w:r w:rsidRPr="00BD7721">
              <w:rPr>
                <w:sz w:val="18"/>
                <w:szCs w:val="18"/>
                <w:lang w:val="en-GB"/>
              </w:rPr>
              <w:t>Staff, office and general operating costs</w:t>
            </w:r>
          </w:p>
        </w:tc>
        <w:tc>
          <w:tcPr>
            <w:tcW w:w="1616" w:type="dxa"/>
            <w:tcBorders>
              <w:top w:val="nil"/>
              <w:left w:val="nil"/>
              <w:bottom w:val="nil"/>
              <w:right w:val="nil"/>
            </w:tcBorders>
            <w:vAlign w:val="bottom"/>
            <w:hideMark/>
          </w:tcPr>
          <w:p w14:paraId="75DF281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150 000</w:t>
            </w:r>
          </w:p>
        </w:tc>
      </w:tr>
      <w:tr w:rsidR="00992A45" w:rsidRPr="00BD7721" w14:paraId="5E744001" w14:textId="77777777" w:rsidTr="00B7775A">
        <w:trPr>
          <w:trHeight w:val="57"/>
          <w:jc w:val="right"/>
        </w:trPr>
        <w:tc>
          <w:tcPr>
            <w:tcW w:w="3950" w:type="dxa"/>
            <w:tcBorders>
              <w:top w:val="nil"/>
              <w:left w:val="nil"/>
              <w:bottom w:val="nil"/>
              <w:right w:val="nil"/>
            </w:tcBorders>
          </w:tcPr>
          <w:p w14:paraId="16787177" w14:textId="77777777" w:rsidR="00992A45" w:rsidRPr="00BD7721" w:rsidRDefault="00992A45" w:rsidP="004E48D5">
            <w:pPr>
              <w:pStyle w:val="Normal-pool"/>
              <w:spacing w:before="40" w:after="40"/>
              <w:rPr>
                <w:sz w:val="18"/>
                <w:szCs w:val="18"/>
                <w:lang w:val="en-GB"/>
              </w:rPr>
            </w:pPr>
          </w:p>
        </w:tc>
        <w:tc>
          <w:tcPr>
            <w:tcW w:w="5372" w:type="dxa"/>
            <w:tcBorders>
              <w:top w:val="nil"/>
              <w:left w:val="nil"/>
              <w:bottom w:val="nil"/>
              <w:right w:val="nil"/>
            </w:tcBorders>
            <w:hideMark/>
          </w:tcPr>
          <w:p w14:paraId="25A5AD50" w14:textId="77777777" w:rsidR="00992A45" w:rsidRPr="00BD7721" w:rsidRDefault="00992A45" w:rsidP="004E48D5">
            <w:pPr>
              <w:pStyle w:val="Normal-pool"/>
              <w:spacing w:before="40" w:after="40"/>
              <w:rPr>
                <w:sz w:val="18"/>
                <w:szCs w:val="18"/>
                <w:lang w:val="en-GB"/>
              </w:rPr>
            </w:pPr>
            <w:r w:rsidRPr="00BD7721">
              <w:rPr>
                <w:sz w:val="18"/>
                <w:szCs w:val="18"/>
                <w:lang w:val="en-GB"/>
              </w:rPr>
              <w:t>First Indigenous and local knowledge dialogue for the nexus assessment</w:t>
            </w:r>
          </w:p>
        </w:tc>
        <w:tc>
          <w:tcPr>
            <w:tcW w:w="3490" w:type="dxa"/>
            <w:tcBorders>
              <w:top w:val="nil"/>
              <w:left w:val="nil"/>
              <w:bottom w:val="nil"/>
              <w:right w:val="nil"/>
            </w:tcBorders>
            <w:hideMark/>
          </w:tcPr>
          <w:p w14:paraId="5FF689B0" w14:textId="77777777" w:rsidR="00992A45" w:rsidRPr="00BD7721" w:rsidRDefault="00992A45" w:rsidP="004E48D5">
            <w:pPr>
              <w:pStyle w:val="Normal-pool"/>
              <w:spacing w:before="40" w:after="40"/>
              <w:rPr>
                <w:sz w:val="18"/>
                <w:szCs w:val="18"/>
                <w:lang w:val="en-GB"/>
              </w:rPr>
            </w:pPr>
            <w:r w:rsidRPr="00BD7721">
              <w:rPr>
                <w:sz w:val="18"/>
                <w:szCs w:val="18"/>
                <w:lang w:val="en-GB"/>
              </w:rPr>
              <w:t>Support for participants</w:t>
            </w:r>
          </w:p>
        </w:tc>
        <w:tc>
          <w:tcPr>
            <w:tcW w:w="1616" w:type="dxa"/>
            <w:tcBorders>
              <w:top w:val="nil"/>
              <w:left w:val="nil"/>
              <w:bottom w:val="nil"/>
              <w:right w:val="nil"/>
            </w:tcBorders>
            <w:vAlign w:val="bottom"/>
            <w:hideMark/>
          </w:tcPr>
          <w:p w14:paraId="100D048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1 000</w:t>
            </w:r>
          </w:p>
        </w:tc>
      </w:tr>
      <w:tr w:rsidR="00992A45" w:rsidRPr="00BD7721" w14:paraId="42BA6593" w14:textId="77777777" w:rsidTr="00B7775A">
        <w:trPr>
          <w:trHeight w:val="57"/>
          <w:jc w:val="right"/>
        </w:trPr>
        <w:tc>
          <w:tcPr>
            <w:tcW w:w="3950" w:type="dxa"/>
            <w:tcBorders>
              <w:top w:val="nil"/>
              <w:left w:val="nil"/>
              <w:bottom w:val="nil"/>
              <w:right w:val="nil"/>
            </w:tcBorders>
            <w:hideMark/>
          </w:tcPr>
          <w:p w14:paraId="2CC85BB4"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Université de Montpellier, France</w:t>
            </w:r>
          </w:p>
        </w:tc>
        <w:tc>
          <w:tcPr>
            <w:tcW w:w="5372" w:type="dxa"/>
            <w:tcBorders>
              <w:top w:val="nil"/>
              <w:left w:val="nil"/>
              <w:bottom w:val="nil"/>
              <w:right w:val="nil"/>
            </w:tcBorders>
            <w:hideMark/>
          </w:tcPr>
          <w:p w14:paraId="1D72CD1A"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 unit for the transformative change assessment</w:t>
            </w:r>
          </w:p>
        </w:tc>
        <w:tc>
          <w:tcPr>
            <w:tcW w:w="3490" w:type="dxa"/>
            <w:tcBorders>
              <w:top w:val="nil"/>
              <w:left w:val="nil"/>
              <w:bottom w:val="nil"/>
              <w:right w:val="nil"/>
            </w:tcBorders>
            <w:hideMark/>
          </w:tcPr>
          <w:p w14:paraId="58332793" w14:textId="77777777" w:rsidR="00992A45" w:rsidRPr="00BD7721" w:rsidRDefault="00992A45" w:rsidP="004E48D5">
            <w:pPr>
              <w:pStyle w:val="Normal-pool"/>
              <w:spacing w:before="40" w:after="40"/>
              <w:rPr>
                <w:sz w:val="18"/>
                <w:szCs w:val="18"/>
                <w:lang w:val="en-GB"/>
              </w:rPr>
            </w:pPr>
            <w:r w:rsidRPr="00BD7721">
              <w:rPr>
                <w:sz w:val="18"/>
                <w:szCs w:val="18"/>
                <w:lang w:val="en-GB"/>
              </w:rPr>
              <w:t>Staff, office and general operating costs</w:t>
            </w:r>
          </w:p>
        </w:tc>
        <w:tc>
          <w:tcPr>
            <w:tcW w:w="1616" w:type="dxa"/>
            <w:tcBorders>
              <w:top w:val="nil"/>
              <w:left w:val="nil"/>
              <w:bottom w:val="nil"/>
              <w:right w:val="nil"/>
            </w:tcBorders>
            <w:vAlign w:val="bottom"/>
            <w:hideMark/>
          </w:tcPr>
          <w:p w14:paraId="3D82170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11 300</w:t>
            </w:r>
          </w:p>
        </w:tc>
      </w:tr>
      <w:tr w:rsidR="00992A45" w:rsidRPr="00BD7721" w14:paraId="575D9069" w14:textId="77777777" w:rsidTr="00B7775A">
        <w:trPr>
          <w:trHeight w:val="57"/>
          <w:jc w:val="right"/>
        </w:trPr>
        <w:tc>
          <w:tcPr>
            <w:tcW w:w="3950" w:type="dxa"/>
            <w:tcBorders>
              <w:top w:val="nil"/>
              <w:left w:val="nil"/>
              <w:bottom w:val="nil"/>
              <w:right w:val="nil"/>
            </w:tcBorders>
          </w:tcPr>
          <w:p w14:paraId="03D77FD0" w14:textId="77777777" w:rsidR="00992A45" w:rsidRPr="00BD7721" w:rsidRDefault="00992A45" w:rsidP="004E48D5">
            <w:pPr>
              <w:pStyle w:val="Normal-pool"/>
              <w:spacing w:before="40" w:after="40"/>
              <w:rPr>
                <w:sz w:val="18"/>
                <w:szCs w:val="18"/>
                <w:lang w:val="en-GB"/>
              </w:rPr>
            </w:pPr>
          </w:p>
        </w:tc>
        <w:tc>
          <w:tcPr>
            <w:tcW w:w="5372" w:type="dxa"/>
            <w:tcBorders>
              <w:top w:val="nil"/>
              <w:left w:val="nil"/>
              <w:bottom w:val="nil"/>
              <w:right w:val="nil"/>
            </w:tcBorders>
            <w:hideMark/>
          </w:tcPr>
          <w:p w14:paraId="7D4F0602" w14:textId="77777777" w:rsidR="00992A45" w:rsidRPr="00BD7721" w:rsidRDefault="00992A45" w:rsidP="004E48D5">
            <w:pPr>
              <w:pStyle w:val="Normal-pool"/>
              <w:spacing w:before="40" w:after="40"/>
              <w:rPr>
                <w:sz w:val="18"/>
                <w:szCs w:val="18"/>
                <w:lang w:val="en-GB"/>
              </w:rPr>
            </w:pPr>
            <w:r w:rsidRPr="00BD7721">
              <w:rPr>
                <w:sz w:val="18"/>
                <w:szCs w:val="18"/>
                <w:lang w:val="en-GB"/>
              </w:rPr>
              <w:t>First author meeting for the transformative change assessment</w:t>
            </w:r>
          </w:p>
        </w:tc>
        <w:tc>
          <w:tcPr>
            <w:tcW w:w="3490" w:type="dxa"/>
            <w:tcBorders>
              <w:top w:val="nil"/>
              <w:left w:val="nil"/>
              <w:bottom w:val="nil"/>
              <w:right w:val="nil"/>
            </w:tcBorders>
            <w:hideMark/>
          </w:tcPr>
          <w:p w14:paraId="5BA66473" w14:textId="77777777" w:rsidR="00992A45" w:rsidRPr="00BD7721" w:rsidRDefault="00992A45" w:rsidP="004E48D5">
            <w:pPr>
              <w:pStyle w:val="Normal-pool"/>
              <w:spacing w:before="40" w:after="40"/>
              <w:rPr>
                <w:sz w:val="18"/>
                <w:szCs w:val="18"/>
                <w:lang w:val="en-GB"/>
              </w:rPr>
            </w:pPr>
            <w:r w:rsidRPr="00BD7721">
              <w:rPr>
                <w:sz w:val="18"/>
                <w:szCs w:val="18"/>
                <w:lang w:val="en-GB"/>
              </w:rPr>
              <w:t>Venue and logistical costs</w:t>
            </w:r>
          </w:p>
        </w:tc>
        <w:tc>
          <w:tcPr>
            <w:tcW w:w="1616" w:type="dxa"/>
            <w:tcBorders>
              <w:top w:val="nil"/>
              <w:left w:val="nil"/>
              <w:bottom w:val="nil"/>
              <w:right w:val="nil"/>
            </w:tcBorders>
            <w:vAlign w:val="bottom"/>
            <w:hideMark/>
          </w:tcPr>
          <w:p w14:paraId="1968750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10 200</w:t>
            </w:r>
          </w:p>
        </w:tc>
      </w:tr>
      <w:tr w:rsidR="00992A45" w:rsidRPr="00BD7721" w14:paraId="583DD027" w14:textId="77777777" w:rsidTr="00B7775A">
        <w:trPr>
          <w:trHeight w:val="57"/>
          <w:jc w:val="right"/>
        </w:trPr>
        <w:tc>
          <w:tcPr>
            <w:tcW w:w="3950" w:type="dxa"/>
            <w:tcBorders>
              <w:top w:val="nil"/>
              <w:left w:val="nil"/>
              <w:bottom w:val="nil"/>
              <w:right w:val="nil"/>
            </w:tcBorders>
            <w:hideMark/>
          </w:tcPr>
          <w:p w14:paraId="3B79FF4F"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University of Concepción and Institute of Ecology and Biodiversity, Chile</w:t>
            </w:r>
          </w:p>
        </w:tc>
        <w:tc>
          <w:tcPr>
            <w:tcW w:w="5372" w:type="dxa"/>
            <w:tcBorders>
              <w:top w:val="nil"/>
              <w:left w:val="nil"/>
              <w:bottom w:val="nil"/>
              <w:right w:val="nil"/>
            </w:tcBorders>
            <w:hideMark/>
          </w:tcPr>
          <w:p w14:paraId="52445A81" w14:textId="77777777" w:rsidR="00992A45" w:rsidRPr="00BD7721" w:rsidRDefault="00992A45" w:rsidP="004E48D5">
            <w:pPr>
              <w:pStyle w:val="Normal-pool"/>
              <w:spacing w:before="40" w:after="40"/>
              <w:rPr>
                <w:sz w:val="18"/>
                <w:szCs w:val="18"/>
                <w:lang w:val="en-GB"/>
              </w:rPr>
            </w:pPr>
            <w:r w:rsidRPr="00BD7721">
              <w:rPr>
                <w:sz w:val="18"/>
                <w:szCs w:val="18"/>
                <w:lang w:val="en-GB"/>
              </w:rPr>
              <w:t>Meeting to develop the summary for policymakers of the assessment of invasive alien species</w:t>
            </w:r>
          </w:p>
        </w:tc>
        <w:tc>
          <w:tcPr>
            <w:tcW w:w="3490" w:type="dxa"/>
            <w:tcBorders>
              <w:top w:val="nil"/>
              <w:left w:val="nil"/>
              <w:bottom w:val="nil"/>
              <w:right w:val="nil"/>
            </w:tcBorders>
            <w:hideMark/>
          </w:tcPr>
          <w:p w14:paraId="2350FAC8" w14:textId="77777777" w:rsidR="00992A45" w:rsidRPr="00BD7721" w:rsidRDefault="00992A45" w:rsidP="004E48D5">
            <w:pPr>
              <w:pStyle w:val="Normal-pool"/>
              <w:spacing w:before="40" w:after="40"/>
              <w:rPr>
                <w:sz w:val="18"/>
                <w:szCs w:val="18"/>
                <w:lang w:val="en-GB"/>
              </w:rPr>
            </w:pPr>
            <w:r w:rsidRPr="00BD7721">
              <w:rPr>
                <w:sz w:val="18"/>
                <w:szCs w:val="18"/>
                <w:lang w:val="en-GB"/>
              </w:rPr>
              <w:t>Venue and logistical costs</w:t>
            </w:r>
          </w:p>
        </w:tc>
        <w:tc>
          <w:tcPr>
            <w:tcW w:w="1616" w:type="dxa"/>
            <w:tcBorders>
              <w:top w:val="nil"/>
              <w:left w:val="nil"/>
              <w:bottom w:val="nil"/>
              <w:right w:val="nil"/>
            </w:tcBorders>
            <w:vAlign w:val="bottom"/>
            <w:hideMark/>
          </w:tcPr>
          <w:p w14:paraId="74B17E0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11 200</w:t>
            </w:r>
          </w:p>
        </w:tc>
      </w:tr>
      <w:tr w:rsidR="00992A45" w:rsidRPr="00BD7721" w14:paraId="72DA10C7" w14:textId="77777777" w:rsidTr="00B7775A">
        <w:trPr>
          <w:trHeight w:val="57"/>
          <w:jc w:val="right"/>
        </w:trPr>
        <w:tc>
          <w:tcPr>
            <w:tcW w:w="3950" w:type="dxa"/>
            <w:tcBorders>
              <w:top w:val="single" w:sz="4" w:space="0" w:color="000000"/>
              <w:left w:val="nil"/>
              <w:bottom w:val="single" w:sz="4" w:space="0" w:color="000000"/>
              <w:right w:val="nil"/>
            </w:tcBorders>
            <w:hideMark/>
          </w:tcPr>
          <w:p w14:paraId="566745C1" w14:textId="77777777" w:rsidR="00992A45" w:rsidRPr="00BD7721" w:rsidRDefault="00992A45" w:rsidP="004E48D5">
            <w:pPr>
              <w:pStyle w:val="Normal-pool"/>
              <w:spacing w:before="40" w:after="40"/>
              <w:rPr>
                <w:b/>
                <w:bCs/>
                <w:sz w:val="18"/>
                <w:szCs w:val="18"/>
                <w:lang w:val="en-GB"/>
              </w:rPr>
            </w:pPr>
            <w:r w:rsidRPr="00BD7721">
              <w:rPr>
                <w:b/>
                <w:bCs/>
                <w:sz w:val="18"/>
                <w:szCs w:val="18"/>
                <w:lang w:val="en-GB"/>
              </w:rPr>
              <w:t>Subtotal 1</w:t>
            </w:r>
          </w:p>
        </w:tc>
        <w:tc>
          <w:tcPr>
            <w:tcW w:w="5372" w:type="dxa"/>
            <w:tcBorders>
              <w:top w:val="single" w:sz="4" w:space="0" w:color="000000"/>
              <w:left w:val="nil"/>
              <w:bottom w:val="single" w:sz="4" w:space="0" w:color="000000"/>
              <w:right w:val="nil"/>
            </w:tcBorders>
          </w:tcPr>
          <w:p w14:paraId="52EBD1EE" w14:textId="77777777" w:rsidR="00992A45" w:rsidRPr="00BD7721" w:rsidRDefault="00992A45" w:rsidP="004E48D5">
            <w:pPr>
              <w:pStyle w:val="Normal-pool"/>
              <w:spacing w:before="40" w:after="40"/>
              <w:rPr>
                <w:sz w:val="18"/>
                <w:szCs w:val="18"/>
                <w:lang w:val="en-GB"/>
              </w:rPr>
            </w:pPr>
          </w:p>
        </w:tc>
        <w:tc>
          <w:tcPr>
            <w:tcW w:w="3490" w:type="dxa"/>
            <w:tcBorders>
              <w:top w:val="single" w:sz="4" w:space="0" w:color="000000"/>
              <w:left w:val="nil"/>
              <w:bottom w:val="single" w:sz="4" w:space="0" w:color="000000"/>
              <w:right w:val="nil"/>
            </w:tcBorders>
          </w:tcPr>
          <w:p w14:paraId="3BE188FA" w14:textId="77777777" w:rsidR="00992A45" w:rsidRPr="00BD7721" w:rsidRDefault="00992A45" w:rsidP="004E48D5">
            <w:pPr>
              <w:pStyle w:val="Normal-pool"/>
              <w:spacing w:before="40" w:after="40"/>
              <w:rPr>
                <w:sz w:val="18"/>
                <w:szCs w:val="18"/>
                <w:lang w:val="en-GB"/>
              </w:rPr>
            </w:pPr>
          </w:p>
        </w:tc>
        <w:tc>
          <w:tcPr>
            <w:tcW w:w="1616" w:type="dxa"/>
            <w:tcBorders>
              <w:top w:val="single" w:sz="4" w:space="0" w:color="000000"/>
              <w:left w:val="nil"/>
              <w:bottom w:val="single" w:sz="4" w:space="0" w:color="000000"/>
              <w:right w:val="nil"/>
            </w:tcBorders>
            <w:vAlign w:val="bottom"/>
            <w:hideMark/>
          </w:tcPr>
          <w:p w14:paraId="5650BFC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 xml:space="preserve">1 660 800 </w:t>
            </w:r>
          </w:p>
        </w:tc>
      </w:tr>
      <w:tr w:rsidR="00992A45" w:rsidRPr="00BD7721" w14:paraId="5783D9B9" w14:textId="77777777" w:rsidTr="00B7775A">
        <w:trPr>
          <w:trHeight w:val="57"/>
          <w:jc w:val="right"/>
        </w:trPr>
        <w:tc>
          <w:tcPr>
            <w:tcW w:w="9322" w:type="dxa"/>
            <w:gridSpan w:val="2"/>
            <w:tcBorders>
              <w:top w:val="single" w:sz="4" w:space="0" w:color="000000"/>
              <w:left w:val="nil"/>
              <w:bottom w:val="single" w:sz="4" w:space="0" w:color="auto"/>
              <w:right w:val="nil"/>
            </w:tcBorders>
            <w:hideMark/>
          </w:tcPr>
          <w:p w14:paraId="32C29A2E" w14:textId="77777777" w:rsidR="00992A45" w:rsidRPr="00BD7721" w:rsidRDefault="00992A45" w:rsidP="004E48D5">
            <w:pPr>
              <w:pStyle w:val="Normal-pool"/>
              <w:tabs>
                <w:tab w:val="left" w:pos="177"/>
              </w:tabs>
              <w:spacing w:before="40" w:after="40"/>
              <w:rPr>
                <w:b/>
                <w:bCs/>
                <w:sz w:val="18"/>
                <w:szCs w:val="18"/>
                <w:lang w:val="en-GB"/>
              </w:rPr>
            </w:pPr>
            <w:r w:rsidRPr="00BD7721">
              <w:rPr>
                <w:b/>
                <w:bCs/>
                <w:sz w:val="18"/>
                <w:szCs w:val="18"/>
                <w:lang w:val="en-GB"/>
              </w:rPr>
              <w:t>2.</w:t>
            </w:r>
            <w:r w:rsidRPr="00BD7721">
              <w:rPr>
                <w:b/>
                <w:bCs/>
                <w:sz w:val="18"/>
                <w:szCs w:val="18"/>
                <w:lang w:val="en-GB"/>
              </w:rPr>
              <w:tab/>
              <w:t>Support for additional activities organized in support of the work programme</w:t>
            </w:r>
          </w:p>
        </w:tc>
        <w:tc>
          <w:tcPr>
            <w:tcW w:w="3490" w:type="dxa"/>
            <w:tcBorders>
              <w:top w:val="single" w:sz="4" w:space="0" w:color="000000"/>
              <w:left w:val="nil"/>
              <w:bottom w:val="single" w:sz="4" w:space="0" w:color="auto"/>
              <w:right w:val="nil"/>
            </w:tcBorders>
          </w:tcPr>
          <w:p w14:paraId="6EA1A229" w14:textId="77777777" w:rsidR="00992A45" w:rsidRPr="00BD7721" w:rsidRDefault="00992A45" w:rsidP="004E48D5">
            <w:pPr>
              <w:pStyle w:val="Normal-pool"/>
              <w:spacing w:before="40" w:after="40"/>
              <w:rPr>
                <w:b/>
                <w:bCs/>
                <w:sz w:val="18"/>
                <w:szCs w:val="18"/>
                <w:lang w:val="en-GB"/>
              </w:rPr>
            </w:pPr>
          </w:p>
        </w:tc>
        <w:tc>
          <w:tcPr>
            <w:tcW w:w="1616" w:type="dxa"/>
            <w:tcBorders>
              <w:top w:val="single" w:sz="4" w:space="0" w:color="000000"/>
              <w:left w:val="nil"/>
              <w:bottom w:val="single" w:sz="4" w:space="0" w:color="auto"/>
              <w:right w:val="nil"/>
            </w:tcBorders>
            <w:vAlign w:val="bottom"/>
          </w:tcPr>
          <w:p w14:paraId="49D6FBBA" w14:textId="77777777" w:rsidR="00992A45" w:rsidRPr="00BD7721" w:rsidRDefault="00992A45" w:rsidP="004E48D5">
            <w:pPr>
              <w:pStyle w:val="Normal-pool"/>
              <w:spacing w:before="40" w:after="40"/>
              <w:jc w:val="right"/>
              <w:rPr>
                <w:b/>
                <w:bCs/>
                <w:sz w:val="18"/>
                <w:szCs w:val="18"/>
                <w:lang w:val="en-GB"/>
              </w:rPr>
            </w:pPr>
          </w:p>
        </w:tc>
      </w:tr>
      <w:tr w:rsidR="00992A45" w:rsidRPr="00BD7721" w14:paraId="61834A4F" w14:textId="77777777" w:rsidTr="00B7775A">
        <w:trPr>
          <w:trHeight w:val="57"/>
          <w:jc w:val="right"/>
        </w:trPr>
        <w:tc>
          <w:tcPr>
            <w:tcW w:w="3950" w:type="dxa"/>
            <w:tcBorders>
              <w:top w:val="single" w:sz="4" w:space="0" w:color="auto"/>
              <w:left w:val="nil"/>
              <w:bottom w:val="nil"/>
              <w:right w:val="nil"/>
            </w:tcBorders>
            <w:hideMark/>
          </w:tcPr>
          <w:p w14:paraId="78446F29"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City of Bonn</w:t>
            </w:r>
          </w:p>
        </w:tc>
        <w:tc>
          <w:tcPr>
            <w:tcW w:w="5372" w:type="dxa"/>
            <w:tcBorders>
              <w:top w:val="single" w:sz="4" w:space="0" w:color="auto"/>
              <w:left w:val="nil"/>
              <w:bottom w:val="nil"/>
              <w:right w:val="nil"/>
            </w:tcBorders>
            <w:hideMark/>
          </w:tcPr>
          <w:p w14:paraId="746979BE" w14:textId="77777777" w:rsidR="00992A45" w:rsidRPr="00BD7721" w:rsidRDefault="00992A45" w:rsidP="004E48D5">
            <w:pPr>
              <w:pStyle w:val="Normal-pool"/>
              <w:spacing w:before="40" w:after="40"/>
              <w:rPr>
                <w:sz w:val="18"/>
                <w:szCs w:val="18"/>
                <w:lang w:val="en-GB"/>
              </w:rPr>
            </w:pPr>
            <w:r w:rsidRPr="00BD7721">
              <w:rPr>
                <w:sz w:val="18"/>
                <w:szCs w:val="18"/>
                <w:lang w:val="en-GB"/>
              </w:rPr>
              <w:t>Ninth session of the Plenary</w:t>
            </w:r>
          </w:p>
        </w:tc>
        <w:tc>
          <w:tcPr>
            <w:tcW w:w="3490" w:type="dxa"/>
            <w:tcBorders>
              <w:top w:val="single" w:sz="4" w:space="0" w:color="auto"/>
              <w:left w:val="nil"/>
              <w:bottom w:val="nil"/>
              <w:right w:val="nil"/>
            </w:tcBorders>
            <w:hideMark/>
          </w:tcPr>
          <w:p w14:paraId="0D7065FD" w14:textId="77777777" w:rsidR="00992A45" w:rsidRPr="00BD7721" w:rsidRDefault="00992A45" w:rsidP="004E48D5">
            <w:pPr>
              <w:pStyle w:val="Normal-pool"/>
              <w:spacing w:before="40" w:after="40"/>
              <w:rPr>
                <w:sz w:val="18"/>
                <w:szCs w:val="18"/>
                <w:lang w:val="en-GB"/>
              </w:rPr>
            </w:pPr>
            <w:r w:rsidRPr="00BD7721">
              <w:rPr>
                <w:sz w:val="18"/>
                <w:szCs w:val="18"/>
                <w:lang w:val="en-GB"/>
              </w:rPr>
              <w:t>Branding and logistical costs</w:t>
            </w:r>
          </w:p>
        </w:tc>
        <w:tc>
          <w:tcPr>
            <w:tcW w:w="1616" w:type="dxa"/>
            <w:tcBorders>
              <w:top w:val="single" w:sz="4" w:space="0" w:color="auto"/>
              <w:left w:val="nil"/>
              <w:bottom w:val="nil"/>
              <w:right w:val="nil"/>
            </w:tcBorders>
            <w:vAlign w:val="bottom"/>
            <w:hideMark/>
          </w:tcPr>
          <w:p w14:paraId="2C05470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23 000</w:t>
            </w:r>
          </w:p>
        </w:tc>
      </w:tr>
      <w:tr w:rsidR="00992A45" w:rsidRPr="00BD7721" w14:paraId="478590C7" w14:textId="77777777" w:rsidTr="00B7775A">
        <w:trPr>
          <w:trHeight w:val="57"/>
          <w:jc w:val="right"/>
        </w:trPr>
        <w:tc>
          <w:tcPr>
            <w:tcW w:w="3950" w:type="dxa"/>
            <w:tcBorders>
              <w:top w:val="nil"/>
              <w:left w:val="nil"/>
              <w:bottom w:val="nil"/>
              <w:right w:val="nil"/>
            </w:tcBorders>
            <w:hideMark/>
          </w:tcPr>
          <w:p w14:paraId="04C6A653"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 xml:space="preserve">Federal Ministry for the Environment, Nature Conservation, Nuclear Safety and Consumer Protection, Germany </w:t>
            </w:r>
          </w:p>
        </w:tc>
        <w:tc>
          <w:tcPr>
            <w:tcW w:w="5372" w:type="dxa"/>
            <w:tcBorders>
              <w:top w:val="nil"/>
              <w:left w:val="nil"/>
              <w:bottom w:val="nil"/>
              <w:right w:val="nil"/>
            </w:tcBorders>
            <w:hideMark/>
          </w:tcPr>
          <w:p w14:paraId="53E767A9" w14:textId="77777777" w:rsidR="00992A45" w:rsidRPr="00BD7721" w:rsidRDefault="00992A45" w:rsidP="004E48D5">
            <w:pPr>
              <w:pStyle w:val="Normal-pool"/>
              <w:spacing w:before="40" w:after="40"/>
              <w:rPr>
                <w:sz w:val="18"/>
                <w:szCs w:val="18"/>
                <w:lang w:val="en-GB"/>
              </w:rPr>
            </w:pPr>
            <w:r w:rsidRPr="00BD7721">
              <w:rPr>
                <w:sz w:val="18"/>
                <w:szCs w:val="18"/>
                <w:lang w:val="en-GB"/>
              </w:rPr>
              <w:t>Ninth session of the Plenary</w:t>
            </w:r>
          </w:p>
        </w:tc>
        <w:tc>
          <w:tcPr>
            <w:tcW w:w="3490" w:type="dxa"/>
            <w:tcBorders>
              <w:top w:val="nil"/>
              <w:left w:val="nil"/>
              <w:bottom w:val="nil"/>
              <w:right w:val="nil"/>
            </w:tcBorders>
            <w:hideMark/>
          </w:tcPr>
          <w:p w14:paraId="6F80B05C" w14:textId="77777777" w:rsidR="00992A45" w:rsidRPr="00BD7721" w:rsidRDefault="00992A45" w:rsidP="004E48D5">
            <w:pPr>
              <w:pStyle w:val="Normal-pool"/>
              <w:spacing w:before="40" w:after="40"/>
              <w:rPr>
                <w:sz w:val="18"/>
                <w:szCs w:val="18"/>
                <w:lang w:val="en-GB"/>
              </w:rPr>
            </w:pPr>
            <w:r w:rsidRPr="00BD7721">
              <w:rPr>
                <w:sz w:val="18"/>
                <w:szCs w:val="18"/>
                <w:lang w:val="en-GB"/>
              </w:rPr>
              <w:t>Branding, support staff and logistical costs</w:t>
            </w:r>
          </w:p>
        </w:tc>
        <w:tc>
          <w:tcPr>
            <w:tcW w:w="1616" w:type="dxa"/>
            <w:tcBorders>
              <w:top w:val="nil"/>
              <w:left w:val="nil"/>
              <w:bottom w:val="nil"/>
              <w:right w:val="nil"/>
            </w:tcBorders>
            <w:vAlign w:val="bottom"/>
            <w:hideMark/>
          </w:tcPr>
          <w:p w14:paraId="36FA9DD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47 000</w:t>
            </w:r>
          </w:p>
        </w:tc>
      </w:tr>
      <w:tr w:rsidR="00992A45" w:rsidRPr="00BD7721" w14:paraId="522EBB08" w14:textId="77777777" w:rsidTr="00B7775A">
        <w:trPr>
          <w:trHeight w:val="57"/>
          <w:jc w:val="right"/>
        </w:trPr>
        <w:tc>
          <w:tcPr>
            <w:tcW w:w="3950" w:type="dxa"/>
            <w:tcBorders>
              <w:top w:val="nil"/>
              <w:left w:val="nil"/>
              <w:bottom w:val="nil"/>
              <w:right w:val="nil"/>
            </w:tcBorders>
            <w:hideMark/>
          </w:tcPr>
          <w:p w14:paraId="6A0FF610"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International Union for Conservation of Nature and Natural Resources</w:t>
            </w:r>
          </w:p>
        </w:tc>
        <w:tc>
          <w:tcPr>
            <w:tcW w:w="5372" w:type="dxa"/>
            <w:tcBorders>
              <w:top w:val="nil"/>
              <w:left w:val="nil"/>
              <w:bottom w:val="nil"/>
              <w:right w:val="nil"/>
            </w:tcBorders>
            <w:hideMark/>
          </w:tcPr>
          <w:p w14:paraId="015FA081" w14:textId="77777777" w:rsidR="00992A45" w:rsidRPr="00BD7721" w:rsidRDefault="00992A45" w:rsidP="004E48D5">
            <w:pPr>
              <w:pStyle w:val="Normal-pool"/>
              <w:spacing w:before="40" w:after="40"/>
              <w:rPr>
                <w:sz w:val="18"/>
                <w:szCs w:val="18"/>
                <w:lang w:val="en-GB"/>
              </w:rPr>
            </w:pPr>
            <w:r w:rsidRPr="00BD7721">
              <w:rPr>
                <w:sz w:val="18"/>
                <w:szCs w:val="18"/>
                <w:lang w:val="en-GB"/>
              </w:rPr>
              <w:t>Support for stakeholder engagement</w:t>
            </w:r>
          </w:p>
        </w:tc>
        <w:tc>
          <w:tcPr>
            <w:tcW w:w="3490" w:type="dxa"/>
            <w:tcBorders>
              <w:top w:val="nil"/>
              <w:left w:val="nil"/>
              <w:bottom w:val="nil"/>
              <w:right w:val="nil"/>
            </w:tcBorders>
            <w:hideMark/>
          </w:tcPr>
          <w:p w14:paraId="4C9D1C6D" w14:textId="77777777" w:rsidR="00992A45" w:rsidRPr="00BD7721" w:rsidRDefault="00992A45" w:rsidP="004E48D5">
            <w:pPr>
              <w:pStyle w:val="Normal-pool"/>
              <w:spacing w:before="40" w:after="40"/>
              <w:rPr>
                <w:sz w:val="18"/>
                <w:szCs w:val="18"/>
                <w:lang w:val="en-GB"/>
              </w:rPr>
            </w:pPr>
            <w:r w:rsidRPr="00BD7721">
              <w:rPr>
                <w:sz w:val="18"/>
                <w:szCs w:val="18"/>
                <w:lang w:val="en-GB"/>
              </w:rPr>
              <w:t>Technical support</w:t>
            </w:r>
          </w:p>
        </w:tc>
        <w:tc>
          <w:tcPr>
            <w:tcW w:w="1616" w:type="dxa"/>
            <w:tcBorders>
              <w:top w:val="nil"/>
              <w:left w:val="nil"/>
              <w:bottom w:val="nil"/>
              <w:right w:val="nil"/>
            </w:tcBorders>
            <w:vAlign w:val="bottom"/>
            <w:hideMark/>
          </w:tcPr>
          <w:p w14:paraId="425857D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71 000</w:t>
            </w:r>
          </w:p>
        </w:tc>
      </w:tr>
      <w:tr w:rsidR="00992A45" w:rsidRPr="00BD7721" w14:paraId="6328EB74" w14:textId="77777777" w:rsidTr="00B7775A">
        <w:trPr>
          <w:trHeight w:val="57"/>
          <w:jc w:val="right"/>
        </w:trPr>
        <w:tc>
          <w:tcPr>
            <w:tcW w:w="3950" w:type="dxa"/>
            <w:tcBorders>
              <w:top w:val="nil"/>
              <w:left w:val="nil"/>
              <w:bottom w:val="single" w:sz="4" w:space="0" w:color="000000"/>
              <w:right w:val="nil"/>
            </w:tcBorders>
            <w:hideMark/>
          </w:tcPr>
          <w:p w14:paraId="65C9F945" w14:textId="77777777" w:rsidR="00992A45" w:rsidRPr="00BD7721" w:rsidRDefault="00992A45" w:rsidP="004E48D5">
            <w:pPr>
              <w:pStyle w:val="Normal-pool"/>
              <w:spacing w:before="40" w:after="40"/>
              <w:ind w:left="177"/>
              <w:rPr>
                <w:sz w:val="18"/>
                <w:szCs w:val="18"/>
                <w:lang w:val="en-GB"/>
              </w:rPr>
            </w:pPr>
            <w:r w:rsidRPr="00BD7721">
              <w:rPr>
                <w:sz w:val="18"/>
                <w:szCs w:val="18"/>
                <w:lang w:val="en-GB"/>
              </w:rPr>
              <w:t>Norwegian Environment Agency</w:t>
            </w:r>
          </w:p>
        </w:tc>
        <w:tc>
          <w:tcPr>
            <w:tcW w:w="5372" w:type="dxa"/>
            <w:tcBorders>
              <w:top w:val="nil"/>
              <w:left w:val="nil"/>
              <w:bottom w:val="single" w:sz="4" w:space="0" w:color="000000"/>
              <w:right w:val="nil"/>
            </w:tcBorders>
            <w:hideMark/>
          </w:tcPr>
          <w:p w14:paraId="106CC454" w14:textId="77777777" w:rsidR="00992A45" w:rsidRPr="00BD7721" w:rsidRDefault="00992A45" w:rsidP="004E48D5">
            <w:pPr>
              <w:pStyle w:val="Normal-pool"/>
              <w:spacing w:before="40" w:after="40"/>
              <w:rPr>
                <w:sz w:val="18"/>
                <w:szCs w:val="18"/>
                <w:lang w:val="en-GB"/>
              </w:rPr>
            </w:pPr>
            <w:r w:rsidRPr="00BD7721">
              <w:rPr>
                <w:sz w:val="18"/>
                <w:szCs w:val="18"/>
                <w:lang w:val="en-GB"/>
              </w:rPr>
              <w:t>Establishment of the Social Sciences and Humanities Network for engaging with IPBES</w:t>
            </w:r>
          </w:p>
        </w:tc>
        <w:tc>
          <w:tcPr>
            <w:tcW w:w="3490" w:type="dxa"/>
            <w:tcBorders>
              <w:top w:val="nil"/>
              <w:left w:val="nil"/>
              <w:bottom w:val="single" w:sz="4" w:space="0" w:color="000000"/>
              <w:right w:val="nil"/>
            </w:tcBorders>
            <w:hideMark/>
          </w:tcPr>
          <w:p w14:paraId="37B49273" w14:textId="77777777" w:rsidR="00992A45" w:rsidRPr="00BD7721" w:rsidRDefault="00992A45" w:rsidP="004E48D5">
            <w:pPr>
              <w:pStyle w:val="Normal-pool"/>
              <w:spacing w:before="40" w:after="40"/>
              <w:rPr>
                <w:sz w:val="18"/>
                <w:szCs w:val="18"/>
                <w:lang w:val="en-GB"/>
              </w:rPr>
            </w:pPr>
            <w:r w:rsidRPr="00BD7721">
              <w:rPr>
                <w:sz w:val="18"/>
                <w:szCs w:val="18"/>
                <w:lang w:val="en-GB"/>
              </w:rPr>
              <w:t>Staff and logistical costs</w:t>
            </w:r>
          </w:p>
        </w:tc>
        <w:tc>
          <w:tcPr>
            <w:tcW w:w="1616" w:type="dxa"/>
            <w:tcBorders>
              <w:top w:val="nil"/>
              <w:left w:val="nil"/>
              <w:bottom w:val="single" w:sz="4" w:space="0" w:color="000000"/>
              <w:right w:val="nil"/>
            </w:tcBorders>
            <w:vAlign w:val="bottom"/>
            <w:hideMark/>
          </w:tcPr>
          <w:p w14:paraId="256307A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19 000</w:t>
            </w:r>
          </w:p>
        </w:tc>
      </w:tr>
      <w:tr w:rsidR="00992A45" w:rsidRPr="00BD7721" w14:paraId="57574D3F" w14:textId="77777777" w:rsidTr="00B7775A">
        <w:trPr>
          <w:trHeight w:val="57"/>
          <w:jc w:val="right"/>
        </w:trPr>
        <w:tc>
          <w:tcPr>
            <w:tcW w:w="3950" w:type="dxa"/>
            <w:tcBorders>
              <w:top w:val="single" w:sz="4" w:space="0" w:color="000000"/>
              <w:left w:val="nil"/>
              <w:bottom w:val="single" w:sz="4" w:space="0" w:color="000000"/>
              <w:right w:val="nil"/>
            </w:tcBorders>
            <w:hideMark/>
          </w:tcPr>
          <w:p w14:paraId="33DDA8EB" w14:textId="77777777" w:rsidR="00992A45" w:rsidRPr="00BD7721" w:rsidRDefault="00992A45" w:rsidP="004E48D5">
            <w:pPr>
              <w:pStyle w:val="Normal-pool"/>
              <w:spacing w:before="40" w:after="40"/>
              <w:rPr>
                <w:b/>
                <w:bCs/>
                <w:sz w:val="18"/>
                <w:szCs w:val="18"/>
                <w:lang w:val="en-GB"/>
              </w:rPr>
            </w:pPr>
            <w:r w:rsidRPr="00BD7721">
              <w:rPr>
                <w:b/>
                <w:bCs/>
                <w:sz w:val="18"/>
                <w:szCs w:val="18"/>
                <w:lang w:val="en-GB"/>
              </w:rPr>
              <w:t>Subtotal 2</w:t>
            </w:r>
          </w:p>
        </w:tc>
        <w:tc>
          <w:tcPr>
            <w:tcW w:w="5372" w:type="dxa"/>
            <w:tcBorders>
              <w:top w:val="single" w:sz="4" w:space="0" w:color="000000"/>
              <w:left w:val="nil"/>
              <w:bottom w:val="single" w:sz="4" w:space="0" w:color="000000"/>
              <w:right w:val="nil"/>
            </w:tcBorders>
          </w:tcPr>
          <w:p w14:paraId="59A608CD" w14:textId="77777777" w:rsidR="00992A45" w:rsidRPr="00BD7721" w:rsidRDefault="00992A45" w:rsidP="004E48D5">
            <w:pPr>
              <w:pStyle w:val="Normal-pool"/>
              <w:spacing w:before="40" w:after="40"/>
              <w:rPr>
                <w:b/>
                <w:bCs/>
                <w:sz w:val="18"/>
                <w:szCs w:val="18"/>
                <w:lang w:val="en-GB"/>
              </w:rPr>
            </w:pPr>
          </w:p>
        </w:tc>
        <w:tc>
          <w:tcPr>
            <w:tcW w:w="3490" w:type="dxa"/>
            <w:tcBorders>
              <w:top w:val="single" w:sz="4" w:space="0" w:color="000000"/>
              <w:left w:val="nil"/>
              <w:bottom w:val="single" w:sz="4" w:space="0" w:color="000000"/>
              <w:right w:val="nil"/>
            </w:tcBorders>
          </w:tcPr>
          <w:p w14:paraId="51AC7A9C" w14:textId="77777777" w:rsidR="00992A45" w:rsidRPr="00BD7721" w:rsidRDefault="00992A45" w:rsidP="004E48D5">
            <w:pPr>
              <w:pStyle w:val="Normal-pool"/>
              <w:spacing w:before="40" w:after="40"/>
              <w:rPr>
                <w:b/>
                <w:bCs/>
                <w:sz w:val="18"/>
                <w:szCs w:val="18"/>
                <w:lang w:val="en-GB"/>
              </w:rPr>
            </w:pPr>
          </w:p>
        </w:tc>
        <w:tc>
          <w:tcPr>
            <w:tcW w:w="1616" w:type="dxa"/>
            <w:tcBorders>
              <w:top w:val="single" w:sz="4" w:space="0" w:color="000000"/>
              <w:left w:val="nil"/>
              <w:bottom w:val="single" w:sz="4" w:space="0" w:color="000000"/>
              <w:right w:val="nil"/>
            </w:tcBorders>
            <w:vAlign w:val="bottom"/>
            <w:hideMark/>
          </w:tcPr>
          <w:p w14:paraId="60E8A037"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160 000</w:t>
            </w:r>
          </w:p>
        </w:tc>
      </w:tr>
      <w:tr w:rsidR="00992A45" w:rsidRPr="00BD7721" w14:paraId="6B1399A9" w14:textId="77777777" w:rsidTr="00B7775A">
        <w:trPr>
          <w:trHeight w:val="57"/>
          <w:jc w:val="right"/>
        </w:trPr>
        <w:tc>
          <w:tcPr>
            <w:tcW w:w="3950" w:type="dxa"/>
            <w:tcBorders>
              <w:top w:val="single" w:sz="4" w:space="0" w:color="000000"/>
              <w:left w:val="nil"/>
              <w:bottom w:val="single" w:sz="12" w:space="0" w:color="000000"/>
              <w:right w:val="nil"/>
            </w:tcBorders>
            <w:hideMark/>
          </w:tcPr>
          <w:p w14:paraId="4B3B5FF9" w14:textId="77777777" w:rsidR="00992A45" w:rsidRPr="00BD7721" w:rsidRDefault="00992A45" w:rsidP="004E48D5">
            <w:pPr>
              <w:pStyle w:val="Normal-pool"/>
              <w:spacing w:before="40" w:after="40"/>
              <w:rPr>
                <w:b/>
                <w:bCs/>
                <w:sz w:val="18"/>
                <w:szCs w:val="18"/>
                <w:lang w:val="en-GB"/>
              </w:rPr>
            </w:pPr>
            <w:r w:rsidRPr="00BD7721">
              <w:rPr>
                <w:b/>
                <w:bCs/>
                <w:sz w:val="18"/>
                <w:szCs w:val="18"/>
                <w:lang w:val="en-GB"/>
              </w:rPr>
              <w:t>Total (1 + 2)</w:t>
            </w:r>
          </w:p>
        </w:tc>
        <w:tc>
          <w:tcPr>
            <w:tcW w:w="5372" w:type="dxa"/>
            <w:tcBorders>
              <w:top w:val="single" w:sz="4" w:space="0" w:color="000000"/>
              <w:left w:val="nil"/>
              <w:bottom w:val="single" w:sz="12" w:space="0" w:color="000000"/>
              <w:right w:val="nil"/>
            </w:tcBorders>
          </w:tcPr>
          <w:p w14:paraId="3FDDB77D" w14:textId="77777777" w:rsidR="00992A45" w:rsidRPr="00BD7721" w:rsidRDefault="00992A45" w:rsidP="004E48D5">
            <w:pPr>
              <w:pStyle w:val="Normal-pool"/>
              <w:spacing w:before="40" w:after="40"/>
              <w:rPr>
                <w:b/>
                <w:bCs/>
                <w:sz w:val="18"/>
                <w:szCs w:val="18"/>
                <w:lang w:val="en-GB"/>
              </w:rPr>
            </w:pPr>
          </w:p>
        </w:tc>
        <w:tc>
          <w:tcPr>
            <w:tcW w:w="3490" w:type="dxa"/>
            <w:tcBorders>
              <w:top w:val="single" w:sz="4" w:space="0" w:color="000000"/>
              <w:left w:val="nil"/>
              <w:bottom w:val="single" w:sz="12" w:space="0" w:color="000000"/>
              <w:right w:val="nil"/>
            </w:tcBorders>
          </w:tcPr>
          <w:p w14:paraId="37D4FCB2" w14:textId="77777777" w:rsidR="00992A45" w:rsidRPr="00BD7721" w:rsidRDefault="00992A45" w:rsidP="004E48D5">
            <w:pPr>
              <w:pStyle w:val="Normal-pool"/>
              <w:spacing w:before="40" w:after="40"/>
              <w:rPr>
                <w:b/>
                <w:bCs/>
                <w:sz w:val="18"/>
                <w:szCs w:val="18"/>
                <w:lang w:val="en-GB"/>
              </w:rPr>
            </w:pPr>
          </w:p>
        </w:tc>
        <w:tc>
          <w:tcPr>
            <w:tcW w:w="1616" w:type="dxa"/>
            <w:tcBorders>
              <w:top w:val="single" w:sz="4" w:space="0" w:color="000000"/>
              <w:left w:val="nil"/>
              <w:bottom w:val="single" w:sz="12" w:space="0" w:color="000000"/>
              <w:right w:val="nil"/>
            </w:tcBorders>
            <w:vAlign w:val="bottom"/>
            <w:hideMark/>
          </w:tcPr>
          <w:p w14:paraId="00EEFAAE" w14:textId="77777777" w:rsidR="00992A45" w:rsidRPr="00BD7721" w:rsidRDefault="00992A45" w:rsidP="004E48D5">
            <w:pPr>
              <w:pStyle w:val="Normal-pool"/>
              <w:spacing w:before="40" w:after="40"/>
              <w:jc w:val="right"/>
              <w:rPr>
                <w:b/>
                <w:bCs/>
                <w:sz w:val="18"/>
                <w:szCs w:val="18"/>
                <w:lang w:val="en-GB"/>
              </w:rPr>
            </w:pPr>
            <w:r w:rsidRPr="00BD7721">
              <w:rPr>
                <w:b/>
                <w:bCs/>
                <w:sz w:val="18"/>
                <w:szCs w:val="18"/>
                <w:lang w:val="en-GB"/>
              </w:rPr>
              <w:t>1 820 800</w:t>
            </w:r>
          </w:p>
        </w:tc>
      </w:tr>
    </w:tbl>
    <w:p w14:paraId="4E8E2FA0" w14:textId="77777777" w:rsidR="005554A2" w:rsidRPr="00BD7721" w:rsidRDefault="005554A2" w:rsidP="005554A2">
      <w:pPr>
        <w:pStyle w:val="Normal-pool"/>
        <w:rPr>
          <w:lang w:val="en-GB"/>
        </w:rPr>
      </w:pPr>
    </w:p>
    <w:p w14:paraId="14B16683" w14:textId="5829D15A" w:rsidR="005554A2" w:rsidRPr="00BD7721" w:rsidRDefault="005554A2">
      <w:pPr>
        <w:tabs>
          <w:tab w:val="clear" w:pos="1247"/>
          <w:tab w:val="clear" w:pos="1814"/>
          <w:tab w:val="clear" w:pos="2381"/>
          <w:tab w:val="clear" w:pos="2948"/>
          <w:tab w:val="clear" w:pos="3515"/>
        </w:tabs>
      </w:pPr>
      <w:r w:rsidRPr="00BD7721">
        <w:br w:type="page"/>
      </w:r>
    </w:p>
    <w:p w14:paraId="768FD33B" w14:textId="254B2319" w:rsidR="00992A45" w:rsidRPr="00BD7721" w:rsidRDefault="00992A45" w:rsidP="005554A2">
      <w:pPr>
        <w:pStyle w:val="Titletable"/>
        <w:rPr>
          <w:lang w:val="en-GB"/>
        </w:rPr>
      </w:pPr>
      <w:r w:rsidRPr="00BD7721">
        <w:rPr>
          <w:b w:val="0"/>
          <w:bCs w:val="0"/>
          <w:lang w:val="en-GB"/>
        </w:rPr>
        <w:t xml:space="preserve">Table 4 </w:t>
      </w:r>
      <w:r w:rsidRPr="00BD7721">
        <w:rPr>
          <w:b w:val="0"/>
          <w:bCs w:val="0"/>
          <w:lang w:val="en-GB"/>
        </w:rPr>
        <w:br/>
      </w:r>
      <w:r w:rsidRPr="00BD7721">
        <w:rPr>
          <w:lang w:val="en-GB"/>
        </w:rPr>
        <w:t>Examples of activities catalysed by the Intergovernmental Science-Policy Platform on Biodiversity and Ecosystem Services in 2022 and 2023</w:t>
      </w:r>
    </w:p>
    <w:p w14:paraId="06A78529" w14:textId="77777777" w:rsidR="00992A45" w:rsidRPr="00BD7721" w:rsidRDefault="00992A45" w:rsidP="00430FB3">
      <w:pPr>
        <w:pStyle w:val="Titletable"/>
        <w:rPr>
          <w:b w:val="0"/>
          <w:bCs w:val="0"/>
          <w:sz w:val="18"/>
          <w:szCs w:val="18"/>
          <w:lang w:val="en-GB"/>
        </w:rPr>
      </w:pPr>
      <w:r w:rsidRPr="00BD7721">
        <w:rPr>
          <w:b w:val="0"/>
          <w:bCs w:val="0"/>
          <w:sz w:val="18"/>
          <w:szCs w:val="18"/>
          <w:lang w:val="en-GB"/>
        </w:rPr>
        <w:t>(Millions of United States dollars)</w:t>
      </w:r>
    </w:p>
    <w:tbl>
      <w:tblPr>
        <w:tblW w:w="5000" w:type="pct"/>
        <w:jc w:val="right"/>
        <w:tblBorders>
          <w:insideH w:val="nil"/>
          <w:insideV w:val="nil"/>
        </w:tblBorders>
        <w:tblLayout w:type="fixed"/>
        <w:tblLook w:val="0400" w:firstRow="0" w:lastRow="0" w:firstColumn="0" w:lastColumn="0" w:noHBand="0" w:noVBand="1"/>
      </w:tblPr>
      <w:tblGrid>
        <w:gridCol w:w="3289"/>
        <w:gridCol w:w="2504"/>
        <w:gridCol w:w="7122"/>
        <w:gridCol w:w="1514"/>
      </w:tblGrid>
      <w:tr w:rsidR="00992A45" w:rsidRPr="00BD7721" w14:paraId="1179C06C" w14:textId="77777777" w:rsidTr="00B7775A">
        <w:trPr>
          <w:trHeight w:val="57"/>
          <w:tblHeader/>
          <w:jc w:val="right"/>
        </w:trPr>
        <w:tc>
          <w:tcPr>
            <w:tcW w:w="3224" w:type="dxa"/>
            <w:tcBorders>
              <w:top w:val="single" w:sz="4" w:space="0" w:color="000000"/>
              <w:left w:val="nil"/>
              <w:bottom w:val="single" w:sz="12" w:space="0" w:color="auto"/>
              <w:right w:val="nil"/>
            </w:tcBorders>
            <w:hideMark/>
          </w:tcPr>
          <w:p w14:paraId="63AC30B6"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Funding Government/funding institution</w:t>
            </w:r>
          </w:p>
        </w:tc>
        <w:tc>
          <w:tcPr>
            <w:tcW w:w="2455" w:type="dxa"/>
            <w:tcBorders>
              <w:top w:val="single" w:sz="4" w:space="0" w:color="000000"/>
              <w:left w:val="nil"/>
              <w:bottom w:val="single" w:sz="12" w:space="0" w:color="auto"/>
              <w:right w:val="nil"/>
            </w:tcBorders>
            <w:hideMark/>
          </w:tcPr>
          <w:p w14:paraId="5FD5A682"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Project lead</w:t>
            </w:r>
          </w:p>
        </w:tc>
        <w:tc>
          <w:tcPr>
            <w:tcW w:w="6982" w:type="dxa"/>
            <w:tcBorders>
              <w:top w:val="single" w:sz="4" w:space="0" w:color="000000"/>
              <w:left w:val="nil"/>
              <w:bottom w:val="single" w:sz="12" w:space="0" w:color="auto"/>
              <w:right w:val="nil"/>
            </w:tcBorders>
            <w:hideMark/>
          </w:tcPr>
          <w:p w14:paraId="2261B4C0"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Activity</w:t>
            </w:r>
          </w:p>
        </w:tc>
        <w:tc>
          <w:tcPr>
            <w:tcW w:w="1484" w:type="dxa"/>
            <w:tcBorders>
              <w:top w:val="single" w:sz="4" w:space="0" w:color="000000"/>
              <w:left w:val="nil"/>
              <w:bottom w:val="single" w:sz="12" w:space="0" w:color="auto"/>
              <w:right w:val="nil"/>
            </w:tcBorders>
            <w:hideMark/>
          </w:tcPr>
          <w:p w14:paraId="195FF654"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 xml:space="preserve">Estimated value </w:t>
            </w:r>
          </w:p>
        </w:tc>
      </w:tr>
      <w:tr w:rsidR="00992A45" w:rsidRPr="00BD7721" w14:paraId="198CD1AA" w14:textId="77777777" w:rsidTr="00B7775A">
        <w:trPr>
          <w:trHeight w:val="57"/>
          <w:jc w:val="right"/>
        </w:trPr>
        <w:tc>
          <w:tcPr>
            <w:tcW w:w="14145" w:type="dxa"/>
            <w:gridSpan w:val="4"/>
            <w:tcBorders>
              <w:top w:val="single" w:sz="12" w:space="0" w:color="auto"/>
              <w:left w:val="nil"/>
              <w:bottom w:val="single" w:sz="4" w:space="0" w:color="auto"/>
              <w:right w:val="nil"/>
            </w:tcBorders>
            <w:hideMark/>
          </w:tcPr>
          <w:p w14:paraId="06D7A2CA" w14:textId="77777777" w:rsidR="00992A45" w:rsidRPr="00BD7721" w:rsidRDefault="00992A45" w:rsidP="004E48D5">
            <w:pPr>
              <w:pStyle w:val="Normal-pool"/>
              <w:spacing w:before="40" w:after="40"/>
              <w:rPr>
                <w:sz w:val="18"/>
                <w:szCs w:val="18"/>
                <w:lang w:val="en-GB"/>
              </w:rPr>
            </w:pPr>
            <w:r w:rsidRPr="00BD7721">
              <w:rPr>
                <w:b/>
                <w:sz w:val="18"/>
                <w:szCs w:val="18"/>
                <w:lang w:val="en-GB"/>
              </w:rPr>
              <w:t xml:space="preserve">Generation of new knowledge </w:t>
            </w:r>
          </w:p>
        </w:tc>
      </w:tr>
      <w:tr w:rsidR="00992A45" w:rsidRPr="00BD7721" w14:paraId="16B88C2D" w14:textId="77777777" w:rsidTr="00B7775A">
        <w:trPr>
          <w:trHeight w:val="57"/>
          <w:jc w:val="right"/>
        </w:trPr>
        <w:tc>
          <w:tcPr>
            <w:tcW w:w="3224" w:type="dxa"/>
            <w:vMerge w:val="restart"/>
            <w:tcBorders>
              <w:top w:val="single" w:sz="4" w:space="0" w:color="auto"/>
              <w:left w:val="nil"/>
              <w:bottom w:val="nil"/>
              <w:right w:val="nil"/>
            </w:tcBorders>
            <w:hideMark/>
          </w:tcPr>
          <w:p w14:paraId="4A5415AA" w14:textId="77777777" w:rsidR="00992A45" w:rsidRPr="00BD7721" w:rsidRDefault="00992A45" w:rsidP="004E48D5">
            <w:pPr>
              <w:pStyle w:val="Normal-pool"/>
              <w:spacing w:before="40" w:after="40"/>
              <w:rPr>
                <w:sz w:val="18"/>
                <w:szCs w:val="18"/>
                <w:lang w:val="en-GB"/>
              </w:rPr>
            </w:pPr>
            <w:r w:rsidRPr="00BD7721">
              <w:rPr>
                <w:sz w:val="18"/>
                <w:szCs w:val="18"/>
                <w:lang w:val="en-GB"/>
              </w:rPr>
              <w:t>European Union (Horizon Europe)</w:t>
            </w:r>
          </w:p>
        </w:tc>
        <w:tc>
          <w:tcPr>
            <w:tcW w:w="2455" w:type="dxa"/>
            <w:vMerge w:val="restart"/>
            <w:tcBorders>
              <w:top w:val="single" w:sz="4" w:space="0" w:color="auto"/>
              <w:left w:val="nil"/>
              <w:bottom w:val="nil"/>
              <w:right w:val="nil"/>
            </w:tcBorders>
            <w:hideMark/>
          </w:tcPr>
          <w:p w14:paraId="16CFE95C" w14:textId="77777777" w:rsidR="00992A45" w:rsidRPr="00BD7721" w:rsidRDefault="00992A45" w:rsidP="004E48D5">
            <w:pPr>
              <w:pStyle w:val="Normal-pool"/>
              <w:spacing w:before="40" w:after="40"/>
              <w:rPr>
                <w:sz w:val="18"/>
                <w:szCs w:val="18"/>
                <w:lang w:val="en-GB"/>
              </w:rPr>
            </w:pPr>
            <w:r w:rsidRPr="00BD7721">
              <w:rPr>
                <w:sz w:val="18"/>
                <w:szCs w:val="18"/>
                <w:lang w:val="en-GB"/>
              </w:rPr>
              <w:t>European Union</w:t>
            </w:r>
          </w:p>
        </w:tc>
        <w:tc>
          <w:tcPr>
            <w:tcW w:w="6982" w:type="dxa"/>
            <w:tcBorders>
              <w:top w:val="single" w:sz="4" w:space="0" w:color="auto"/>
              <w:left w:val="nil"/>
              <w:bottom w:val="nil"/>
              <w:right w:val="nil"/>
            </w:tcBorders>
            <w:hideMark/>
          </w:tcPr>
          <w:p w14:paraId="413836A7" w14:textId="77777777" w:rsidR="00992A45" w:rsidRPr="00BD7721" w:rsidRDefault="00992A45" w:rsidP="004E48D5">
            <w:pPr>
              <w:pStyle w:val="Normal-pool"/>
              <w:spacing w:before="40" w:after="40"/>
              <w:rPr>
                <w:sz w:val="18"/>
                <w:szCs w:val="18"/>
                <w:lang w:val="en-GB"/>
              </w:rPr>
            </w:pPr>
            <w:r w:rsidRPr="00BD7721">
              <w:rPr>
                <w:sz w:val="18"/>
                <w:szCs w:val="18"/>
                <w:lang w:val="en-GB"/>
              </w:rPr>
              <w:t>Call for one proposal to reinforce science policy support and capacity-building with IPBES and IPCC for better interconnected biodiversity and climate policies (based on the IPBES-IPCC Co-Sponsored Workshop Report on Biodiversity and Climate Change)</w:t>
            </w:r>
          </w:p>
        </w:tc>
        <w:tc>
          <w:tcPr>
            <w:tcW w:w="1484" w:type="dxa"/>
            <w:tcBorders>
              <w:top w:val="single" w:sz="4" w:space="0" w:color="auto"/>
              <w:left w:val="nil"/>
              <w:bottom w:val="nil"/>
              <w:right w:val="nil"/>
            </w:tcBorders>
            <w:vAlign w:val="bottom"/>
            <w:hideMark/>
          </w:tcPr>
          <w:p w14:paraId="2495826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4.3</w:t>
            </w:r>
          </w:p>
        </w:tc>
      </w:tr>
      <w:tr w:rsidR="00992A45" w:rsidRPr="00BD7721" w14:paraId="06F70AFA" w14:textId="77777777" w:rsidTr="00B7775A">
        <w:trPr>
          <w:trHeight w:val="57"/>
          <w:jc w:val="right"/>
        </w:trPr>
        <w:tc>
          <w:tcPr>
            <w:tcW w:w="14145" w:type="dxa"/>
            <w:vMerge/>
            <w:tcBorders>
              <w:top w:val="single" w:sz="4" w:space="0" w:color="auto"/>
              <w:left w:val="nil"/>
              <w:bottom w:val="nil"/>
              <w:right w:val="nil"/>
            </w:tcBorders>
            <w:vAlign w:val="center"/>
            <w:hideMark/>
          </w:tcPr>
          <w:p w14:paraId="40E65D42" w14:textId="77777777" w:rsidR="00992A45" w:rsidRPr="00BD7721" w:rsidRDefault="00992A45" w:rsidP="004E48D5">
            <w:pPr>
              <w:rPr>
                <w:sz w:val="18"/>
                <w:szCs w:val="18"/>
              </w:rPr>
            </w:pPr>
          </w:p>
        </w:tc>
        <w:tc>
          <w:tcPr>
            <w:tcW w:w="2455" w:type="dxa"/>
            <w:vMerge/>
            <w:tcBorders>
              <w:top w:val="single" w:sz="4" w:space="0" w:color="auto"/>
              <w:left w:val="nil"/>
              <w:bottom w:val="nil"/>
              <w:right w:val="nil"/>
            </w:tcBorders>
            <w:vAlign w:val="center"/>
            <w:hideMark/>
          </w:tcPr>
          <w:p w14:paraId="60948EAE" w14:textId="77777777" w:rsidR="00992A45" w:rsidRPr="00BD7721" w:rsidRDefault="00992A45" w:rsidP="004E48D5">
            <w:pPr>
              <w:rPr>
                <w:sz w:val="18"/>
                <w:szCs w:val="18"/>
              </w:rPr>
            </w:pPr>
          </w:p>
        </w:tc>
        <w:tc>
          <w:tcPr>
            <w:tcW w:w="6982" w:type="dxa"/>
            <w:tcBorders>
              <w:top w:val="nil"/>
              <w:left w:val="nil"/>
              <w:bottom w:val="nil"/>
              <w:right w:val="nil"/>
            </w:tcBorders>
            <w:hideMark/>
          </w:tcPr>
          <w:p w14:paraId="3E32A405" w14:textId="77777777" w:rsidR="00992A45" w:rsidRPr="00BD7721" w:rsidRDefault="00992A45" w:rsidP="004E48D5">
            <w:pPr>
              <w:pStyle w:val="Normal-pool"/>
              <w:spacing w:before="40" w:after="40"/>
              <w:rPr>
                <w:sz w:val="18"/>
                <w:szCs w:val="18"/>
                <w:lang w:val="en-GB"/>
              </w:rPr>
            </w:pPr>
            <w:r w:rsidRPr="00BD7721">
              <w:rPr>
                <w:sz w:val="18"/>
                <w:szCs w:val="18"/>
                <w:lang w:val="en-GB"/>
              </w:rPr>
              <w:t>Call for proposals to assess interlinkages between biodiversity loss and degradation of ecosystems and the emergence of zoonotic diseases (based on the IPBES Workshop Report on Biodiversity and Pandemics, and of relevance to the IPBES nexus assessment)</w:t>
            </w:r>
          </w:p>
        </w:tc>
        <w:tc>
          <w:tcPr>
            <w:tcW w:w="1484" w:type="dxa"/>
            <w:tcBorders>
              <w:top w:val="nil"/>
              <w:left w:val="nil"/>
              <w:bottom w:val="nil"/>
              <w:right w:val="nil"/>
            </w:tcBorders>
            <w:vAlign w:val="bottom"/>
            <w:hideMark/>
          </w:tcPr>
          <w:p w14:paraId="37CB227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12.8</w:t>
            </w:r>
          </w:p>
        </w:tc>
      </w:tr>
      <w:tr w:rsidR="00992A45" w:rsidRPr="00BD7721" w14:paraId="28F726A4" w14:textId="77777777" w:rsidTr="00B7775A">
        <w:trPr>
          <w:trHeight w:val="57"/>
          <w:jc w:val="right"/>
        </w:trPr>
        <w:tc>
          <w:tcPr>
            <w:tcW w:w="14145" w:type="dxa"/>
            <w:vMerge/>
            <w:tcBorders>
              <w:top w:val="single" w:sz="4" w:space="0" w:color="auto"/>
              <w:left w:val="nil"/>
              <w:bottom w:val="nil"/>
              <w:right w:val="nil"/>
            </w:tcBorders>
            <w:vAlign w:val="center"/>
            <w:hideMark/>
          </w:tcPr>
          <w:p w14:paraId="4E6CCC12" w14:textId="77777777" w:rsidR="00992A45" w:rsidRPr="00BD7721" w:rsidRDefault="00992A45" w:rsidP="004E48D5">
            <w:pPr>
              <w:rPr>
                <w:sz w:val="18"/>
                <w:szCs w:val="18"/>
              </w:rPr>
            </w:pPr>
          </w:p>
        </w:tc>
        <w:tc>
          <w:tcPr>
            <w:tcW w:w="2455" w:type="dxa"/>
            <w:vMerge/>
            <w:tcBorders>
              <w:top w:val="single" w:sz="4" w:space="0" w:color="auto"/>
              <w:left w:val="nil"/>
              <w:bottom w:val="nil"/>
              <w:right w:val="nil"/>
            </w:tcBorders>
            <w:vAlign w:val="center"/>
            <w:hideMark/>
          </w:tcPr>
          <w:p w14:paraId="3EDDB1AB" w14:textId="77777777" w:rsidR="00992A45" w:rsidRPr="00BD7721" w:rsidRDefault="00992A45" w:rsidP="004E48D5">
            <w:pPr>
              <w:rPr>
                <w:sz w:val="18"/>
                <w:szCs w:val="18"/>
              </w:rPr>
            </w:pPr>
          </w:p>
        </w:tc>
        <w:tc>
          <w:tcPr>
            <w:tcW w:w="6982" w:type="dxa"/>
            <w:tcBorders>
              <w:top w:val="nil"/>
              <w:left w:val="nil"/>
              <w:bottom w:val="nil"/>
              <w:right w:val="nil"/>
            </w:tcBorders>
            <w:hideMark/>
          </w:tcPr>
          <w:p w14:paraId="59F5D2DF" w14:textId="77777777" w:rsidR="00992A45" w:rsidRPr="00BD7721" w:rsidRDefault="00992A45" w:rsidP="004E48D5">
            <w:pPr>
              <w:pStyle w:val="Normal-pool"/>
              <w:spacing w:before="40" w:after="40"/>
              <w:rPr>
                <w:sz w:val="18"/>
                <w:szCs w:val="18"/>
                <w:lang w:val="en-GB"/>
              </w:rPr>
            </w:pPr>
            <w:r w:rsidRPr="00BD7721">
              <w:rPr>
                <w:sz w:val="18"/>
                <w:szCs w:val="18"/>
                <w:lang w:val="en-GB"/>
              </w:rPr>
              <w:t>Call for proposals to close research gaps on Essential Ocean Variables in support of global assessments</w:t>
            </w:r>
          </w:p>
        </w:tc>
        <w:tc>
          <w:tcPr>
            <w:tcW w:w="1484" w:type="dxa"/>
            <w:tcBorders>
              <w:top w:val="nil"/>
              <w:left w:val="nil"/>
              <w:bottom w:val="nil"/>
              <w:right w:val="nil"/>
            </w:tcBorders>
            <w:vAlign w:val="bottom"/>
            <w:hideMark/>
          </w:tcPr>
          <w:p w14:paraId="46A7A87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18.0</w:t>
            </w:r>
          </w:p>
        </w:tc>
      </w:tr>
      <w:tr w:rsidR="00992A45" w:rsidRPr="00BD7721" w14:paraId="133EB03C" w14:textId="77777777" w:rsidTr="00B7775A">
        <w:trPr>
          <w:trHeight w:val="57"/>
          <w:jc w:val="right"/>
        </w:trPr>
        <w:tc>
          <w:tcPr>
            <w:tcW w:w="3224" w:type="dxa"/>
            <w:tcBorders>
              <w:top w:val="nil"/>
              <w:left w:val="nil"/>
              <w:bottom w:val="nil"/>
              <w:right w:val="nil"/>
            </w:tcBorders>
            <w:hideMark/>
          </w:tcPr>
          <w:p w14:paraId="2C921EA5" w14:textId="77777777" w:rsidR="00992A45" w:rsidRPr="00BD7721" w:rsidRDefault="00992A45" w:rsidP="004E48D5">
            <w:pPr>
              <w:pStyle w:val="Normal-pool"/>
              <w:spacing w:before="40" w:after="40"/>
              <w:rPr>
                <w:sz w:val="18"/>
                <w:szCs w:val="18"/>
                <w:lang w:val="en-GB"/>
              </w:rPr>
            </w:pPr>
            <w:proofErr w:type="spellStart"/>
            <w:r w:rsidRPr="00BD7721">
              <w:rPr>
                <w:sz w:val="18"/>
                <w:szCs w:val="18"/>
                <w:lang w:val="en-GB"/>
              </w:rPr>
              <w:t>Biodiversa</w:t>
            </w:r>
            <w:proofErr w:type="spellEnd"/>
            <w:r w:rsidRPr="00BD7721">
              <w:rPr>
                <w:sz w:val="18"/>
                <w:szCs w:val="18"/>
                <w:lang w:val="en-GB"/>
              </w:rPr>
              <w:t xml:space="preserve">+ with the European Commission </w:t>
            </w:r>
          </w:p>
        </w:tc>
        <w:tc>
          <w:tcPr>
            <w:tcW w:w="2455" w:type="dxa"/>
            <w:tcBorders>
              <w:top w:val="nil"/>
              <w:left w:val="nil"/>
              <w:bottom w:val="nil"/>
              <w:right w:val="nil"/>
            </w:tcBorders>
            <w:hideMark/>
          </w:tcPr>
          <w:p w14:paraId="7CAE7B33" w14:textId="77777777" w:rsidR="00992A45" w:rsidRPr="00BD7721" w:rsidRDefault="00992A45" w:rsidP="004E48D5">
            <w:pPr>
              <w:pStyle w:val="Normal-pool"/>
              <w:spacing w:before="40" w:after="40"/>
              <w:rPr>
                <w:sz w:val="18"/>
                <w:szCs w:val="18"/>
                <w:lang w:val="en-GB"/>
              </w:rPr>
            </w:pPr>
            <w:proofErr w:type="spellStart"/>
            <w:r w:rsidRPr="00BD7721">
              <w:rPr>
                <w:sz w:val="18"/>
                <w:szCs w:val="18"/>
                <w:lang w:val="en-GB"/>
              </w:rPr>
              <w:t>Biodiversa</w:t>
            </w:r>
            <w:proofErr w:type="spellEnd"/>
            <w:r w:rsidRPr="00BD7721">
              <w:rPr>
                <w:sz w:val="18"/>
                <w:szCs w:val="18"/>
                <w:lang w:val="en-GB"/>
              </w:rPr>
              <w:t>+</w:t>
            </w:r>
          </w:p>
        </w:tc>
        <w:tc>
          <w:tcPr>
            <w:tcW w:w="6982" w:type="dxa"/>
            <w:tcBorders>
              <w:top w:val="nil"/>
              <w:left w:val="nil"/>
              <w:bottom w:val="nil"/>
              <w:right w:val="nil"/>
            </w:tcBorders>
            <w:hideMark/>
          </w:tcPr>
          <w:p w14:paraId="4CB95CDF" w14:textId="77777777" w:rsidR="00992A45" w:rsidRPr="00BD7721" w:rsidRDefault="00992A45" w:rsidP="004E48D5">
            <w:pPr>
              <w:pStyle w:val="Normal-pool"/>
              <w:spacing w:before="40" w:after="40"/>
              <w:rPr>
                <w:sz w:val="18"/>
                <w:szCs w:val="18"/>
                <w:lang w:val="en-GB"/>
              </w:rPr>
            </w:pPr>
            <w:r w:rsidRPr="00BD7721">
              <w:rPr>
                <w:sz w:val="18"/>
                <w:szCs w:val="18"/>
                <w:lang w:val="en-GB"/>
              </w:rPr>
              <w:t xml:space="preserve">2022 joint call for research proposals on “Improved transnational monitoring of biodiversity and ecosystem change for science and society”, addressing gaps identified in the IPBES Regional Assessment of Biodiversity and Ecosystem Services for Europe and Central Asia, the IPBES Global Assessment of Biodiversity and Ecosystem Services, the IPBES Workshop Report on Biodiversity and Pandemics and the IPBES-IPCC Co-Sponsored Workshop Report on Biodiversity and Climate Change </w:t>
            </w:r>
          </w:p>
        </w:tc>
        <w:tc>
          <w:tcPr>
            <w:tcW w:w="1484" w:type="dxa"/>
            <w:tcBorders>
              <w:top w:val="nil"/>
              <w:left w:val="nil"/>
              <w:bottom w:val="nil"/>
              <w:right w:val="nil"/>
            </w:tcBorders>
            <w:vAlign w:val="bottom"/>
            <w:hideMark/>
          </w:tcPr>
          <w:p w14:paraId="7E2CAEE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40.0</w:t>
            </w:r>
          </w:p>
        </w:tc>
      </w:tr>
      <w:tr w:rsidR="00992A45" w:rsidRPr="00BD7721" w14:paraId="6707E984" w14:textId="77777777" w:rsidTr="00B7775A">
        <w:trPr>
          <w:trHeight w:val="57"/>
          <w:jc w:val="right"/>
        </w:trPr>
        <w:tc>
          <w:tcPr>
            <w:tcW w:w="3224" w:type="dxa"/>
            <w:tcBorders>
              <w:top w:val="nil"/>
              <w:left w:val="nil"/>
              <w:bottom w:val="nil"/>
              <w:right w:val="nil"/>
            </w:tcBorders>
            <w:hideMark/>
          </w:tcPr>
          <w:p w14:paraId="66FB98E1" w14:textId="77777777" w:rsidR="00992A45" w:rsidRPr="00BD7721" w:rsidRDefault="00992A45" w:rsidP="004E48D5">
            <w:pPr>
              <w:pStyle w:val="Normal-pool"/>
              <w:spacing w:before="40" w:after="40"/>
              <w:rPr>
                <w:sz w:val="18"/>
                <w:szCs w:val="18"/>
                <w:lang w:val="en-GB"/>
              </w:rPr>
            </w:pPr>
            <w:r w:rsidRPr="00BD7721">
              <w:rPr>
                <w:sz w:val="18"/>
                <w:szCs w:val="18"/>
                <w:lang w:val="en-GB"/>
              </w:rPr>
              <w:t>Inter-American Institute for Global Change Research</w:t>
            </w:r>
          </w:p>
        </w:tc>
        <w:tc>
          <w:tcPr>
            <w:tcW w:w="2455" w:type="dxa"/>
            <w:tcBorders>
              <w:top w:val="nil"/>
              <w:left w:val="nil"/>
              <w:bottom w:val="nil"/>
              <w:right w:val="nil"/>
            </w:tcBorders>
            <w:hideMark/>
          </w:tcPr>
          <w:p w14:paraId="5D24DA96" w14:textId="77777777" w:rsidR="00992A45" w:rsidRPr="00BD7721" w:rsidRDefault="00992A45" w:rsidP="004E48D5">
            <w:pPr>
              <w:pStyle w:val="Normal-pool"/>
              <w:spacing w:before="40" w:after="40"/>
              <w:rPr>
                <w:sz w:val="18"/>
                <w:szCs w:val="18"/>
                <w:lang w:val="en-GB"/>
              </w:rPr>
            </w:pPr>
            <w:r w:rsidRPr="00BD7721">
              <w:rPr>
                <w:sz w:val="18"/>
                <w:szCs w:val="18"/>
                <w:lang w:val="en-GB"/>
              </w:rPr>
              <w:t>Inter-American Institute for Global Change Research</w:t>
            </w:r>
          </w:p>
        </w:tc>
        <w:tc>
          <w:tcPr>
            <w:tcW w:w="6982" w:type="dxa"/>
            <w:tcBorders>
              <w:top w:val="nil"/>
              <w:left w:val="nil"/>
              <w:bottom w:val="nil"/>
              <w:right w:val="nil"/>
            </w:tcBorders>
            <w:hideMark/>
          </w:tcPr>
          <w:p w14:paraId="69E28714" w14:textId="77777777" w:rsidR="00992A45" w:rsidRPr="00BD7721" w:rsidRDefault="00992A45" w:rsidP="004E48D5">
            <w:pPr>
              <w:pStyle w:val="Normal-pool"/>
              <w:spacing w:before="40" w:after="40"/>
              <w:rPr>
                <w:sz w:val="18"/>
                <w:szCs w:val="18"/>
                <w:lang w:val="en-GB"/>
              </w:rPr>
            </w:pPr>
            <w:r w:rsidRPr="00BD7721">
              <w:rPr>
                <w:sz w:val="18"/>
                <w:szCs w:val="18"/>
                <w:lang w:val="en-GB"/>
              </w:rPr>
              <w:t>2019‒2022 Small Grants Programme: The role of ecosystem services in adaptation to global change for human wellbeing (addressing gaps in the IPBES Global Assessment of Biodiversity and Ecosystem Services and the IPBES Regional Assessment of Biodiversity and Ecosystem Services for the Americas)</w:t>
            </w:r>
          </w:p>
        </w:tc>
        <w:tc>
          <w:tcPr>
            <w:tcW w:w="1484" w:type="dxa"/>
            <w:tcBorders>
              <w:top w:val="nil"/>
              <w:left w:val="nil"/>
              <w:bottom w:val="nil"/>
              <w:right w:val="nil"/>
            </w:tcBorders>
            <w:vAlign w:val="bottom"/>
            <w:hideMark/>
          </w:tcPr>
          <w:p w14:paraId="3264FB42"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1.2</w:t>
            </w:r>
          </w:p>
        </w:tc>
      </w:tr>
      <w:tr w:rsidR="00992A45" w:rsidRPr="00BD7721" w14:paraId="27162EB0" w14:textId="77777777" w:rsidTr="00B7775A">
        <w:trPr>
          <w:trHeight w:val="57"/>
          <w:jc w:val="right"/>
        </w:trPr>
        <w:tc>
          <w:tcPr>
            <w:tcW w:w="3224" w:type="dxa"/>
            <w:tcBorders>
              <w:top w:val="nil"/>
              <w:left w:val="nil"/>
              <w:bottom w:val="nil"/>
              <w:right w:val="nil"/>
            </w:tcBorders>
            <w:hideMark/>
          </w:tcPr>
          <w:p w14:paraId="3596654A" w14:textId="77777777" w:rsidR="00992A45" w:rsidRPr="00BD7721" w:rsidRDefault="00992A45" w:rsidP="004E48D5">
            <w:pPr>
              <w:pStyle w:val="Normal-pool"/>
              <w:spacing w:before="40" w:after="40"/>
              <w:rPr>
                <w:sz w:val="18"/>
                <w:szCs w:val="18"/>
                <w:lang w:val="en-GB"/>
              </w:rPr>
            </w:pPr>
            <w:r w:rsidRPr="00BD7721">
              <w:rPr>
                <w:sz w:val="18"/>
                <w:szCs w:val="18"/>
                <w:lang w:val="en-GB"/>
              </w:rPr>
              <w:t>Belmont Forum</w:t>
            </w:r>
          </w:p>
        </w:tc>
        <w:tc>
          <w:tcPr>
            <w:tcW w:w="2455" w:type="dxa"/>
            <w:tcBorders>
              <w:top w:val="nil"/>
              <w:left w:val="nil"/>
              <w:bottom w:val="nil"/>
              <w:right w:val="nil"/>
            </w:tcBorders>
            <w:hideMark/>
          </w:tcPr>
          <w:p w14:paraId="65B896C8" w14:textId="77777777" w:rsidR="00992A45" w:rsidRPr="00BD7721" w:rsidRDefault="00992A45" w:rsidP="004E48D5">
            <w:pPr>
              <w:pStyle w:val="Normal-pool"/>
              <w:spacing w:before="40" w:after="40"/>
              <w:rPr>
                <w:sz w:val="18"/>
                <w:szCs w:val="18"/>
                <w:lang w:val="en-GB"/>
              </w:rPr>
            </w:pPr>
            <w:r w:rsidRPr="00BD7721">
              <w:rPr>
                <w:sz w:val="18"/>
                <w:szCs w:val="18"/>
                <w:lang w:val="en-GB"/>
              </w:rPr>
              <w:t>Belmont Forum</w:t>
            </w:r>
          </w:p>
        </w:tc>
        <w:tc>
          <w:tcPr>
            <w:tcW w:w="6982" w:type="dxa"/>
            <w:tcBorders>
              <w:top w:val="nil"/>
              <w:left w:val="nil"/>
              <w:bottom w:val="nil"/>
              <w:right w:val="nil"/>
            </w:tcBorders>
            <w:hideMark/>
          </w:tcPr>
          <w:p w14:paraId="757D5AC2" w14:textId="77777777" w:rsidR="00992A45" w:rsidRPr="00BD7721" w:rsidRDefault="00992A45" w:rsidP="004E48D5">
            <w:pPr>
              <w:pStyle w:val="Normal-pool"/>
              <w:spacing w:before="40" w:after="40"/>
              <w:rPr>
                <w:sz w:val="18"/>
                <w:szCs w:val="18"/>
                <w:lang w:val="en-GB"/>
              </w:rPr>
            </w:pPr>
            <w:r w:rsidRPr="00BD7721">
              <w:rPr>
                <w:sz w:val="18"/>
                <w:szCs w:val="18"/>
                <w:lang w:val="en-GB"/>
              </w:rPr>
              <w:t>2022 Collaborative Research Action on Climate, Environment, and Health II (addressing gaps in the IPBES Global Assessment of Biodiversity and Ecosystem Services and the IPBES Workshop Report on Biodiversity and Pandemics, and of relevance to the IPBES nexus assessment)</w:t>
            </w:r>
          </w:p>
        </w:tc>
        <w:tc>
          <w:tcPr>
            <w:tcW w:w="1484" w:type="dxa"/>
            <w:tcBorders>
              <w:top w:val="nil"/>
              <w:left w:val="nil"/>
              <w:bottom w:val="nil"/>
              <w:right w:val="nil"/>
            </w:tcBorders>
            <w:vAlign w:val="bottom"/>
            <w:hideMark/>
          </w:tcPr>
          <w:p w14:paraId="650FB81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13.8</w:t>
            </w:r>
          </w:p>
        </w:tc>
      </w:tr>
      <w:tr w:rsidR="00992A45" w:rsidRPr="00BD7721" w14:paraId="3358C632" w14:textId="77777777" w:rsidTr="00B7775A">
        <w:trPr>
          <w:trHeight w:val="57"/>
          <w:jc w:val="right"/>
        </w:trPr>
        <w:tc>
          <w:tcPr>
            <w:tcW w:w="3224" w:type="dxa"/>
            <w:tcBorders>
              <w:top w:val="nil"/>
              <w:left w:val="nil"/>
              <w:bottom w:val="nil"/>
              <w:right w:val="nil"/>
            </w:tcBorders>
            <w:hideMark/>
          </w:tcPr>
          <w:p w14:paraId="1909D1BC" w14:textId="77777777" w:rsidR="00992A45" w:rsidRPr="00BD7721" w:rsidRDefault="00992A45" w:rsidP="004E48D5">
            <w:pPr>
              <w:pStyle w:val="Normal-pool"/>
              <w:spacing w:before="40" w:after="40"/>
              <w:rPr>
                <w:sz w:val="18"/>
                <w:szCs w:val="18"/>
                <w:lang w:val="en-GB"/>
              </w:rPr>
            </w:pPr>
            <w:r w:rsidRPr="00BD7721">
              <w:rPr>
                <w:sz w:val="18"/>
                <w:szCs w:val="18"/>
                <w:lang w:val="en-GB"/>
              </w:rPr>
              <w:t>Belmont Forum</w:t>
            </w:r>
          </w:p>
        </w:tc>
        <w:tc>
          <w:tcPr>
            <w:tcW w:w="2455" w:type="dxa"/>
            <w:tcBorders>
              <w:top w:val="nil"/>
              <w:left w:val="nil"/>
              <w:bottom w:val="nil"/>
              <w:right w:val="nil"/>
            </w:tcBorders>
            <w:hideMark/>
          </w:tcPr>
          <w:p w14:paraId="28BFCAD4" w14:textId="77777777" w:rsidR="00992A45" w:rsidRPr="00BD7721" w:rsidRDefault="00992A45" w:rsidP="004E48D5">
            <w:pPr>
              <w:pStyle w:val="Normal-pool"/>
              <w:spacing w:before="40" w:after="40"/>
              <w:rPr>
                <w:sz w:val="18"/>
                <w:szCs w:val="18"/>
                <w:lang w:val="en-GB"/>
              </w:rPr>
            </w:pPr>
            <w:r w:rsidRPr="00BD7721">
              <w:rPr>
                <w:sz w:val="18"/>
                <w:szCs w:val="18"/>
                <w:lang w:val="en-GB"/>
              </w:rPr>
              <w:t>Belmont Forum</w:t>
            </w:r>
          </w:p>
        </w:tc>
        <w:tc>
          <w:tcPr>
            <w:tcW w:w="6982" w:type="dxa"/>
            <w:tcBorders>
              <w:top w:val="nil"/>
              <w:left w:val="nil"/>
              <w:bottom w:val="nil"/>
              <w:right w:val="nil"/>
            </w:tcBorders>
            <w:hideMark/>
          </w:tcPr>
          <w:p w14:paraId="60D4DCF6" w14:textId="77777777" w:rsidR="00992A45" w:rsidRPr="00BD7721" w:rsidRDefault="00992A45" w:rsidP="004E48D5">
            <w:pPr>
              <w:pStyle w:val="Normal-pool"/>
              <w:spacing w:before="40" w:after="40"/>
              <w:rPr>
                <w:sz w:val="18"/>
                <w:szCs w:val="18"/>
                <w:lang w:val="en-GB"/>
              </w:rPr>
            </w:pPr>
            <w:r w:rsidRPr="00BD7721">
              <w:rPr>
                <w:sz w:val="18"/>
                <w:szCs w:val="18"/>
                <w:lang w:val="en-GB"/>
              </w:rPr>
              <w:t>2022 Collaborative Research Action on Systems of Sustainable Consumption and Production (addressing gaps in the IPBES Global Assessment of Biodiversity and Ecosystem Services and the IPBES Thematic Assessment of Diverse Values and Valuation of Nature)</w:t>
            </w:r>
          </w:p>
        </w:tc>
        <w:tc>
          <w:tcPr>
            <w:tcW w:w="1484" w:type="dxa"/>
            <w:tcBorders>
              <w:top w:val="nil"/>
              <w:left w:val="nil"/>
              <w:bottom w:val="nil"/>
              <w:right w:val="nil"/>
            </w:tcBorders>
            <w:vAlign w:val="bottom"/>
            <w:hideMark/>
          </w:tcPr>
          <w:p w14:paraId="612DC12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9.7</w:t>
            </w:r>
          </w:p>
        </w:tc>
      </w:tr>
      <w:tr w:rsidR="00992A45" w:rsidRPr="00BD7721" w14:paraId="14D84635" w14:textId="77777777" w:rsidTr="00B7775A">
        <w:trPr>
          <w:trHeight w:val="57"/>
          <w:jc w:val="right"/>
        </w:trPr>
        <w:tc>
          <w:tcPr>
            <w:tcW w:w="3224" w:type="dxa"/>
            <w:tcBorders>
              <w:top w:val="nil"/>
              <w:left w:val="nil"/>
              <w:bottom w:val="single" w:sz="4" w:space="0" w:color="auto"/>
              <w:right w:val="nil"/>
            </w:tcBorders>
            <w:hideMark/>
          </w:tcPr>
          <w:p w14:paraId="6FB846C0" w14:textId="77777777" w:rsidR="00992A45" w:rsidRPr="00BD7721" w:rsidRDefault="00992A45" w:rsidP="004E48D5">
            <w:pPr>
              <w:pStyle w:val="Normal-pool"/>
              <w:spacing w:before="40" w:after="40"/>
              <w:rPr>
                <w:sz w:val="18"/>
                <w:szCs w:val="18"/>
                <w:lang w:val="en-GB"/>
              </w:rPr>
            </w:pPr>
            <w:r w:rsidRPr="00BD7721">
              <w:rPr>
                <w:sz w:val="18"/>
                <w:szCs w:val="18"/>
                <w:lang w:val="en-GB"/>
              </w:rPr>
              <w:t>Belmont Forum</w:t>
            </w:r>
          </w:p>
        </w:tc>
        <w:tc>
          <w:tcPr>
            <w:tcW w:w="2455" w:type="dxa"/>
            <w:tcBorders>
              <w:top w:val="nil"/>
              <w:left w:val="nil"/>
              <w:bottom w:val="single" w:sz="4" w:space="0" w:color="auto"/>
              <w:right w:val="nil"/>
            </w:tcBorders>
            <w:hideMark/>
          </w:tcPr>
          <w:p w14:paraId="0B7F24BF" w14:textId="77777777" w:rsidR="00992A45" w:rsidRPr="00BD7721" w:rsidRDefault="00992A45" w:rsidP="004E48D5">
            <w:pPr>
              <w:pStyle w:val="Normal-pool"/>
              <w:spacing w:before="40" w:after="40"/>
              <w:rPr>
                <w:sz w:val="18"/>
                <w:szCs w:val="18"/>
                <w:lang w:val="en-GB"/>
              </w:rPr>
            </w:pPr>
            <w:r w:rsidRPr="00BD7721">
              <w:rPr>
                <w:sz w:val="18"/>
                <w:szCs w:val="18"/>
                <w:lang w:val="en-GB"/>
              </w:rPr>
              <w:t>Belmont Forum</w:t>
            </w:r>
          </w:p>
        </w:tc>
        <w:tc>
          <w:tcPr>
            <w:tcW w:w="6982" w:type="dxa"/>
            <w:tcBorders>
              <w:top w:val="nil"/>
              <w:left w:val="nil"/>
              <w:bottom w:val="single" w:sz="4" w:space="0" w:color="auto"/>
              <w:right w:val="nil"/>
            </w:tcBorders>
            <w:hideMark/>
          </w:tcPr>
          <w:p w14:paraId="27B16391" w14:textId="77777777" w:rsidR="00992A45" w:rsidRPr="00BD7721" w:rsidRDefault="00992A45" w:rsidP="004E48D5">
            <w:pPr>
              <w:pStyle w:val="Normal-pool"/>
              <w:spacing w:before="40" w:after="40"/>
              <w:rPr>
                <w:sz w:val="18"/>
                <w:szCs w:val="18"/>
                <w:lang w:val="en-GB"/>
              </w:rPr>
            </w:pPr>
            <w:r w:rsidRPr="00BD7721">
              <w:rPr>
                <w:sz w:val="18"/>
                <w:szCs w:val="18"/>
                <w:lang w:val="en-GB"/>
              </w:rPr>
              <w:t>2022 Collaborative Research Action on Integrated Approaches to Human Migration/Mobility in an Era of Rapid Global Change (addressing gaps in the IPBES Global Assessment of Biodiversity and Ecosystem Services)</w:t>
            </w:r>
          </w:p>
        </w:tc>
        <w:tc>
          <w:tcPr>
            <w:tcW w:w="1484" w:type="dxa"/>
            <w:tcBorders>
              <w:top w:val="nil"/>
              <w:left w:val="nil"/>
              <w:bottom w:val="single" w:sz="4" w:space="0" w:color="auto"/>
              <w:right w:val="nil"/>
            </w:tcBorders>
            <w:vAlign w:val="bottom"/>
            <w:hideMark/>
          </w:tcPr>
          <w:p w14:paraId="5B4583A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8.8</w:t>
            </w:r>
          </w:p>
        </w:tc>
      </w:tr>
      <w:tr w:rsidR="00992A45" w:rsidRPr="00BD7721" w14:paraId="47072FE3" w14:textId="77777777" w:rsidTr="004E48D5">
        <w:trPr>
          <w:trHeight w:val="57"/>
          <w:jc w:val="right"/>
        </w:trPr>
        <w:tc>
          <w:tcPr>
            <w:tcW w:w="14145" w:type="dxa"/>
            <w:gridSpan w:val="4"/>
            <w:tcBorders>
              <w:top w:val="single" w:sz="4" w:space="0" w:color="auto"/>
              <w:left w:val="nil"/>
              <w:bottom w:val="single" w:sz="4" w:space="0" w:color="auto"/>
              <w:right w:val="nil"/>
            </w:tcBorders>
            <w:hideMark/>
          </w:tcPr>
          <w:p w14:paraId="480A1CFF" w14:textId="77777777" w:rsidR="00992A45" w:rsidRPr="00BD7721" w:rsidRDefault="00992A45" w:rsidP="004E48D5">
            <w:pPr>
              <w:pStyle w:val="Normal-pool"/>
              <w:spacing w:before="40" w:after="40"/>
              <w:rPr>
                <w:b/>
                <w:sz w:val="18"/>
                <w:szCs w:val="18"/>
                <w:lang w:val="en-GB"/>
              </w:rPr>
            </w:pPr>
            <w:r w:rsidRPr="00BD7721">
              <w:rPr>
                <w:b/>
                <w:sz w:val="18"/>
                <w:szCs w:val="18"/>
                <w:lang w:val="en-GB"/>
              </w:rPr>
              <w:t>Capacity-building</w:t>
            </w:r>
          </w:p>
        </w:tc>
      </w:tr>
      <w:tr w:rsidR="00992A45" w:rsidRPr="00BD7721" w14:paraId="6F8F0B8E" w14:textId="77777777" w:rsidTr="00B7775A">
        <w:trPr>
          <w:trHeight w:val="57"/>
          <w:jc w:val="right"/>
        </w:trPr>
        <w:tc>
          <w:tcPr>
            <w:tcW w:w="3224" w:type="dxa"/>
            <w:vMerge w:val="restart"/>
            <w:tcBorders>
              <w:top w:val="single" w:sz="4" w:space="0" w:color="auto"/>
              <w:left w:val="nil"/>
              <w:bottom w:val="nil"/>
              <w:right w:val="nil"/>
            </w:tcBorders>
            <w:hideMark/>
          </w:tcPr>
          <w:p w14:paraId="79C4FBB7" w14:textId="77777777" w:rsidR="00992A45" w:rsidRPr="00BD7721" w:rsidRDefault="00992A45" w:rsidP="004E48D5">
            <w:pPr>
              <w:pStyle w:val="Normal-pool"/>
              <w:spacing w:before="40" w:after="40"/>
              <w:rPr>
                <w:sz w:val="18"/>
                <w:szCs w:val="18"/>
                <w:lang w:val="en-GB"/>
              </w:rPr>
            </w:pPr>
            <w:r w:rsidRPr="00BD7721">
              <w:rPr>
                <w:sz w:val="18"/>
                <w:szCs w:val="18"/>
                <w:lang w:val="en-GB"/>
              </w:rPr>
              <w:t>UNDP, the UNEP-World Conservation Monitoring Centre and Federal Ministry for the Environment, Nature Conservation, Nuclear Safety and Consumer Protection, Germany/ International Climate Initiative</w:t>
            </w:r>
          </w:p>
        </w:tc>
        <w:tc>
          <w:tcPr>
            <w:tcW w:w="2455" w:type="dxa"/>
            <w:tcBorders>
              <w:top w:val="single" w:sz="4" w:space="0" w:color="auto"/>
              <w:left w:val="nil"/>
              <w:bottom w:val="nil"/>
              <w:right w:val="nil"/>
            </w:tcBorders>
            <w:hideMark/>
          </w:tcPr>
          <w:p w14:paraId="14F99D09" w14:textId="77777777" w:rsidR="00992A45" w:rsidRPr="00BD7721" w:rsidRDefault="00992A45" w:rsidP="004E48D5">
            <w:pPr>
              <w:pStyle w:val="Normal-pool"/>
              <w:spacing w:before="40" w:after="40"/>
              <w:rPr>
                <w:sz w:val="18"/>
                <w:szCs w:val="18"/>
                <w:lang w:val="en-GB"/>
              </w:rPr>
            </w:pPr>
            <w:r w:rsidRPr="00BD7721">
              <w:rPr>
                <w:sz w:val="18"/>
                <w:szCs w:val="18"/>
                <w:lang w:val="en-GB"/>
              </w:rPr>
              <w:t>UNEP-World Conservation Monitoring Centre</w:t>
            </w:r>
          </w:p>
        </w:tc>
        <w:tc>
          <w:tcPr>
            <w:tcW w:w="6982" w:type="dxa"/>
            <w:tcBorders>
              <w:top w:val="single" w:sz="4" w:space="0" w:color="auto"/>
              <w:left w:val="nil"/>
              <w:bottom w:val="nil"/>
              <w:right w:val="nil"/>
            </w:tcBorders>
            <w:hideMark/>
          </w:tcPr>
          <w:p w14:paraId="470A17FE" w14:textId="77777777" w:rsidR="00992A45" w:rsidRPr="00BD7721" w:rsidRDefault="00992A45" w:rsidP="004E48D5">
            <w:pPr>
              <w:pStyle w:val="Normal-pool"/>
              <w:spacing w:before="40" w:after="40"/>
              <w:rPr>
                <w:sz w:val="18"/>
                <w:szCs w:val="18"/>
                <w:lang w:val="en-GB"/>
              </w:rPr>
            </w:pPr>
            <w:r w:rsidRPr="00BD7721">
              <w:rPr>
                <w:sz w:val="18"/>
                <w:szCs w:val="18"/>
                <w:lang w:val="en-GB"/>
              </w:rPr>
              <w:t>Capacity-building and support for Azerbaijan, Bosnia and Herzegovina, Cambodia and Grenada to undertake national ecosystem assessments and establish IPBES national science-policy platforms</w:t>
            </w:r>
          </w:p>
        </w:tc>
        <w:tc>
          <w:tcPr>
            <w:tcW w:w="1484" w:type="dxa"/>
            <w:tcBorders>
              <w:top w:val="single" w:sz="4" w:space="0" w:color="auto"/>
              <w:left w:val="nil"/>
              <w:bottom w:val="nil"/>
              <w:right w:val="nil"/>
            </w:tcBorders>
            <w:vAlign w:val="bottom"/>
            <w:hideMark/>
          </w:tcPr>
          <w:p w14:paraId="69474E2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 xml:space="preserve">0.9 </w:t>
            </w:r>
          </w:p>
        </w:tc>
      </w:tr>
      <w:tr w:rsidR="00992A45" w:rsidRPr="00BD7721" w14:paraId="136E8AEB" w14:textId="77777777" w:rsidTr="00B7775A">
        <w:trPr>
          <w:trHeight w:val="57"/>
          <w:jc w:val="right"/>
        </w:trPr>
        <w:tc>
          <w:tcPr>
            <w:tcW w:w="14145" w:type="dxa"/>
            <w:vMerge/>
            <w:tcBorders>
              <w:top w:val="single" w:sz="4" w:space="0" w:color="auto"/>
              <w:left w:val="nil"/>
              <w:bottom w:val="nil"/>
              <w:right w:val="nil"/>
            </w:tcBorders>
            <w:vAlign w:val="center"/>
            <w:hideMark/>
          </w:tcPr>
          <w:p w14:paraId="5DBB466A" w14:textId="77777777" w:rsidR="00992A45" w:rsidRPr="00BD7721" w:rsidRDefault="00992A45" w:rsidP="004E48D5">
            <w:pPr>
              <w:rPr>
                <w:sz w:val="18"/>
                <w:szCs w:val="18"/>
              </w:rPr>
            </w:pPr>
          </w:p>
        </w:tc>
        <w:tc>
          <w:tcPr>
            <w:tcW w:w="2455" w:type="dxa"/>
            <w:tcBorders>
              <w:top w:val="nil"/>
              <w:left w:val="nil"/>
              <w:bottom w:val="nil"/>
              <w:right w:val="nil"/>
            </w:tcBorders>
            <w:hideMark/>
          </w:tcPr>
          <w:p w14:paraId="748925D9" w14:textId="77777777" w:rsidR="00992A45" w:rsidRPr="00BD7721" w:rsidRDefault="00992A45" w:rsidP="004E48D5">
            <w:pPr>
              <w:pStyle w:val="Normal-pool"/>
              <w:spacing w:before="40" w:after="40"/>
              <w:rPr>
                <w:sz w:val="18"/>
                <w:szCs w:val="18"/>
                <w:lang w:val="en-GB"/>
              </w:rPr>
            </w:pPr>
            <w:r w:rsidRPr="00BD7721">
              <w:rPr>
                <w:sz w:val="18"/>
                <w:szCs w:val="18"/>
                <w:lang w:val="en-GB"/>
              </w:rPr>
              <w:t xml:space="preserve">UNDP/BES-Net </w:t>
            </w:r>
          </w:p>
        </w:tc>
        <w:tc>
          <w:tcPr>
            <w:tcW w:w="6982" w:type="dxa"/>
            <w:tcBorders>
              <w:top w:val="nil"/>
              <w:left w:val="nil"/>
              <w:bottom w:val="nil"/>
              <w:right w:val="nil"/>
            </w:tcBorders>
            <w:hideMark/>
          </w:tcPr>
          <w:p w14:paraId="4C7DF1C3" w14:textId="77777777" w:rsidR="00992A45" w:rsidRPr="00BD7721" w:rsidRDefault="00992A45" w:rsidP="004E48D5">
            <w:pPr>
              <w:pStyle w:val="Normal-pool"/>
              <w:spacing w:before="40" w:after="40"/>
              <w:rPr>
                <w:sz w:val="18"/>
                <w:szCs w:val="18"/>
                <w:lang w:val="en-GB"/>
              </w:rPr>
            </w:pPr>
            <w:r w:rsidRPr="00BD7721">
              <w:rPr>
                <w:sz w:val="18"/>
                <w:szCs w:val="18"/>
                <w:lang w:val="en-GB"/>
              </w:rPr>
              <w:t>Capacity-building and support for national biodiversity and ecosystem service assessments through BES-Net national trialogues in Colombia, Cameroon, Ethiopia and Viet Nam</w:t>
            </w:r>
          </w:p>
        </w:tc>
        <w:tc>
          <w:tcPr>
            <w:tcW w:w="1484" w:type="dxa"/>
            <w:tcBorders>
              <w:top w:val="nil"/>
              <w:left w:val="nil"/>
              <w:bottom w:val="nil"/>
              <w:right w:val="nil"/>
            </w:tcBorders>
            <w:vAlign w:val="bottom"/>
            <w:hideMark/>
          </w:tcPr>
          <w:p w14:paraId="16B0B07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0.3</w:t>
            </w:r>
          </w:p>
        </w:tc>
      </w:tr>
      <w:tr w:rsidR="00992A45" w:rsidRPr="00BD7721" w14:paraId="346102B5" w14:textId="77777777" w:rsidTr="00B7775A">
        <w:trPr>
          <w:trHeight w:val="57"/>
          <w:jc w:val="right"/>
        </w:trPr>
        <w:tc>
          <w:tcPr>
            <w:tcW w:w="14145" w:type="dxa"/>
            <w:vMerge/>
            <w:tcBorders>
              <w:top w:val="single" w:sz="4" w:space="0" w:color="auto"/>
              <w:left w:val="nil"/>
              <w:bottom w:val="nil"/>
              <w:right w:val="nil"/>
            </w:tcBorders>
            <w:vAlign w:val="center"/>
            <w:hideMark/>
          </w:tcPr>
          <w:p w14:paraId="12D40A01" w14:textId="77777777" w:rsidR="00992A45" w:rsidRPr="00BD7721" w:rsidRDefault="00992A45" w:rsidP="004E48D5">
            <w:pPr>
              <w:rPr>
                <w:sz w:val="18"/>
                <w:szCs w:val="18"/>
              </w:rPr>
            </w:pPr>
          </w:p>
        </w:tc>
        <w:tc>
          <w:tcPr>
            <w:tcW w:w="2455" w:type="dxa"/>
            <w:tcBorders>
              <w:top w:val="nil"/>
              <w:left w:val="nil"/>
              <w:bottom w:val="nil"/>
              <w:right w:val="nil"/>
            </w:tcBorders>
            <w:hideMark/>
          </w:tcPr>
          <w:p w14:paraId="6B90776A" w14:textId="77777777" w:rsidR="00992A45" w:rsidRPr="00BD7721" w:rsidRDefault="00992A45" w:rsidP="004E48D5">
            <w:pPr>
              <w:pStyle w:val="Normal-pool"/>
              <w:spacing w:before="40" w:after="40"/>
              <w:rPr>
                <w:sz w:val="18"/>
                <w:szCs w:val="18"/>
                <w:lang w:val="en-GB"/>
              </w:rPr>
            </w:pPr>
            <w:r w:rsidRPr="00BD7721">
              <w:rPr>
                <w:sz w:val="18"/>
                <w:szCs w:val="18"/>
                <w:lang w:val="en-GB"/>
              </w:rPr>
              <w:t>UNEP-World Conservation Monitoring Centre / BES-Net Phase II</w:t>
            </w:r>
          </w:p>
        </w:tc>
        <w:tc>
          <w:tcPr>
            <w:tcW w:w="6982" w:type="dxa"/>
            <w:tcBorders>
              <w:top w:val="nil"/>
              <w:left w:val="nil"/>
              <w:bottom w:val="nil"/>
              <w:right w:val="nil"/>
            </w:tcBorders>
            <w:hideMark/>
          </w:tcPr>
          <w:p w14:paraId="20422069" w14:textId="77777777" w:rsidR="00992A45" w:rsidRPr="00BD7721" w:rsidRDefault="00992A45" w:rsidP="004E48D5">
            <w:pPr>
              <w:pStyle w:val="Normal-pool"/>
              <w:spacing w:before="40" w:after="40"/>
              <w:rPr>
                <w:sz w:val="18"/>
                <w:szCs w:val="18"/>
                <w:lang w:val="en-GB"/>
              </w:rPr>
            </w:pPr>
            <w:r w:rsidRPr="00BD7721">
              <w:rPr>
                <w:sz w:val="18"/>
                <w:szCs w:val="18"/>
                <w:lang w:val="en-GB"/>
              </w:rPr>
              <w:t>Capacity-building and support for national biodiversity and ecosystem service assessments in up to 40 countries</w:t>
            </w:r>
          </w:p>
        </w:tc>
        <w:tc>
          <w:tcPr>
            <w:tcW w:w="1484" w:type="dxa"/>
            <w:tcBorders>
              <w:top w:val="nil"/>
              <w:left w:val="nil"/>
              <w:bottom w:val="nil"/>
              <w:right w:val="nil"/>
            </w:tcBorders>
            <w:vAlign w:val="bottom"/>
            <w:hideMark/>
          </w:tcPr>
          <w:p w14:paraId="23E21C3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2.2</w:t>
            </w:r>
          </w:p>
        </w:tc>
      </w:tr>
      <w:tr w:rsidR="00992A45" w:rsidRPr="00BD7721" w14:paraId="70D0D8B8" w14:textId="77777777" w:rsidTr="00B7775A">
        <w:trPr>
          <w:trHeight w:val="57"/>
          <w:jc w:val="right"/>
        </w:trPr>
        <w:tc>
          <w:tcPr>
            <w:tcW w:w="14145" w:type="dxa"/>
            <w:vMerge/>
            <w:tcBorders>
              <w:top w:val="single" w:sz="4" w:space="0" w:color="auto"/>
              <w:left w:val="nil"/>
              <w:bottom w:val="nil"/>
              <w:right w:val="nil"/>
            </w:tcBorders>
            <w:vAlign w:val="center"/>
            <w:hideMark/>
          </w:tcPr>
          <w:p w14:paraId="08B1B159" w14:textId="77777777" w:rsidR="00992A45" w:rsidRPr="00BD7721" w:rsidRDefault="00992A45" w:rsidP="004E48D5">
            <w:pPr>
              <w:rPr>
                <w:sz w:val="18"/>
                <w:szCs w:val="18"/>
              </w:rPr>
            </w:pPr>
          </w:p>
        </w:tc>
        <w:tc>
          <w:tcPr>
            <w:tcW w:w="2455" w:type="dxa"/>
            <w:tcBorders>
              <w:top w:val="nil"/>
              <w:left w:val="nil"/>
              <w:bottom w:val="nil"/>
              <w:right w:val="nil"/>
            </w:tcBorders>
            <w:hideMark/>
          </w:tcPr>
          <w:p w14:paraId="23ED63C6" w14:textId="77777777" w:rsidR="00992A45" w:rsidRPr="00BD7721" w:rsidRDefault="00992A45" w:rsidP="004E48D5">
            <w:pPr>
              <w:pStyle w:val="Normal-pool"/>
              <w:spacing w:before="40" w:after="40"/>
              <w:rPr>
                <w:sz w:val="18"/>
                <w:szCs w:val="18"/>
                <w:lang w:val="en-GB"/>
              </w:rPr>
            </w:pPr>
            <w:r w:rsidRPr="00BD7721">
              <w:rPr>
                <w:sz w:val="18"/>
                <w:szCs w:val="18"/>
                <w:lang w:val="en-GB"/>
              </w:rPr>
              <w:t>Centre for Development Research (ZEF)</w:t>
            </w:r>
          </w:p>
        </w:tc>
        <w:tc>
          <w:tcPr>
            <w:tcW w:w="6982" w:type="dxa"/>
            <w:tcBorders>
              <w:top w:val="nil"/>
              <w:left w:val="nil"/>
              <w:bottom w:val="nil"/>
              <w:right w:val="nil"/>
            </w:tcBorders>
            <w:hideMark/>
          </w:tcPr>
          <w:p w14:paraId="65195E7F" w14:textId="77777777" w:rsidR="00992A45" w:rsidRPr="00BD7721" w:rsidRDefault="00992A45" w:rsidP="004E48D5">
            <w:pPr>
              <w:pStyle w:val="Normal-pool"/>
              <w:spacing w:before="40" w:after="40"/>
              <w:rPr>
                <w:sz w:val="18"/>
                <w:szCs w:val="18"/>
                <w:lang w:val="en-GB"/>
              </w:rPr>
            </w:pPr>
            <w:r w:rsidRPr="00BD7721">
              <w:rPr>
                <w:sz w:val="18"/>
                <w:szCs w:val="18"/>
                <w:lang w:val="en-GB"/>
              </w:rPr>
              <w:t>Capacity-building support for Benin, Burkina Faso, Cabo Verde, the Gambia, Ghana, Guinea, Guinea-Bissau, Côte d’Ivoire, Liberia, Mali, Niger, Nigeria, Senegal, Sierra Leone and Togo; enhancing engagement in IPBES activities and uptake of IPBES products; strengthening of South-South networking through workshops; establishment of a subregional science-policy platform; and education of young professionals through a dedicated master of science programme entitled “Managing science-policy interfaces on biodiversity and ecosystem services for sustainable development in West Africa”, or “SPIBES”</w:t>
            </w:r>
          </w:p>
        </w:tc>
        <w:tc>
          <w:tcPr>
            <w:tcW w:w="1484" w:type="dxa"/>
            <w:tcBorders>
              <w:top w:val="nil"/>
              <w:left w:val="nil"/>
              <w:bottom w:val="nil"/>
              <w:right w:val="nil"/>
            </w:tcBorders>
            <w:vAlign w:val="bottom"/>
            <w:hideMark/>
          </w:tcPr>
          <w:p w14:paraId="194B177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0.3</w:t>
            </w:r>
          </w:p>
        </w:tc>
      </w:tr>
      <w:tr w:rsidR="00992A45" w:rsidRPr="00BD7721" w14:paraId="7D4B4FA1" w14:textId="77777777" w:rsidTr="00B7775A">
        <w:trPr>
          <w:trHeight w:val="57"/>
          <w:jc w:val="right"/>
        </w:trPr>
        <w:tc>
          <w:tcPr>
            <w:tcW w:w="3224" w:type="dxa"/>
            <w:tcBorders>
              <w:top w:val="nil"/>
              <w:left w:val="nil"/>
              <w:bottom w:val="nil"/>
              <w:right w:val="nil"/>
            </w:tcBorders>
          </w:tcPr>
          <w:p w14:paraId="17170188" w14:textId="77777777" w:rsidR="00992A45" w:rsidRPr="00BD7721" w:rsidRDefault="00992A45" w:rsidP="004E48D5">
            <w:pPr>
              <w:pStyle w:val="Normal-pool"/>
              <w:spacing w:before="40" w:after="40"/>
              <w:rPr>
                <w:sz w:val="18"/>
                <w:szCs w:val="18"/>
                <w:lang w:val="en-GB"/>
              </w:rPr>
            </w:pPr>
          </w:p>
        </w:tc>
        <w:tc>
          <w:tcPr>
            <w:tcW w:w="2455" w:type="dxa"/>
            <w:tcBorders>
              <w:top w:val="nil"/>
              <w:left w:val="nil"/>
              <w:bottom w:val="nil"/>
              <w:right w:val="nil"/>
            </w:tcBorders>
            <w:hideMark/>
          </w:tcPr>
          <w:p w14:paraId="68A28D74" w14:textId="77777777" w:rsidR="00992A45" w:rsidRPr="00BD7721" w:rsidRDefault="00992A45" w:rsidP="004E48D5">
            <w:pPr>
              <w:pStyle w:val="Normal-pool"/>
              <w:spacing w:before="40" w:after="40"/>
              <w:rPr>
                <w:sz w:val="18"/>
                <w:szCs w:val="18"/>
                <w:lang w:val="en-GB"/>
              </w:rPr>
            </w:pPr>
            <w:r w:rsidRPr="00BD7721">
              <w:rPr>
                <w:sz w:val="18"/>
                <w:szCs w:val="18"/>
                <w:lang w:val="en-GB"/>
              </w:rPr>
              <w:t>Centre for Development Research (ZEF)</w:t>
            </w:r>
          </w:p>
        </w:tc>
        <w:tc>
          <w:tcPr>
            <w:tcW w:w="6982" w:type="dxa"/>
            <w:tcBorders>
              <w:top w:val="nil"/>
              <w:left w:val="nil"/>
              <w:bottom w:val="nil"/>
              <w:right w:val="nil"/>
            </w:tcBorders>
            <w:hideMark/>
          </w:tcPr>
          <w:p w14:paraId="3F198D2F" w14:textId="77777777" w:rsidR="00992A45" w:rsidRPr="00BD7721" w:rsidRDefault="00992A45" w:rsidP="004E48D5">
            <w:pPr>
              <w:pStyle w:val="Normal-pool"/>
              <w:spacing w:before="40" w:after="40"/>
              <w:rPr>
                <w:sz w:val="18"/>
                <w:szCs w:val="18"/>
                <w:lang w:val="en-GB"/>
              </w:rPr>
            </w:pPr>
            <w:r w:rsidRPr="00BD7721">
              <w:rPr>
                <w:sz w:val="18"/>
                <w:szCs w:val="18"/>
                <w:lang w:val="en-GB"/>
              </w:rPr>
              <w:t>CABES ‒ Capacity Development for Biodiversity and Ecosystem Services Experts in West, Central and East Africa</w:t>
            </w:r>
          </w:p>
        </w:tc>
        <w:tc>
          <w:tcPr>
            <w:tcW w:w="1484" w:type="dxa"/>
            <w:tcBorders>
              <w:top w:val="nil"/>
              <w:left w:val="nil"/>
              <w:bottom w:val="nil"/>
              <w:right w:val="nil"/>
            </w:tcBorders>
            <w:vAlign w:val="bottom"/>
            <w:hideMark/>
          </w:tcPr>
          <w:p w14:paraId="524A091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0.9</w:t>
            </w:r>
          </w:p>
        </w:tc>
      </w:tr>
      <w:tr w:rsidR="00992A45" w:rsidRPr="00BD7721" w14:paraId="4AB3B95C" w14:textId="77777777" w:rsidTr="00B7775A">
        <w:trPr>
          <w:trHeight w:val="57"/>
          <w:jc w:val="right"/>
        </w:trPr>
        <w:tc>
          <w:tcPr>
            <w:tcW w:w="3224" w:type="dxa"/>
            <w:tcBorders>
              <w:top w:val="nil"/>
              <w:left w:val="nil"/>
              <w:bottom w:val="single" w:sz="4" w:space="0" w:color="000000"/>
              <w:right w:val="nil"/>
            </w:tcBorders>
          </w:tcPr>
          <w:p w14:paraId="4D3ACDFF" w14:textId="77777777" w:rsidR="00992A45" w:rsidRPr="00BD7721" w:rsidRDefault="00992A45" w:rsidP="004E48D5">
            <w:pPr>
              <w:pStyle w:val="Normal-pool"/>
              <w:spacing w:before="40" w:after="40"/>
              <w:rPr>
                <w:sz w:val="18"/>
                <w:szCs w:val="18"/>
                <w:lang w:val="en-GB"/>
              </w:rPr>
            </w:pPr>
          </w:p>
        </w:tc>
        <w:tc>
          <w:tcPr>
            <w:tcW w:w="2455" w:type="dxa"/>
            <w:tcBorders>
              <w:top w:val="nil"/>
              <w:left w:val="nil"/>
              <w:bottom w:val="single" w:sz="4" w:space="0" w:color="000000"/>
              <w:right w:val="nil"/>
            </w:tcBorders>
            <w:hideMark/>
          </w:tcPr>
          <w:p w14:paraId="63FD88E0" w14:textId="77777777" w:rsidR="00992A45" w:rsidRPr="00BD7721" w:rsidRDefault="00992A45" w:rsidP="004E48D5">
            <w:pPr>
              <w:pStyle w:val="Normal-pool"/>
              <w:spacing w:before="40" w:after="40"/>
              <w:rPr>
                <w:sz w:val="18"/>
                <w:szCs w:val="18"/>
                <w:lang w:val="en-GB"/>
              </w:rPr>
            </w:pPr>
            <w:r w:rsidRPr="00BD7721">
              <w:rPr>
                <w:sz w:val="18"/>
                <w:szCs w:val="18"/>
                <w:lang w:val="en-GB"/>
              </w:rPr>
              <w:t>Institute for Biodiversity – Network (ibn), in coordination with the IPBES technical support unit on capacity-building and the German Federal Agency for Nature Conservation (</w:t>
            </w:r>
            <w:proofErr w:type="spellStart"/>
            <w:r w:rsidRPr="00BD7721">
              <w:rPr>
                <w:sz w:val="18"/>
                <w:szCs w:val="18"/>
                <w:lang w:val="en-GB"/>
              </w:rPr>
              <w:t>BfN</w:t>
            </w:r>
            <w:proofErr w:type="spellEnd"/>
            <w:r w:rsidRPr="00BD7721">
              <w:rPr>
                <w:sz w:val="18"/>
                <w:szCs w:val="18"/>
                <w:lang w:val="en-GB"/>
              </w:rPr>
              <w:t>)</w:t>
            </w:r>
          </w:p>
        </w:tc>
        <w:tc>
          <w:tcPr>
            <w:tcW w:w="6982" w:type="dxa"/>
            <w:tcBorders>
              <w:top w:val="nil"/>
              <w:left w:val="nil"/>
              <w:bottom w:val="single" w:sz="4" w:space="0" w:color="000000"/>
              <w:right w:val="nil"/>
            </w:tcBorders>
            <w:hideMark/>
          </w:tcPr>
          <w:p w14:paraId="1078E008" w14:textId="77777777" w:rsidR="00992A45" w:rsidRPr="00BD7721" w:rsidRDefault="00992A45" w:rsidP="004E48D5">
            <w:pPr>
              <w:pStyle w:val="Normal-pool"/>
              <w:spacing w:before="40" w:after="40"/>
              <w:rPr>
                <w:sz w:val="18"/>
                <w:szCs w:val="18"/>
                <w:lang w:val="en-GB"/>
              </w:rPr>
            </w:pPr>
            <w:r w:rsidRPr="00BD7721">
              <w:rPr>
                <w:sz w:val="18"/>
                <w:szCs w:val="18"/>
                <w:lang w:val="en-GB"/>
              </w:rPr>
              <w:t>Strengthening IPBES by building capacity in the EECCA (Eastern Europe, Caucasus and Central Asia) region</w:t>
            </w:r>
          </w:p>
        </w:tc>
        <w:tc>
          <w:tcPr>
            <w:tcW w:w="1484" w:type="dxa"/>
            <w:tcBorders>
              <w:top w:val="nil"/>
              <w:left w:val="nil"/>
              <w:bottom w:val="single" w:sz="4" w:space="0" w:color="000000"/>
              <w:right w:val="nil"/>
            </w:tcBorders>
            <w:vAlign w:val="bottom"/>
            <w:hideMark/>
          </w:tcPr>
          <w:p w14:paraId="0837408B"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0.1</w:t>
            </w:r>
          </w:p>
        </w:tc>
      </w:tr>
      <w:tr w:rsidR="00992A45" w:rsidRPr="00BD7721" w14:paraId="678CCF8C" w14:textId="77777777" w:rsidTr="00B7775A">
        <w:trPr>
          <w:trHeight w:val="57"/>
          <w:jc w:val="right"/>
        </w:trPr>
        <w:tc>
          <w:tcPr>
            <w:tcW w:w="3224" w:type="dxa"/>
            <w:tcBorders>
              <w:top w:val="single" w:sz="4" w:space="0" w:color="000000"/>
              <w:left w:val="nil"/>
              <w:bottom w:val="single" w:sz="12" w:space="0" w:color="000000"/>
              <w:right w:val="nil"/>
            </w:tcBorders>
            <w:hideMark/>
          </w:tcPr>
          <w:p w14:paraId="6BDAE658" w14:textId="77777777" w:rsidR="00992A45" w:rsidRPr="00BD7721" w:rsidRDefault="00992A45" w:rsidP="004E48D5">
            <w:pPr>
              <w:pStyle w:val="Normal-pool"/>
              <w:spacing w:before="40" w:after="40"/>
              <w:rPr>
                <w:b/>
                <w:sz w:val="18"/>
                <w:szCs w:val="18"/>
                <w:lang w:val="en-GB"/>
              </w:rPr>
            </w:pPr>
            <w:r w:rsidRPr="00BD7721">
              <w:rPr>
                <w:b/>
                <w:sz w:val="18"/>
                <w:szCs w:val="18"/>
                <w:lang w:val="en-GB"/>
              </w:rPr>
              <w:t>Total</w:t>
            </w:r>
          </w:p>
        </w:tc>
        <w:tc>
          <w:tcPr>
            <w:tcW w:w="2455" w:type="dxa"/>
            <w:tcBorders>
              <w:top w:val="single" w:sz="4" w:space="0" w:color="000000"/>
              <w:left w:val="nil"/>
              <w:bottom w:val="single" w:sz="12" w:space="0" w:color="000000"/>
              <w:right w:val="nil"/>
            </w:tcBorders>
          </w:tcPr>
          <w:p w14:paraId="47C3BBB3" w14:textId="77777777" w:rsidR="00992A45" w:rsidRPr="00BD7721" w:rsidRDefault="00992A45" w:rsidP="004E48D5">
            <w:pPr>
              <w:pStyle w:val="Normal-pool"/>
              <w:spacing w:before="40" w:after="40"/>
              <w:rPr>
                <w:sz w:val="18"/>
                <w:szCs w:val="18"/>
                <w:lang w:val="en-GB"/>
              </w:rPr>
            </w:pPr>
          </w:p>
        </w:tc>
        <w:tc>
          <w:tcPr>
            <w:tcW w:w="6982" w:type="dxa"/>
            <w:tcBorders>
              <w:top w:val="single" w:sz="4" w:space="0" w:color="000000"/>
              <w:left w:val="nil"/>
              <w:bottom w:val="single" w:sz="12" w:space="0" w:color="000000"/>
              <w:right w:val="nil"/>
            </w:tcBorders>
          </w:tcPr>
          <w:p w14:paraId="3B049413" w14:textId="77777777" w:rsidR="00992A45" w:rsidRPr="00BD7721" w:rsidRDefault="00992A45" w:rsidP="004E48D5">
            <w:pPr>
              <w:pStyle w:val="Normal-pool"/>
              <w:spacing w:before="40" w:after="40"/>
              <w:rPr>
                <w:b/>
                <w:sz w:val="18"/>
                <w:szCs w:val="18"/>
                <w:lang w:val="en-GB"/>
              </w:rPr>
            </w:pPr>
          </w:p>
        </w:tc>
        <w:tc>
          <w:tcPr>
            <w:tcW w:w="1484" w:type="dxa"/>
            <w:tcBorders>
              <w:top w:val="single" w:sz="4" w:space="0" w:color="000000"/>
              <w:left w:val="nil"/>
              <w:bottom w:val="single" w:sz="12" w:space="0" w:color="000000"/>
              <w:right w:val="nil"/>
            </w:tcBorders>
            <w:vAlign w:val="bottom"/>
            <w:hideMark/>
          </w:tcPr>
          <w:p w14:paraId="39B172C5" w14:textId="4EF7702E" w:rsidR="00992A45" w:rsidRPr="00BD7721" w:rsidRDefault="00992A45" w:rsidP="004E48D5">
            <w:pPr>
              <w:pStyle w:val="Normal-pool"/>
              <w:spacing w:before="40" w:after="40"/>
              <w:jc w:val="right"/>
              <w:rPr>
                <w:sz w:val="18"/>
                <w:szCs w:val="18"/>
                <w:lang w:val="en-GB"/>
              </w:rPr>
            </w:pPr>
            <w:r w:rsidRPr="00BD7721">
              <w:rPr>
                <w:b/>
                <w:sz w:val="18"/>
                <w:szCs w:val="18"/>
                <w:lang w:val="en-GB"/>
              </w:rPr>
              <w:t>113.3</w:t>
            </w:r>
          </w:p>
        </w:tc>
      </w:tr>
    </w:tbl>
    <w:p w14:paraId="200321DA" w14:textId="77777777" w:rsidR="00992A45" w:rsidRPr="00BD7721" w:rsidRDefault="00992A45" w:rsidP="00992A45">
      <w:pPr>
        <w:tabs>
          <w:tab w:val="left" w:pos="624"/>
          <w:tab w:val="left" w:pos="1871"/>
          <w:tab w:val="left" w:pos="2495"/>
          <w:tab w:val="left" w:pos="3119"/>
          <w:tab w:val="left" w:pos="3742"/>
          <w:tab w:val="left" w:pos="4366"/>
        </w:tabs>
        <w:spacing w:before="60"/>
        <w:ind w:left="1247"/>
        <w:rPr>
          <w:color w:val="000000"/>
          <w:sz w:val="18"/>
          <w:szCs w:val="18"/>
        </w:rPr>
      </w:pPr>
      <w:r w:rsidRPr="00BD7721">
        <w:rPr>
          <w:i/>
          <w:color w:val="000000"/>
          <w:sz w:val="18"/>
          <w:szCs w:val="18"/>
        </w:rPr>
        <w:tab/>
        <w:t>Abbreviations</w:t>
      </w:r>
      <w:r w:rsidRPr="00BD7721">
        <w:rPr>
          <w:color w:val="000000"/>
          <w:sz w:val="18"/>
          <w:szCs w:val="18"/>
        </w:rPr>
        <w:t xml:space="preserve">: BES-Net – Biodiversity and Ecosystem Services Network; UNDP – United Nations Development Programme. </w:t>
      </w:r>
    </w:p>
    <w:p w14:paraId="682FEBFB" w14:textId="77777777" w:rsidR="00992A45" w:rsidRPr="00BD7721" w:rsidRDefault="00992A45" w:rsidP="00992A45">
      <w:pPr>
        <w:rPr>
          <w:color w:val="000000"/>
          <w:sz w:val="17"/>
          <w:szCs w:val="17"/>
        </w:rPr>
      </w:pPr>
    </w:p>
    <w:p w14:paraId="33366291" w14:textId="77777777" w:rsidR="00430FB3" w:rsidRPr="00BD7721" w:rsidRDefault="00430FB3" w:rsidP="00430FB3">
      <w:pPr>
        <w:pStyle w:val="Normal-pool"/>
        <w:rPr>
          <w:lang w:val="en-GB"/>
        </w:rPr>
        <w:sectPr w:rsidR="00430FB3" w:rsidRPr="00BD7721" w:rsidSect="00D70826">
          <w:footnotePr>
            <w:numRestart w:val="eachSect"/>
          </w:footnotePr>
          <w:pgSz w:w="16839" w:h="11907" w:orient="landscape"/>
          <w:pgMar w:top="907" w:right="992" w:bottom="1418" w:left="1418" w:header="539" w:footer="975" w:gutter="0"/>
          <w:cols w:space="720"/>
          <w:docGrid w:linePitch="272"/>
        </w:sectPr>
      </w:pPr>
    </w:p>
    <w:p w14:paraId="48701B42" w14:textId="77777777" w:rsidR="00992A45" w:rsidRPr="00BD7721" w:rsidRDefault="00992A45" w:rsidP="00992A45">
      <w:pPr>
        <w:pStyle w:val="CH1"/>
        <w:rPr>
          <w:rFonts w:eastAsia="Yu Mincho"/>
          <w:lang w:val="en-GB"/>
        </w:rPr>
      </w:pPr>
      <w:r w:rsidRPr="00BD7721">
        <w:rPr>
          <w:rFonts w:eastAsia="Yu Mincho"/>
          <w:lang w:val="en-GB"/>
        </w:rPr>
        <w:tab/>
        <w:t>II.</w:t>
      </w:r>
      <w:r w:rsidRPr="00BD7721">
        <w:rPr>
          <w:rFonts w:eastAsia="Yu Mincho"/>
          <w:lang w:val="en-GB"/>
        </w:rPr>
        <w:tab/>
        <w:t>Final expenditures for 2022</w:t>
      </w:r>
    </w:p>
    <w:p w14:paraId="0FD290DD" w14:textId="77777777" w:rsidR="00992A45" w:rsidRPr="00BD7721" w:rsidRDefault="00992A45" w:rsidP="00992A45">
      <w:pPr>
        <w:pStyle w:val="Titletable"/>
        <w:spacing w:before="240"/>
        <w:rPr>
          <w:lang w:val="en-GB"/>
        </w:rPr>
      </w:pPr>
      <w:r w:rsidRPr="00BD7721">
        <w:rPr>
          <w:b w:val="0"/>
          <w:bCs w:val="0"/>
          <w:lang w:val="en-GB"/>
        </w:rPr>
        <w:t xml:space="preserve">Table 5 </w:t>
      </w:r>
      <w:r w:rsidRPr="00BD7721">
        <w:rPr>
          <w:b w:val="0"/>
          <w:bCs w:val="0"/>
          <w:lang w:val="en-GB"/>
        </w:rPr>
        <w:br/>
      </w:r>
      <w:r w:rsidRPr="00BD7721">
        <w:rPr>
          <w:lang w:val="en-GB"/>
        </w:rPr>
        <w:t>Final expenditures for 2022</w:t>
      </w:r>
    </w:p>
    <w:p w14:paraId="1C0C389E" w14:textId="77777777" w:rsidR="00992A45" w:rsidRPr="00BD7721" w:rsidRDefault="00992A45" w:rsidP="00992A45">
      <w:pPr>
        <w:pStyle w:val="Titletable"/>
        <w:rPr>
          <w:b w:val="0"/>
          <w:bCs w:val="0"/>
          <w:lang w:val="en-GB"/>
        </w:rPr>
      </w:pPr>
      <w:r w:rsidRPr="00BD7721">
        <w:rPr>
          <w:b w:val="0"/>
          <w:bCs w:val="0"/>
          <w:sz w:val="18"/>
          <w:szCs w:val="18"/>
          <w:lang w:val="en-GB"/>
        </w:rPr>
        <w:t>(United States dollars)</w:t>
      </w:r>
    </w:p>
    <w:tbl>
      <w:tblPr>
        <w:tblW w:w="9495" w:type="dxa"/>
        <w:jc w:val="right"/>
        <w:tblBorders>
          <w:insideH w:val="nil"/>
          <w:insideV w:val="nil"/>
        </w:tblBorders>
        <w:tblLayout w:type="fixed"/>
        <w:tblLook w:val="0400" w:firstRow="0" w:lastRow="0" w:firstColumn="0" w:lastColumn="0" w:noHBand="0" w:noVBand="1"/>
      </w:tblPr>
      <w:tblGrid>
        <w:gridCol w:w="5039"/>
        <w:gridCol w:w="1623"/>
        <w:gridCol w:w="1417"/>
        <w:gridCol w:w="1416"/>
      </w:tblGrid>
      <w:tr w:rsidR="00992A45" w:rsidRPr="00BD7721" w14:paraId="6F872519" w14:textId="77777777" w:rsidTr="004E48D5">
        <w:trPr>
          <w:trHeight w:val="315"/>
          <w:tblHeader/>
          <w:jc w:val="right"/>
        </w:trPr>
        <w:tc>
          <w:tcPr>
            <w:tcW w:w="5041" w:type="dxa"/>
            <w:tcBorders>
              <w:top w:val="single" w:sz="4" w:space="0" w:color="000000"/>
              <w:left w:val="nil"/>
              <w:bottom w:val="single" w:sz="12" w:space="0" w:color="000000"/>
              <w:right w:val="nil"/>
            </w:tcBorders>
            <w:vAlign w:val="bottom"/>
            <w:hideMark/>
          </w:tcPr>
          <w:p w14:paraId="1BE4C012" w14:textId="77777777" w:rsidR="00992A45" w:rsidRPr="00BD7721" w:rsidRDefault="00992A45" w:rsidP="004E48D5">
            <w:pPr>
              <w:tabs>
                <w:tab w:val="left" w:pos="624"/>
                <w:tab w:val="left" w:pos="1871"/>
                <w:tab w:val="left" w:pos="2495"/>
                <w:tab w:val="left" w:pos="3119"/>
                <w:tab w:val="left" w:pos="3742"/>
                <w:tab w:val="left" w:pos="4366"/>
              </w:tabs>
              <w:spacing w:before="40" w:after="40"/>
              <w:rPr>
                <w:i/>
                <w:color w:val="000000"/>
                <w:sz w:val="18"/>
                <w:szCs w:val="18"/>
              </w:rPr>
            </w:pPr>
            <w:r w:rsidRPr="00BD7721">
              <w:rPr>
                <w:i/>
                <w:color w:val="000000"/>
                <w:sz w:val="18"/>
                <w:szCs w:val="18"/>
              </w:rPr>
              <w:t>Budget item</w:t>
            </w:r>
          </w:p>
        </w:tc>
        <w:tc>
          <w:tcPr>
            <w:tcW w:w="1623" w:type="dxa"/>
            <w:tcBorders>
              <w:top w:val="single" w:sz="4" w:space="0" w:color="000000"/>
              <w:left w:val="nil"/>
              <w:bottom w:val="single" w:sz="12" w:space="0" w:color="000000"/>
              <w:right w:val="nil"/>
            </w:tcBorders>
            <w:vAlign w:val="bottom"/>
            <w:hideMark/>
          </w:tcPr>
          <w:p w14:paraId="426ECA41" w14:textId="51EB19D8" w:rsidR="00992A45" w:rsidRPr="00BD7721" w:rsidRDefault="00992A45" w:rsidP="009A4AFD">
            <w:pPr>
              <w:tabs>
                <w:tab w:val="left" w:pos="624"/>
                <w:tab w:val="left" w:pos="1871"/>
                <w:tab w:val="left" w:pos="2495"/>
                <w:tab w:val="left" w:pos="3119"/>
                <w:tab w:val="left" w:pos="3742"/>
                <w:tab w:val="left" w:pos="4366"/>
              </w:tabs>
              <w:spacing w:before="40" w:after="40"/>
              <w:jc w:val="right"/>
              <w:rPr>
                <w:i/>
                <w:color w:val="000000"/>
                <w:sz w:val="18"/>
                <w:szCs w:val="18"/>
              </w:rPr>
            </w:pPr>
            <w:r w:rsidRPr="00BD7721">
              <w:rPr>
                <w:i/>
                <w:color w:val="000000"/>
                <w:sz w:val="18"/>
                <w:szCs w:val="18"/>
              </w:rPr>
              <w:t>2022 revised</w:t>
            </w:r>
            <w:r w:rsidR="009A4AFD" w:rsidRPr="00BD7721">
              <w:rPr>
                <w:i/>
                <w:color w:val="000000"/>
                <w:sz w:val="18"/>
                <w:szCs w:val="18"/>
              </w:rPr>
              <w:t xml:space="preserve"> </w:t>
            </w:r>
            <w:r w:rsidRPr="00BD7721">
              <w:rPr>
                <w:i/>
                <w:color w:val="000000"/>
                <w:sz w:val="18"/>
                <w:szCs w:val="18"/>
              </w:rPr>
              <w:t>budget</w:t>
            </w:r>
          </w:p>
        </w:tc>
        <w:tc>
          <w:tcPr>
            <w:tcW w:w="1417" w:type="dxa"/>
            <w:tcBorders>
              <w:top w:val="single" w:sz="4" w:space="0" w:color="000000"/>
              <w:left w:val="nil"/>
              <w:bottom w:val="single" w:sz="12" w:space="0" w:color="000000"/>
              <w:right w:val="nil"/>
            </w:tcBorders>
            <w:vAlign w:val="bottom"/>
            <w:hideMark/>
          </w:tcPr>
          <w:p w14:paraId="74C220FE" w14:textId="6F2543F1" w:rsidR="00992A45" w:rsidRPr="00BD7721" w:rsidRDefault="00992A45" w:rsidP="009A4AFD">
            <w:pPr>
              <w:tabs>
                <w:tab w:val="left" w:pos="624"/>
                <w:tab w:val="left" w:pos="1871"/>
                <w:tab w:val="left" w:pos="2495"/>
                <w:tab w:val="left" w:pos="3119"/>
                <w:tab w:val="left" w:pos="3742"/>
                <w:tab w:val="left" w:pos="4366"/>
              </w:tabs>
              <w:spacing w:before="40" w:after="40"/>
              <w:jc w:val="right"/>
              <w:rPr>
                <w:i/>
                <w:color w:val="000000"/>
                <w:sz w:val="18"/>
                <w:szCs w:val="18"/>
              </w:rPr>
            </w:pPr>
            <w:r w:rsidRPr="00BD7721">
              <w:rPr>
                <w:i/>
                <w:color w:val="000000"/>
                <w:sz w:val="18"/>
                <w:szCs w:val="18"/>
              </w:rPr>
              <w:t>2022 final</w:t>
            </w:r>
            <w:r w:rsidR="009A4AFD" w:rsidRPr="00BD7721">
              <w:rPr>
                <w:i/>
                <w:color w:val="000000"/>
                <w:sz w:val="18"/>
                <w:szCs w:val="18"/>
              </w:rPr>
              <w:t xml:space="preserve"> </w:t>
            </w:r>
            <w:r w:rsidRPr="00BD7721">
              <w:rPr>
                <w:i/>
                <w:color w:val="000000"/>
                <w:sz w:val="18"/>
                <w:szCs w:val="18"/>
              </w:rPr>
              <w:t>expenses</w:t>
            </w:r>
          </w:p>
        </w:tc>
        <w:tc>
          <w:tcPr>
            <w:tcW w:w="1416" w:type="dxa"/>
            <w:tcBorders>
              <w:top w:val="single" w:sz="4" w:space="0" w:color="000000"/>
              <w:left w:val="nil"/>
              <w:bottom w:val="single" w:sz="12" w:space="0" w:color="000000"/>
              <w:right w:val="nil"/>
            </w:tcBorders>
            <w:vAlign w:val="bottom"/>
            <w:hideMark/>
          </w:tcPr>
          <w:p w14:paraId="5678B36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i/>
                <w:color w:val="000000"/>
                <w:sz w:val="18"/>
                <w:szCs w:val="18"/>
              </w:rPr>
            </w:pPr>
            <w:r w:rsidRPr="00BD7721">
              <w:rPr>
                <w:i/>
                <w:color w:val="000000"/>
                <w:sz w:val="18"/>
                <w:szCs w:val="18"/>
              </w:rPr>
              <w:t>Balance</w:t>
            </w:r>
          </w:p>
        </w:tc>
      </w:tr>
      <w:tr w:rsidR="00992A45" w:rsidRPr="00BD7721" w14:paraId="6AFFA1D1" w14:textId="77777777" w:rsidTr="004E48D5">
        <w:trPr>
          <w:trHeight w:val="315"/>
          <w:jc w:val="right"/>
        </w:trPr>
        <w:tc>
          <w:tcPr>
            <w:tcW w:w="6664" w:type="dxa"/>
            <w:gridSpan w:val="2"/>
            <w:tcBorders>
              <w:top w:val="single" w:sz="12" w:space="0" w:color="000000"/>
              <w:left w:val="nil"/>
              <w:bottom w:val="nil"/>
              <w:right w:val="nil"/>
            </w:tcBorders>
            <w:hideMark/>
          </w:tcPr>
          <w:p w14:paraId="2EA71024" w14:textId="299DACCE" w:rsidR="00992A45" w:rsidRPr="00BD7721" w:rsidRDefault="00992A45" w:rsidP="004E48D5">
            <w:pPr>
              <w:tabs>
                <w:tab w:val="left" w:pos="319"/>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1.</w:t>
            </w:r>
            <w:r w:rsidRPr="00BD7721">
              <w:rPr>
                <w:b/>
                <w:color w:val="000000"/>
                <w:sz w:val="18"/>
                <w:szCs w:val="18"/>
              </w:rPr>
              <w:tab/>
              <w:t>Meetings of the IPBES bodies</w:t>
            </w:r>
            <w:r w:rsidR="004212A9" w:rsidRPr="00BD7721">
              <w:rPr>
                <w:color w:val="000000"/>
                <w:sz w:val="18"/>
                <w:szCs w:val="18"/>
              </w:rPr>
              <w:t xml:space="preserve"> </w:t>
            </w:r>
          </w:p>
        </w:tc>
        <w:tc>
          <w:tcPr>
            <w:tcW w:w="1417" w:type="dxa"/>
            <w:tcBorders>
              <w:top w:val="single" w:sz="12" w:space="0" w:color="000000"/>
              <w:left w:val="nil"/>
              <w:bottom w:val="nil"/>
              <w:right w:val="nil"/>
            </w:tcBorders>
          </w:tcPr>
          <w:p w14:paraId="5A2309D2"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p>
        </w:tc>
        <w:tc>
          <w:tcPr>
            <w:tcW w:w="1416" w:type="dxa"/>
            <w:tcBorders>
              <w:top w:val="single" w:sz="12" w:space="0" w:color="000000"/>
              <w:left w:val="nil"/>
              <w:bottom w:val="nil"/>
              <w:right w:val="nil"/>
            </w:tcBorders>
          </w:tcPr>
          <w:p w14:paraId="0D3CA7D7"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p>
        </w:tc>
      </w:tr>
      <w:tr w:rsidR="00992A45" w:rsidRPr="00BD7721" w14:paraId="47F54290" w14:textId="77777777" w:rsidTr="004E48D5">
        <w:trPr>
          <w:trHeight w:val="300"/>
          <w:jc w:val="right"/>
        </w:trPr>
        <w:tc>
          <w:tcPr>
            <w:tcW w:w="6664" w:type="dxa"/>
            <w:gridSpan w:val="2"/>
            <w:tcBorders>
              <w:top w:val="nil"/>
              <w:left w:val="nil"/>
              <w:bottom w:val="nil"/>
              <w:right w:val="nil"/>
            </w:tcBorders>
            <w:hideMark/>
          </w:tcPr>
          <w:p w14:paraId="6BEFD066" w14:textId="77777777" w:rsidR="00992A45" w:rsidRPr="00BD7721" w:rsidRDefault="00992A45" w:rsidP="004E48D5">
            <w:pPr>
              <w:tabs>
                <w:tab w:val="left" w:pos="319"/>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1.1</w:t>
            </w:r>
            <w:r w:rsidRPr="00BD7721">
              <w:rPr>
                <w:b/>
                <w:color w:val="000000"/>
                <w:sz w:val="18"/>
                <w:szCs w:val="18"/>
              </w:rPr>
              <w:tab/>
              <w:t>Sessions of the Plenary</w:t>
            </w:r>
          </w:p>
        </w:tc>
        <w:tc>
          <w:tcPr>
            <w:tcW w:w="1417" w:type="dxa"/>
            <w:tcBorders>
              <w:top w:val="nil"/>
              <w:left w:val="nil"/>
              <w:bottom w:val="nil"/>
              <w:right w:val="nil"/>
            </w:tcBorders>
          </w:tcPr>
          <w:p w14:paraId="6A1AD476"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p>
        </w:tc>
        <w:tc>
          <w:tcPr>
            <w:tcW w:w="1416" w:type="dxa"/>
            <w:tcBorders>
              <w:top w:val="nil"/>
              <w:left w:val="nil"/>
              <w:bottom w:val="nil"/>
              <w:right w:val="nil"/>
            </w:tcBorders>
          </w:tcPr>
          <w:p w14:paraId="22559301"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p>
        </w:tc>
      </w:tr>
      <w:tr w:rsidR="00992A45" w:rsidRPr="00BD7721" w14:paraId="4158E2E5" w14:textId="77777777" w:rsidTr="009A4AFD">
        <w:trPr>
          <w:trHeight w:val="480"/>
          <w:jc w:val="right"/>
        </w:trPr>
        <w:tc>
          <w:tcPr>
            <w:tcW w:w="5041" w:type="dxa"/>
            <w:tcBorders>
              <w:top w:val="nil"/>
              <w:left w:val="nil"/>
              <w:bottom w:val="nil"/>
              <w:right w:val="nil"/>
            </w:tcBorders>
            <w:hideMark/>
          </w:tcPr>
          <w:p w14:paraId="270766CE" w14:textId="77777777" w:rsidR="00992A45" w:rsidRPr="00BD7721" w:rsidRDefault="00992A45" w:rsidP="004E48D5">
            <w:pPr>
              <w:tabs>
                <w:tab w:val="left" w:pos="624"/>
                <w:tab w:val="left" w:pos="1871"/>
                <w:tab w:val="left" w:pos="2495"/>
                <w:tab w:val="left" w:pos="3119"/>
                <w:tab w:val="left" w:pos="3742"/>
                <w:tab w:val="left" w:pos="4366"/>
              </w:tabs>
              <w:spacing w:before="40" w:after="40"/>
              <w:ind w:left="319"/>
              <w:rPr>
                <w:color w:val="000000"/>
                <w:sz w:val="18"/>
                <w:szCs w:val="18"/>
              </w:rPr>
            </w:pPr>
            <w:r w:rsidRPr="00BD7721">
              <w:rPr>
                <w:color w:val="000000"/>
                <w:sz w:val="18"/>
                <w:szCs w:val="18"/>
              </w:rPr>
              <w:t xml:space="preserve">Travel costs for participants in the ninth session of the Plenary (travel and daily subsistence allowance) </w:t>
            </w:r>
          </w:p>
        </w:tc>
        <w:tc>
          <w:tcPr>
            <w:tcW w:w="1623" w:type="dxa"/>
            <w:tcBorders>
              <w:top w:val="nil"/>
              <w:left w:val="nil"/>
              <w:bottom w:val="nil"/>
              <w:right w:val="nil"/>
            </w:tcBorders>
            <w:vAlign w:val="bottom"/>
            <w:hideMark/>
          </w:tcPr>
          <w:p w14:paraId="61FFB42A"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500 000</w:t>
            </w:r>
          </w:p>
        </w:tc>
        <w:tc>
          <w:tcPr>
            <w:tcW w:w="1417" w:type="dxa"/>
            <w:tcBorders>
              <w:top w:val="nil"/>
              <w:left w:val="nil"/>
              <w:bottom w:val="nil"/>
              <w:right w:val="nil"/>
            </w:tcBorders>
            <w:vAlign w:val="bottom"/>
            <w:hideMark/>
          </w:tcPr>
          <w:p w14:paraId="29AFAC7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395 943</w:t>
            </w:r>
          </w:p>
        </w:tc>
        <w:tc>
          <w:tcPr>
            <w:tcW w:w="1416" w:type="dxa"/>
            <w:tcBorders>
              <w:top w:val="nil"/>
              <w:left w:val="nil"/>
              <w:bottom w:val="nil"/>
              <w:right w:val="nil"/>
            </w:tcBorders>
            <w:vAlign w:val="bottom"/>
            <w:hideMark/>
          </w:tcPr>
          <w:p w14:paraId="537818B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104 057</w:t>
            </w:r>
          </w:p>
        </w:tc>
      </w:tr>
      <w:tr w:rsidR="00992A45" w:rsidRPr="00BD7721" w14:paraId="630BF729" w14:textId="77777777" w:rsidTr="009A4AFD">
        <w:trPr>
          <w:trHeight w:val="300"/>
          <w:jc w:val="right"/>
        </w:trPr>
        <w:tc>
          <w:tcPr>
            <w:tcW w:w="5041" w:type="dxa"/>
            <w:tcBorders>
              <w:top w:val="nil"/>
              <w:left w:val="nil"/>
              <w:bottom w:val="nil"/>
              <w:right w:val="nil"/>
            </w:tcBorders>
            <w:hideMark/>
          </w:tcPr>
          <w:p w14:paraId="0A0550CC" w14:textId="77777777" w:rsidR="00992A45" w:rsidRPr="00BD7721" w:rsidRDefault="00992A45" w:rsidP="004E48D5">
            <w:pPr>
              <w:tabs>
                <w:tab w:val="left" w:pos="624"/>
                <w:tab w:val="left" w:pos="1871"/>
                <w:tab w:val="left" w:pos="2495"/>
                <w:tab w:val="left" w:pos="3119"/>
                <w:tab w:val="left" w:pos="3742"/>
                <w:tab w:val="left" w:pos="4366"/>
              </w:tabs>
              <w:spacing w:before="40" w:after="40"/>
              <w:ind w:left="319"/>
              <w:rPr>
                <w:color w:val="000000"/>
                <w:sz w:val="18"/>
                <w:szCs w:val="18"/>
              </w:rPr>
            </w:pPr>
            <w:r w:rsidRPr="00BD7721">
              <w:rPr>
                <w:color w:val="000000"/>
                <w:sz w:val="18"/>
                <w:szCs w:val="18"/>
              </w:rPr>
              <w:t>Conference services (translation, editing and interpretation)</w:t>
            </w:r>
          </w:p>
        </w:tc>
        <w:tc>
          <w:tcPr>
            <w:tcW w:w="1623" w:type="dxa"/>
            <w:tcBorders>
              <w:top w:val="nil"/>
              <w:left w:val="nil"/>
              <w:bottom w:val="nil"/>
              <w:right w:val="nil"/>
            </w:tcBorders>
            <w:vAlign w:val="bottom"/>
            <w:hideMark/>
          </w:tcPr>
          <w:p w14:paraId="08F9614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830 000</w:t>
            </w:r>
          </w:p>
        </w:tc>
        <w:tc>
          <w:tcPr>
            <w:tcW w:w="1417" w:type="dxa"/>
            <w:tcBorders>
              <w:top w:val="nil"/>
              <w:left w:val="nil"/>
              <w:bottom w:val="nil"/>
              <w:right w:val="nil"/>
            </w:tcBorders>
            <w:vAlign w:val="bottom"/>
            <w:hideMark/>
          </w:tcPr>
          <w:p w14:paraId="621598FD"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763 608</w:t>
            </w:r>
          </w:p>
        </w:tc>
        <w:tc>
          <w:tcPr>
            <w:tcW w:w="1416" w:type="dxa"/>
            <w:tcBorders>
              <w:top w:val="nil"/>
              <w:left w:val="nil"/>
              <w:bottom w:val="nil"/>
              <w:right w:val="nil"/>
            </w:tcBorders>
            <w:vAlign w:val="bottom"/>
            <w:hideMark/>
          </w:tcPr>
          <w:p w14:paraId="719B049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66 392</w:t>
            </w:r>
          </w:p>
        </w:tc>
      </w:tr>
      <w:tr w:rsidR="00992A45" w:rsidRPr="00BD7721" w14:paraId="36D23039" w14:textId="77777777" w:rsidTr="009A4AFD">
        <w:trPr>
          <w:trHeight w:val="300"/>
          <w:jc w:val="right"/>
        </w:trPr>
        <w:tc>
          <w:tcPr>
            <w:tcW w:w="5041" w:type="dxa"/>
            <w:tcBorders>
              <w:top w:val="nil"/>
              <w:left w:val="nil"/>
              <w:bottom w:val="nil"/>
              <w:right w:val="nil"/>
            </w:tcBorders>
            <w:hideMark/>
          </w:tcPr>
          <w:p w14:paraId="5D15C5B8" w14:textId="77777777" w:rsidR="00992A45" w:rsidRPr="00BD7721" w:rsidRDefault="00992A45" w:rsidP="004E48D5">
            <w:pPr>
              <w:tabs>
                <w:tab w:val="left" w:pos="624"/>
                <w:tab w:val="left" w:pos="1871"/>
                <w:tab w:val="left" w:pos="2495"/>
                <w:tab w:val="left" w:pos="3119"/>
                <w:tab w:val="left" w:pos="3742"/>
                <w:tab w:val="left" w:pos="4366"/>
              </w:tabs>
              <w:spacing w:before="40" w:after="40"/>
              <w:ind w:left="319"/>
              <w:rPr>
                <w:color w:val="000000"/>
                <w:sz w:val="18"/>
                <w:szCs w:val="18"/>
              </w:rPr>
            </w:pPr>
            <w:r w:rsidRPr="00BD7721">
              <w:rPr>
                <w:color w:val="000000"/>
                <w:sz w:val="18"/>
                <w:szCs w:val="18"/>
              </w:rPr>
              <w:t>Reporting services</w:t>
            </w:r>
          </w:p>
        </w:tc>
        <w:tc>
          <w:tcPr>
            <w:tcW w:w="1623" w:type="dxa"/>
            <w:tcBorders>
              <w:top w:val="nil"/>
              <w:left w:val="nil"/>
              <w:bottom w:val="nil"/>
              <w:right w:val="nil"/>
            </w:tcBorders>
            <w:vAlign w:val="bottom"/>
            <w:hideMark/>
          </w:tcPr>
          <w:p w14:paraId="274F1E4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65 000</w:t>
            </w:r>
          </w:p>
        </w:tc>
        <w:tc>
          <w:tcPr>
            <w:tcW w:w="1417" w:type="dxa"/>
            <w:tcBorders>
              <w:top w:val="nil"/>
              <w:left w:val="nil"/>
              <w:bottom w:val="nil"/>
              <w:right w:val="nil"/>
            </w:tcBorders>
            <w:vAlign w:val="bottom"/>
            <w:hideMark/>
          </w:tcPr>
          <w:p w14:paraId="21495BFE"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62 786</w:t>
            </w:r>
          </w:p>
        </w:tc>
        <w:tc>
          <w:tcPr>
            <w:tcW w:w="1416" w:type="dxa"/>
            <w:tcBorders>
              <w:top w:val="nil"/>
              <w:left w:val="nil"/>
              <w:bottom w:val="nil"/>
              <w:right w:val="nil"/>
            </w:tcBorders>
            <w:vAlign w:val="bottom"/>
            <w:hideMark/>
          </w:tcPr>
          <w:p w14:paraId="165ADCB8"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2 214</w:t>
            </w:r>
          </w:p>
        </w:tc>
      </w:tr>
      <w:tr w:rsidR="00992A45" w:rsidRPr="00BD7721" w14:paraId="1575718B" w14:textId="77777777" w:rsidTr="009A4AFD">
        <w:trPr>
          <w:trHeight w:val="315"/>
          <w:jc w:val="right"/>
        </w:trPr>
        <w:tc>
          <w:tcPr>
            <w:tcW w:w="5041" w:type="dxa"/>
            <w:tcBorders>
              <w:top w:val="nil"/>
              <w:left w:val="nil"/>
              <w:bottom w:val="single" w:sz="4" w:space="0" w:color="000000"/>
              <w:right w:val="nil"/>
            </w:tcBorders>
            <w:hideMark/>
          </w:tcPr>
          <w:p w14:paraId="3890C915" w14:textId="77777777" w:rsidR="00992A45" w:rsidRPr="00BD7721" w:rsidRDefault="00992A45" w:rsidP="004E48D5">
            <w:pPr>
              <w:tabs>
                <w:tab w:val="left" w:pos="624"/>
                <w:tab w:val="left" w:pos="1871"/>
                <w:tab w:val="left" w:pos="2495"/>
                <w:tab w:val="left" w:pos="3119"/>
                <w:tab w:val="left" w:pos="3742"/>
                <w:tab w:val="left" w:pos="4366"/>
              </w:tabs>
              <w:spacing w:before="40" w:after="40"/>
              <w:ind w:left="319"/>
              <w:rPr>
                <w:color w:val="000000"/>
                <w:sz w:val="18"/>
                <w:szCs w:val="18"/>
              </w:rPr>
            </w:pPr>
            <w:r w:rsidRPr="00BD7721">
              <w:rPr>
                <w:color w:val="000000"/>
                <w:sz w:val="18"/>
                <w:szCs w:val="18"/>
              </w:rPr>
              <w:t xml:space="preserve">Security and other costs </w:t>
            </w:r>
          </w:p>
        </w:tc>
        <w:tc>
          <w:tcPr>
            <w:tcW w:w="1623" w:type="dxa"/>
            <w:tcBorders>
              <w:top w:val="nil"/>
              <w:left w:val="nil"/>
              <w:bottom w:val="single" w:sz="4" w:space="0" w:color="000000"/>
              <w:right w:val="nil"/>
            </w:tcBorders>
            <w:vAlign w:val="bottom"/>
            <w:hideMark/>
          </w:tcPr>
          <w:p w14:paraId="257F0452"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240 000</w:t>
            </w:r>
          </w:p>
        </w:tc>
        <w:tc>
          <w:tcPr>
            <w:tcW w:w="1417" w:type="dxa"/>
            <w:tcBorders>
              <w:top w:val="nil"/>
              <w:left w:val="nil"/>
              <w:bottom w:val="single" w:sz="4" w:space="0" w:color="000000"/>
              <w:right w:val="nil"/>
            </w:tcBorders>
            <w:vAlign w:val="bottom"/>
            <w:hideMark/>
          </w:tcPr>
          <w:p w14:paraId="14D5818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295 178</w:t>
            </w:r>
          </w:p>
        </w:tc>
        <w:tc>
          <w:tcPr>
            <w:tcW w:w="1416" w:type="dxa"/>
            <w:tcBorders>
              <w:top w:val="nil"/>
              <w:left w:val="nil"/>
              <w:bottom w:val="single" w:sz="4" w:space="0" w:color="000000"/>
              <w:right w:val="nil"/>
            </w:tcBorders>
            <w:vAlign w:val="bottom"/>
            <w:hideMark/>
          </w:tcPr>
          <w:p w14:paraId="5DD6D34F"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(55 178)</w:t>
            </w:r>
          </w:p>
        </w:tc>
      </w:tr>
      <w:tr w:rsidR="00992A45" w:rsidRPr="00BD7721" w14:paraId="13B0084D" w14:textId="77777777" w:rsidTr="009A4AFD">
        <w:trPr>
          <w:trHeight w:val="315"/>
          <w:jc w:val="right"/>
        </w:trPr>
        <w:tc>
          <w:tcPr>
            <w:tcW w:w="5041" w:type="dxa"/>
            <w:tcBorders>
              <w:top w:val="single" w:sz="4" w:space="0" w:color="000000"/>
              <w:left w:val="nil"/>
              <w:bottom w:val="single" w:sz="4" w:space="0" w:color="000000"/>
              <w:right w:val="nil"/>
            </w:tcBorders>
            <w:hideMark/>
          </w:tcPr>
          <w:p w14:paraId="55918DED"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Subtotal 1.1, sessions of the Plenary</w:t>
            </w:r>
          </w:p>
        </w:tc>
        <w:tc>
          <w:tcPr>
            <w:tcW w:w="1623" w:type="dxa"/>
            <w:tcBorders>
              <w:top w:val="single" w:sz="4" w:space="0" w:color="000000"/>
              <w:left w:val="nil"/>
              <w:bottom w:val="single" w:sz="4" w:space="0" w:color="000000"/>
              <w:right w:val="nil"/>
            </w:tcBorders>
            <w:vAlign w:val="bottom"/>
            <w:hideMark/>
          </w:tcPr>
          <w:p w14:paraId="4BFEB249"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1 635 000</w:t>
            </w:r>
          </w:p>
        </w:tc>
        <w:tc>
          <w:tcPr>
            <w:tcW w:w="1417" w:type="dxa"/>
            <w:tcBorders>
              <w:top w:val="single" w:sz="4" w:space="0" w:color="000000"/>
              <w:left w:val="nil"/>
              <w:bottom w:val="single" w:sz="4" w:space="0" w:color="000000"/>
              <w:right w:val="nil"/>
            </w:tcBorders>
            <w:vAlign w:val="bottom"/>
            <w:hideMark/>
          </w:tcPr>
          <w:p w14:paraId="050A77A9"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1 517 515</w:t>
            </w:r>
          </w:p>
        </w:tc>
        <w:tc>
          <w:tcPr>
            <w:tcW w:w="1416" w:type="dxa"/>
            <w:tcBorders>
              <w:top w:val="single" w:sz="4" w:space="0" w:color="000000"/>
              <w:left w:val="nil"/>
              <w:bottom w:val="single" w:sz="4" w:space="0" w:color="000000"/>
              <w:right w:val="nil"/>
            </w:tcBorders>
            <w:vAlign w:val="bottom"/>
            <w:hideMark/>
          </w:tcPr>
          <w:p w14:paraId="7D9D396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117 485</w:t>
            </w:r>
          </w:p>
        </w:tc>
      </w:tr>
      <w:tr w:rsidR="00992A45" w:rsidRPr="00BD7721" w14:paraId="55098CCF" w14:textId="77777777" w:rsidTr="009A4AFD">
        <w:trPr>
          <w:trHeight w:val="300"/>
          <w:jc w:val="right"/>
        </w:trPr>
        <w:tc>
          <w:tcPr>
            <w:tcW w:w="5041" w:type="dxa"/>
            <w:tcBorders>
              <w:top w:val="single" w:sz="4" w:space="0" w:color="000000"/>
              <w:left w:val="nil"/>
              <w:bottom w:val="nil"/>
              <w:right w:val="nil"/>
            </w:tcBorders>
            <w:hideMark/>
          </w:tcPr>
          <w:p w14:paraId="633B2A64" w14:textId="77777777" w:rsidR="00992A45" w:rsidRPr="00BD7721" w:rsidRDefault="00992A45" w:rsidP="004E48D5">
            <w:pPr>
              <w:tabs>
                <w:tab w:val="left" w:pos="319"/>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1.2</w:t>
            </w:r>
            <w:r w:rsidRPr="00BD7721">
              <w:rPr>
                <w:b/>
                <w:color w:val="000000"/>
                <w:sz w:val="18"/>
                <w:szCs w:val="18"/>
              </w:rPr>
              <w:tab/>
              <w:t>Bureau and Multidisciplinary Expert Panel sessions</w:t>
            </w:r>
          </w:p>
        </w:tc>
        <w:tc>
          <w:tcPr>
            <w:tcW w:w="1623" w:type="dxa"/>
            <w:tcBorders>
              <w:top w:val="single" w:sz="4" w:space="0" w:color="000000"/>
              <w:left w:val="nil"/>
              <w:bottom w:val="nil"/>
              <w:right w:val="nil"/>
            </w:tcBorders>
            <w:vAlign w:val="bottom"/>
          </w:tcPr>
          <w:p w14:paraId="6FD635E9"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p>
        </w:tc>
        <w:tc>
          <w:tcPr>
            <w:tcW w:w="1417" w:type="dxa"/>
            <w:tcBorders>
              <w:top w:val="single" w:sz="4" w:space="0" w:color="000000"/>
              <w:left w:val="nil"/>
              <w:bottom w:val="nil"/>
              <w:right w:val="nil"/>
            </w:tcBorders>
            <w:vAlign w:val="bottom"/>
          </w:tcPr>
          <w:p w14:paraId="07DF27F4"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p>
        </w:tc>
        <w:tc>
          <w:tcPr>
            <w:tcW w:w="1416" w:type="dxa"/>
            <w:tcBorders>
              <w:top w:val="single" w:sz="4" w:space="0" w:color="000000"/>
              <w:left w:val="nil"/>
              <w:bottom w:val="nil"/>
              <w:right w:val="nil"/>
            </w:tcBorders>
            <w:vAlign w:val="bottom"/>
          </w:tcPr>
          <w:p w14:paraId="170C7C4E"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p>
        </w:tc>
      </w:tr>
      <w:tr w:rsidR="00992A45" w:rsidRPr="00BD7721" w14:paraId="472C5D5C" w14:textId="77777777" w:rsidTr="009A4AFD">
        <w:trPr>
          <w:trHeight w:val="300"/>
          <w:jc w:val="right"/>
        </w:trPr>
        <w:tc>
          <w:tcPr>
            <w:tcW w:w="5041" w:type="dxa"/>
            <w:tcBorders>
              <w:top w:val="nil"/>
              <w:left w:val="nil"/>
              <w:bottom w:val="nil"/>
              <w:right w:val="nil"/>
            </w:tcBorders>
            <w:hideMark/>
          </w:tcPr>
          <w:p w14:paraId="6A6BBE2F" w14:textId="77777777" w:rsidR="00992A45" w:rsidRPr="00BD7721" w:rsidRDefault="00992A45" w:rsidP="004E48D5">
            <w:pPr>
              <w:tabs>
                <w:tab w:val="left" w:pos="624"/>
                <w:tab w:val="left" w:pos="1871"/>
                <w:tab w:val="left" w:pos="2495"/>
                <w:tab w:val="left" w:pos="3119"/>
                <w:tab w:val="left" w:pos="3742"/>
                <w:tab w:val="left" w:pos="4366"/>
              </w:tabs>
              <w:spacing w:before="40" w:after="40"/>
              <w:ind w:left="319"/>
              <w:rPr>
                <w:color w:val="000000"/>
                <w:sz w:val="18"/>
                <w:szCs w:val="18"/>
              </w:rPr>
            </w:pPr>
            <w:r w:rsidRPr="00BD7721">
              <w:rPr>
                <w:color w:val="000000"/>
                <w:sz w:val="18"/>
                <w:szCs w:val="18"/>
              </w:rPr>
              <w:t>Travel and meeting costs for participants for one Bureau session</w:t>
            </w:r>
          </w:p>
        </w:tc>
        <w:tc>
          <w:tcPr>
            <w:tcW w:w="1623" w:type="dxa"/>
            <w:tcBorders>
              <w:top w:val="nil"/>
              <w:left w:val="nil"/>
              <w:bottom w:val="nil"/>
              <w:right w:val="nil"/>
            </w:tcBorders>
            <w:vAlign w:val="bottom"/>
            <w:hideMark/>
          </w:tcPr>
          <w:p w14:paraId="426BFAE0"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35 450</w:t>
            </w:r>
          </w:p>
        </w:tc>
        <w:tc>
          <w:tcPr>
            <w:tcW w:w="1417" w:type="dxa"/>
            <w:tcBorders>
              <w:top w:val="nil"/>
              <w:left w:val="nil"/>
              <w:bottom w:val="nil"/>
              <w:right w:val="nil"/>
            </w:tcBorders>
            <w:vAlign w:val="bottom"/>
            <w:hideMark/>
          </w:tcPr>
          <w:p w14:paraId="43842922"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23 232</w:t>
            </w:r>
          </w:p>
        </w:tc>
        <w:tc>
          <w:tcPr>
            <w:tcW w:w="1416" w:type="dxa"/>
            <w:tcBorders>
              <w:top w:val="nil"/>
              <w:left w:val="nil"/>
              <w:bottom w:val="nil"/>
              <w:right w:val="nil"/>
            </w:tcBorders>
            <w:vAlign w:val="bottom"/>
            <w:hideMark/>
          </w:tcPr>
          <w:p w14:paraId="402ADB50"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12 218</w:t>
            </w:r>
          </w:p>
        </w:tc>
      </w:tr>
      <w:tr w:rsidR="00992A45" w:rsidRPr="00BD7721" w14:paraId="08C9E445" w14:textId="77777777" w:rsidTr="009A4AFD">
        <w:trPr>
          <w:trHeight w:val="315"/>
          <w:jc w:val="right"/>
        </w:trPr>
        <w:tc>
          <w:tcPr>
            <w:tcW w:w="5041" w:type="dxa"/>
            <w:tcBorders>
              <w:top w:val="nil"/>
              <w:left w:val="nil"/>
              <w:bottom w:val="single" w:sz="4" w:space="0" w:color="000000"/>
              <w:right w:val="nil"/>
            </w:tcBorders>
            <w:hideMark/>
          </w:tcPr>
          <w:p w14:paraId="0C066F56" w14:textId="77777777" w:rsidR="00992A45" w:rsidRPr="00BD7721" w:rsidRDefault="00992A45" w:rsidP="004E48D5">
            <w:pPr>
              <w:tabs>
                <w:tab w:val="left" w:pos="624"/>
                <w:tab w:val="left" w:pos="1871"/>
                <w:tab w:val="left" w:pos="2495"/>
                <w:tab w:val="left" w:pos="3119"/>
                <w:tab w:val="left" w:pos="3742"/>
                <w:tab w:val="left" w:pos="4366"/>
              </w:tabs>
              <w:spacing w:before="40" w:after="40"/>
              <w:ind w:left="319"/>
              <w:rPr>
                <w:color w:val="000000"/>
                <w:sz w:val="18"/>
                <w:szCs w:val="18"/>
              </w:rPr>
            </w:pPr>
            <w:r w:rsidRPr="00BD7721">
              <w:rPr>
                <w:color w:val="000000"/>
                <w:sz w:val="18"/>
                <w:szCs w:val="18"/>
              </w:rPr>
              <w:t>Travel and meeting costs for participants for one Panel session</w:t>
            </w:r>
          </w:p>
        </w:tc>
        <w:tc>
          <w:tcPr>
            <w:tcW w:w="1623" w:type="dxa"/>
            <w:tcBorders>
              <w:top w:val="nil"/>
              <w:left w:val="nil"/>
              <w:bottom w:val="single" w:sz="4" w:space="0" w:color="000000"/>
              <w:right w:val="nil"/>
            </w:tcBorders>
            <w:vAlign w:val="bottom"/>
            <w:hideMark/>
          </w:tcPr>
          <w:p w14:paraId="6DE9F2B5"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85 000</w:t>
            </w:r>
          </w:p>
        </w:tc>
        <w:tc>
          <w:tcPr>
            <w:tcW w:w="1417" w:type="dxa"/>
            <w:tcBorders>
              <w:top w:val="nil"/>
              <w:left w:val="nil"/>
              <w:bottom w:val="single" w:sz="4" w:space="0" w:color="000000"/>
              <w:right w:val="nil"/>
            </w:tcBorders>
            <w:vAlign w:val="bottom"/>
            <w:hideMark/>
          </w:tcPr>
          <w:p w14:paraId="4310F9FF"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61 656</w:t>
            </w:r>
          </w:p>
        </w:tc>
        <w:tc>
          <w:tcPr>
            <w:tcW w:w="1416" w:type="dxa"/>
            <w:tcBorders>
              <w:top w:val="nil"/>
              <w:left w:val="nil"/>
              <w:bottom w:val="single" w:sz="4" w:space="0" w:color="000000"/>
              <w:right w:val="nil"/>
            </w:tcBorders>
            <w:vAlign w:val="bottom"/>
            <w:hideMark/>
          </w:tcPr>
          <w:p w14:paraId="7D53895E"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23 344</w:t>
            </w:r>
          </w:p>
        </w:tc>
      </w:tr>
      <w:tr w:rsidR="00992A45" w:rsidRPr="00BD7721" w14:paraId="634BC7CC" w14:textId="77777777" w:rsidTr="009A4AFD">
        <w:trPr>
          <w:trHeight w:val="495"/>
          <w:jc w:val="right"/>
        </w:trPr>
        <w:tc>
          <w:tcPr>
            <w:tcW w:w="5041" w:type="dxa"/>
            <w:tcBorders>
              <w:top w:val="single" w:sz="4" w:space="0" w:color="000000"/>
              <w:left w:val="nil"/>
              <w:bottom w:val="single" w:sz="4" w:space="0" w:color="000000"/>
              <w:right w:val="nil"/>
            </w:tcBorders>
            <w:hideMark/>
          </w:tcPr>
          <w:p w14:paraId="4446EE21"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Subtotal 1.2, Bureau and Multidisciplinary Expert Panel sessions</w:t>
            </w:r>
          </w:p>
        </w:tc>
        <w:tc>
          <w:tcPr>
            <w:tcW w:w="1623" w:type="dxa"/>
            <w:tcBorders>
              <w:top w:val="single" w:sz="4" w:space="0" w:color="000000"/>
              <w:left w:val="nil"/>
              <w:bottom w:val="single" w:sz="4" w:space="0" w:color="000000"/>
              <w:right w:val="nil"/>
            </w:tcBorders>
            <w:vAlign w:val="bottom"/>
            <w:hideMark/>
          </w:tcPr>
          <w:p w14:paraId="702A3144"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120 450</w:t>
            </w:r>
          </w:p>
        </w:tc>
        <w:tc>
          <w:tcPr>
            <w:tcW w:w="1417" w:type="dxa"/>
            <w:tcBorders>
              <w:top w:val="single" w:sz="4" w:space="0" w:color="000000"/>
              <w:left w:val="nil"/>
              <w:bottom w:val="single" w:sz="4" w:space="0" w:color="000000"/>
              <w:right w:val="nil"/>
            </w:tcBorders>
            <w:vAlign w:val="bottom"/>
            <w:hideMark/>
          </w:tcPr>
          <w:p w14:paraId="1DB0F045"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84 888</w:t>
            </w:r>
          </w:p>
        </w:tc>
        <w:tc>
          <w:tcPr>
            <w:tcW w:w="1416" w:type="dxa"/>
            <w:tcBorders>
              <w:top w:val="single" w:sz="4" w:space="0" w:color="000000"/>
              <w:left w:val="nil"/>
              <w:bottom w:val="single" w:sz="4" w:space="0" w:color="000000"/>
              <w:right w:val="nil"/>
            </w:tcBorders>
            <w:vAlign w:val="bottom"/>
            <w:hideMark/>
          </w:tcPr>
          <w:p w14:paraId="27FE5691"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35 562</w:t>
            </w:r>
          </w:p>
        </w:tc>
      </w:tr>
      <w:tr w:rsidR="00992A45" w:rsidRPr="00BD7721" w14:paraId="7E4C3D5D" w14:textId="77777777" w:rsidTr="009A4AFD">
        <w:trPr>
          <w:trHeight w:val="315"/>
          <w:jc w:val="right"/>
        </w:trPr>
        <w:tc>
          <w:tcPr>
            <w:tcW w:w="5041" w:type="dxa"/>
            <w:tcBorders>
              <w:top w:val="single" w:sz="4" w:space="0" w:color="000000"/>
              <w:left w:val="nil"/>
              <w:bottom w:val="single" w:sz="4" w:space="0" w:color="000000"/>
              <w:right w:val="nil"/>
            </w:tcBorders>
            <w:hideMark/>
          </w:tcPr>
          <w:p w14:paraId="6D3CD61E" w14:textId="77777777" w:rsidR="00992A45" w:rsidRPr="00BD7721" w:rsidRDefault="00992A45" w:rsidP="004E48D5">
            <w:pPr>
              <w:tabs>
                <w:tab w:val="left" w:pos="319"/>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1.3</w:t>
            </w:r>
            <w:r w:rsidRPr="00BD7721">
              <w:rPr>
                <w:b/>
                <w:color w:val="000000"/>
                <w:sz w:val="18"/>
                <w:szCs w:val="18"/>
              </w:rPr>
              <w:tab/>
              <w:t>Travel costs of the Chair to represent IPBES</w:t>
            </w:r>
          </w:p>
        </w:tc>
        <w:tc>
          <w:tcPr>
            <w:tcW w:w="1623" w:type="dxa"/>
            <w:tcBorders>
              <w:top w:val="single" w:sz="4" w:space="0" w:color="000000"/>
              <w:left w:val="nil"/>
              <w:bottom w:val="single" w:sz="4" w:space="0" w:color="000000"/>
              <w:right w:val="nil"/>
            </w:tcBorders>
            <w:vAlign w:val="bottom"/>
            <w:hideMark/>
          </w:tcPr>
          <w:p w14:paraId="51EF242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25 000</w:t>
            </w:r>
          </w:p>
        </w:tc>
        <w:tc>
          <w:tcPr>
            <w:tcW w:w="1417" w:type="dxa"/>
            <w:tcBorders>
              <w:top w:val="single" w:sz="4" w:space="0" w:color="000000"/>
              <w:left w:val="nil"/>
              <w:bottom w:val="single" w:sz="4" w:space="0" w:color="000000"/>
              <w:right w:val="nil"/>
            </w:tcBorders>
            <w:vAlign w:val="bottom"/>
            <w:hideMark/>
          </w:tcPr>
          <w:p w14:paraId="5E4AAB55"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13 124</w:t>
            </w:r>
          </w:p>
        </w:tc>
        <w:tc>
          <w:tcPr>
            <w:tcW w:w="1416" w:type="dxa"/>
            <w:tcBorders>
              <w:top w:val="single" w:sz="4" w:space="0" w:color="000000"/>
              <w:left w:val="nil"/>
              <w:bottom w:val="single" w:sz="4" w:space="0" w:color="000000"/>
              <w:right w:val="nil"/>
            </w:tcBorders>
            <w:vAlign w:val="bottom"/>
            <w:hideMark/>
          </w:tcPr>
          <w:p w14:paraId="719BBA70"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11 876</w:t>
            </w:r>
          </w:p>
        </w:tc>
      </w:tr>
      <w:tr w:rsidR="00992A45" w:rsidRPr="00BD7721" w14:paraId="244DB885" w14:textId="77777777" w:rsidTr="009A4AFD">
        <w:trPr>
          <w:trHeight w:val="315"/>
          <w:jc w:val="right"/>
        </w:trPr>
        <w:tc>
          <w:tcPr>
            <w:tcW w:w="5041" w:type="dxa"/>
            <w:tcBorders>
              <w:top w:val="single" w:sz="4" w:space="0" w:color="000000"/>
              <w:left w:val="nil"/>
              <w:bottom w:val="single" w:sz="4" w:space="0" w:color="000000"/>
              <w:right w:val="nil"/>
            </w:tcBorders>
            <w:hideMark/>
          </w:tcPr>
          <w:p w14:paraId="4DDB2187"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Subtotal 1, meetings of the IPBES bodies</w:t>
            </w:r>
          </w:p>
        </w:tc>
        <w:tc>
          <w:tcPr>
            <w:tcW w:w="1623" w:type="dxa"/>
            <w:tcBorders>
              <w:top w:val="single" w:sz="4" w:space="0" w:color="000000"/>
              <w:left w:val="nil"/>
              <w:bottom w:val="single" w:sz="4" w:space="0" w:color="000000"/>
              <w:right w:val="nil"/>
            </w:tcBorders>
            <w:vAlign w:val="bottom"/>
            <w:hideMark/>
          </w:tcPr>
          <w:p w14:paraId="6AA224E9"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1 780 450</w:t>
            </w:r>
          </w:p>
        </w:tc>
        <w:tc>
          <w:tcPr>
            <w:tcW w:w="1417" w:type="dxa"/>
            <w:tcBorders>
              <w:top w:val="single" w:sz="4" w:space="0" w:color="000000"/>
              <w:left w:val="nil"/>
              <w:bottom w:val="single" w:sz="4" w:space="0" w:color="000000"/>
              <w:right w:val="nil"/>
            </w:tcBorders>
            <w:vAlign w:val="bottom"/>
            <w:hideMark/>
          </w:tcPr>
          <w:p w14:paraId="696EFBEC"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1 615 528</w:t>
            </w:r>
          </w:p>
        </w:tc>
        <w:tc>
          <w:tcPr>
            <w:tcW w:w="1416" w:type="dxa"/>
            <w:tcBorders>
              <w:top w:val="single" w:sz="4" w:space="0" w:color="000000"/>
              <w:left w:val="nil"/>
              <w:bottom w:val="single" w:sz="4" w:space="0" w:color="000000"/>
              <w:right w:val="nil"/>
            </w:tcBorders>
            <w:vAlign w:val="bottom"/>
            <w:hideMark/>
          </w:tcPr>
          <w:p w14:paraId="61C3818C"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164 922</w:t>
            </w:r>
          </w:p>
        </w:tc>
      </w:tr>
      <w:tr w:rsidR="00992A45" w:rsidRPr="00BD7721" w14:paraId="394DF57D" w14:textId="77777777" w:rsidTr="004E48D5">
        <w:trPr>
          <w:trHeight w:val="300"/>
          <w:jc w:val="right"/>
        </w:trPr>
        <w:tc>
          <w:tcPr>
            <w:tcW w:w="6664" w:type="dxa"/>
            <w:gridSpan w:val="2"/>
            <w:tcBorders>
              <w:top w:val="single" w:sz="4" w:space="0" w:color="000000"/>
              <w:left w:val="nil"/>
              <w:bottom w:val="nil"/>
              <w:right w:val="nil"/>
            </w:tcBorders>
            <w:hideMark/>
          </w:tcPr>
          <w:p w14:paraId="54AC85EE" w14:textId="77777777" w:rsidR="00992A45" w:rsidRPr="00BD7721" w:rsidRDefault="00992A45" w:rsidP="004E48D5">
            <w:pPr>
              <w:tabs>
                <w:tab w:val="left" w:pos="319"/>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2.</w:t>
            </w:r>
            <w:r w:rsidRPr="00BD7721">
              <w:rPr>
                <w:b/>
                <w:color w:val="000000"/>
                <w:sz w:val="18"/>
                <w:szCs w:val="18"/>
              </w:rPr>
              <w:tab/>
              <w:t xml:space="preserve">Implementation of the work programme </w:t>
            </w:r>
          </w:p>
        </w:tc>
        <w:tc>
          <w:tcPr>
            <w:tcW w:w="1417" w:type="dxa"/>
            <w:tcBorders>
              <w:top w:val="single" w:sz="4" w:space="0" w:color="000000"/>
              <w:left w:val="nil"/>
              <w:bottom w:val="nil"/>
              <w:right w:val="nil"/>
            </w:tcBorders>
          </w:tcPr>
          <w:p w14:paraId="799ADD7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p>
        </w:tc>
        <w:tc>
          <w:tcPr>
            <w:tcW w:w="1416" w:type="dxa"/>
            <w:tcBorders>
              <w:top w:val="single" w:sz="4" w:space="0" w:color="000000"/>
              <w:left w:val="nil"/>
              <w:bottom w:val="nil"/>
              <w:right w:val="nil"/>
            </w:tcBorders>
          </w:tcPr>
          <w:p w14:paraId="452F0E8C"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p>
        </w:tc>
      </w:tr>
      <w:tr w:rsidR="00992A45" w:rsidRPr="00BD7721" w14:paraId="74BAF4EA" w14:textId="77777777" w:rsidTr="004E48D5">
        <w:trPr>
          <w:trHeight w:val="300"/>
          <w:jc w:val="right"/>
        </w:trPr>
        <w:tc>
          <w:tcPr>
            <w:tcW w:w="6664" w:type="dxa"/>
            <w:gridSpan w:val="2"/>
            <w:tcBorders>
              <w:top w:val="nil"/>
              <w:left w:val="nil"/>
              <w:bottom w:val="nil"/>
              <w:right w:val="nil"/>
            </w:tcBorders>
            <w:hideMark/>
          </w:tcPr>
          <w:p w14:paraId="7ECF9413"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Part A: first work programme (wp1)</w:t>
            </w:r>
          </w:p>
        </w:tc>
        <w:tc>
          <w:tcPr>
            <w:tcW w:w="1417" w:type="dxa"/>
            <w:tcBorders>
              <w:top w:val="nil"/>
              <w:left w:val="nil"/>
              <w:bottom w:val="nil"/>
              <w:right w:val="nil"/>
            </w:tcBorders>
          </w:tcPr>
          <w:p w14:paraId="7C708AAB"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p>
        </w:tc>
        <w:tc>
          <w:tcPr>
            <w:tcW w:w="1416" w:type="dxa"/>
            <w:tcBorders>
              <w:top w:val="nil"/>
              <w:left w:val="nil"/>
              <w:bottom w:val="nil"/>
              <w:right w:val="nil"/>
            </w:tcBorders>
          </w:tcPr>
          <w:p w14:paraId="0484C660"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p>
        </w:tc>
      </w:tr>
      <w:tr w:rsidR="00992A45" w:rsidRPr="00BD7721" w14:paraId="52933D99" w14:textId="77777777" w:rsidTr="009A4AFD">
        <w:trPr>
          <w:trHeight w:val="475"/>
          <w:jc w:val="right"/>
        </w:trPr>
        <w:tc>
          <w:tcPr>
            <w:tcW w:w="5041" w:type="dxa"/>
            <w:tcBorders>
              <w:top w:val="nil"/>
              <w:left w:val="nil"/>
              <w:bottom w:val="nil"/>
              <w:right w:val="nil"/>
            </w:tcBorders>
            <w:hideMark/>
          </w:tcPr>
          <w:p w14:paraId="43529D02" w14:textId="446BAE68" w:rsidR="00992A45" w:rsidRPr="00BD7721" w:rsidRDefault="009E4281" w:rsidP="00B945B3">
            <w:pPr>
              <w:pStyle w:val="Normal-pool-Table"/>
              <w:rPr>
                <w:b/>
                <w:color w:val="000000"/>
                <w:szCs w:val="18"/>
                <w:lang w:val="en-GB"/>
              </w:rPr>
            </w:pPr>
            <w:r w:rsidRPr="00BD7721">
              <w:rPr>
                <w:b/>
                <w:color w:val="000000"/>
                <w:lang w:val="en-GB"/>
              </w:rPr>
              <w:t>wp1</w:t>
            </w:r>
            <w:r w:rsidR="005F3A21" w:rsidRPr="00BD7721">
              <w:rPr>
                <w:b/>
                <w:color w:val="000000"/>
                <w:szCs w:val="18"/>
                <w:lang w:val="en-GB"/>
              </w:rPr>
              <w:t xml:space="preserve"> </w:t>
            </w:r>
            <w:r w:rsidRPr="00BD7721">
              <w:rPr>
                <w:b/>
                <w:color w:val="000000"/>
                <w:szCs w:val="18"/>
                <w:lang w:val="en-GB"/>
              </w:rPr>
              <w:t>-</w:t>
            </w:r>
            <w:r w:rsidR="005F3A21" w:rsidRPr="00BD7721">
              <w:rPr>
                <w:b/>
                <w:color w:val="000000"/>
                <w:szCs w:val="18"/>
                <w:lang w:val="en-GB"/>
              </w:rPr>
              <w:t xml:space="preserve"> </w:t>
            </w:r>
            <w:r w:rsidR="00992A45" w:rsidRPr="00BD7721">
              <w:rPr>
                <w:b/>
                <w:color w:val="000000"/>
                <w:szCs w:val="18"/>
                <w:lang w:val="en-GB"/>
              </w:rPr>
              <w:t>Objective 3: strengthen the knowledge-policy interface with regard to thematic and methodological issues</w:t>
            </w:r>
          </w:p>
        </w:tc>
        <w:tc>
          <w:tcPr>
            <w:tcW w:w="1623" w:type="dxa"/>
            <w:tcBorders>
              <w:top w:val="nil"/>
              <w:left w:val="nil"/>
              <w:bottom w:val="nil"/>
              <w:right w:val="nil"/>
            </w:tcBorders>
            <w:vAlign w:val="bottom"/>
            <w:hideMark/>
          </w:tcPr>
          <w:p w14:paraId="535E340F"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1 084 250</w:t>
            </w:r>
          </w:p>
        </w:tc>
        <w:tc>
          <w:tcPr>
            <w:tcW w:w="1417" w:type="dxa"/>
            <w:tcBorders>
              <w:top w:val="nil"/>
              <w:left w:val="nil"/>
              <w:bottom w:val="nil"/>
              <w:right w:val="nil"/>
            </w:tcBorders>
            <w:vAlign w:val="bottom"/>
            <w:hideMark/>
          </w:tcPr>
          <w:p w14:paraId="6000179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847 561</w:t>
            </w:r>
          </w:p>
        </w:tc>
        <w:tc>
          <w:tcPr>
            <w:tcW w:w="1416" w:type="dxa"/>
            <w:tcBorders>
              <w:top w:val="nil"/>
              <w:left w:val="nil"/>
              <w:bottom w:val="nil"/>
              <w:right w:val="nil"/>
            </w:tcBorders>
            <w:vAlign w:val="bottom"/>
            <w:hideMark/>
          </w:tcPr>
          <w:p w14:paraId="7E95C428"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236 689</w:t>
            </w:r>
          </w:p>
        </w:tc>
      </w:tr>
      <w:tr w:rsidR="00992A45" w:rsidRPr="00BD7721" w14:paraId="7F24B66A" w14:textId="77777777" w:rsidTr="009A4AFD">
        <w:trPr>
          <w:trHeight w:val="300"/>
          <w:jc w:val="right"/>
        </w:trPr>
        <w:tc>
          <w:tcPr>
            <w:tcW w:w="5041" w:type="dxa"/>
            <w:tcBorders>
              <w:top w:val="nil"/>
              <w:left w:val="nil"/>
              <w:bottom w:val="nil"/>
              <w:right w:val="nil"/>
            </w:tcBorders>
            <w:hideMark/>
          </w:tcPr>
          <w:p w14:paraId="75AEF537" w14:textId="351E080A" w:rsidR="00992A45" w:rsidRPr="00BD7721" w:rsidRDefault="009E4281" w:rsidP="00B945B3">
            <w:pPr>
              <w:pStyle w:val="Normal-pool-Table"/>
              <w:rPr>
                <w:color w:val="000000"/>
                <w:szCs w:val="18"/>
                <w:lang w:val="en-GB"/>
              </w:rPr>
            </w:pPr>
            <w:r w:rsidRPr="00BD7721">
              <w:rPr>
                <w:b/>
                <w:color w:val="000000"/>
                <w:lang w:val="en-GB"/>
              </w:rPr>
              <w:t>wp1</w:t>
            </w:r>
            <w:r w:rsidR="005F3A21" w:rsidRPr="00BD7721">
              <w:rPr>
                <w:b/>
                <w:color w:val="000000"/>
                <w:szCs w:val="18"/>
                <w:lang w:val="en-GB"/>
              </w:rPr>
              <w:t xml:space="preserve"> </w:t>
            </w:r>
            <w:r w:rsidRPr="00BD7721">
              <w:rPr>
                <w:b/>
                <w:color w:val="000000"/>
                <w:szCs w:val="18"/>
                <w:lang w:val="en-GB"/>
              </w:rPr>
              <w:t>-</w:t>
            </w:r>
            <w:r w:rsidR="005F3A21" w:rsidRPr="00BD7721">
              <w:rPr>
                <w:b/>
                <w:color w:val="000000"/>
                <w:szCs w:val="18"/>
                <w:lang w:val="en-GB"/>
              </w:rPr>
              <w:t xml:space="preserve"> </w:t>
            </w:r>
            <w:r w:rsidR="00992A45" w:rsidRPr="00BD7721">
              <w:rPr>
                <w:color w:val="000000"/>
                <w:szCs w:val="18"/>
                <w:lang w:val="en-GB"/>
              </w:rPr>
              <w:t xml:space="preserve">Deliverable 3 (b) (ii): invasive alien species assessment </w:t>
            </w:r>
          </w:p>
        </w:tc>
        <w:tc>
          <w:tcPr>
            <w:tcW w:w="1623" w:type="dxa"/>
            <w:tcBorders>
              <w:top w:val="nil"/>
              <w:left w:val="nil"/>
              <w:bottom w:val="nil"/>
              <w:right w:val="nil"/>
            </w:tcBorders>
            <w:vAlign w:val="bottom"/>
            <w:hideMark/>
          </w:tcPr>
          <w:p w14:paraId="540228A1"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296 500</w:t>
            </w:r>
          </w:p>
        </w:tc>
        <w:tc>
          <w:tcPr>
            <w:tcW w:w="1417" w:type="dxa"/>
            <w:tcBorders>
              <w:top w:val="nil"/>
              <w:left w:val="nil"/>
              <w:bottom w:val="nil"/>
              <w:right w:val="nil"/>
            </w:tcBorders>
            <w:vAlign w:val="bottom"/>
            <w:hideMark/>
          </w:tcPr>
          <w:p w14:paraId="71DD86D2"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199 336</w:t>
            </w:r>
          </w:p>
        </w:tc>
        <w:tc>
          <w:tcPr>
            <w:tcW w:w="1416" w:type="dxa"/>
            <w:tcBorders>
              <w:top w:val="nil"/>
              <w:left w:val="nil"/>
              <w:bottom w:val="nil"/>
              <w:right w:val="nil"/>
            </w:tcBorders>
            <w:vAlign w:val="bottom"/>
            <w:hideMark/>
          </w:tcPr>
          <w:p w14:paraId="5A8A1A6D"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97 164</w:t>
            </w:r>
          </w:p>
        </w:tc>
      </w:tr>
      <w:tr w:rsidR="00992A45" w:rsidRPr="00BD7721" w14:paraId="596B37A4" w14:textId="77777777" w:rsidTr="009A4AFD">
        <w:trPr>
          <w:trHeight w:val="480"/>
          <w:jc w:val="right"/>
        </w:trPr>
        <w:tc>
          <w:tcPr>
            <w:tcW w:w="5041" w:type="dxa"/>
            <w:tcBorders>
              <w:top w:val="nil"/>
              <w:left w:val="nil"/>
              <w:bottom w:val="nil"/>
              <w:right w:val="nil"/>
            </w:tcBorders>
            <w:hideMark/>
          </w:tcPr>
          <w:p w14:paraId="3E76F326" w14:textId="1F71F67A" w:rsidR="00992A45" w:rsidRPr="00BD7721" w:rsidRDefault="009E4281" w:rsidP="00B945B3">
            <w:pPr>
              <w:pStyle w:val="Normal-pool-Table"/>
              <w:rPr>
                <w:color w:val="000000"/>
                <w:szCs w:val="18"/>
                <w:lang w:val="en-GB"/>
              </w:rPr>
            </w:pPr>
            <w:r w:rsidRPr="00BD7721">
              <w:rPr>
                <w:b/>
                <w:color w:val="000000"/>
                <w:szCs w:val="18"/>
                <w:lang w:val="en-GB"/>
              </w:rPr>
              <w:t>wp1</w:t>
            </w:r>
            <w:r w:rsidR="005F3A21" w:rsidRPr="00BD7721">
              <w:rPr>
                <w:b/>
                <w:color w:val="000000"/>
                <w:szCs w:val="18"/>
                <w:lang w:val="en-GB"/>
              </w:rPr>
              <w:t xml:space="preserve"> </w:t>
            </w:r>
            <w:r w:rsidRPr="00BD7721">
              <w:rPr>
                <w:b/>
                <w:color w:val="000000"/>
                <w:szCs w:val="18"/>
                <w:lang w:val="en-GB"/>
              </w:rPr>
              <w:t>-</w:t>
            </w:r>
            <w:r w:rsidR="005F3A21" w:rsidRPr="00BD7721">
              <w:rPr>
                <w:b/>
                <w:color w:val="000000"/>
                <w:szCs w:val="18"/>
                <w:lang w:val="en-GB"/>
              </w:rPr>
              <w:t xml:space="preserve"> </w:t>
            </w:r>
            <w:r w:rsidR="00992A45" w:rsidRPr="00BD7721">
              <w:rPr>
                <w:color w:val="000000"/>
                <w:szCs w:val="18"/>
                <w:lang w:val="en-GB"/>
              </w:rPr>
              <w:t xml:space="preserve">Deliverable 3 (b) (iii): sustainable use of wild species assessment </w:t>
            </w:r>
          </w:p>
        </w:tc>
        <w:tc>
          <w:tcPr>
            <w:tcW w:w="1623" w:type="dxa"/>
            <w:tcBorders>
              <w:top w:val="nil"/>
              <w:left w:val="nil"/>
              <w:bottom w:val="nil"/>
              <w:right w:val="nil"/>
            </w:tcBorders>
            <w:vAlign w:val="bottom"/>
            <w:hideMark/>
          </w:tcPr>
          <w:p w14:paraId="745ACF58"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406 500</w:t>
            </w:r>
          </w:p>
        </w:tc>
        <w:tc>
          <w:tcPr>
            <w:tcW w:w="1417" w:type="dxa"/>
            <w:tcBorders>
              <w:top w:val="nil"/>
              <w:left w:val="nil"/>
              <w:bottom w:val="nil"/>
              <w:right w:val="nil"/>
            </w:tcBorders>
            <w:vAlign w:val="bottom"/>
            <w:hideMark/>
          </w:tcPr>
          <w:p w14:paraId="5AD15B4D"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319 828</w:t>
            </w:r>
          </w:p>
        </w:tc>
        <w:tc>
          <w:tcPr>
            <w:tcW w:w="1416" w:type="dxa"/>
            <w:tcBorders>
              <w:top w:val="nil"/>
              <w:left w:val="nil"/>
              <w:bottom w:val="nil"/>
              <w:right w:val="nil"/>
            </w:tcBorders>
            <w:vAlign w:val="bottom"/>
            <w:hideMark/>
          </w:tcPr>
          <w:p w14:paraId="2CA88E63"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86 672</w:t>
            </w:r>
          </w:p>
        </w:tc>
      </w:tr>
      <w:tr w:rsidR="00992A45" w:rsidRPr="00BD7721" w14:paraId="3B31035A" w14:textId="77777777" w:rsidTr="009A4AFD">
        <w:trPr>
          <w:trHeight w:val="315"/>
          <w:jc w:val="right"/>
        </w:trPr>
        <w:tc>
          <w:tcPr>
            <w:tcW w:w="5041" w:type="dxa"/>
            <w:tcBorders>
              <w:top w:val="nil"/>
              <w:left w:val="nil"/>
              <w:bottom w:val="single" w:sz="4" w:space="0" w:color="000000"/>
              <w:right w:val="nil"/>
            </w:tcBorders>
            <w:hideMark/>
          </w:tcPr>
          <w:p w14:paraId="014279F4" w14:textId="34C65FAC" w:rsidR="00992A45" w:rsidRPr="00BD7721" w:rsidRDefault="009E4281" w:rsidP="00B945B3">
            <w:pPr>
              <w:pStyle w:val="Normal-pool-Table"/>
              <w:rPr>
                <w:color w:val="000000"/>
                <w:szCs w:val="18"/>
                <w:lang w:val="en-GB"/>
              </w:rPr>
            </w:pPr>
            <w:r w:rsidRPr="00BD7721">
              <w:rPr>
                <w:b/>
                <w:color w:val="000000"/>
                <w:lang w:val="en-GB"/>
              </w:rPr>
              <w:t>wp1</w:t>
            </w:r>
            <w:r w:rsidR="005F3A21" w:rsidRPr="00BD7721">
              <w:rPr>
                <w:b/>
                <w:color w:val="000000"/>
                <w:szCs w:val="18"/>
                <w:lang w:val="en-GB"/>
              </w:rPr>
              <w:t xml:space="preserve"> </w:t>
            </w:r>
            <w:r w:rsidRPr="00BD7721">
              <w:rPr>
                <w:b/>
                <w:color w:val="000000"/>
                <w:szCs w:val="18"/>
                <w:lang w:val="en-GB"/>
              </w:rPr>
              <w:t>-</w:t>
            </w:r>
            <w:r w:rsidR="005F3A21" w:rsidRPr="00BD7721">
              <w:rPr>
                <w:b/>
                <w:color w:val="000000"/>
                <w:szCs w:val="18"/>
                <w:lang w:val="en-GB"/>
              </w:rPr>
              <w:t xml:space="preserve"> </w:t>
            </w:r>
            <w:r w:rsidR="00992A45" w:rsidRPr="00BD7721">
              <w:rPr>
                <w:color w:val="000000"/>
                <w:szCs w:val="18"/>
                <w:lang w:val="en-GB"/>
              </w:rPr>
              <w:t xml:space="preserve">Deliverable 3 (d): values assessment </w:t>
            </w:r>
          </w:p>
        </w:tc>
        <w:tc>
          <w:tcPr>
            <w:tcW w:w="1623" w:type="dxa"/>
            <w:tcBorders>
              <w:top w:val="nil"/>
              <w:left w:val="nil"/>
              <w:bottom w:val="single" w:sz="4" w:space="0" w:color="000000"/>
              <w:right w:val="nil"/>
            </w:tcBorders>
            <w:vAlign w:val="bottom"/>
            <w:hideMark/>
          </w:tcPr>
          <w:p w14:paraId="6E4D444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381 250</w:t>
            </w:r>
          </w:p>
        </w:tc>
        <w:tc>
          <w:tcPr>
            <w:tcW w:w="1417" w:type="dxa"/>
            <w:tcBorders>
              <w:top w:val="nil"/>
              <w:left w:val="nil"/>
              <w:bottom w:val="single" w:sz="4" w:space="0" w:color="000000"/>
              <w:right w:val="nil"/>
            </w:tcBorders>
            <w:vAlign w:val="bottom"/>
            <w:hideMark/>
          </w:tcPr>
          <w:p w14:paraId="2541524E"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328 397</w:t>
            </w:r>
          </w:p>
        </w:tc>
        <w:tc>
          <w:tcPr>
            <w:tcW w:w="1416" w:type="dxa"/>
            <w:tcBorders>
              <w:top w:val="nil"/>
              <w:left w:val="nil"/>
              <w:bottom w:val="single" w:sz="4" w:space="0" w:color="000000"/>
              <w:right w:val="nil"/>
            </w:tcBorders>
            <w:vAlign w:val="bottom"/>
            <w:hideMark/>
          </w:tcPr>
          <w:p w14:paraId="55FF38C0"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52 853</w:t>
            </w:r>
          </w:p>
        </w:tc>
      </w:tr>
      <w:tr w:rsidR="00992A45" w:rsidRPr="00BD7721" w14:paraId="25DD181C" w14:textId="77777777" w:rsidTr="009A4AFD">
        <w:trPr>
          <w:trHeight w:val="315"/>
          <w:jc w:val="right"/>
        </w:trPr>
        <w:tc>
          <w:tcPr>
            <w:tcW w:w="5041" w:type="dxa"/>
            <w:tcBorders>
              <w:top w:val="single" w:sz="4" w:space="0" w:color="000000"/>
              <w:left w:val="nil"/>
              <w:bottom w:val="single" w:sz="4" w:space="0" w:color="auto"/>
              <w:right w:val="nil"/>
            </w:tcBorders>
            <w:hideMark/>
          </w:tcPr>
          <w:p w14:paraId="625A7939"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Subtotal, part A</w:t>
            </w:r>
          </w:p>
        </w:tc>
        <w:tc>
          <w:tcPr>
            <w:tcW w:w="1623" w:type="dxa"/>
            <w:tcBorders>
              <w:top w:val="single" w:sz="4" w:space="0" w:color="000000"/>
              <w:left w:val="nil"/>
              <w:bottom w:val="single" w:sz="4" w:space="0" w:color="auto"/>
              <w:right w:val="nil"/>
            </w:tcBorders>
            <w:vAlign w:val="bottom"/>
            <w:hideMark/>
          </w:tcPr>
          <w:p w14:paraId="43E95E44"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1 084 250</w:t>
            </w:r>
          </w:p>
        </w:tc>
        <w:tc>
          <w:tcPr>
            <w:tcW w:w="1417" w:type="dxa"/>
            <w:tcBorders>
              <w:top w:val="single" w:sz="4" w:space="0" w:color="000000"/>
              <w:left w:val="nil"/>
              <w:bottom w:val="single" w:sz="4" w:space="0" w:color="auto"/>
              <w:right w:val="nil"/>
            </w:tcBorders>
            <w:vAlign w:val="bottom"/>
            <w:hideMark/>
          </w:tcPr>
          <w:p w14:paraId="6AD23962"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847 561</w:t>
            </w:r>
          </w:p>
        </w:tc>
        <w:tc>
          <w:tcPr>
            <w:tcW w:w="1416" w:type="dxa"/>
            <w:tcBorders>
              <w:top w:val="single" w:sz="4" w:space="0" w:color="000000"/>
              <w:left w:val="nil"/>
              <w:bottom w:val="single" w:sz="4" w:space="0" w:color="auto"/>
              <w:right w:val="nil"/>
            </w:tcBorders>
            <w:vAlign w:val="bottom"/>
            <w:hideMark/>
          </w:tcPr>
          <w:p w14:paraId="1DF046E9"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236 689</w:t>
            </w:r>
          </w:p>
        </w:tc>
      </w:tr>
      <w:tr w:rsidR="00992A45" w:rsidRPr="00BD7721" w14:paraId="1BE2C2BD" w14:textId="77777777" w:rsidTr="009A4AFD">
        <w:trPr>
          <w:trHeight w:val="300"/>
          <w:jc w:val="right"/>
        </w:trPr>
        <w:tc>
          <w:tcPr>
            <w:tcW w:w="5041" w:type="dxa"/>
            <w:tcBorders>
              <w:top w:val="single" w:sz="4" w:space="0" w:color="auto"/>
              <w:left w:val="nil"/>
              <w:bottom w:val="nil"/>
              <w:right w:val="nil"/>
            </w:tcBorders>
            <w:hideMark/>
          </w:tcPr>
          <w:p w14:paraId="2DF2BE3E"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Part B: rolling work programme up to 2030</w:t>
            </w:r>
          </w:p>
        </w:tc>
        <w:tc>
          <w:tcPr>
            <w:tcW w:w="1623" w:type="dxa"/>
            <w:tcBorders>
              <w:top w:val="single" w:sz="4" w:space="0" w:color="auto"/>
              <w:left w:val="nil"/>
              <w:bottom w:val="nil"/>
              <w:right w:val="nil"/>
            </w:tcBorders>
            <w:vAlign w:val="bottom"/>
          </w:tcPr>
          <w:p w14:paraId="547922B8"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p>
        </w:tc>
        <w:tc>
          <w:tcPr>
            <w:tcW w:w="1417" w:type="dxa"/>
            <w:tcBorders>
              <w:top w:val="single" w:sz="4" w:space="0" w:color="auto"/>
              <w:left w:val="nil"/>
              <w:bottom w:val="nil"/>
              <w:right w:val="nil"/>
            </w:tcBorders>
            <w:vAlign w:val="bottom"/>
          </w:tcPr>
          <w:p w14:paraId="4635D0A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p>
        </w:tc>
        <w:tc>
          <w:tcPr>
            <w:tcW w:w="1416" w:type="dxa"/>
            <w:tcBorders>
              <w:top w:val="single" w:sz="4" w:space="0" w:color="auto"/>
              <w:left w:val="nil"/>
              <w:bottom w:val="nil"/>
              <w:right w:val="nil"/>
            </w:tcBorders>
            <w:vAlign w:val="bottom"/>
          </w:tcPr>
          <w:p w14:paraId="1992480C"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p>
        </w:tc>
      </w:tr>
      <w:tr w:rsidR="00992A45" w:rsidRPr="00BD7721" w14:paraId="124E51B0" w14:textId="77777777" w:rsidTr="009A4AFD">
        <w:trPr>
          <w:trHeight w:val="300"/>
          <w:jc w:val="right"/>
        </w:trPr>
        <w:tc>
          <w:tcPr>
            <w:tcW w:w="5041" w:type="dxa"/>
            <w:tcBorders>
              <w:top w:val="nil"/>
              <w:left w:val="nil"/>
              <w:bottom w:val="single" w:sz="4" w:space="0" w:color="auto"/>
              <w:right w:val="nil"/>
            </w:tcBorders>
            <w:hideMark/>
          </w:tcPr>
          <w:p w14:paraId="65557FFC"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Objective 1: assessing knowledge</w:t>
            </w:r>
          </w:p>
        </w:tc>
        <w:tc>
          <w:tcPr>
            <w:tcW w:w="1623" w:type="dxa"/>
            <w:tcBorders>
              <w:top w:val="nil"/>
              <w:left w:val="nil"/>
              <w:bottom w:val="single" w:sz="4" w:space="0" w:color="auto"/>
              <w:right w:val="nil"/>
            </w:tcBorders>
            <w:vAlign w:val="bottom"/>
            <w:hideMark/>
          </w:tcPr>
          <w:p w14:paraId="1C1BD0A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1 084 420</w:t>
            </w:r>
          </w:p>
        </w:tc>
        <w:tc>
          <w:tcPr>
            <w:tcW w:w="1417" w:type="dxa"/>
            <w:tcBorders>
              <w:top w:val="nil"/>
              <w:left w:val="nil"/>
              <w:bottom w:val="single" w:sz="4" w:space="0" w:color="auto"/>
              <w:right w:val="nil"/>
            </w:tcBorders>
            <w:vAlign w:val="bottom"/>
            <w:hideMark/>
          </w:tcPr>
          <w:p w14:paraId="72202B92"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590 635</w:t>
            </w:r>
          </w:p>
        </w:tc>
        <w:tc>
          <w:tcPr>
            <w:tcW w:w="1416" w:type="dxa"/>
            <w:tcBorders>
              <w:top w:val="nil"/>
              <w:left w:val="nil"/>
              <w:bottom w:val="single" w:sz="4" w:space="0" w:color="auto"/>
              <w:right w:val="nil"/>
            </w:tcBorders>
            <w:vAlign w:val="bottom"/>
            <w:hideMark/>
          </w:tcPr>
          <w:p w14:paraId="573473E1"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493 785</w:t>
            </w:r>
          </w:p>
        </w:tc>
      </w:tr>
      <w:tr w:rsidR="00992A45" w:rsidRPr="00BD7721" w14:paraId="1CC89AA1" w14:textId="77777777" w:rsidTr="009A4AFD">
        <w:trPr>
          <w:trHeight w:val="475"/>
          <w:jc w:val="right"/>
        </w:trPr>
        <w:tc>
          <w:tcPr>
            <w:tcW w:w="5041" w:type="dxa"/>
            <w:tcBorders>
              <w:top w:val="single" w:sz="4" w:space="0" w:color="auto"/>
              <w:left w:val="nil"/>
              <w:bottom w:val="nil"/>
              <w:right w:val="nil"/>
            </w:tcBorders>
            <w:hideMark/>
          </w:tcPr>
          <w:p w14:paraId="61A08355"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Deliverable 1 (a): a thematic assessment of the interlinkages among biodiversity, water, food and health (nexus assessment)</w:t>
            </w:r>
          </w:p>
        </w:tc>
        <w:tc>
          <w:tcPr>
            <w:tcW w:w="1623" w:type="dxa"/>
            <w:tcBorders>
              <w:top w:val="single" w:sz="4" w:space="0" w:color="auto"/>
              <w:left w:val="nil"/>
              <w:bottom w:val="nil"/>
              <w:right w:val="nil"/>
            </w:tcBorders>
            <w:vAlign w:val="bottom"/>
            <w:hideMark/>
          </w:tcPr>
          <w:p w14:paraId="65DB4F22"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663 170</w:t>
            </w:r>
          </w:p>
        </w:tc>
        <w:tc>
          <w:tcPr>
            <w:tcW w:w="1417" w:type="dxa"/>
            <w:tcBorders>
              <w:top w:val="single" w:sz="4" w:space="0" w:color="auto"/>
              <w:left w:val="nil"/>
              <w:bottom w:val="nil"/>
              <w:right w:val="nil"/>
            </w:tcBorders>
            <w:vAlign w:val="bottom"/>
            <w:hideMark/>
          </w:tcPr>
          <w:p w14:paraId="2977C3D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365 597</w:t>
            </w:r>
          </w:p>
        </w:tc>
        <w:tc>
          <w:tcPr>
            <w:tcW w:w="1416" w:type="dxa"/>
            <w:tcBorders>
              <w:top w:val="single" w:sz="4" w:space="0" w:color="auto"/>
              <w:left w:val="nil"/>
              <w:bottom w:val="nil"/>
              <w:right w:val="nil"/>
            </w:tcBorders>
            <w:vAlign w:val="bottom"/>
            <w:hideMark/>
          </w:tcPr>
          <w:p w14:paraId="72A0C593"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297 573</w:t>
            </w:r>
          </w:p>
        </w:tc>
      </w:tr>
      <w:tr w:rsidR="00992A45" w:rsidRPr="00BD7721" w14:paraId="1787CDB7" w14:textId="77777777" w:rsidTr="009A4AFD">
        <w:trPr>
          <w:trHeight w:val="560"/>
          <w:jc w:val="right"/>
        </w:trPr>
        <w:tc>
          <w:tcPr>
            <w:tcW w:w="5041" w:type="dxa"/>
            <w:tcBorders>
              <w:top w:val="nil"/>
              <w:left w:val="nil"/>
              <w:bottom w:val="single" w:sz="4" w:space="0" w:color="auto"/>
              <w:right w:val="nil"/>
            </w:tcBorders>
            <w:hideMark/>
          </w:tcPr>
          <w:p w14:paraId="56E0E0A3"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Deliverable 1 (c): a thematic assessment of the underlying causes of biodiversity loss and the determinants of transformative change and options for achieving the 2050 Vision for Biodiversity (transformative change assessment)</w:t>
            </w:r>
          </w:p>
        </w:tc>
        <w:tc>
          <w:tcPr>
            <w:tcW w:w="1623" w:type="dxa"/>
            <w:tcBorders>
              <w:top w:val="nil"/>
              <w:left w:val="nil"/>
              <w:bottom w:val="single" w:sz="4" w:space="0" w:color="auto"/>
              <w:right w:val="nil"/>
            </w:tcBorders>
            <w:vAlign w:val="bottom"/>
            <w:hideMark/>
          </w:tcPr>
          <w:p w14:paraId="0C16B85E"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421 250</w:t>
            </w:r>
          </w:p>
        </w:tc>
        <w:tc>
          <w:tcPr>
            <w:tcW w:w="1417" w:type="dxa"/>
            <w:tcBorders>
              <w:top w:val="nil"/>
              <w:left w:val="nil"/>
              <w:bottom w:val="single" w:sz="4" w:space="0" w:color="auto"/>
              <w:right w:val="nil"/>
            </w:tcBorders>
            <w:vAlign w:val="bottom"/>
            <w:hideMark/>
          </w:tcPr>
          <w:p w14:paraId="5EAB97E2"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225 039</w:t>
            </w:r>
          </w:p>
        </w:tc>
        <w:tc>
          <w:tcPr>
            <w:tcW w:w="1416" w:type="dxa"/>
            <w:tcBorders>
              <w:top w:val="nil"/>
              <w:left w:val="nil"/>
              <w:bottom w:val="single" w:sz="4" w:space="0" w:color="auto"/>
              <w:right w:val="nil"/>
            </w:tcBorders>
            <w:vAlign w:val="bottom"/>
            <w:hideMark/>
          </w:tcPr>
          <w:p w14:paraId="77EE999B"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196 211</w:t>
            </w:r>
          </w:p>
        </w:tc>
      </w:tr>
      <w:tr w:rsidR="00992A45" w:rsidRPr="00BD7721" w14:paraId="6D8FD6E5" w14:textId="77777777" w:rsidTr="009A4AFD">
        <w:trPr>
          <w:trHeight w:val="47"/>
          <w:jc w:val="right"/>
        </w:trPr>
        <w:tc>
          <w:tcPr>
            <w:tcW w:w="5041" w:type="dxa"/>
            <w:tcBorders>
              <w:top w:val="single" w:sz="4" w:space="0" w:color="auto"/>
              <w:left w:val="nil"/>
              <w:bottom w:val="single" w:sz="4" w:space="0" w:color="auto"/>
              <w:right w:val="nil"/>
            </w:tcBorders>
            <w:hideMark/>
          </w:tcPr>
          <w:p w14:paraId="4FEBA971" w14:textId="77777777" w:rsidR="00992A45" w:rsidRPr="00BD7721" w:rsidRDefault="00992A45" w:rsidP="004E48D5">
            <w:pPr>
              <w:keepNext/>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Objective 2: building capacity</w:t>
            </w:r>
          </w:p>
        </w:tc>
        <w:tc>
          <w:tcPr>
            <w:tcW w:w="1623" w:type="dxa"/>
            <w:tcBorders>
              <w:top w:val="single" w:sz="4" w:space="0" w:color="auto"/>
              <w:left w:val="nil"/>
              <w:bottom w:val="single" w:sz="4" w:space="0" w:color="auto"/>
              <w:right w:val="nil"/>
            </w:tcBorders>
            <w:vAlign w:val="bottom"/>
            <w:hideMark/>
          </w:tcPr>
          <w:p w14:paraId="1ED0243A" w14:textId="77777777" w:rsidR="00992A45" w:rsidRPr="00BD7721" w:rsidRDefault="00992A45" w:rsidP="004E48D5">
            <w:pPr>
              <w:keepNext/>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390 200</w:t>
            </w:r>
          </w:p>
        </w:tc>
        <w:tc>
          <w:tcPr>
            <w:tcW w:w="1417" w:type="dxa"/>
            <w:tcBorders>
              <w:top w:val="single" w:sz="4" w:space="0" w:color="auto"/>
              <w:left w:val="nil"/>
              <w:bottom w:val="single" w:sz="4" w:space="0" w:color="auto"/>
              <w:right w:val="nil"/>
            </w:tcBorders>
            <w:vAlign w:val="bottom"/>
            <w:hideMark/>
          </w:tcPr>
          <w:p w14:paraId="320A862F" w14:textId="77777777" w:rsidR="00992A45" w:rsidRPr="00BD7721" w:rsidRDefault="00992A45" w:rsidP="004E48D5">
            <w:pPr>
              <w:keepNext/>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206 563</w:t>
            </w:r>
          </w:p>
        </w:tc>
        <w:tc>
          <w:tcPr>
            <w:tcW w:w="1416" w:type="dxa"/>
            <w:tcBorders>
              <w:top w:val="single" w:sz="4" w:space="0" w:color="auto"/>
              <w:left w:val="nil"/>
              <w:bottom w:val="single" w:sz="4" w:space="0" w:color="auto"/>
              <w:right w:val="nil"/>
            </w:tcBorders>
            <w:vAlign w:val="bottom"/>
            <w:hideMark/>
          </w:tcPr>
          <w:p w14:paraId="58CA8CFE" w14:textId="77777777" w:rsidR="00992A45" w:rsidRPr="00BD7721" w:rsidRDefault="00992A45" w:rsidP="004E48D5">
            <w:pPr>
              <w:keepNext/>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183 637</w:t>
            </w:r>
          </w:p>
        </w:tc>
      </w:tr>
      <w:tr w:rsidR="00992A45" w:rsidRPr="00BD7721" w14:paraId="45BCD54D" w14:textId="77777777" w:rsidTr="009A4AFD">
        <w:trPr>
          <w:trHeight w:val="564"/>
          <w:jc w:val="right"/>
        </w:trPr>
        <w:tc>
          <w:tcPr>
            <w:tcW w:w="5041" w:type="dxa"/>
            <w:tcBorders>
              <w:top w:val="single" w:sz="4" w:space="0" w:color="auto"/>
              <w:left w:val="nil"/>
              <w:bottom w:val="single" w:sz="4" w:space="0" w:color="auto"/>
              <w:right w:val="nil"/>
            </w:tcBorders>
            <w:hideMark/>
          </w:tcPr>
          <w:p w14:paraId="4233FB3D" w14:textId="5B131CB7" w:rsidR="00992A45" w:rsidRPr="00BD7721" w:rsidRDefault="00992A45" w:rsidP="004E48D5">
            <w:pPr>
              <w:tabs>
                <w:tab w:val="left" w:pos="624"/>
                <w:tab w:val="left" w:pos="1871"/>
                <w:tab w:val="left" w:pos="2495"/>
                <w:tab w:val="left" w:pos="3119"/>
                <w:tab w:val="left" w:pos="3742"/>
                <w:tab w:val="left" w:pos="4366"/>
              </w:tabs>
              <w:spacing w:before="40" w:after="40"/>
              <w:ind w:right="-144"/>
              <w:rPr>
                <w:color w:val="000000"/>
                <w:sz w:val="18"/>
                <w:szCs w:val="18"/>
              </w:rPr>
            </w:pPr>
            <w:r w:rsidRPr="00BD7721">
              <w:rPr>
                <w:color w:val="000000"/>
                <w:sz w:val="18"/>
                <w:szCs w:val="18"/>
              </w:rPr>
              <w:t>Objective 2 (a): enhanced learning and engagement; objective 2</w:t>
            </w:r>
            <w:r w:rsidR="004212A9" w:rsidRPr="00BD7721">
              <w:rPr>
                <w:color w:val="000000"/>
                <w:sz w:val="18"/>
                <w:szCs w:val="18"/>
              </w:rPr>
              <w:t xml:space="preserve"> </w:t>
            </w:r>
            <w:r w:rsidRPr="00BD7721">
              <w:rPr>
                <w:color w:val="000000"/>
                <w:sz w:val="18"/>
                <w:szCs w:val="18"/>
              </w:rPr>
              <w:t>(b): facilitated access to expertise and information; and objective 2 (c): strengthened national and regional capacities</w:t>
            </w:r>
          </w:p>
        </w:tc>
        <w:tc>
          <w:tcPr>
            <w:tcW w:w="1623" w:type="dxa"/>
            <w:tcBorders>
              <w:top w:val="single" w:sz="4" w:space="0" w:color="auto"/>
              <w:left w:val="nil"/>
              <w:bottom w:val="single" w:sz="4" w:space="0" w:color="auto"/>
              <w:right w:val="nil"/>
            </w:tcBorders>
            <w:vAlign w:val="bottom"/>
            <w:hideMark/>
          </w:tcPr>
          <w:p w14:paraId="5F3A2A4D"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390 200</w:t>
            </w:r>
          </w:p>
        </w:tc>
        <w:tc>
          <w:tcPr>
            <w:tcW w:w="1417" w:type="dxa"/>
            <w:tcBorders>
              <w:top w:val="single" w:sz="4" w:space="0" w:color="auto"/>
              <w:left w:val="nil"/>
              <w:bottom w:val="single" w:sz="4" w:space="0" w:color="auto"/>
              <w:right w:val="nil"/>
            </w:tcBorders>
            <w:vAlign w:val="bottom"/>
            <w:hideMark/>
          </w:tcPr>
          <w:p w14:paraId="5575AF54"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206 563</w:t>
            </w:r>
          </w:p>
        </w:tc>
        <w:tc>
          <w:tcPr>
            <w:tcW w:w="1416" w:type="dxa"/>
            <w:tcBorders>
              <w:top w:val="single" w:sz="4" w:space="0" w:color="auto"/>
              <w:left w:val="nil"/>
              <w:bottom w:val="single" w:sz="4" w:space="0" w:color="auto"/>
              <w:right w:val="nil"/>
            </w:tcBorders>
            <w:vAlign w:val="bottom"/>
            <w:hideMark/>
          </w:tcPr>
          <w:p w14:paraId="1ED3FDD0"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183 637</w:t>
            </w:r>
          </w:p>
        </w:tc>
      </w:tr>
      <w:tr w:rsidR="00992A45" w:rsidRPr="00BD7721" w14:paraId="7C15947B" w14:textId="77777777" w:rsidTr="009A4AFD">
        <w:trPr>
          <w:trHeight w:val="47"/>
          <w:jc w:val="right"/>
        </w:trPr>
        <w:tc>
          <w:tcPr>
            <w:tcW w:w="5041" w:type="dxa"/>
            <w:tcBorders>
              <w:top w:val="single" w:sz="4" w:space="0" w:color="auto"/>
              <w:left w:val="nil"/>
              <w:bottom w:val="single" w:sz="4" w:space="0" w:color="auto"/>
              <w:right w:val="nil"/>
            </w:tcBorders>
            <w:hideMark/>
          </w:tcPr>
          <w:p w14:paraId="784FC269"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Objective 3: strengthening the knowledge foundations</w:t>
            </w:r>
          </w:p>
        </w:tc>
        <w:tc>
          <w:tcPr>
            <w:tcW w:w="1623" w:type="dxa"/>
            <w:tcBorders>
              <w:top w:val="single" w:sz="4" w:space="0" w:color="auto"/>
              <w:left w:val="nil"/>
              <w:bottom w:val="single" w:sz="4" w:space="0" w:color="auto"/>
              <w:right w:val="nil"/>
            </w:tcBorders>
            <w:vAlign w:val="bottom"/>
            <w:hideMark/>
          </w:tcPr>
          <w:p w14:paraId="26E23560"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555 000</w:t>
            </w:r>
          </w:p>
        </w:tc>
        <w:tc>
          <w:tcPr>
            <w:tcW w:w="1417" w:type="dxa"/>
            <w:tcBorders>
              <w:top w:val="single" w:sz="4" w:space="0" w:color="auto"/>
              <w:left w:val="nil"/>
              <w:bottom w:val="single" w:sz="4" w:space="0" w:color="auto"/>
              <w:right w:val="nil"/>
            </w:tcBorders>
            <w:vAlign w:val="bottom"/>
            <w:hideMark/>
          </w:tcPr>
          <w:p w14:paraId="4F2667D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347 922</w:t>
            </w:r>
          </w:p>
        </w:tc>
        <w:tc>
          <w:tcPr>
            <w:tcW w:w="1416" w:type="dxa"/>
            <w:tcBorders>
              <w:top w:val="single" w:sz="4" w:space="0" w:color="auto"/>
              <w:left w:val="nil"/>
              <w:bottom w:val="single" w:sz="4" w:space="0" w:color="auto"/>
              <w:right w:val="nil"/>
            </w:tcBorders>
            <w:vAlign w:val="bottom"/>
            <w:hideMark/>
          </w:tcPr>
          <w:p w14:paraId="0F6A4CEB"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207 078</w:t>
            </w:r>
          </w:p>
        </w:tc>
      </w:tr>
      <w:tr w:rsidR="00992A45" w:rsidRPr="00BD7721" w14:paraId="4582B8DF" w14:textId="77777777" w:rsidTr="009A4AFD">
        <w:trPr>
          <w:trHeight w:val="300"/>
          <w:jc w:val="right"/>
        </w:trPr>
        <w:tc>
          <w:tcPr>
            <w:tcW w:w="5041" w:type="dxa"/>
            <w:tcBorders>
              <w:top w:val="single" w:sz="4" w:space="0" w:color="auto"/>
              <w:left w:val="nil"/>
              <w:bottom w:val="nil"/>
              <w:right w:val="nil"/>
            </w:tcBorders>
            <w:hideMark/>
          </w:tcPr>
          <w:p w14:paraId="62EE2CF7"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Objective 3 (a): advanced work on knowledge and data</w:t>
            </w:r>
          </w:p>
        </w:tc>
        <w:tc>
          <w:tcPr>
            <w:tcW w:w="1623" w:type="dxa"/>
            <w:tcBorders>
              <w:top w:val="single" w:sz="4" w:space="0" w:color="auto"/>
              <w:left w:val="nil"/>
              <w:bottom w:val="nil"/>
              <w:right w:val="nil"/>
            </w:tcBorders>
            <w:vAlign w:val="bottom"/>
            <w:hideMark/>
          </w:tcPr>
          <w:p w14:paraId="663FEA5A"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268 000</w:t>
            </w:r>
          </w:p>
        </w:tc>
        <w:tc>
          <w:tcPr>
            <w:tcW w:w="1417" w:type="dxa"/>
            <w:tcBorders>
              <w:top w:val="single" w:sz="4" w:space="0" w:color="auto"/>
              <w:left w:val="nil"/>
              <w:bottom w:val="nil"/>
              <w:right w:val="nil"/>
            </w:tcBorders>
            <w:vAlign w:val="bottom"/>
            <w:hideMark/>
          </w:tcPr>
          <w:p w14:paraId="3D0E6ABE"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128 084</w:t>
            </w:r>
          </w:p>
        </w:tc>
        <w:tc>
          <w:tcPr>
            <w:tcW w:w="1416" w:type="dxa"/>
            <w:tcBorders>
              <w:top w:val="single" w:sz="4" w:space="0" w:color="auto"/>
              <w:left w:val="nil"/>
              <w:bottom w:val="nil"/>
              <w:right w:val="nil"/>
            </w:tcBorders>
            <w:vAlign w:val="bottom"/>
            <w:hideMark/>
          </w:tcPr>
          <w:p w14:paraId="6D21D203"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139 916</w:t>
            </w:r>
          </w:p>
        </w:tc>
      </w:tr>
      <w:tr w:rsidR="00992A45" w:rsidRPr="00BD7721" w14:paraId="3ED0DBF5" w14:textId="77777777" w:rsidTr="009A4AFD">
        <w:trPr>
          <w:trHeight w:val="480"/>
          <w:jc w:val="right"/>
        </w:trPr>
        <w:tc>
          <w:tcPr>
            <w:tcW w:w="5041" w:type="dxa"/>
            <w:tcBorders>
              <w:top w:val="nil"/>
              <w:left w:val="nil"/>
              <w:bottom w:val="single" w:sz="4" w:space="0" w:color="auto"/>
              <w:right w:val="nil"/>
            </w:tcBorders>
            <w:hideMark/>
          </w:tcPr>
          <w:p w14:paraId="42FB1F8C"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Objective 3 (b): enhanced recognition of and work with Indigenous and local knowledge systems</w:t>
            </w:r>
          </w:p>
        </w:tc>
        <w:tc>
          <w:tcPr>
            <w:tcW w:w="1623" w:type="dxa"/>
            <w:tcBorders>
              <w:top w:val="nil"/>
              <w:left w:val="nil"/>
              <w:bottom w:val="single" w:sz="4" w:space="0" w:color="auto"/>
              <w:right w:val="nil"/>
            </w:tcBorders>
            <w:vAlign w:val="bottom"/>
            <w:hideMark/>
          </w:tcPr>
          <w:p w14:paraId="36F6243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287 000</w:t>
            </w:r>
          </w:p>
        </w:tc>
        <w:tc>
          <w:tcPr>
            <w:tcW w:w="1417" w:type="dxa"/>
            <w:tcBorders>
              <w:top w:val="nil"/>
              <w:left w:val="nil"/>
              <w:bottom w:val="single" w:sz="4" w:space="0" w:color="auto"/>
              <w:right w:val="nil"/>
            </w:tcBorders>
            <w:vAlign w:val="bottom"/>
            <w:hideMark/>
          </w:tcPr>
          <w:p w14:paraId="1BD80A1B"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219 839</w:t>
            </w:r>
          </w:p>
        </w:tc>
        <w:tc>
          <w:tcPr>
            <w:tcW w:w="1416" w:type="dxa"/>
            <w:tcBorders>
              <w:top w:val="nil"/>
              <w:left w:val="nil"/>
              <w:bottom w:val="single" w:sz="4" w:space="0" w:color="auto"/>
              <w:right w:val="nil"/>
            </w:tcBorders>
            <w:vAlign w:val="bottom"/>
            <w:hideMark/>
          </w:tcPr>
          <w:p w14:paraId="4A086328"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67 161</w:t>
            </w:r>
          </w:p>
        </w:tc>
      </w:tr>
      <w:tr w:rsidR="00992A45" w:rsidRPr="00BD7721" w14:paraId="5FEA0620" w14:textId="77777777" w:rsidTr="009A4AFD">
        <w:trPr>
          <w:trHeight w:val="300"/>
          <w:jc w:val="right"/>
        </w:trPr>
        <w:tc>
          <w:tcPr>
            <w:tcW w:w="5041" w:type="dxa"/>
            <w:tcBorders>
              <w:top w:val="single" w:sz="4" w:space="0" w:color="auto"/>
              <w:left w:val="nil"/>
              <w:bottom w:val="single" w:sz="4" w:space="0" w:color="auto"/>
              <w:right w:val="nil"/>
            </w:tcBorders>
            <w:hideMark/>
          </w:tcPr>
          <w:p w14:paraId="6D932B74"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Objective 4: supporting policy</w:t>
            </w:r>
          </w:p>
        </w:tc>
        <w:tc>
          <w:tcPr>
            <w:tcW w:w="1623" w:type="dxa"/>
            <w:tcBorders>
              <w:top w:val="single" w:sz="4" w:space="0" w:color="auto"/>
              <w:left w:val="nil"/>
              <w:bottom w:val="single" w:sz="4" w:space="0" w:color="auto"/>
              <w:right w:val="nil"/>
            </w:tcBorders>
            <w:vAlign w:val="bottom"/>
            <w:hideMark/>
          </w:tcPr>
          <w:p w14:paraId="41F6FF18"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471 000</w:t>
            </w:r>
          </w:p>
        </w:tc>
        <w:tc>
          <w:tcPr>
            <w:tcW w:w="1417" w:type="dxa"/>
            <w:tcBorders>
              <w:top w:val="single" w:sz="4" w:space="0" w:color="auto"/>
              <w:left w:val="nil"/>
              <w:bottom w:val="single" w:sz="4" w:space="0" w:color="auto"/>
              <w:right w:val="nil"/>
            </w:tcBorders>
            <w:vAlign w:val="bottom"/>
            <w:hideMark/>
          </w:tcPr>
          <w:p w14:paraId="3BA52299"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335 177</w:t>
            </w:r>
          </w:p>
        </w:tc>
        <w:tc>
          <w:tcPr>
            <w:tcW w:w="1416" w:type="dxa"/>
            <w:tcBorders>
              <w:top w:val="single" w:sz="4" w:space="0" w:color="auto"/>
              <w:left w:val="nil"/>
              <w:bottom w:val="single" w:sz="4" w:space="0" w:color="auto"/>
              <w:right w:val="nil"/>
            </w:tcBorders>
            <w:vAlign w:val="bottom"/>
            <w:hideMark/>
          </w:tcPr>
          <w:p w14:paraId="492D0A1E"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135 823</w:t>
            </w:r>
          </w:p>
        </w:tc>
      </w:tr>
      <w:tr w:rsidR="00992A45" w:rsidRPr="00BD7721" w14:paraId="63499BD4" w14:textId="77777777" w:rsidTr="009A4AFD">
        <w:trPr>
          <w:trHeight w:val="480"/>
          <w:jc w:val="right"/>
        </w:trPr>
        <w:tc>
          <w:tcPr>
            <w:tcW w:w="5041" w:type="dxa"/>
            <w:tcBorders>
              <w:top w:val="single" w:sz="4" w:space="0" w:color="auto"/>
              <w:left w:val="nil"/>
              <w:bottom w:val="nil"/>
              <w:right w:val="nil"/>
            </w:tcBorders>
            <w:hideMark/>
          </w:tcPr>
          <w:p w14:paraId="2FF9E2AD"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Objective 4 (a): advanced work on policy instruments, policy support tools and methodologies</w:t>
            </w:r>
          </w:p>
        </w:tc>
        <w:tc>
          <w:tcPr>
            <w:tcW w:w="1623" w:type="dxa"/>
            <w:tcBorders>
              <w:top w:val="single" w:sz="4" w:space="0" w:color="auto"/>
              <w:left w:val="nil"/>
              <w:bottom w:val="nil"/>
              <w:right w:val="nil"/>
            </w:tcBorders>
            <w:vAlign w:val="bottom"/>
            <w:hideMark/>
          </w:tcPr>
          <w:p w14:paraId="2079D3A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239 000</w:t>
            </w:r>
          </w:p>
        </w:tc>
        <w:tc>
          <w:tcPr>
            <w:tcW w:w="1417" w:type="dxa"/>
            <w:tcBorders>
              <w:top w:val="single" w:sz="4" w:space="0" w:color="auto"/>
              <w:left w:val="nil"/>
              <w:bottom w:val="nil"/>
              <w:right w:val="nil"/>
            </w:tcBorders>
            <w:vAlign w:val="bottom"/>
            <w:hideMark/>
          </w:tcPr>
          <w:p w14:paraId="7CB9681C"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148 439</w:t>
            </w:r>
          </w:p>
        </w:tc>
        <w:tc>
          <w:tcPr>
            <w:tcW w:w="1416" w:type="dxa"/>
            <w:tcBorders>
              <w:top w:val="single" w:sz="4" w:space="0" w:color="auto"/>
              <w:left w:val="nil"/>
              <w:bottom w:val="nil"/>
              <w:right w:val="nil"/>
            </w:tcBorders>
            <w:vAlign w:val="bottom"/>
            <w:hideMark/>
          </w:tcPr>
          <w:p w14:paraId="6FDBEE15"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90 561</w:t>
            </w:r>
          </w:p>
        </w:tc>
      </w:tr>
      <w:tr w:rsidR="00992A45" w:rsidRPr="00BD7721" w14:paraId="5D587C90" w14:textId="77777777" w:rsidTr="009A4AFD">
        <w:trPr>
          <w:trHeight w:val="286"/>
          <w:jc w:val="right"/>
        </w:trPr>
        <w:tc>
          <w:tcPr>
            <w:tcW w:w="5041" w:type="dxa"/>
            <w:tcBorders>
              <w:top w:val="nil"/>
              <w:left w:val="nil"/>
              <w:bottom w:val="nil"/>
              <w:right w:val="nil"/>
            </w:tcBorders>
            <w:hideMark/>
          </w:tcPr>
          <w:p w14:paraId="19EC0C21"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 xml:space="preserve">Objective 4 (b): advanced work on scenarios and models of biodiversity and ecosystem functions and services </w:t>
            </w:r>
          </w:p>
        </w:tc>
        <w:tc>
          <w:tcPr>
            <w:tcW w:w="1623" w:type="dxa"/>
            <w:tcBorders>
              <w:top w:val="nil"/>
              <w:left w:val="nil"/>
              <w:bottom w:val="nil"/>
              <w:right w:val="nil"/>
            </w:tcBorders>
            <w:vAlign w:val="bottom"/>
            <w:hideMark/>
          </w:tcPr>
          <w:p w14:paraId="0F9A07FC"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232 000</w:t>
            </w:r>
          </w:p>
        </w:tc>
        <w:tc>
          <w:tcPr>
            <w:tcW w:w="1417" w:type="dxa"/>
            <w:tcBorders>
              <w:top w:val="nil"/>
              <w:left w:val="nil"/>
              <w:bottom w:val="nil"/>
              <w:right w:val="nil"/>
            </w:tcBorders>
            <w:vAlign w:val="bottom"/>
            <w:hideMark/>
          </w:tcPr>
          <w:p w14:paraId="233118A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186 738</w:t>
            </w:r>
          </w:p>
        </w:tc>
        <w:tc>
          <w:tcPr>
            <w:tcW w:w="1416" w:type="dxa"/>
            <w:tcBorders>
              <w:top w:val="nil"/>
              <w:left w:val="nil"/>
              <w:bottom w:val="nil"/>
              <w:right w:val="nil"/>
            </w:tcBorders>
            <w:vAlign w:val="bottom"/>
            <w:hideMark/>
          </w:tcPr>
          <w:p w14:paraId="2D8B8ACC"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45 262</w:t>
            </w:r>
          </w:p>
        </w:tc>
      </w:tr>
      <w:tr w:rsidR="00992A45" w:rsidRPr="00BD7721" w14:paraId="621330AC" w14:textId="77777777" w:rsidTr="009A4AFD">
        <w:trPr>
          <w:trHeight w:val="300"/>
          <w:jc w:val="right"/>
        </w:trPr>
        <w:tc>
          <w:tcPr>
            <w:tcW w:w="5041" w:type="dxa"/>
            <w:tcBorders>
              <w:top w:val="nil"/>
              <w:left w:val="nil"/>
              <w:bottom w:val="single" w:sz="4" w:space="0" w:color="auto"/>
              <w:right w:val="nil"/>
            </w:tcBorders>
            <w:hideMark/>
          </w:tcPr>
          <w:p w14:paraId="26AF92F4"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Objective 4 (c): advanced work on multiple values</w:t>
            </w:r>
          </w:p>
        </w:tc>
        <w:tc>
          <w:tcPr>
            <w:tcW w:w="1623" w:type="dxa"/>
            <w:tcBorders>
              <w:top w:val="nil"/>
              <w:left w:val="nil"/>
              <w:bottom w:val="single" w:sz="4" w:space="0" w:color="auto"/>
              <w:right w:val="nil"/>
            </w:tcBorders>
            <w:vAlign w:val="bottom"/>
            <w:hideMark/>
          </w:tcPr>
          <w:p w14:paraId="38A57109"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0</w:t>
            </w:r>
          </w:p>
        </w:tc>
        <w:tc>
          <w:tcPr>
            <w:tcW w:w="1417" w:type="dxa"/>
            <w:tcBorders>
              <w:top w:val="nil"/>
              <w:left w:val="nil"/>
              <w:bottom w:val="single" w:sz="4" w:space="0" w:color="auto"/>
              <w:right w:val="nil"/>
            </w:tcBorders>
            <w:vAlign w:val="bottom"/>
            <w:hideMark/>
          </w:tcPr>
          <w:p w14:paraId="3DEE2A4E"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0</w:t>
            </w:r>
          </w:p>
        </w:tc>
        <w:tc>
          <w:tcPr>
            <w:tcW w:w="1416" w:type="dxa"/>
            <w:tcBorders>
              <w:top w:val="nil"/>
              <w:left w:val="nil"/>
              <w:bottom w:val="single" w:sz="4" w:space="0" w:color="auto"/>
              <w:right w:val="nil"/>
            </w:tcBorders>
            <w:vAlign w:val="bottom"/>
            <w:hideMark/>
          </w:tcPr>
          <w:p w14:paraId="74D9C97A"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0</w:t>
            </w:r>
          </w:p>
        </w:tc>
      </w:tr>
      <w:tr w:rsidR="00992A45" w:rsidRPr="00BD7721" w14:paraId="38B431D2" w14:textId="77777777" w:rsidTr="009A4AFD">
        <w:trPr>
          <w:trHeight w:val="300"/>
          <w:jc w:val="right"/>
        </w:trPr>
        <w:tc>
          <w:tcPr>
            <w:tcW w:w="5041" w:type="dxa"/>
            <w:tcBorders>
              <w:top w:val="single" w:sz="4" w:space="0" w:color="auto"/>
              <w:left w:val="nil"/>
              <w:bottom w:val="single" w:sz="4" w:space="0" w:color="auto"/>
              <w:right w:val="nil"/>
            </w:tcBorders>
            <w:hideMark/>
          </w:tcPr>
          <w:p w14:paraId="153F314B"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Objective 5: communicating and engaging</w:t>
            </w:r>
          </w:p>
        </w:tc>
        <w:tc>
          <w:tcPr>
            <w:tcW w:w="1623" w:type="dxa"/>
            <w:tcBorders>
              <w:top w:val="single" w:sz="4" w:space="0" w:color="auto"/>
              <w:left w:val="nil"/>
              <w:bottom w:val="single" w:sz="4" w:space="0" w:color="auto"/>
              <w:right w:val="nil"/>
            </w:tcBorders>
            <w:vAlign w:val="bottom"/>
            <w:hideMark/>
          </w:tcPr>
          <w:p w14:paraId="3452D8EC"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280 000</w:t>
            </w:r>
          </w:p>
        </w:tc>
        <w:tc>
          <w:tcPr>
            <w:tcW w:w="1417" w:type="dxa"/>
            <w:tcBorders>
              <w:top w:val="single" w:sz="4" w:space="0" w:color="auto"/>
              <w:left w:val="nil"/>
              <w:bottom w:val="single" w:sz="4" w:space="0" w:color="auto"/>
              <w:right w:val="nil"/>
            </w:tcBorders>
            <w:vAlign w:val="bottom"/>
            <w:hideMark/>
          </w:tcPr>
          <w:p w14:paraId="6958A4EE"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229 447</w:t>
            </w:r>
          </w:p>
        </w:tc>
        <w:tc>
          <w:tcPr>
            <w:tcW w:w="1416" w:type="dxa"/>
            <w:tcBorders>
              <w:top w:val="single" w:sz="4" w:space="0" w:color="auto"/>
              <w:left w:val="nil"/>
              <w:bottom w:val="single" w:sz="4" w:space="0" w:color="auto"/>
              <w:right w:val="nil"/>
            </w:tcBorders>
            <w:vAlign w:val="bottom"/>
            <w:hideMark/>
          </w:tcPr>
          <w:p w14:paraId="08BC3E71"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50 553</w:t>
            </w:r>
          </w:p>
        </w:tc>
      </w:tr>
      <w:tr w:rsidR="00992A45" w:rsidRPr="00BD7721" w14:paraId="7C797045" w14:textId="77777777" w:rsidTr="009A4AFD">
        <w:trPr>
          <w:trHeight w:val="300"/>
          <w:jc w:val="right"/>
        </w:trPr>
        <w:tc>
          <w:tcPr>
            <w:tcW w:w="5041" w:type="dxa"/>
            <w:tcBorders>
              <w:top w:val="single" w:sz="4" w:space="0" w:color="auto"/>
              <w:left w:val="nil"/>
              <w:bottom w:val="nil"/>
              <w:right w:val="nil"/>
            </w:tcBorders>
            <w:hideMark/>
          </w:tcPr>
          <w:p w14:paraId="73E804AD"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Objective 5 (a): strengthened communication</w:t>
            </w:r>
          </w:p>
        </w:tc>
        <w:tc>
          <w:tcPr>
            <w:tcW w:w="1623" w:type="dxa"/>
            <w:tcBorders>
              <w:top w:val="single" w:sz="4" w:space="0" w:color="auto"/>
              <w:left w:val="nil"/>
              <w:bottom w:val="nil"/>
              <w:right w:val="nil"/>
            </w:tcBorders>
            <w:vAlign w:val="bottom"/>
            <w:hideMark/>
          </w:tcPr>
          <w:p w14:paraId="27085450"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250 000</w:t>
            </w:r>
          </w:p>
        </w:tc>
        <w:tc>
          <w:tcPr>
            <w:tcW w:w="1417" w:type="dxa"/>
            <w:tcBorders>
              <w:top w:val="single" w:sz="4" w:space="0" w:color="auto"/>
              <w:left w:val="nil"/>
              <w:bottom w:val="nil"/>
              <w:right w:val="nil"/>
            </w:tcBorders>
            <w:vAlign w:val="bottom"/>
            <w:hideMark/>
          </w:tcPr>
          <w:p w14:paraId="05975775"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229 447</w:t>
            </w:r>
          </w:p>
        </w:tc>
        <w:tc>
          <w:tcPr>
            <w:tcW w:w="1416" w:type="dxa"/>
            <w:tcBorders>
              <w:top w:val="single" w:sz="4" w:space="0" w:color="auto"/>
              <w:left w:val="nil"/>
              <w:bottom w:val="nil"/>
              <w:right w:val="nil"/>
            </w:tcBorders>
            <w:vAlign w:val="bottom"/>
            <w:hideMark/>
          </w:tcPr>
          <w:p w14:paraId="1A02E78B"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20 553</w:t>
            </w:r>
          </w:p>
        </w:tc>
      </w:tr>
      <w:tr w:rsidR="00992A45" w:rsidRPr="00BD7721" w14:paraId="00AF794D" w14:textId="77777777" w:rsidTr="009A4AFD">
        <w:trPr>
          <w:trHeight w:val="315"/>
          <w:jc w:val="right"/>
        </w:trPr>
        <w:tc>
          <w:tcPr>
            <w:tcW w:w="5041" w:type="dxa"/>
            <w:tcBorders>
              <w:top w:val="nil"/>
              <w:left w:val="nil"/>
              <w:bottom w:val="single" w:sz="4" w:space="0" w:color="000000"/>
              <w:right w:val="nil"/>
            </w:tcBorders>
            <w:hideMark/>
          </w:tcPr>
          <w:p w14:paraId="59D510C9"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Objective 5 (c): strengthened engagement of stakeholders</w:t>
            </w:r>
          </w:p>
        </w:tc>
        <w:tc>
          <w:tcPr>
            <w:tcW w:w="1623" w:type="dxa"/>
            <w:tcBorders>
              <w:top w:val="nil"/>
              <w:left w:val="nil"/>
              <w:bottom w:val="single" w:sz="4" w:space="0" w:color="000000"/>
              <w:right w:val="nil"/>
            </w:tcBorders>
            <w:vAlign w:val="bottom"/>
            <w:hideMark/>
          </w:tcPr>
          <w:p w14:paraId="5DF1C37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30 000</w:t>
            </w:r>
          </w:p>
        </w:tc>
        <w:tc>
          <w:tcPr>
            <w:tcW w:w="1417" w:type="dxa"/>
            <w:tcBorders>
              <w:top w:val="nil"/>
              <w:left w:val="nil"/>
              <w:bottom w:val="single" w:sz="4" w:space="0" w:color="000000"/>
              <w:right w:val="nil"/>
            </w:tcBorders>
            <w:vAlign w:val="bottom"/>
            <w:hideMark/>
          </w:tcPr>
          <w:p w14:paraId="1EE47AE8"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0</w:t>
            </w:r>
          </w:p>
        </w:tc>
        <w:tc>
          <w:tcPr>
            <w:tcW w:w="1416" w:type="dxa"/>
            <w:tcBorders>
              <w:top w:val="nil"/>
              <w:left w:val="nil"/>
              <w:bottom w:val="single" w:sz="4" w:space="0" w:color="000000"/>
              <w:right w:val="nil"/>
            </w:tcBorders>
            <w:vAlign w:val="bottom"/>
            <w:hideMark/>
          </w:tcPr>
          <w:p w14:paraId="3E4BE57B"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30 000</w:t>
            </w:r>
          </w:p>
        </w:tc>
      </w:tr>
      <w:tr w:rsidR="00992A45" w:rsidRPr="00BD7721" w14:paraId="0B045E9D" w14:textId="77777777" w:rsidTr="009A4AFD">
        <w:trPr>
          <w:trHeight w:val="315"/>
          <w:jc w:val="right"/>
        </w:trPr>
        <w:tc>
          <w:tcPr>
            <w:tcW w:w="5041" w:type="dxa"/>
            <w:tcBorders>
              <w:top w:val="single" w:sz="4" w:space="0" w:color="000000"/>
              <w:left w:val="nil"/>
              <w:bottom w:val="single" w:sz="4" w:space="0" w:color="000000"/>
              <w:right w:val="nil"/>
            </w:tcBorders>
            <w:hideMark/>
          </w:tcPr>
          <w:p w14:paraId="66CD3BBD"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Subtotal, part B</w:t>
            </w:r>
          </w:p>
        </w:tc>
        <w:tc>
          <w:tcPr>
            <w:tcW w:w="1623" w:type="dxa"/>
            <w:tcBorders>
              <w:top w:val="single" w:sz="4" w:space="0" w:color="000000"/>
              <w:left w:val="nil"/>
              <w:bottom w:val="single" w:sz="4" w:space="0" w:color="000000"/>
              <w:right w:val="nil"/>
            </w:tcBorders>
            <w:vAlign w:val="bottom"/>
            <w:hideMark/>
          </w:tcPr>
          <w:p w14:paraId="6A79A769"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2 780 620</w:t>
            </w:r>
          </w:p>
        </w:tc>
        <w:tc>
          <w:tcPr>
            <w:tcW w:w="1417" w:type="dxa"/>
            <w:tcBorders>
              <w:top w:val="single" w:sz="4" w:space="0" w:color="000000"/>
              <w:left w:val="nil"/>
              <w:bottom w:val="single" w:sz="4" w:space="0" w:color="000000"/>
              <w:right w:val="nil"/>
            </w:tcBorders>
            <w:vAlign w:val="bottom"/>
            <w:hideMark/>
          </w:tcPr>
          <w:p w14:paraId="58186612"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1 709 745</w:t>
            </w:r>
          </w:p>
        </w:tc>
        <w:tc>
          <w:tcPr>
            <w:tcW w:w="1416" w:type="dxa"/>
            <w:tcBorders>
              <w:top w:val="single" w:sz="4" w:space="0" w:color="000000"/>
              <w:left w:val="nil"/>
              <w:bottom w:val="single" w:sz="4" w:space="0" w:color="000000"/>
              <w:right w:val="nil"/>
            </w:tcBorders>
            <w:vAlign w:val="bottom"/>
            <w:hideMark/>
          </w:tcPr>
          <w:p w14:paraId="3B10B534"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1 070 875</w:t>
            </w:r>
          </w:p>
        </w:tc>
      </w:tr>
      <w:tr w:rsidR="00992A45" w:rsidRPr="00BD7721" w14:paraId="0D4AA304" w14:textId="77777777" w:rsidTr="009A4AFD">
        <w:trPr>
          <w:trHeight w:val="315"/>
          <w:jc w:val="right"/>
        </w:trPr>
        <w:tc>
          <w:tcPr>
            <w:tcW w:w="5041" w:type="dxa"/>
            <w:tcBorders>
              <w:top w:val="single" w:sz="4" w:space="0" w:color="000000"/>
              <w:left w:val="nil"/>
              <w:bottom w:val="single" w:sz="4" w:space="0" w:color="000000"/>
              <w:right w:val="nil"/>
            </w:tcBorders>
            <w:hideMark/>
          </w:tcPr>
          <w:p w14:paraId="41AE74E4"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Subtotal 2, implementation of the work programme</w:t>
            </w:r>
          </w:p>
        </w:tc>
        <w:tc>
          <w:tcPr>
            <w:tcW w:w="1623" w:type="dxa"/>
            <w:tcBorders>
              <w:top w:val="single" w:sz="4" w:space="0" w:color="000000"/>
              <w:left w:val="nil"/>
              <w:bottom w:val="single" w:sz="4" w:space="0" w:color="000000"/>
              <w:right w:val="nil"/>
            </w:tcBorders>
            <w:vAlign w:val="bottom"/>
            <w:hideMark/>
          </w:tcPr>
          <w:p w14:paraId="5CC73015"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3 864 870</w:t>
            </w:r>
          </w:p>
        </w:tc>
        <w:tc>
          <w:tcPr>
            <w:tcW w:w="1417" w:type="dxa"/>
            <w:tcBorders>
              <w:top w:val="single" w:sz="4" w:space="0" w:color="000000"/>
              <w:left w:val="nil"/>
              <w:bottom w:val="single" w:sz="4" w:space="0" w:color="000000"/>
              <w:right w:val="nil"/>
            </w:tcBorders>
            <w:vAlign w:val="bottom"/>
            <w:hideMark/>
          </w:tcPr>
          <w:p w14:paraId="608C8CFD"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2 557 306</w:t>
            </w:r>
          </w:p>
        </w:tc>
        <w:tc>
          <w:tcPr>
            <w:tcW w:w="1416" w:type="dxa"/>
            <w:tcBorders>
              <w:top w:val="single" w:sz="4" w:space="0" w:color="000000"/>
              <w:left w:val="nil"/>
              <w:bottom w:val="single" w:sz="4" w:space="0" w:color="000000"/>
              <w:right w:val="nil"/>
            </w:tcBorders>
            <w:vAlign w:val="bottom"/>
            <w:hideMark/>
          </w:tcPr>
          <w:p w14:paraId="0B09AD51"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1 307 564</w:t>
            </w:r>
          </w:p>
        </w:tc>
      </w:tr>
      <w:tr w:rsidR="00992A45" w:rsidRPr="00BD7721" w14:paraId="15FB7DF5" w14:textId="77777777" w:rsidTr="009A4AFD">
        <w:trPr>
          <w:trHeight w:val="300"/>
          <w:jc w:val="right"/>
        </w:trPr>
        <w:tc>
          <w:tcPr>
            <w:tcW w:w="5041" w:type="dxa"/>
            <w:tcBorders>
              <w:top w:val="single" w:sz="4" w:space="0" w:color="000000"/>
              <w:left w:val="nil"/>
              <w:bottom w:val="nil"/>
              <w:right w:val="nil"/>
            </w:tcBorders>
            <w:hideMark/>
          </w:tcPr>
          <w:p w14:paraId="035C98D6" w14:textId="77777777" w:rsidR="00992A45" w:rsidRPr="00BD7721" w:rsidRDefault="00992A45" w:rsidP="004E48D5">
            <w:pPr>
              <w:tabs>
                <w:tab w:val="left" w:pos="319"/>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3.</w:t>
            </w:r>
            <w:r w:rsidRPr="00BD7721">
              <w:rPr>
                <w:b/>
                <w:color w:val="000000"/>
                <w:sz w:val="18"/>
                <w:szCs w:val="18"/>
              </w:rPr>
              <w:tab/>
              <w:t>Secretariat</w:t>
            </w:r>
          </w:p>
        </w:tc>
        <w:tc>
          <w:tcPr>
            <w:tcW w:w="1623" w:type="dxa"/>
            <w:tcBorders>
              <w:top w:val="single" w:sz="4" w:space="0" w:color="000000"/>
              <w:left w:val="nil"/>
              <w:bottom w:val="nil"/>
              <w:right w:val="nil"/>
            </w:tcBorders>
            <w:vAlign w:val="bottom"/>
          </w:tcPr>
          <w:p w14:paraId="12600F0E"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p>
        </w:tc>
        <w:tc>
          <w:tcPr>
            <w:tcW w:w="1417" w:type="dxa"/>
            <w:tcBorders>
              <w:top w:val="single" w:sz="4" w:space="0" w:color="000000"/>
              <w:left w:val="nil"/>
              <w:bottom w:val="nil"/>
              <w:right w:val="nil"/>
            </w:tcBorders>
            <w:vAlign w:val="bottom"/>
          </w:tcPr>
          <w:p w14:paraId="0A2E403D"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p>
        </w:tc>
        <w:tc>
          <w:tcPr>
            <w:tcW w:w="1416" w:type="dxa"/>
            <w:tcBorders>
              <w:top w:val="single" w:sz="4" w:space="0" w:color="000000"/>
              <w:left w:val="nil"/>
              <w:bottom w:val="nil"/>
              <w:right w:val="nil"/>
            </w:tcBorders>
            <w:vAlign w:val="bottom"/>
          </w:tcPr>
          <w:p w14:paraId="2B6327D2"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p>
        </w:tc>
      </w:tr>
      <w:tr w:rsidR="00992A45" w:rsidRPr="00BD7721" w14:paraId="70E5F406" w14:textId="77777777" w:rsidTr="009A4AFD">
        <w:trPr>
          <w:trHeight w:val="300"/>
          <w:jc w:val="right"/>
        </w:trPr>
        <w:tc>
          <w:tcPr>
            <w:tcW w:w="5041" w:type="dxa"/>
            <w:tcBorders>
              <w:top w:val="nil"/>
              <w:left w:val="nil"/>
              <w:bottom w:val="nil"/>
              <w:right w:val="nil"/>
            </w:tcBorders>
            <w:hideMark/>
          </w:tcPr>
          <w:p w14:paraId="6C1BCB3C" w14:textId="77777777" w:rsidR="00992A45" w:rsidRPr="00BD7721" w:rsidRDefault="00992A45" w:rsidP="004E48D5">
            <w:pPr>
              <w:tabs>
                <w:tab w:val="left" w:pos="319"/>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3.1</w:t>
            </w:r>
            <w:r w:rsidRPr="00BD7721">
              <w:rPr>
                <w:color w:val="000000"/>
                <w:sz w:val="18"/>
                <w:szCs w:val="18"/>
              </w:rPr>
              <w:tab/>
              <w:t>Secretariat personnel</w:t>
            </w:r>
          </w:p>
        </w:tc>
        <w:tc>
          <w:tcPr>
            <w:tcW w:w="1623" w:type="dxa"/>
            <w:tcBorders>
              <w:top w:val="nil"/>
              <w:left w:val="nil"/>
              <w:bottom w:val="nil"/>
              <w:right w:val="nil"/>
            </w:tcBorders>
            <w:vAlign w:val="bottom"/>
            <w:hideMark/>
          </w:tcPr>
          <w:p w14:paraId="0150B59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2 249 975</w:t>
            </w:r>
          </w:p>
        </w:tc>
        <w:tc>
          <w:tcPr>
            <w:tcW w:w="1417" w:type="dxa"/>
            <w:tcBorders>
              <w:top w:val="nil"/>
              <w:left w:val="nil"/>
              <w:bottom w:val="nil"/>
              <w:right w:val="nil"/>
            </w:tcBorders>
            <w:vAlign w:val="bottom"/>
            <w:hideMark/>
          </w:tcPr>
          <w:p w14:paraId="1052E77A"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1 698 953</w:t>
            </w:r>
          </w:p>
        </w:tc>
        <w:tc>
          <w:tcPr>
            <w:tcW w:w="1416" w:type="dxa"/>
            <w:tcBorders>
              <w:top w:val="nil"/>
              <w:left w:val="nil"/>
              <w:bottom w:val="nil"/>
              <w:right w:val="nil"/>
            </w:tcBorders>
            <w:vAlign w:val="bottom"/>
            <w:hideMark/>
          </w:tcPr>
          <w:p w14:paraId="5786FEB3"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551 022</w:t>
            </w:r>
          </w:p>
        </w:tc>
      </w:tr>
      <w:tr w:rsidR="00992A45" w:rsidRPr="00BD7721" w14:paraId="17040D15" w14:textId="77777777" w:rsidTr="009A4AFD">
        <w:trPr>
          <w:trHeight w:val="302"/>
          <w:jc w:val="right"/>
        </w:trPr>
        <w:tc>
          <w:tcPr>
            <w:tcW w:w="5041" w:type="dxa"/>
            <w:tcBorders>
              <w:top w:val="nil"/>
              <w:left w:val="nil"/>
              <w:bottom w:val="single" w:sz="4" w:space="0" w:color="000000"/>
              <w:right w:val="nil"/>
            </w:tcBorders>
            <w:hideMark/>
          </w:tcPr>
          <w:p w14:paraId="40CF8E5A" w14:textId="77777777" w:rsidR="00992A45" w:rsidRPr="00BD7721" w:rsidRDefault="00992A45" w:rsidP="004E48D5">
            <w:pPr>
              <w:tabs>
                <w:tab w:val="left" w:pos="319"/>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3.2</w:t>
            </w:r>
            <w:r w:rsidRPr="00BD7721">
              <w:rPr>
                <w:color w:val="000000"/>
                <w:sz w:val="18"/>
                <w:szCs w:val="18"/>
              </w:rPr>
              <w:tab/>
              <w:t>Operating costs (non-personnel)</w:t>
            </w:r>
          </w:p>
        </w:tc>
        <w:tc>
          <w:tcPr>
            <w:tcW w:w="1623" w:type="dxa"/>
            <w:tcBorders>
              <w:top w:val="nil"/>
              <w:left w:val="nil"/>
              <w:bottom w:val="single" w:sz="4" w:space="0" w:color="000000"/>
              <w:right w:val="nil"/>
            </w:tcBorders>
            <w:vAlign w:val="bottom"/>
            <w:hideMark/>
          </w:tcPr>
          <w:p w14:paraId="7594FC6B"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321 000</w:t>
            </w:r>
          </w:p>
        </w:tc>
        <w:tc>
          <w:tcPr>
            <w:tcW w:w="1417" w:type="dxa"/>
            <w:tcBorders>
              <w:top w:val="nil"/>
              <w:left w:val="nil"/>
              <w:bottom w:val="single" w:sz="4" w:space="0" w:color="000000"/>
              <w:right w:val="nil"/>
            </w:tcBorders>
            <w:vAlign w:val="bottom"/>
            <w:hideMark/>
          </w:tcPr>
          <w:p w14:paraId="6FA47A0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249 646</w:t>
            </w:r>
          </w:p>
        </w:tc>
        <w:tc>
          <w:tcPr>
            <w:tcW w:w="1416" w:type="dxa"/>
            <w:tcBorders>
              <w:top w:val="nil"/>
              <w:left w:val="nil"/>
              <w:bottom w:val="single" w:sz="4" w:space="0" w:color="000000"/>
              <w:right w:val="nil"/>
            </w:tcBorders>
            <w:vAlign w:val="bottom"/>
            <w:hideMark/>
          </w:tcPr>
          <w:p w14:paraId="13EA1A6A"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71 354</w:t>
            </w:r>
          </w:p>
        </w:tc>
      </w:tr>
      <w:tr w:rsidR="00992A45" w:rsidRPr="00BD7721" w14:paraId="46662EF0" w14:textId="77777777" w:rsidTr="009A4AFD">
        <w:trPr>
          <w:trHeight w:val="315"/>
          <w:jc w:val="right"/>
        </w:trPr>
        <w:tc>
          <w:tcPr>
            <w:tcW w:w="5041" w:type="dxa"/>
            <w:tcBorders>
              <w:top w:val="single" w:sz="4" w:space="0" w:color="000000"/>
              <w:left w:val="nil"/>
              <w:bottom w:val="single" w:sz="4" w:space="0" w:color="000000"/>
              <w:right w:val="nil"/>
            </w:tcBorders>
            <w:hideMark/>
          </w:tcPr>
          <w:p w14:paraId="1176976D"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Subtotal 3, secretariat (personnel + operating)</w:t>
            </w:r>
          </w:p>
        </w:tc>
        <w:tc>
          <w:tcPr>
            <w:tcW w:w="1623" w:type="dxa"/>
            <w:tcBorders>
              <w:top w:val="single" w:sz="4" w:space="0" w:color="000000"/>
              <w:left w:val="nil"/>
              <w:bottom w:val="single" w:sz="4" w:space="0" w:color="000000"/>
              <w:right w:val="nil"/>
            </w:tcBorders>
            <w:vAlign w:val="bottom"/>
            <w:hideMark/>
          </w:tcPr>
          <w:p w14:paraId="0D9BFE4D"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2 570 975</w:t>
            </w:r>
          </w:p>
        </w:tc>
        <w:tc>
          <w:tcPr>
            <w:tcW w:w="1417" w:type="dxa"/>
            <w:tcBorders>
              <w:top w:val="single" w:sz="4" w:space="0" w:color="000000"/>
              <w:left w:val="nil"/>
              <w:bottom w:val="single" w:sz="4" w:space="0" w:color="000000"/>
              <w:right w:val="nil"/>
            </w:tcBorders>
            <w:vAlign w:val="bottom"/>
            <w:hideMark/>
          </w:tcPr>
          <w:p w14:paraId="34779150"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1 948 599</w:t>
            </w:r>
          </w:p>
        </w:tc>
        <w:tc>
          <w:tcPr>
            <w:tcW w:w="1416" w:type="dxa"/>
            <w:tcBorders>
              <w:top w:val="single" w:sz="4" w:space="0" w:color="000000"/>
              <w:left w:val="nil"/>
              <w:bottom w:val="single" w:sz="4" w:space="0" w:color="000000"/>
              <w:right w:val="nil"/>
            </w:tcBorders>
            <w:vAlign w:val="bottom"/>
            <w:hideMark/>
          </w:tcPr>
          <w:p w14:paraId="6A0E6C86"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622 376</w:t>
            </w:r>
          </w:p>
        </w:tc>
      </w:tr>
      <w:tr w:rsidR="00992A45" w:rsidRPr="00BD7721" w14:paraId="6C22699C" w14:textId="77777777" w:rsidTr="009A4AFD">
        <w:trPr>
          <w:trHeight w:val="315"/>
          <w:jc w:val="right"/>
        </w:trPr>
        <w:tc>
          <w:tcPr>
            <w:tcW w:w="5041" w:type="dxa"/>
            <w:tcBorders>
              <w:top w:val="single" w:sz="4" w:space="0" w:color="000000"/>
              <w:left w:val="nil"/>
              <w:bottom w:val="single" w:sz="4" w:space="0" w:color="000000"/>
              <w:right w:val="nil"/>
            </w:tcBorders>
            <w:hideMark/>
          </w:tcPr>
          <w:p w14:paraId="59239A5B" w14:textId="38802E95"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Subtotal (1</w:t>
            </w:r>
            <w:r w:rsidR="004212A9" w:rsidRPr="00BD7721">
              <w:rPr>
                <w:b/>
                <w:color w:val="000000"/>
                <w:sz w:val="18"/>
                <w:szCs w:val="18"/>
              </w:rPr>
              <w:t xml:space="preserve"> </w:t>
            </w:r>
            <w:r w:rsidRPr="00BD7721">
              <w:rPr>
                <w:b/>
                <w:color w:val="000000"/>
                <w:sz w:val="18"/>
                <w:szCs w:val="18"/>
              </w:rPr>
              <w:t>+</w:t>
            </w:r>
            <w:r w:rsidR="004212A9" w:rsidRPr="00BD7721">
              <w:rPr>
                <w:b/>
                <w:color w:val="000000"/>
                <w:sz w:val="18"/>
                <w:szCs w:val="18"/>
              </w:rPr>
              <w:t xml:space="preserve"> </w:t>
            </w:r>
            <w:r w:rsidRPr="00BD7721">
              <w:rPr>
                <w:b/>
                <w:color w:val="000000"/>
                <w:sz w:val="18"/>
                <w:szCs w:val="18"/>
              </w:rPr>
              <w:t>2</w:t>
            </w:r>
            <w:r w:rsidR="004212A9" w:rsidRPr="00BD7721">
              <w:rPr>
                <w:b/>
                <w:color w:val="000000"/>
                <w:sz w:val="18"/>
                <w:szCs w:val="18"/>
              </w:rPr>
              <w:t xml:space="preserve"> </w:t>
            </w:r>
            <w:r w:rsidRPr="00BD7721">
              <w:rPr>
                <w:b/>
                <w:color w:val="000000"/>
                <w:sz w:val="18"/>
                <w:szCs w:val="18"/>
              </w:rPr>
              <w:t>+</w:t>
            </w:r>
            <w:r w:rsidR="004212A9" w:rsidRPr="00BD7721">
              <w:rPr>
                <w:b/>
                <w:color w:val="000000"/>
                <w:sz w:val="18"/>
                <w:szCs w:val="18"/>
              </w:rPr>
              <w:t xml:space="preserve"> </w:t>
            </w:r>
            <w:r w:rsidRPr="00BD7721">
              <w:rPr>
                <w:b/>
                <w:color w:val="000000"/>
                <w:sz w:val="18"/>
                <w:szCs w:val="18"/>
              </w:rPr>
              <w:t>3)</w:t>
            </w:r>
          </w:p>
        </w:tc>
        <w:tc>
          <w:tcPr>
            <w:tcW w:w="1623" w:type="dxa"/>
            <w:tcBorders>
              <w:top w:val="single" w:sz="4" w:space="0" w:color="000000"/>
              <w:left w:val="nil"/>
              <w:bottom w:val="single" w:sz="4" w:space="0" w:color="000000"/>
              <w:right w:val="nil"/>
            </w:tcBorders>
            <w:vAlign w:val="bottom"/>
            <w:hideMark/>
          </w:tcPr>
          <w:p w14:paraId="45E587D9"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8 216 295</w:t>
            </w:r>
          </w:p>
        </w:tc>
        <w:tc>
          <w:tcPr>
            <w:tcW w:w="1417" w:type="dxa"/>
            <w:tcBorders>
              <w:top w:val="single" w:sz="4" w:space="0" w:color="000000"/>
              <w:left w:val="nil"/>
              <w:bottom w:val="single" w:sz="4" w:space="0" w:color="000000"/>
              <w:right w:val="nil"/>
            </w:tcBorders>
            <w:vAlign w:val="bottom"/>
            <w:hideMark/>
          </w:tcPr>
          <w:p w14:paraId="1199742A"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6 121 433</w:t>
            </w:r>
          </w:p>
        </w:tc>
        <w:tc>
          <w:tcPr>
            <w:tcW w:w="1416" w:type="dxa"/>
            <w:tcBorders>
              <w:top w:val="single" w:sz="4" w:space="0" w:color="000000"/>
              <w:left w:val="nil"/>
              <w:bottom w:val="single" w:sz="4" w:space="0" w:color="000000"/>
              <w:right w:val="nil"/>
            </w:tcBorders>
            <w:vAlign w:val="bottom"/>
            <w:hideMark/>
          </w:tcPr>
          <w:p w14:paraId="470A2B0D"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2 094 862</w:t>
            </w:r>
          </w:p>
        </w:tc>
      </w:tr>
      <w:tr w:rsidR="00992A45" w:rsidRPr="00BD7721" w14:paraId="7FFAE7A3" w14:textId="77777777" w:rsidTr="009A4AFD">
        <w:trPr>
          <w:trHeight w:val="315"/>
          <w:jc w:val="right"/>
        </w:trPr>
        <w:tc>
          <w:tcPr>
            <w:tcW w:w="5041" w:type="dxa"/>
            <w:tcBorders>
              <w:top w:val="single" w:sz="4" w:space="0" w:color="000000"/>
              <w:left w:val="nil"/>
              <w:bottom w:val="single" w:sz="4" w:space="0" w:color="000000"/>
              <w:right w:val="nil"/>
            </w:tcBorders>
            <w:hideMark/>
          </w:tcPr>
          <w:p w14:paraId="7F3A8858" w14:textId="77777777" w:rsidR="00992A45" w:rsidRPr="00BD7721" w:rsidRDefault="00992A45" w:rsidP="004E48D5">
            <w:pPr>
              <w:tabs>
                <w:tab w:val="left" w:pos="624"/>
                <w:tab w:val="left" w:pos="1871"/>
                <w:tab w:val="left" w:pos="2495"/>
                <w:tab w:val="left" w:pos="3119"/>
                <w:tab w:val="left" w:pos="3742"/>
                <w:tab w:val="left" w:pos="4366"/>
              </w:tabs>
              <w:spacing w:before="40" w:after="40"/>
              <w:rPr>
                <w:color w:val="000000"/>
                <w:sz w:val="18"/>
                <w:szCs w:val="18"/>
              </w:rPr>
            </w:pPr>
            <w:r w:rsidRPr="00BD7721">
              <w:rPr>
                <w:color w:val="000000"/>
                <w:sz w:val="18"/>
                <w:szCs w:val="18"/>
              </w:rPr>
              <w:t xml:space="preserve">Programme support costs </w:t>
            </w:r>
          </w:p>
        </w:tc>
        <w:tc>
          <w:tcPr>
            <w:tcW w:w="1623" w:type="dxa"/>
            <w:tcBorders>
              <w:top w:val="single" w:sz="4" w:space="0" w:color="000000"/>
              <w:left w:val="nil"/>
              <w:bottom w:val="single" w:sz="4" w:space="0" w:color="000000"/>
              <w:right w:val="nil"/>
            </w:tcBorders>
            <w:vAlign w:val="bottom"/>
            <w:hideMark/>
          </w:tcPr>
          <w:p w14:paraId="038D8FC8"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657 304</w:t>
            </w:r>
          </w:p>
        </w:tc>
        <w:tc>
          <w:tcPr>
            <w:tcW w:w="1417" w:type="dxa"/>
            <w:tcBorders>
              <w:top w:val="single" w:sz="4" w:space="0" w:color="000000"/>
              <w:left w:val="nil"/>
              <w:bottom w:val="single" w:sz="4" w:space="0" w:color="000000"/>
              <w:right w:val="nil"/>
            </w:tcBorders>
            <w:vAlign w:val="bottom"/>
            <w:hideMark/>
          </w:tcPr>
          <w:p w14:paraId="68D1B03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474 182</w:t>
            </w:r>
          </w:p>
        </w:tc>
        <w:tc>
          <w:tcPr>
            <w:tcW w:w="1416" w:type="dxa"/>
            <w:tcBorders>
              <w:top w:val="single" w:sz="4" w:space="0" w:color="000000"/>
              <w:left w:val="nil"/>
              <w:bottom w:val="single" w:sz="4" w:space="0" w:color="000000"/>
              <w:right w:val="nil"/>
            </w:tcBorders>
            <w:vAlign w:val="bottom"/>
            <w:hideMark/>
          </w:tcPr>
          <w:p w14:paraId="4F620F89"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color w:val="000000"/>
                <w:sz w:val="18"/>
                <w:szCs w:val="18"/>
              </w:rPr>
            </w:pPr>
            <w:r w:rsidRPr="00BD7721">
              <w:rPr>
                <w:color w:val="000000"/>
                <w:sz w:val="18"/>
                <w:szCs w:val="18"/>
              </w:rPr>
              <w:t>183 122</w:t>
            </w:r>
          </w:p>
        </w:tc>
      </w:tr>
      <w:tr w:rsidR="00992A45" w:rsidRPr="00BD7721" w14:paraId="0033BBAB" w14:textId="77777777" w:rsidTr="009A4AFD">
        <w:trPr>
          <w:trHeight w:val="315"/>
          <w:jc w:val="right"/>
        </w:trPr>
        <w:tc>
          <w:tcPr>
            <w:tcW w:w="5041" w:type="dxa"/>
            <w:tcBorders>
              <w:top w:val="single" w:sz="4" w:space="0" w:color="000000"/>
              <w:left w:val="nil"/>
              <w:bottom w:val="single" w:sz="12" w:space="0" w:color="000000"/>
              <w:right w:val="nil"/>
            </w:tcBorders>
            <w:hideMark/>
          </w:tcPr>
          <w:p w14:paraId="5795557E" w14:textId="77777777" w:rsidR="00992A45" w:rsidRPr="00BD7721" w:rsidRDefault="00992A45" w:rsidP="004E48D5">
            <w:pPr>
              <w:tabs>
                <w:tab w:val="left" w:pos="624"/>
                <w:tab w:val="left" w:pos="1871"/>
                <w:tab w:val="left" w:pos="2495"/>
                <w:tab w:val="left" w:pos="3119"/>
                <w:tab w:val="left" w:pos="3742"/>
                <w:tab w:val="left" w:pos="4366"/>
              </w:tabs>
              <w:spacing w:before="40" w:after="40"/>
              <w:rPr>
                <w:b/>
                <w:color w:val="000000"/>
                <w:sz w:val="18"/>
                <w:szCs w:val="18"/>
              </w:rPr>
            </w:pPr>
            <w:r w:rsidRPr="00BD7721">
              <w:rPr>
                <w:b/>
                <w:color w:val="000000"/>
                <w:sz w:val="18"/>
                <w:szCs w:val="18"/>
              </w:rPr>
              <w:t>Total</w:t>
            </w:r>
          </w:p>
        </w:tc>
        <w:tc>
          <w:tcPr>
            <w:tcW w:w="1623" w:type="dxa"/>
            <w:tcBorders>
              <w:top w:val="single" w:sz="4" w:space="0" w:color="000000"/>
              <w:left w:val="nil"/>
              <w:bottom w:val="single" w:sz="12" w:space="0" w:color="000000"/>
              <w:right w:val="nil"/>
            </w:tcBorders>
            <w:vAlign w:val="bottom"/>
            <w:hideMark/>
          </w:tcPr>
          <w:p w14:paraId="16FDB79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8 873 599</w:t>
            </w:r>
          </w:p>
        </w:tc>
        <w:tc>
          <w:tcPr>
            <w:tcW w:w="1417" w:type="dxa"/>
            <w:tcBorders>
              <w:top w:val="single" w:sz="4" w:space="0" w:color="000000"/>
              <w:left w:val="nil"/>
              <w:bottom w:val="single" w:sz="12" w:space="0" w:color="000000"/>
              <w:right w:val="nil"/>
            </w:tcBorders>
            <w:vAlign w:val="bottom"/>
            <w:hideMark/>
          </w:tcPr>
          <w:p w14:paraId="1E78D627"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6 595 616</w:t>
            </w:r>
          </w:p>
        </w:tc>
        <w:tc>
          <w:tcPr>
            <w:tcW w:w="1416" w:type="dxa"/>
            <w:tcBorders>
              <w:top w:val="single" w:sz="4" w:space="0" w:color="000000"/>
              <w:left w:val="nil"/>
              <w:bottom w:val="single" w:sz="12" w:space="0" w:color="000000"/>
              <w:right w:val="nil"/>
            </w:tcBorders>
            <w:vAlign w:val="bottom"/>
            <w:hideMark/>
          </w:tcPr>
          <w:p w14:paraId="1CBC55C9" w14:textId="77777777" w:rsidR="00992A45" w:rsidRPr="00BD7721" w:rsidRDefault="00992A45" w:rsidP="004E48D5">
            <w:pPr>
              <w:tabs>
                <w:tab w:val="left" w:pos="624"/>
                <w:tab w:val="left" w:pos="1871"/>
                <w:tab w:val="left" w:pos="2495"/>
                <w:tab w:val="left" w:pos="3119"/>
                <w:tab w:val="left" w:pos="3742"/>
                <w:tab w:val="left" w:pos="4366"/>
              </w:tabs>
              <w:spacing w:before="40" w:after="40"/>
              <w:jc w:val="right"/>
              <w:rPr>
                <w:b/>
                <w:color w:val="000000"/>
                <w:sz w:val="18"/>
                <w:szCs w:val="18"/>
              </w:rPr>
            </w:pPr>
            <w:r w:rsidRPr="00BD7721">
              <w:rPr>
                <w:b/>
                <w:color w:val="000000"/>
                <w:sz w:val="18"/>
                <w:szCs w:val="18"/>
              </w:rPr>
              <w:t>2 277 984</w:t>
            </w:r>
          </w:p>
        </w:tc>
      </w:tr>
    </w:tbl>
    <w:p w14:paraId="5BB332B6" w14:textId="77777777" w:rsidR="00992A45" w:rsidRPr="00BD7721" w:rsidRDefault="00992A45" w:rsidP="00992A45">
      <w:pPr>
        <w:pStyle w:val="CH1"/>
        <w:rPr>
          <w:rFonts w:eastAsia="Yu Mincho"/>
          <w:lang w:val="en-GB"/>
        </w:rPr>
      </w:pPr>
      <w:r w:rsidRPr="00BD7721">
        <w:rPr>
          <w:rFonts w:eastAsia="Yu Mincho"/>
          <w:lang w:val="en-GB"/>
        </w:rPr>
        <w:tab/>
        <w:t>III.</w:t>
      </w:r>
      <w:r w:rsidRPr="00BD7721">
        <w:rPr>
          <w:rFonts w:eastAsia="Yu Mincho"/>
          <w:lang w:val="en-GB"/>
        </w:rPr>
        <w:tab/>
        <w:t>Revised budget for 2023</w:t>
      </w:r>
    </w:p>
    <w:p w14:paraId="04AD54AD" w14:textId="77777777" w:rsidR="00992A45" w:rsidRPr="00BD7721" w:rsidRDefault="00992A45" w:rsidP="00992A45">
      <w:pPr>
        <w:pStyle w:val="Titletable"/>
        <w:rPr>
          <w:lang w:val="en-GB"/>
        </w:rPr>
      </w:pPr>
      <w:r w:rsidRPr="00BD7721">
        <w:rPr>
          <w:b w:val="0"/>
          <w:bCs w:val="0"/>
          <w:lang w:val="en-GB"/>
        </w:rPr>
        <w:t xml:space="preserve">Table 6 </w:t>
      </w:r>
      <w:r w:rsidRPr="00BD7721">
        <w:rPr>
          <w:lang w:val="en-GB"/>
        </w:rPr>
        <w:br/>
        <w:t>Revised budget for 2023</w:t>
      </w:r>
    </w:p>
    <w:p w14:paraId="08962992" w14:textId="77777777" w:rsidR="00992A45" w:rsidRPr="00BD7721" w:rsidRDefault="00992A45" w:rsidP="00992A45">
      <w:pPr>
        <w:pStyle w:val="Titletable"/>
        <w:rPr>
          <w:b w:val="0"/>
          <w:bCs w:val="0"/>
          <w:sz w:val="18"/>
          <w:szCs w:val="18"/>
          <w:lang w:val="en-GB"/>
        </w:rPr>
      </w:pPr>
      <w:r w:rsidRPr="00BD7721">
        <w:rPr>
          <w:b w:val="0"/>
          <w:bCs w:val="0"/>
          <w:sz w:val="18"/>
          <w:szCs w:val="18"/>
          <w:lang w:val="en-GB"/>
        </w:rPr>
        <w:t>(United States dollars)</w:t>
      </w:r>
    </w:p>
    <w:tbl>
      <w:tblPr>
        <w:tblW w:w="5000" w:type="pct"/>
        <w:jc w:val="right"/>
        <w:tblBorders>
          <w:insideH w:val="nil"/>
          <w:insideV w:val="nil"/>
        </w:tblBorders>
        <w:tblLayout w:type="fixed"/>
        <w:tblLook w:val="0400" w:firstRow="0" w:lastRow="0" w:firstColumn="0" w:lastColumn="0" w:noHBand="0" w:noVBand="1"/>
      </w:tblPr>
      <w:tblGrid>
        <w:gridCol w:w="5130"/>
        <w:gridCol w:w="1442"/>
        <w:gridCol w:w="1464"/>
        <w:gridCol w:w="1461"/>
      </w:tblGrid>
      <w:tr w:rsidR="00992A45" w:rsidRPr="00BD7721" w14:paraId="2268D54C" w14:textId="77777777" w:rsidTr="004E48D5">
        <w:trPr>
          <w:trHeight w:val="57"/>
          <w:tblHeader/>
          <w:jc w:val="right"/>
        </w:trPr>
        <w:tc>
          <w:tcPr>
            <w:tcW w:w="5130" w:type="dxa"/>
            <w:tcBorders>
              <w:top w:val="single" w:sz="4" w:space="0" w:color="000000"/>
              <w:left w:val="nil"/>
              <w:bottom w:val="single" w:sz="12" w:space="0" w:color="000000"/>
              <w:right w:val="nil"/>
            </w:tcBorders>
            <w:vAlign w:val="bottom"/>
            <w:hideMark/>
          </w:tcPr>
          <w:p w14:paraId="03C58CC6" w14:textId="77777777" w:rsidR="00992A45" w:rsidRPr="00BD7721" w:rsidRDefault="00992A45" w:rsidP="004E48D5">
            <w:pPr>
              <w:pStyle w:val="Normal-pool"/>
              <w:spacing w:before="40" w:after="40"/>
              <w:rPr>
                <w:i/>
                <w:iCs/>
                <w:sz w:val="18"/>
                <w:szCs w:val="18"/>
                <w:lang w:val="en-GB"/>
              </w:rPr>
            </w:pPr>
            <w:r w:rsidRPr="00BD7721">
              <w:rPr>
                <w:i/>
                <w:iCs/>
                <w:sz w:val="18"/>
                <w:szCs w:val="18"/>
                <w:lang w:val="en-GB"/>
              </w:rPr>
              <w:t>Budget item</w:t>
            </w:r>
          </w:p>
        </w:tc>
        <w:tc>
          <w:tcPr>
            <w:tcW w:w="1442" w:type="dxa"/>
            <w:tcBorders>
              <w:top w:val="single" w:sz="4" w:space="0" w:color="000000"/>
              <w:left w:val="nil"/>
              <w:bottom w:val="single" w:sz="12" w:space="0" w:color="000000"/>
              <w:right w:val="nil"/>
            </w:tcBorders>
            <w:vAlign w:val="bottom"/>
            <w:hideMark/>
          </w:tcPr>
          <w:p w14:paraId="4CB64D63" w14:textId="77777777" w:rsidR="00992A45" w:rsidRPr="00BD7721" w:rsidRDefault="00992A45" w:rsidP="004E48D5">
            <w:pPr>
              <w:pStyle w:val="Normal-pool"/>
              <w:spacing w:before="40" w:after="40"/>
              <w:jc w:val="right"/>
              <w:rPr>
                <w:i/>
                <w:iCs/>
                <w:sz w:val="18"/>
                <w:szCs w:val="18"/>
                <w:lang w:val="en-GB"/>
              </w:rPr>
            </w:pPr>
            <w:r w:rsidRPr="00BD7721">
              <w:rPr>
                <w:i/>
                <w:iCs/>
                <w:sz w:val="18"/>
                <w:szCs w:val="18"/>
                <w:lang w:val="en-GB"/>
              </w:rPr>
              <w:t>2023 approved budget</w:t>
            </w:r>
          </w:p>
        </w:tc>
        <w:tc>
          <w:tcPr>
            <w:tcW w:w="1464" w:type="dxa"/>
            <w:tcBorders>
              <w:top w:val="single" w:sz="4" w:space="0" w:color="000000"/>
              <w:left w:val="nil"/>
              <w:bottom w:val="single" w:sz="12" w:space="0" w:color="000000"/>
              <w:right w:val="nil"/>
            </w:tcBorders>
            <w:vAlign w:val="bottom"/>
            <w:hideMark/>
          </w:tcPr>
          <w:p w14:paraId="08C3B76B" w14:textId="77777777" w:rsidR="00992A45" w:rsidRPr="00BD7721" w:rsidRDefault="00992A45" w:rsidP="004E48D5">
            <w:pPr>
              <w:pStyle w:val="Normal-pool"/>
              <w:spacing w:before="40" w:after="40"/>
              <w:jc w:val="right"/>
              <w:rPr>
                <w:i/>
                <w:iCs/>
                <w:sz w:val="18"/>
                <w:szCs w:val="18"/>
                <w:lang w:val="en-GB"/>
              </w:rPr>
            </w:pPr>
            <w:r w:rsidRPr="00BD7721">
              <w:rPr>
                <w:i/>
                <w:iCs/>
                <w:sz w:val="18"/>
                <w:szCs w:val="18"/>
                <w:lang w:val="en-GB"/>
              </w:rPr>
              <w:t>2023 revised budget</w:t>
            </w:r>
          </w:p>
        </w:tc>
        <w:tc>
          <w:tcPr>
            <w:tcW w:w="1461" w:type="dxa"/>
            <w:tcBorders>
              <w:top w:val="single" w:sz="4" w:space="0" w:color="000000"/>
              <w:left w:val="nil"/>
              <w:bottom w:val="single" w:sz="12" w:space="0" w:color="000000"/>
              <w:right w:val="nil"/>
            </w:tcBorders>
            <w:vAlign w:val="bottom"/>
            <w:hideMark/>
          </w:tcPr>
          <w:p w14:paraId="57603F4A" w14:textId="77777777" w:rsidR="00992A45" w:rsidRPr="00BD7721" w:rsidRDefault="00992A45" w:rsidP="004E48D5">
            <w:pPr>
              <w:pStyle w:val="Normal-pool"/>
              <w:spacing w:before="40" w:after="40"/>
              <w:jc w:val="right"/>
              <w:rPr>
                <w:i/>
                <w:iCs/>
                <w:sz w:val="18"/>
                <w:szCs w:val="18"/>
                <w:lang w:val="en-GB"/>
              </w:rPr>
            </w:pPr>
            <w:r w:rsidRPr="00BD7721">
              <w:rPr>
                <w:i/>
                <w:iCs/>
                <w:sz w:val="18"/>
                <w:szCs w:val="18"/>
                <w:lang w:val="en-GB"/>
              </w:rPr>
              <w:t>Change</w:t>
            </w:r>
          </w:p>
        </w:tc>
      </w:tr>
      <w:tr w:rsidR="00992A45" w:rsidRPr="00BD7721" w14:paraId="05055050" w14:textId="77777777" w:rsidTr="004E48D5">
        <w:trPr>
          <w:trHeight w:val="57"/>
          <w:jc w:val="right"/>
        </w:trPr>
        <w:tc>
          <w:tcPr>
            <w:tcW w:w="5130" w:type="dxa"/>
            <w:tcBorders>
              <w:top w:val="single" w:sz="12" w:space="0" w:color="000000"/>
              <w:left w:val="nil"/>
              <w:bottom w:val="nil"/>
              <w:right w:val="nil"/>
            </w:tcBorders>
            <w:hideMark/>
          </w:tcPr>
          <w:p w14:paraId="2ACB8F2A" w14:textId="014CC6BE" w:rsidR="00992A45" w:rsidRPr="00BD7721" w:rsidRDefault="00992A45" w:rsidP="004E48D5">
            <w:pPr>
              <w:pStyle w:val="Normal-pool"/>
              <w:tabs>
                <w:tab w:val="left" w:pos="365"/>
              </w:tabs>
              <w:spacing w:before="40" w:after="40"/>
              <w:rPr>
                <w:b/>
                <w:sz w:val="18"/>
                <w:szCs w:val="18"/>
                <w:lang w:val="en-GB"/>
              </w:rPr>
            </w:pPr>
            <w:r w:rsidRPr="00BD7721">
              <w:rPr>
                <w:b/>
                <w:sz w:val="18"/>
                <w:szCs w:val="18"/>
                <w:lang w:val="en-GB"/>
              </w:rPr>
              <w:t>1.</w:t>
            </w:r>
            <w:r w:rsidRPr="00BD7721">
              <w:rPr>
                <w:b/>
                <w:sz w:val="18"/>
                <w:szCs w:val="18"/>
                <w:lang w:val="en-GB"/>
              </w:rPr>
              <w:tab/>
              <w:t>Meetings of the IPBES bodies</w:t>
            </w:r>
            <w:r w:rsidR="004212A9" w:rsidRPr="00BD7721">
              <w:rPr>
                <w:sz w:val="18"/>
                <w:szCs w:val="18"/>
                <w:lang w:val="en-GB"/>
              </w:rPr>
              <w:t xml:space="preserve"> </w:t>
            </w:r>
          </w:p>
        </w:tc>
        <w:tc>
          <w:tcPr>
            <w:tcW w:w="1442" w:type="dxa"/>
            <w:tcBorders>
              <w:top w:val="single" w:sz="12" w:space="0" w:color="000000"/>
              <w:left w:val="nil"/>
              <w:bottom w:val="nil"/>
              <w:right w:val="nil"/>
            </w:tcBorders>
          </w:tcPr>
          <w:p w14:paraId="5E400DD5" w14:textId="77777777" w:rsidR="00992A45" w:rsidRPr="00BD7721" w:rsidRDefault="00992A45" w:rsidP="004E48D5">
            <w:pPr>
              <w:pStyle w:val="Normal-pool"/>
              <w:spacing w:before="40" w:after="40"/>
              <w:jc w:val="right"/>
              <w:rPr>
                <w:b/>
                <w:sz w:val="18"/>
                <w:szCs w:val="18"/>
                <w:lang w:val="en-GB"/>
              </w:rPr>
            </w:pPr>
          </w:p>
        </w:tc>
        <w:tc>
          <w:tcPr>
            <w:tcW w:w="1464" w:type="dxa"/>
            <w:tcBorders>
              <w:top w:val="single" w:sz="12" w:space="0" w:color="000000"/>
              <w:left w:val="nil"/>
              <w:bottom w:val="nil"/>
              <w:right w:val="nil"/>
            </w:tcBorders>
          </w:tcPr>
          <w:p w14:paraId="5A5F7A78" w14:textId="77777777" w:rsidR="00992A45" w:rsidRPr="00BD7721" w:rsidRDefault="00992A45" w:rsidP="004E48D5">
            <w:pPr>
              <w:pStyle w:val="Normal-pool"/>
              <w:spacing w:before="40" w:after="40"/>
              <w:jc w:val="right"/>
              <w:rPr>
                <w:b/>
                <w:sz w:val="18"/>
                <w:szCs w:val="18"/>
                <w:lang w:val="en-GB"/>
              </w:rPr>
            </w:pPr>
          </w:p>
        </w:tc>
        <w:tc>
          <w:tcPr>
            <w:tcW w:w="1461" w:type="dxa"/>
            <w:tcBorders>
              <w:top w:val="single" w:sz="12" w:space="0" w:color="000000"/>
              <w:left w:val="nil"/>
              <w:bottom w:val="nil"/>
              <w:right w:val="nil"/>
            </w:tcBorders>
          </w:tcPr>
          <w:p w14:paraId="1BEA427C" w14:textId="77777777" w:rsidR="00992A45" w:rsidRPr="00BD7721" w:rsidRDefault="00992A45" w:rsidP="004E48D5">
            <w:pPr>
              <w:pStyle w:val="Normal-pool"/>
              <w:spacing w:before="40" w:after="40"/>
              <w:jc w:val="right"/>
              <w:rPr>
                <w:b/>
                <w:sz w:val="18"/>
                <w:szCs w:val="18"/>
                <w:lang w:val="en-GB"/>
              </w:rPr>
            </w:pPr>
          </w:p>
        </w:tc>
      </w:tr>
      <w:tr w:rsidR="00992A45" w:rsidRPr="00BD7721" w14:paraId="26A909D9" w14:textId="77777777" w:rsidTr="004E48D5">
        <w:trPr>
          <w:trHeight w:val="57"/>
          <w:jc w:val="right"/>
        </w:trPr>
        <w:tc>
          <w:tcPr>
            <w:tcW w:w="5130" w:type="dxa"/>
            <w:tcBorders>
              <w:top w:val="nil"/>
              <w:left w:val="nil"/>
              <w:bottom w:val="nil"/>
              <w:right w:val="nil"/>
            </w:tcBorders>
            <w:hideMark/>
          </w:tcPr>
          <w:p w14:paraId="37E6C88E" w14:textId="77777777" w:rsidR="00992A45" w:rsidRPr="00BD7721" w:rsidRDefault="00992A45" w:rsidP="004E48D5">
            <w:pPr>
              <w:pStyle w:val="Normal-pool"/>
              <w:tabs>
                <w:tab w:val="left" w:pos="365"/>
              </w:tabs>
              <w:spacing w:before="40" w:after="40"/>
              <w:rPr>
                <w:b/>
                <w:sz w:val="18"/>
                <w:szCs w:val="18"/>
                <w:lang w:val="en-GB"/>
              </w:rPr>
            </w:pPr>
            <w:r w:rsidRPr="00BD7721">
              <w:rPr>
                <w:b/>
                <w:sz w:val="18"/>
                <w:szCs w:val="18"/>
                <w:lang w:val="en-GB"/>
              </w:rPr>
              <w:t>1.1</w:t>
            </w:r>
            <w:r w:rsidRPr="00BD7721">
              <w:rPr>
                <w:b/>
                <w:sz w:val="18"/>
                <w:szCs w:val="18"/>
                <w:lang w:val="en-GB"/>
              </w:rPr>
              <w:tab/>
              <w:t>Sessions of the Plenary</w:t>
            </w:r>
          </w:p>
        </w:tc>
        <w:tc>
          <w:tcPr>
            <w:tcW w:w="1442" w:type="dxa"/>
            <w:tcBorders>
              <w:top w:val="nil"/>
              <w:left w:val="nil"/>
              <w:bottom w:val="nil"/>
              <w:right w:val="nil"/>
            </w:tcBorders>
          </w:tcPr>
          <w:p w14:paraId="2BA8D1F8" w14:textId="77777777" w:rsidR="00992A45" w:rsidRPr="00BD7721" w:rsidRDefault="00992A45" w:rsidP="004E48D5">
            <w:pPr>
              <w:pStyle w:val="Normal-pool"/>
              <w:spacing w:before="40" w:after="40"/>
              <w:jc w:val="right"/>
              <w:rPr>
                <w:b/>
                <w:sz w:val="18"/>
                <w:szCs w:val="18"/>
                <w:lang w:val="en-GB"/>
              </w:rPr>
            </w:pPr>
          </w:p>
        </w:tc>
        <w:tc>
          <w:tcPr>
            <w:tcW w:w="1464" w:type="dxa"/>
            <w:tcBorders>
              <w:top w:val="nil"/>
              <w:left w:val="nil"/>
              <w:bottom w:val="nil"/>
              <w:right w:val="nil"/>
            </w:tcBorders>
          </w:tcPr>
          <w:p w14:paraId="068BDD88" w14:textId="77777777" w:rsidR="00992A45" w:rsidRPr="00BD7721" w:rsidRDefault="00992A45" w:rsidP="004E48D5">
            <w:pPr>
              <w:pStyle w:val="Normal-pool"/>
              <w:spacing w:before="40" w:after="40"/>
              <w:jc w:val="right"/>
              <w:rPr>
                <w:sz w:val="18"/>
                <w:szCs w:val="18"/>
                <w:lang w:val="en-GB"/>
              </w:rPr>
            </w:pPr>
          </w:p>
        </w:tc>
        <w:tc>
          <w:tcPr>
            <w:tcW w:w="1461" w:type="dxa"/>
            <w:tcBorders>
              <w:top w:val="nil"/>
              <w:left w:val="nil"/>
              <w:bottom w:val="nil"/>
              <w:right w:val="nil"/>
            </w:tcBorders>
          </w:tcPr>
          <w:p w14:paraId="3EBE53FE" w14:textId="77777777" w:rsidR="00992A45" w:rsidRPr="00BD7721" w:rsidRDefault="00992A45" w:rsidP="004E48D5">
            <w:pPr>
              <w:pStyle w:val="Normal-pool"/>
              <w:spacing w:before="40" w:after="40"/>
              <w:jc w:val="right"/>
              <w:rPr>
                <w:sz w:val="18"/>
                <w:szCs w:val="18"/>
                <w:lang w:val="en-GB"/>
              </w:rPr>
            </w:pPr>
          </w:p>
        </w:tc>
      </w:tr>
      <w:tr w:rsidR="00992A45" w:rsidRPr="00BD7721" w14:paraId="6068BEED" w14:textId="77777777" w:rsidTr="00E03AD9">
        <w:trPr>
          <w:trHeight w:val="57"/>
          <w:jc w:val="right"/>
        </w:trPr>
        <w:tc>
          <w:tcPr>
            <w:tcW w:w="5130" w:type="dxa"/>
            <w:tcBorders>
              <w:top w:val="nil"/>
              <w:left w:val="nil"/>
              <w:bottom w:val="nil"/>
              <w:right w:val="nil"/>
            </w:tcBorders>
            <w:hideMark/>
          </w:tcPr>
          <w:p w14:paraId="3DEB83C1" w14:textId="77777777" w:rsidR="00992A45" w:rsidRPr="00BD7721" w:rsidRDefault="00992A45" w:rsidP="004E48D5">
            <w:pPr>
              <w:pStyle w:val="Normal-pool"/>
              <w:spacing w:before="40" w:after="40"/>
              <w:ind w:left="319"/>
              <w:rPr>
                <w:sz w:val="18"/>
                <w:szCs w:val="18"/>
                <w:lang w:val="en-GB"/>
              </w:rPr>
            </w:pPr>
            <w:r w:rsidRPr="00BD7721">
              <w:rPr>
                <w:sz w:val="18"/>
                <w:szCs w:val="18"/>
                <w:lang w:val="en-GB"/>
              </w:rPr>
              <w:t xml:space="preserve">Travel costs for participants in the tenth session of the Plenary (travel and daily subsistence allowance) </w:t>
            </w:r>
          </w:p>
        </w:tc>
        <w:tc>
          <w:tcPr>
            <w:tcW w:w="1442" w:type="dxa"/>
            <w:tcBorders>
              <w:top w:val="nil"/>
              <w:left w:val="nil"/>
              <w:bottom w:val="nil"/>
              <w:right w:val="nil"/>
            </w:tcBorders>
            <w:vAlign w:val="bottom"/>
            <w:hideMark/>
          </w:tcPr>
          <w:p w14:paraId="0F2A464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500 000</w:t>
            </w:r>
          </w:p>
        </w:tc>
        <w:tc>
          <w:tcPr>
            <w:tcW w:w="1464" w:type="dxa"/>
            <w:tcBorders>
              <w:top w:val="nil"/>
              <w:left w:val="nil"/>
              <w:bottom w:val="nil"/>
              <w:right w:val="nil"/>
            </w:tcBorders>
            <w:vAlign w:val="bottom"/>
            <w:hideMark/>
          </w:tcPr>
          <w:p w14:paraId="63D5D57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500 000</w:t>
            </w:r>
          </w:p>
        </w:tc>
        <w:tc>
          <w:tcPr>
            <w:tcW w:w="1461" w:type="dxa"/>
            <w:tcBorders>
              <w:top w:val="nil"/>
              <w:left w:val="nil"/>
              <w:bottom w:val="nil"/>
              <w:right w:val="nil"/>
            </w:tcBorders>
            <w:vAlign w:val="bottom"/>
            <w:hideMark/>
          </w:tcPr>
          <w:p w14:paraId="1D6C579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0</w:t>
            </w:r>
          </w:p>
        </w:tc>
      </w:tr>
      <w:tr w:rsidR="00992A45" w:rsidRPr="00BD7721" w14:paraId="3D02DCE1" w14:textId="77777777" w:rsidTr="00E03AD9">
        <w:trPr>
          <w:trHeight w:val="57"/>
          <w:jc w:val="right"/>
        </w:trPr>
        <w:tc>
          <w:tcPr>
            <w:tcW w:w="5130" w:type="dxa"/>
            <w:tcBorders>
              <w:top w:val="nil"/>
              <w:left w:val="nil"/>
              <w:bottom w:val="nil"/>
              <w:right w:val="nil"/>
            </w:tcBorders>
            <w:hideMark/>
          </w:tcPr>
          <w:p w14:paraId="2D717519" w14:textId="77777777" w:rsidR="00992A45" w:rsidRPr="00BD7721" w:rsidRDefault="00992A45" w:rsidP="004E48D5">
            <w:pPr>
              <w:pStyle w:val="Normal-pool"/>
              <w:spacing w:before="40" w:after="40"/>
              <w:ind w:left="319"/>
              <w:rPr>
                <w:sz w:val="18"/>
                <w:szCs w:val="18"/>
                <w:lang w:val="en-GB"/>
              </w:rPr>
            </w:pPr>
            <w:r w:rsidRPr="00BD7721">
              <w:rPr>
                <w:sz w:val="18"/>
                <w:szCs w:val="18"/>
                <w:lang w:val="en-GB"/>
              </w:rPr>
              <w:t>Conference services (translation, editing and interpretation)</w:t>
            </w:r>
          </w:p>
        </w:tc>
        <w:tc>
          <w:tcPr>
            <w:tcW w:w="1442" w:type="dxa"/>
            <w:tcBorders>
              <w:top w:val="nil"/>
              <w:left w:val="nil"/>
              <w:bottom w:val="nil"/>
              <w:right w:val="nil"/>
            </w:tcBorders>
            <w:vAlign w:val="bottom"/>
            <w:hideMark/>
          </w:tcPr>
          <w:p w14:paraId="74A6023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830 000</w:t>
            </w:r>
          </w:p>
        </w:tc>
        <w:tc>
          <w:tcPr>
            <w:tcW w:w="1464" w:type="dxa"/>
            <w:tcBorders>
              <w:top w:val="nil"/>
              <w:left w:val="nil"/>
              <w:bottom w:val="nil"/>
              <w:right w:val="nil"/>
            </w:tcBorders>
            <w:vAlign w:val="bottom"/>
            <w:hideMark/>
          </w:tcPr>
          <w:p w14:paraId="1FB0ED4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830 000</w:t>
            </w:r>
          </w:p>
        </w:tc>
        <w:tc>
          <w:tcPr>
            <w:tcW w:w="1461" w:type="dxa"/>
            <w:tcBorders>
              <w:top w:val="nil"/>
              <w:left w:val="nil"/>
              <w:bottom w:val="nil"/>
              <w:right w:val="nil"/>
            </w:tcBorders>
            <w:vAlign w:val="bottom"/>
            <w:hideMark/>
          </w:tcPr>
          <w:p w14:paraId="618B6DD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0</w:t>
            </w:r>
          </w:p>
        </w:tc>
      </w:tr>
      <w:tr w:rsidR="00992A45" w:rsidRPr="00BD7721" w14:paraId="6AEA0A0A" w14:textId="77777777" w:rsidTr="00E03AD9">
        <w:trPr>
          <w:trHeight w:val="57"/>
          <w:jc w:val="right"/>
        </w:trPr>
        <w:tc>
          <w:tcPr>
            <w:tcW w:w="5130" w:type="dxa"/>
            <w:tcBorders>
              <w:top w:val="nil"/>
              <w:left w:val="nil"/>
              <w:bottom w:val="nil"/>
              <w:right w:val="nil"/>
            </w:tcBorders>
            <w:hideMark/>
          </w:tcPr>
          <w:p w14:paraId="31E0678D" w14:textId="77777777" w:rsidR="00992A45" w:rsidRPr="00BD7721" w:rsidRDefault="00992A45" w:rsidP="004E48D5">
            <w:pPr>
              <w:pStyle w:val="Normal-pool"/>
              <w:spacing w:before="40" w:after="40"/>
              <w:ind w:left="319"/>
              <w:rPr>
                <w:sz w:val="18"/>
                <w:szCs w:val="18"/>
                <w:lang w:val="en-GB"/>
              </w:rPr>
            </w:pPr>
            <w:r w:rsidRPr="00BD7721">
              <w:rPr>
                <w:sz w:val="18"/>
                <w:szCs w:val="18"/>
                <w:lang w:val="en-GB"/>
              </w:rPr>
              <w:t>Reporting services</w:t>
            </w:r>
          </w:p>
        </w:tc>
        <w:tc>
          <w:tcPr>
            <w:tcW w:w="1442" w:type="dxa"/>
            <w:tcBorders>
              <w:top w:val="nil"/>
              <w:left w:val="nil"/>
              <w:bottom w:val="nil"/>
              <w:right w:val="nil"/>
            </w:tcBorders>
            <w:vAlign w:val="bottom"/>
            <w:hideMark/>
          </w:tcPr>
          <w:p w14:paraId="08F14E7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65 000</w:t>
            </w:r>
          </w:p>
        </w:tc>
        <w:tc>
          <w:tcPr>
            <w:tcW w:w="1464" w:type="dxa"/>
            <w:tcBorders>
              <w:top w:val="nil"/>
              <w:left w:val="nil"/>
              <w:bottom w:val="nil"/>
              <w:right w:val="nil"/>
            </w:tcBorders>
            <w:vAlign w:val="bottom"/>
            <w:hideMark/>
          </w:tcPr>
          <w:p w14:paraId="2C5BCE3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65 000</w:t>
            </w:r>
          </w:p>
        </w:tc>
        <w:tc>
          <w:tcPr>
            <w:tcW w:w="1461" w:type="dxa"/>
            <w:tcBorders>
              <w:top w:val="nil"/>
              <w:left w:val="nil"/>
              <w:bottom w:val="nil"/>
              <w:right w:val="nil"/>
            </w:tcBorders>
            <w:vAlign w:val="bottom"/>
            <w:hideMark/>
          </w:tcPr>
          <w:p w14:paraId="590333E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0</w:t>
            </w:r>
          </w:p>
        </w:tc>
      </w:tr>
      <w:tr w:rsidR="00992A45" w:rsidRPr="00BD7721" w14:paraId="2D3AB22D" w14:textId="77777777" w:rsidTr="00E03AD9">
        <w:trPr>
          <w:trHeight w:val="57"/>
          <w:jc w:val="right"/>
        </w:trPr>
        <w:tc>
          <w:tcPr>
            <w:tcW w:w="5130" w:type="dxa"/>
            <w:tcBorders>
              <w:top w:val="nil"/>
              <w:left w:val="nil"/>
              <w:bottom w:val="single" w:sz="4" w:space="0" w:color="000000"/>
              <w:right w:val="nil"/>
            </w:tcBorders>
            <w:hideMark/>
          </w:tcPr>
          <w:p w14:paraId="2F901087" w14:textId="77777777" w:rsidR="00992A45" w:rsidRPr="00BD7721" w:rsidRDefault="00992A45" w:rsidP="004E48D5">
            <w:pPr>
              <w:pStyle w:val="Normal-pool"/>
              <w:spacing w:before="40" w:after="40"/>
              <w:ind w:left="319"/>
              <w:rPr>
                <w:sz w:val="18"/>
                <w:szCs w:val="18"/>
                <w:lang w:val="en-GB"/>
              </w:rPr>
            </w:pPr>
            <w:r w:rsidRPr="00BD7721">
              <w:rPr>
                <w:sz w:val="18"/>
                <w:szCs w:val="18"/>
                <w:lang w:val="en-GB"/>
              </w:rPr>
              <w:t xml:space="preserve">Security and other costs </w:t>
            </w:r>
          </w:p>
        </w:tc>
        <w:tc>
          <w:tcPr>
            <w:tcW w:w="1442" w:type="dxa"/>
            <w:tcBorders>
              <w:top w:val="nil"/>
              <w:left w:val="nil"/>
              <w:bottom w:val="single" w:sz="4" w:space="0" w:color="000000"/>
              <w:right w:val="nil"/>
            </w:tcBorders>
            <w:vAlign w:val="bottom"/>
            <w:hideMark/>
          </w:tcPr>
          <w:p w14:paraId="44D6DE4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100 000</w:t>
            </w:r>
          </w:p>
        </w:tc>
        <w:tc>
          <w:tcPr>
            <w:tcW w:w="1464" w:type="dxa"/>
            <w:tcBorders>
              <w:top w:val="nil"/>
              <w:left w:val="nil"/>
              <w:bottom w:val="single" w:sz="4" w:space="0" w:color="000000"/>
              <w:right w:val="nil"/>
            </w:tcBorders>
            <w:vAlign w:val="bottom"/>
            <w:hideMark/>
          </w:tcPr>
          <w:p w14:paraId="021A8F2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200 000</w:t>
            </w:r>
          </w:p>
        </w:tc>
        <w:tc>
          <w:tcPr>
            <w:tcW w:w="1461" w:type="dxa"/>
            <w:tcBorders>
              <w:top w:val="nil"/>
              <w:left w:val="nil"/>
              <w:bottom w:val="single" w:sz="4" w:space="0" w:color="000000"/>
              <w:right w:val="nil"/>
            </w:tcBorders>
            <w:vAlign w:val="bottom"/>
            <w:hideMark/>
          </w:tcPr>
          <w:p w14:paraId="4FF2B5F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100 000</w:t>
            </w:r>
          </w:p>
        </w:tc>
      </w:tr>
      <w:tr w:rsidR="00992A45" w:rsidRPr="00BD7721" w14:paraId="0DD4AEB5" w14:textId="77777777" w:rsidTr="00E03AD9">
        <w:trPr>
          <w:trHeight w:val="57"/>
          <w:jc w:val="right"/>
        </w:trPr>
        <w:tc>
          <w:tcPr>
            <w:tcW w:w="5130" w:type="dxa"/>
            <w:tcBorders>
              <w:top w:val="single" w:sz="4" w:space="0" w:color="000000"/>
              <w:left w:val="nil"/>
              <w:bottom w:val="single" w:sz="4" w:space="0" w:color="000000"/>
              <w:right w:val="nil"/>
            </w:tcBorders>
            <w:hideMark/>
          </w:tcPr>
          <w:p w14:paraId="3FD227BD" w14:textId="77777777" w:rsidR="00992A45" w:rsidRPr="00BD7721" w:rsidRDefault="00992A45" w:rsidP="004E48D5">
            <w:pPr>
              <w:pStyle w:val="Normal-pool"/>
              <w:spacing w:before="40" w:after="40"/>
              <w:rPr>
                <w:b/>
                <w:sz w:val="18"/>
                <w:szCs w:val="18"/>
                <w:lang w:val="en-GB"/>
              </w:rPr>
            </w:pPr>
            <w:r w:rsidRPr="00BD7721">
              <w:rPr>
                <w:b/>
                <w:sz w:val="18"/>
                <w:szCs w:val="18"/>
                <w:lang w:val="en-GB"/>
              </w:rPr>
              <w:t>Subtotal 1.1, sessions of the Plenary</w:t>
            </w:r>
          </w:p>
        </w:tc>
        <w:tc>
          <w:tcPr>
            <w:tcW w:w="1442" w:type="dxa"/>
            <w:tcBorders>
              <w:top w:val="single" w:sz="4" w:space="0" w:color="000000"/>
              <w:left w:val="nil"/>
              <w:bottom w:val="single" w:sz="4" w:space="0" w:color="000000"/>
              <w:right w:val="nil"/>
            </w:tcBorders>
            <w:vAlign w:val="bottom"/>
            <w:hideMark/>
          </w:tcPr>
          <w:p w14:paraId="7C4B4AC2"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1 495 000</w:t>
            </w:r>
          </w:p>
        </w:tc>
        <w:tc>
          <w:tcPr>
            <w:tcW w:w="1464" w:type="dxa"/>
            <w:tcBorders>
              <w:top w:val="single" w:sz="4" w:space="0" w:color="000000"/>
              <w:left w:val="nil"/>
              <w:bottom w:val="single" w:sz="4" w:space="0" w:color="000000"/>
              <w:right w:val="nil"/>
            </w:tcBorders>
            <w:vAlign w:val="bottom"/>
            <w:hideMark/>
          </w:tcPr>
          <w:p w14:paraId="6F7FF128"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1 595 000</w:t>
            </w:r>
          </w:p>
        </w:tc>
        <w:tc>
          <w:tcPr>
            <w:tcW w:w="1461" w:type="dxa"/>
            <w:tcBorders>
              <w:top w:val="single" w:sz="4" w:space="0" w:color="000000"/>
              <w:left w:val="nil"/>
              <w:bottom w:val="single" w:sz="4" w:space="0" w:color="000000"/>
              <w:right w:val="nil"/>
            </w:tcBorders>
            <w:vAlign w:val="bottom"/>
            <w:hideMark/>
          </w:tcPr>
          <w:p w14:paraId="1A536EF7"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100 000</w:t>
            </w:r>
          </w:p>
        </w:tc>
      </w:tr>
      <w:tr w:rsidR="00992A45" w:rsidRPr="00BD7721" w14:paraId="31767533" w14:textId="77777777" w:rsidTr="00E03AD9">
        <w:trPr>
          <w:trHeight w:val="57"/>
          <w:jc w:val="right"/>
        </w:trPr>
        <w:tc>
          <w:tcPr>
            <w:tcW w:w="5130" w:type="dxa"/>
            <w:tcBorders>
              <w:top w:val="single" w:sz="4" w:space="0" w:color="000000"/>
              <w:left w:val="nil"/>
              <w:bottom w:val="nil"/>
              <w:right w:val="nil"/>
            </w:tcBorders>
            <w:hideMark/>
          </w:tcPr>
          <w:p w14:paraId="333F1957" w14:textId="77777777" w:rsidR="00992A45" w:rsidRPr="00BD7721" w:rsidRDefault="00992A45" w:rsidP="004E48D5">
            <w:pPr>
              <w:pStyle w:val="Normal-pool"/>
              <w:tabs>
                <w:tab w:val="left" w:pos="365"/>
              </w:tabs>
              <w:spacing w:before="40" w:after="40"/>
              <w:rPr>
                <w:b/>
                <w:sz w:val="18"/>
                <w:szCs w:val="18"/>
                <w:lang w:val="en-GB"/>
              </w:rPr>
            </w:pPr>
            <w:r w:rsidRPr="00BD7721">
              <w:rPr>
                <w:b/>
                <w:sz w:val="18"/>
                <w:szCs w:val="18"/>
                <w:lang w:val="en-GB"/>
              </w:rPr>
              <w:t>1.2</w:t>
            </w:r>
            <w:r w:rsidRPr="00BD7721">
              <w:rPr>
                <w:b/>
                <w:sz w:val="18"/>
                <w:szCs w:val="18"/>
                <w:lang w:val="en-GB"/>
              </w:rPr>
              <w:tab/>
              <w:t>Bureau and Multidisciplinary Expert Panel sessions</w:t>
            </w:r>
          </w:p>
        </w:tc>
        <w:tc>
          <w:tcPr>
            <w:tcW w:w="1442" w:type="dxa"/>
            <w:tcBorders>
              <w:top w:val="single" w:sz="4" w:space="0" w:color="000000"/>
              <w:left w:val="nil"/>
              <w:bottom w:val="nil"/>
              <w:right w:val="nil"/>
            </w:tcBorders>
            <w:vAlign w:val="bottom"/>
          </w:tcPr>
          <w:p w14:paraId="16BBF24E" w14:textId="77777777" w:rsidR="00992A45" w:rsidRPr="00BD7721" w:rsidRDefault="00992A45" w:rsidP="004E48D5">
            <w:pPr>
              <w:pStyle w:val="Normal-pool"/>
              <w:spacing w:before="40" w:after="40"/>
              <w:jc w:val="right"/>
              <w:rPr>
                <w:b/>
                <w:sz w:val="18"/>
                <w:szCs w:val="18"/>
                <w:lang w:val="en-GB"/>
              </w:rPr>
            </w:pPr>
          </w:p>
        </w:tc>
        <w:tc>
          <w:tcPr>
            <w:tcW w:w="1464" w:type="dxa"/>
            <w:tcBorders>
              <w:top w:val="single" w:sz="4" w:space="0" w:color="000000"/>
              <w:left w:val="nil"/>
              <w:bottom w:val="nil"/>
              <w:right w:val="nil"/>
            </w:tcBorders>
            <w:vAlign w:val="bottom"/>
          </w:tcPr>
          <w:p w14:paraId="434B49B1" w14:textId="77777777" w:rsidR="00992A45" w:rsidRPr="00BD7721" w:rsidRDefault="00992A45" w:rsidP="004E48D5">
            <w:pPr>
              <w:pStyle w:val="Normal-pool"/>
              <w:spacing w:before="40" w:after="40"/>
              <w:jc w:val="right"/>
              <w:rPr>
                <w:sz w:val="18"/>
                <w:szCs w:val="18"/>
                <w:lang w:val="en-GB"/>
              </w:rPr>
            </w:pPr>
          </w:p>
        </w:tc>
        <w:tc>
          <w:tcPr>
            <w:tcW w:w="1461" w:type="dxa"/>
            <w:tcBorders>
              <w:top w:val="single" w:sz="4" w:space="0" w:color="000000"/>
              <w:left w:val="nil"/>
              <w:bottom w:val="nil"/>
              <w:right w:val="nil"/>
            </w:tcBorders>
            <w:vAlign w:val="bottom"/>
          </w:tcPr>
          <w:p w14:paraId="3A56DD59" w14:textId="77777777" w:rsidR="00992A45" w:rsidRPr="00BD7721" w:rsidRDefault="00992A45" w:rsidP="004E48D5">
            <w:pPr>
              <w:pStyle w:val="Normal-pool"/>
              <w:spacing w:before="40" w:after="40"/>
              <w:jc w:val="right"/>
              <w:rPr>
                <w:sz w:val="18"/>
                <w:szCs w:val="18"/>
                <w:lang w:val="en-GB"/>
              </w:rPr>
            </w:pPr>
          </w:p>
        </w:tc>
      </w:tr>
      <w:tr w:rsidR="00992A45" w:rsidRPr="00BD7721" w14:paraId="33C298B3" w14:textId="77777777" w:rsidTr="00E03AD9">
        <w:trPr>
          <w:trHeight w:val="57"/>
          <w:jc w:val="right"/>
        </w:trPr>
        <w:tc>
          <w:tcPr>
            <w:tcW w:w="5130" w:type="dxa"/>
            <w:tcBorders>
              <w:top w:val="nil"/>
              <w:left w:val="nil"/>
              <w:bottom w:val="nil"/>
              <w:right w:val="nil"/>
            </w:tcBorders>
            <w:hideMark/>
          </w:tcPr>
          <w:p w14:paraId="287B0583" w14:textId="77777777" w:rsidR="00992A45" w:rsidRPr="00BD7721" w:rsidRDefault="00992A45" w:rsidP="004E48D5">
            <w:pPr>
              <w:pStyle w:val="Normal-pool"/>
              <w:spacing w:before="40" w:after="40"/>
              <w:ind w:left="319"/>
              <w:rPr>
                <w:sz w:val="18"/>
                <w:szCs w:val="18"/>
                <w:lang w:val="en-GB"/>
              </w:rPr>
            </w:pPr>
            <w:r w:rsidRPr="00BD7721">
              <w:rPr>
                <w:sz w:val="18"/>
                <w:szCs w:val="18"/>
                <w:lang w:val="en-GB"/>
              </w:rPr>
              <w:t>Travel and meeting costs for participants for one Bureau session</w:t>
            </w:r>
          </w:p>
        </w:tc>
        <w:tc>
          <w:tcPr>
            <w:tcW w:w="1442" w:type="dxa"/>
            <w:tcBorders>
              <w:top w:val="nil"/>
              <w:left w:val="nil"/>
              <w:bottom w:val="nil"/>
              <w:right w:val="nil"/>
            </w:tcBorders>
            <w:vAlign w:val="bottom"/>
            <w:hideMark/>
          </w:tcPr>
          <w:p w14:paraId="128F403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35 450</w:t>
            </w:r>
          </w:p>
        </w:tc>
        <w:tc>
          <w:tcPr>
            <w:tcW w:w="1464" w:type="dxa"/>
            <w:tcBorders>
              <w:top w:val="nil"/>
              <w:left w:val="nil"/>
              <w:bottom w:val="nil"/>
              <w:right w:val="nil"/>
            </w:tcBorders>
            <w:vAlign w:val="bottom"/>
            <w:hideMark/>
          </w:tcPr>
          <w:p w14:paraId="1C9F5EB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35 450</w:t>
            </w:r>
          </w:p>
        </w:tc>
        <w:tc>
          <w:tcPr>
            <w:tcW w:w="1461" w:type="dxa"/>
            <w:tcBorders>
              <w:top w:val="nil"/>
              <w:left w:val="nil"/>
              <w:bottom w:val="nil"/>
              <w:right w:val="nil"/>
            </w:tcBorders>
            <w:vAlign w:val="bottom"/>
            <w:hideMark/>
          </w:tcPr>
          <w:p w14:paraId="2901591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0</w:t>
            </w:r>
          </w:p>
        </w:tc>
      </w:tr>
      <w:tr w:rsidR="00992A45" w:rsidRPr="00BD7721" w14:paraId="63BE548E" w14:textId="77777777" w:rsidTr="00E03AD9">
        <w:trPr>
          <w:trHeight w:val="57"/>
          <w:jc w:val="right"/>
        </w:trPr>
        <w:tc>
          <w:tcPr>
            <w:tcW w:w="5130" w:type="dxa"/>
            <w:tcBorders>
              <w:top w:val="nil"/>
              <w:left w:val="nil"/>
              <w:bottom w:val="single" w:sz="4" w:space="0" w:color="000000"/>
              <w:right w:val="nil"/>
            </w:tcBorders>
            <w:hideMark/>
          </w:tcPr>
          <w:p w14:paraId="4B68D55B" w14:textId="77777777" w:rsidR="00992A45" w:rsidRPr="00BD7721" w:rsidRDefault="00992A45" w:rsidP="004E48D5">
            <w:pPr>
              <w:pStyle w:val="Normal-pool"/>
              <w:spacing w:before="40" w:after="40"/>
              <w:ind w:left="319"/>
              <w:rPr>
                <w:sz w:val="18"/>
                <w:szCs w:val="18"/>
                <w:lang w:val="en-GB"/>
              </w:rPr>
            </w:pPr>
            <w:r w:rsidRPr="00BD7721">
              <w:rPr>
                <w:sz w:val="18"/>
                <w:szCs w:val="18"/>
                <w:lang w:val="en-GB"/>
              </w:rPr>
              <w:t>Travel and meeting costs for participants for one Panel session</w:t>
            </w:r>
          </w:p>
        </w:tc>
        <w:tc>
          <w:tcPr>
            <w:tcW w:w="1442" w:type="dxa"/>
            <w:tcBorders>
              <w:top w:val="nil"/>
              <w:left w:val="nil"/>
              <w:bottom w:val="single" w:sz="4" w:space="0" w:color="000000"/>
              <w:right w:val="nil"/>
            </w:tcBorders>
            <w:vAlign w:val="bottom"/>
            <w:hideMark/>
          </w:tcPr>
          <w:p w14:paraId="0FCDE51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85 000</w:t>
            </w:r>
          </w:p>
        </w:tc>
        <w:tc>
          <w:tcPr>
            <w:tcW w:w="1464" w:type="dxa"/>
            <w:tcBorders>
              <w:top w:val="nil"/>
              <w:left w:val="nil"/>
              <w:bottom w:val="single" w:sz="4" w:space="0" w:color="000000"/>
              <w:right w:val="nil"/>
            </w:tcBorders>
            <w:vAlign w:val="bottom"/>
            <w:hideMark/>
          </w:tcPr>
          <w:p w14:paraId="68DA85C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85 000</w:t>
            </w:r>
          </w:p>
        </w:tc>
        <w:tc>
          <w:tcPr>
            <w:tcW w:w="1461" w:type="dxa"/>
            <w:tcBorders>
              <w:top w:val="nil"/>
              <w:left w:val="nil"/>
              <w:bottom w:val="single" w:sz="4" w:space="0" w:color="000000"/>
              <w:right w:val="nil"/>
            </w:tcBorders>
            <w:vAlign w:val="bottom"/>
            <w:hideMark/>
          </w:tcPr>
          <w:p w14:paraId="224C49F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0</w:t>
            </w:r>
          </w:p>
        </w:tc>
      </w:tr>
      <w:tr w:rsidR="00992A45" w:rsidRPr="00BD7721" w14:paraId="33898EAA" w14:textId="77777777" w:rsidTr="00E03AD9">
        <w:trPr>
          <w:trHeight w:val="57"/>
          <w:jc w:val="right"/>
        </w:trPr>
        <w:tc>
          <w:tcPr>
            <w:tcW w:w="5130" w:type="dxa"/>
            <w:tcBorders>
              <w:top w:val="single" w:sz="4" w:space="0" w:color="000000"/>
              <w:left w:val="nil"/>
              <w:bottom w:val="single" w:sz="4" w:space="0" w:color="000000"/>
              <w:right w:val="nil"/>
            </w:tcBorders>
            <w:hideMark/>
          </w:tcPr>
          <w:p w14:paraId="17BEC4E6" w14:textId="77777777" w:rsidR="00992A45" w:rsidRPr="00BD7721" w:rsidRDefault="00992A45" w:rsidP="004E48D5">
            <w:pPr>
              <w:pStyle w:val="Normal-pool"/>
              <w:spacing w:before="40" w:after="40"/>
              <w:rPr>
                <w:b/>
                <w:sz w:val="18"/>
                <w:szCs w:val="18"/>
                <w:lang w:val="en-GB"/>
              </w:rPr>
            </w:pPr>
            <w:r w:rsidRPr="00BD7721">
              <w:rPr>
                <w:b/>
                <w:sz w:val="18"/>
                <w:szCs w:val="18"/>
                <w:lang w:val="en-GB"/>
              </w:rPr>
              <w:t>Subtotal 1.2, Bureau and Multidisciplinary Expert Panel sessions</w:t>
            </w:r>
          </w:p>
        </w:tc>
        <w:tc>
          <w:tcPr>
            <w:tcW w:w="1442" w:type="dxa"/>
            <w:tcBorders>
              <w:top w:val="single" w:sz="4" w:space="0" w:color="000000"/>
              <w:left w:val="nil"/>
              <w:bottom w:val="single" w:sz="4" w:space="0" w:color="000000"/>
              <w:right w:val="nil"/>
            </w:tcBorders>
            <w:vAlign w:val="bottom"/>
            <w:hideMark/>
          </w:tcPr>
          <w:p w14:paraId="0C9461F5"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120 450</w:t>
            </w:r>
          </w:p>
        </w:tc>
        <w:tc>
          <w:tcPr>
            <w:tcW w:w="1464" w:type="dxa"/>
            <w:tcBorders>
              <w:top w:val="single" w:sz="4" w:space="0" w:color="000000"/>
              <w:left w:val="nil"/>
              <w:bottom w:val="single" w:sz="4" w:space="0" w:color="000000"/>
              <w:right w:val="nil"/>
            </w:tcBorders>
            <w:vAlign w:val="bottom"/>
            <w:hideMark/>
          </w:tcPr>
          <w:p w14:paraId="337EA289"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120 450</w:t>
            </w:r>
          </w:p>
        </w:tc>
        <w:tc>
          <w:tcPr>
            <w:tcW w:w="1461" w:type="dxa"/>
            <w:tcBorders>
              <w:top w:val="single" w:sz="4" w:space="0" w:color="000000"/>
              <w:left w:val="nil"/>
              <w:bottom w:val="single" w:sz="4" w:space="0" w:color="000000"/>
              <w:right w:val="nil"/>
            </w:tcBorders>
            <w:vAlign w:val="bottom"/>
            <w:hideMark/>
          </w:tcPr>
          <w:p w14:paraId="1C2E33E5"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0</w:t>
            </w:r>
          </w:p>
        </w:tc>
      </w:tr>
      <w:tr w:rsidR="00992A45" w:rsidRPr="00BD7721" w14:paraId="3F784AA5" w14:textId="77777777" w:rsidTr="00E03AD9">
        <w:trPr>
          <w:trHeight w:val="57"/>
          <w:jc w:val="right"/>
        </w:trPr>
        <w:tc>
          <w:tcPr>
            <w:tcW w:w="5130" w:type="dxa"/>
            <w:tcBorders>
              <w:top w:val="single" w:sz="4" w:space="0" w:color="000000"/>
              <w:left w:val="nil"/>
              <w:bottom w:val="single" w:sz="4" w:space="0" w:color="000000"/>
              <w:right w:val="nil"/>
            </w:tcBorders>
            <w:hideMark/>
          </w:tcPr>
          <w:p w14:paraId="3F32EB9F" w14:textId="77777777" w:rsidR="00992A45" w:rsidRPr="00BD7721" w:rsidRDefault="00992A45" w:rsidP="004E48D5">
            <w:pPr>
              <w:pStyle w:val="Normal-pool"/>
              <w:tabs>
                <w:tab w:val="left" w:pos="365"/>
              </w:tabs>
              <w:spacing w:before="40" w:after="40"/>
              <w:rPr>
                <w:b/>
                <w:sz w:val="18"/>
                <w:szCs w:val="18"/>
                <w:lang w:val="en-GB"/>
              </w:rPr>
            </w:pPr>
            <w:r w:rsidRPr="00BD7721">
              <w:rPr>
                <w:b/>
                <w:sz w:val="18"/>
                <w:szCs w:val="18"/>
                <w:lang w:val="en-GB"/>
              </w:rPr>
              <w:t>1.3</w:t>
            </w:r>
            <w:r w:rsidRPr="00BD7721">
              <w:rPr>
                <w:b/>
                <w:sz w:val="18"/>
                <w:szCs w:val="18"/>
                <w:lang w:val="en-GB"/>
              </w:rPr>
              <w:tab/>
              <w:t>Travel costs of the Chair to represent IPBES</w:t>
            </w:r>
          </w:p>
        </w:tc>
        <w:tc>
          <w:tcPr>
            <w:tcW w:w="1442" w:type="dxa"/>
            <w:tcBorders>
              <w:top w:val="single" w:sz="4" w:space="0" w:color="000000"/>
              <w:left w:val="nil"/>
              <w:bottom w:val="single" w:sz="4" w:space="0" w:color="000000"/>
              <w:right w:val="nil"/>
            </w:tcBorders>
            <w:vAlign w:val="bottom"/>
            <w:hideMark/>
          </w:tcPr>
          <w:p w14:paraId="1F8600C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25 000</w:t>
            </w:r>
          </w:p>
        </w:tc>
        <w:tc>
          <w:tcPr>
            <w:tcW w:w="1464" w:type="dxa"/>
            <w:tcBorders>
              <w:top w:val="single" w:sz="4" w:space="0" w:color="000000"/>
              <w:left w:val="nil"/>
              <w:bottom w:val="single" w:sz="4" w:space="0" w:color="000000"/>
              <w:right w:val="nil"/>
            </w:tcBorders>
            <w:vAlign w:val="bottom"/>
            <w:hideMark/>
          </w:tcPr>
          <w:p w14:paraId="72D8160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25 000</w:t>
            </w:r>
          </w:p>
        </w:tc>
        <w:tc>
          <w:tcPr>
            <w:tcW w:w="1461" w:type="dxa"/>
            <w:tcBorders>
              <w:top w:val="single" w:sz="4" w:space="0" w:color="000000"/>
              <w:left w:val="nil"/>
              <w:bottom w:val="single" w:sz="4" w:space="0" w:color="000000"/>
              <w:right w:val="nil"/>
            </w:tcBorders>
            <w:vAlign w:val="bottom"/>
            <w:hideMark/>
          </w:tcPr>
          <w:p w14:paraId="66D2C91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0</w:t>
            </w:r>
          </w:p>
        </w:tc>
      </w:tr>
      <w:tr w:rsidR="00992A45" w:rsidRPr="00BD7721" w14:paraId="22951034" w14:textId="77777777" w:rsidTr="00E03AD9">
        <w:trPr>
          <w:trHeight w:val="57"/>
          <w:jc w:val="right"/>
        </w:trPr>
        <w:tc>
          <w:tcPr>
            <w:tcW w:w="5130" w:type="dxa"/>
            <w:tcBorders>
              <w:top w:val="single" w:sz="4" w:space="0" w:color="000000"/>
              <w:left w:val="nil"/>
              <w:bottom w:val="single" w:sz="4" w:space="0" w:color="000000"/>
              <w:right w:val="nil"/>
            </w:tcBorders>
            <w:hideMark/>
          </w:tcPr>
          <w:p w14:paraId="04D481FF" w14:textId="77777777" w:rsidR="00992A45" w:rsidRPr="00BD7721" w:rsidRDefault="00992A45" w:rsidP="004E48D5">
            <w:pPr>
              <w:pStyle w:val="Normal-pool"/>
              <w:tabs>
                <w:tab w:val="left" w:pos="365"/>
              </w:tabs>
              <w:spacing w:before="40" w:after="40"/>
              <w:rPr>
                <w:b/>
                <w:sz w:val="18"/>
                <w:szCs w:val="18"/>
                <w:lang w:val="en-GB"/>
              </w:rPr>
            </w:pPr>
            <w:r w:rsidRPr="00BD7721">
              <w:rPr>
                <w:b/>
                <w:sz w:val="18"/>
                <w:szCs w:val="18"/>
                <w:lang w:val="en-GB"/>
              </w:rPr>
              <w:t>Subtotal 1, meetings of the IPBES bodies</w:t>
            </w:r>
          </w:p>
        </w:tc>
        <w:tc>
          <w:tcPr>
            <w:tcW w:w="1442" w:type="dxa"/>
            <w:tcBorders>
              <w:top w:val="single" w:sz="4" w:space="0" w:color="000000"/>
              <w:left w:val="nil"/>
              <w:bottom w:val="single" w:sz="4" w:space="0" w:color="000000"/>
              <w:right w:val="nil"/>
            </w:tcBorders>
            <w:vAlign w:val="bottom"/>
            <w:hideMark/>
          </w:tcPr>
          <w:p w14:paraId="678BD63F"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1 640 450</w:t>
            </w:r>
          </w:p>
        </w:tc>
        <w:tc>
          <w:tcPr>
            <w:tcW w:w="1464" w:type="dxa"/>
            <w:tcBorders>
              <w:top w:val="single" w:sz="4" w:space="0" w:color="000000"/>
              <w:left w:val="nil"/>
              <w:bottom w:val="single" w:sz="4" w:space="0" w:color="000000"/>
              <w:right w:val="nil"/>
            </w:tcBorders>
            <w:vAlign w:val="bottom"/>
            <w:hideMark/>
          </w:tcPr>
          <w:p w14:paraId="7AA71B14"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1 740 450</w:t>
            </w:r>
          </w:p>
        </w:tc>
        <w:tc>
          <w:tcPr>
            <w:tcW w:w="1461" w:type="dxa"/>
            <w:tcBorders>
              <w:top w:val="single" w:sz="4" w:space="0" w:color="000000"/>
              <w:left w:val="nil"/>
              <w:bottom w:val="single" w:sz="4" w:space="0" w:color="000000"/>
              <w:right w:val="nil"/>
            </w:tcBorders>
            <w:vAlign w:val="bottom"/>
            <w:hideMark/>
          </w:tcPr>
          <w:p w14:paraId="77C6D98E"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100 000</w:t>
            </w:r>
          </w:p>
        </w:tc>
      </w:tr>
      <w:tr w:rsidR="00992A45" w:rsidRPr="00BD7721" w14:paraId="21ACABB8" w14:textId="77777777" w:rsidTr="004E48D5">
        <w:trPr>
          <w:trHeight w:val="57"/>
          <w:jc w:val="right"/>
        </w:trPr>
        <w:tc>
          <w:tcPr>
            <w:tcW w:w="9497" w:type="dxa"/>
            <w:gridSpan w:val="4"/>
            <w:tcBorders>
              <w:top w:val="single" w:sz="4" w:space="0" w:color="000000"/>
              <w:left w:val="nil"/>
              <w:bottom w:val="nil"/>
              <w:right w:val="nil"/>
            </w:tcBorders>
            <w:hideMark/>
          </w:tcPr>
          <w:p w14:paraId="4B9B58DB" w14:textId="77777777" w:rsidR="00992A45" w:rsidRPr="00BD7721" w:rsidRDefault="00992A45" w:rsidP="004E48D5">
            <w:pPr>
              <w:pStyle w:val="Normal-pool"/>
              <w:tabs>
                <w:tab w:val="left" w:pos="365"/>
              </w:tabs>
              <w:spacing w:before="40" w:after="40"/>
              <w:rPr>
                <w:b/>
                <w:sz w:val="18"/>
                <w:szCs w:val="18"/>
                <w:lang w:val="en-GB"/>
              </w:rPr>
            </w:pPr>
            <w:r w:rsidRPr="00BD7721">
              <w:rPr>
                <w:b/>
                <w:sz w:val="18"/>
                <w:szCs w:val="18"/>
                <w:lang w:val="en-GB"/>
              </w:rPr>
              <w:t>2.</w:t>
            </w:r>
            <w:r w:rsidRPr="00BD7721">
              <w:rPr>
                <w:b/>
                <w:sz w:val="18"/>
                <w:szCs w:val="18"/>
                <w:lang w:val="en-GB"/>
              </w:rPr>
              <w:tab/>
              <w:t xml:space="preserve">Implementation of the work programme </w:t>
            </w:r>
          </w:p>
        </w:tc>
      </w:tr>
      <w:tr w:rsidR="00992A45" w:rsidRPr="00BD7721" w14:paraId="72A50FD2" w14:textId="77777777" w:rsidTr="004E48D5">
        <w:trPr>
          <w:trHeight w:val="57"/>
          <w:jc w:val="right"/>
        </w:trPr>
        <w:tc>
          <w:tcPr>
            <w:tcW w:w="9497" w:type="dxa"/>
            <w:gridSpan w:val="4"/>
            <w:tcBorders>
              <w:top w:val="nil"/>
              <w:left w:val="nil"/>
              <w:bottom w:val="nil"/>
              <w:right w:val="nil"/>
            </w:tcBorders>
            <w:hideMark/>
          </w:tcPr>
          <w:p w14:paraId="7844635E" w14:textId="77777777" w:rsidR="00992A45" w:rsidRPr="00BD7721" w:rsidRDefault="00992A45" w:rsidP="004E48D5">
            <w:pPr>
              <w:pStyle w:val="Normal-pool"/>
              <w:spacing w:before="40" w:after="40"/>
              <w:rPr>
                <w:b/>
                <w:sz w:val="18"/>
                <w:szCs w:val="18"/>
                <w:lang w:val="en-GB"/>
              </w:rPr>
            </w:pPr>
            <w:r w:rsidRPr="00BD7721">
              <w:rPr>
                <w:b/>
                <w:sz w:val="18"/>
                <w:szCs w:val="18"/>
                <w:lang w:val="en-GB"/>
              </w:rPr>
              <w:t>Part A: first work programme (wp1)</w:t>
            </w:r>
          </w:p>
        </w:tc>
      </w:tr>
      <w:tr w:rsidR="00992A45" w:rsidRPr="00BD7721" w14:paraId="7B9E5970" w14:textId="77777777" w:rsidTr="00E03AD9">
        <w:trPr>
          <w:trHeight w:val="57"/>
          <w:jc w:val="right"/>
        </w:trPr>
        <w:tc>
          <w:tcPr>
            <w:tcW w:w="5130" w:type="dxa"/>
            <w:tcBorders>
              <w:top w:val="nil"/>
              <w:left w:val="nil"/>
              <w:bottom w:val="nil"/>
              <w:right w:val="nil"/>
            </w:tcBorders>
            <w:hideMark/>
          </w:tcPr>
          <w:p w14:paraId="415CE31A" w14:textId="2BB4ADE9" w:rsidR="00992A45" w:rsidRPr="00BD7721" w:rsidRDefault="00A5728A" w:rsidP="00B945B3">
            <w:pPr>
              <w:pStyle w:val="Normal-pool-Table"/>
              <w:rPr>
                <w:b/>
                <w:szCs w:val="18"/>
                <w:lang w:val="en-GB"/>
              </w:rPr>
            </w:pPr>
            <w:r w:rsidRPr="00BD7721">
              <w:rPr>
                <w:b/>
                <w:color w:val="000000"/>
                <w:lang w:val="en-GB"/>
              </w:rPr>
              <w:t>wp1</w:t>
            </w:r>
            <w:r w:rsidR="005F3A21" w:rsidRPr="00BD7721">
              <w:rPr>
                <w:b/>
                <w:color w:val="000000"/>
                <w:szCs w:val="18"/>
                <w:lang w:val="en-GB"/>
              </w:rPr>
              <w:t xml:space="preserve"> </w:t>
            </w:r>
            <w:r w:rsidRPr="00BD7721">
              <w:rPr>
                <w:b/>
                <w:color w:val="000000"/>
                <w:szCs w:val="18"/>
                <w:lang w:val="en-GB"/>
              </w:rPr>
              <w:t>-</w:t>
            </w:r>
            <w:r w:rsidR="005F3A21" w:rsidRPr="00BD7721">
              <w:rPr>
                <w:b/>
                <w:color w:val="000000"/>
                <w:szCs w:val="18"/>
                <w:lang w:val="en-GB"/>
              </w:rPr>
              <w:t xml:space="preserve"> </w:t>
            </w:r>
            <w:r w:rsidR="00992A45" w:rsidRPr="00BD7721">
              <w:rPr>
                <w:b/>
                <w:color w:val="000000"/>
                <w:szCs w:val="18"/>
                <w:lang w:val="en-GB"/>
              </w:rPr>
              <w:t>Objective</w:t>
            </w:r>
            <w:r w:rsidR="00992A45" w:rsidRPr="00BD7721">
              <w:rPr>
                <w:b/>
                <w:szCs w:val="18"/>
                <w:lang w:val="en-GB"/>
              </w:rPr>
              <w:t xml:space="preserve"> 3: strengthen the knowledge-policy interface with regard to thematic and methodological issues</w:t>
            </w:r>
          </w:p>
        </w:tc>
        <w:tc>
          <w:tcPr>
            <w:tcW w:w="1442" w:type="dxa"/>
            <w:tcBorders>
              <w:top w:val="nil"/>
              <w:left w:val="nil"/>
              <w:bottom w:val="nil"/>
              <w:right w:val="nil"/>
            </w:tcBorders>
            <w:vAlign w:val="bottom"/>
            <w:hideMark/>
          </w:tcPr>
          <w:p w14:paraId="23812102"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302 500</w:t>
            </w:r>
          </w:p>
        </w:tc>
        <w:tc>
          <w:tcPr>
            <w:tcW w:w="1464" w:type="dxa"/>
            <w:tcBorders>
              <w:top w:val="nil"/>
              <w:left w:val="nil"/>
              <w:bottom w:val="nil"/>
              <w:right w:val="nil"/>
            </w:tcBorders>
            <w:vAlign w:val="bottom"/>
            <w:hideMark/>
          </w:tcPr>
          <w:p w14:paraId="2BDC04EC"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316 250</w:t>
            </w:r>
          </w:p>
        </w:tc>
        <w:tc>
          <w:tcPr>
            <w:tcW w:w="1461" w:type="dxa"/>
            <w:tcBorders>
              <w:top w:val="nil"/>
              <w:left w:val="nil"/>
              <w:bottom w:val="nil"/>
              <w:right w:val="nil"/>
            </w:tcBorders>
            <w:vAlign w:val="bottom"/>
            <w:hideMark/>
          </w:tcPr>
          <w:p w14:paraId="32B5983E"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13 750</w:t>
            </w:r>
          </w:p>
        </w:tc>
      </w:tr>
      <w:tr w:rsidR="00992A45" w:rsidRPr="00BD7721" w14:paraId="7AB9E207" w14:textId="77777777" w:rsidTr="00420825">
        <w:trPr>
          <w:trHeight w:val="57"/>
          <w:jc w:val="right"/>
        </w:trPr>
        <w:tc>
          <w:tcPr>
            <w:tcW w:w="5130" w:type="dxa"/>
            <w:tcBorders>
              <w:top w:val="nil"/>
              <w:left w:val="nil"/>
              <w:bottom w:val="single" w:sz="4" w:space="0" w:color="000000"/>
              <w:right w:val="nil"/>
            </w:tcBorders>
            <w:hideMark/>
          </w:tcPr>
          <w:p w14:paraId="04DA1281" w14:textId="5504CAD2" w:rsidR="00992A45" w:rsidRPr="00BD7721" w:rsidRDefault="00A5728A" w:rsidP="00B945B3">
            <w:pPr>
              <w:pStyle w:val="Normal-pool-Table"/>
              <w:rPr>
                <w:szCs w:val="18"/>
                <w:lang w:val="en-GB"/>
              </w:rPr>
            </w:pPr>
            <w:r w:rsidRPr="00BD7721">
              <w:rPr>
                <w:b/>
                <w:color w:val="000000"/>
                <w:lang w:val="en-GB"/>
              </w:rPr>
              <w:t>wp1</w:t>
            </w:r>
            <w:r w:rsidR="005F3A21" w:rsidRPr="00BD7721">
              <w:rPr>
                <w:b/>
                <w:color w:val="000000"/>
                <w:szCs w:val="18"/>
                <w:lang w:val="en-GB"/>
              </w:rPr>
              <w:t xml:space="preserve"> </w:t>
            </w:r>
            <w:r w:rsidRPr="00BD7721">
              <w:rPr>
                <w:b/>
                <w:color w:val="000000"/>
                <w:szCs w:val="18"/>
                <w:lang w:val="en-GB"/>
              </w:rPr>
              <w:t>-</w:t>
            </w:r>
            <w:r w:rsidR="005F3A21" w:rsidRPr="00BD7721">
              <w:rPr>
                <w:b/>
                <w:color w:val="000000"/>
                <w:szCs w:val="18"/>
                <w:lang w:val="en-GB"/>
              </w:rPr>
              <w:t xml:space="preserve"> </w:t>
            </w:r>
            <w:r w:rsidR="00992A45" w:rsidRPr="00BD7721">
              <w:rPr>
                <w:szCs w:val="18"/>
                <w:lang w:val="en-GB"/>
              </w:rPr>
              <w:t xml:space="preserve">Deliverable 3 (b) (ii): invasive alien species assessment </w:t>
            </w:r>
          </w:p>
        </w:tc>
        <w:tc>
          <w:tcPr>
            <w:tcW w:w="1442" w:type="dxa"/>
            <w:tcBorders>
              <w:top w:val="nil"/>
              <w:left w:val="nil"/>
              <w:bottom w:val="single" w:sz="4" w:space="0" w:color="000000"/>
              <w:right w:val="nil"/>
            </w:tcBorders>
            <w:vAlign w:val="bottom"/>
            <w:hideMark/>
          </w:tcPr>
          <w:p w14:paraId="3D04993C"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302 500</w:t>
            </w:r>
          </w:p>
        </w:tc>
        <w:tc>
          <w:tcPr>
            <w:tcW w:w="1464" w:type="dxa"/>
            <w:tcBorders>
              <w:top w:val="nil"/>
              <w:left w:val="nil"/>
              <w:bottom w:val="single" w:sz="4" w:space="0" w:color="000000"/>
              <w:right w:val="nil"/>
            </w:tcBorders>
            <w:vAlign w:val="bottom"/>
            <w:hideMark/>
          </w:tcPr>
          <w:p w14:paraId="7477596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316 250</w:t>
            </w:r>
          </w:p>
        </w:tc>
        <w:tc>
          <w:tcPr>
            <w:tcW w:w="1461" w:type="dxa"/>
            <w:tcBorders>
              <w:top w:val="nil"/>
              <w:left w:val="nil"/>
              <w:bottom w:val="single" w:sz="4" w:space="0" w:color="000000"/>
              <w:right w:val="nil"/>
            </w:tcBorders>
            <w:vAlign w:val="bottom"/>
            <w:hideMark/>
          </w:tcPr>
          <w:p w14:paraId="21ACBC2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13 750</w:t>
            </w:r>
          </w:p>
        </w:tc>
      </w:tr>
      <w:tr w:rsidR="00992A45" w:rsidRPr="00BD7721" w14:paraId="1C6C0D86" w14:textId="77777777" w:rsidTr="00420825">
        <w:trPr>
          <w:trHeight w:val="57"/>
          <w:jc w:val="right"/>
        </w:trPr>
        <w:tc>
          <w:tcPr>
            <w:tcW w:w="5130" w:type="dxa"/>
            <w:tcBorders>
              <w:top w:val="single" w:sz="4" w:space="0" w:color="000000"/>
              <w:left w:val="nil"/>
              <w:bottom w:val="single" w:sz="4" w:space="0" w:color="auto"/>
              <w:right w:val="nil"/>
            </w:tcBorders>
            <w:hideMark/>
          </w:tcPr>
          <w:p w14:paraId="48210E8B" w14:textId="77777777" w:rsidR="00992A45" w:rsidRPr="00BD7721" w:rsidRDefault="00992A45" w:rsidP="004E48D5">
            <w:pPr>
              <w:pStyle w:val="Normal-pool"/>
              <w:spacing w:before="40" w:after="40"/>
              <w:rPr>
                <w:b/>
                <w:sz w:val="18"/>
                <w:szCs w:val="18"/>
                <w:lang w:val="en-GB"/>
              </w:rPr>
            </w:pPr>
            <w:r w:rsidRPr="00BD7721">
              <w:rPr>
                <w:b/>
                <w:sz w:val="18"/>
                <w:szCs w:val="18"/>
                <w:lang w:val="en-GB"/>
              </w:rPr>
              <w:t>Subtotal, part A</w:t>
            </w:r>
          </w:p>
        </w:tc>
        <w:tc>
          <w:tcPr>
            <w:tcW w:w="1442" w:type="dxa"/>
            <w:tcBorders>
              <w:top w:val="single" w:sz="4" w:space="0" w:color="000000"/>
              <w:left w:val="nil"/>
              <w:bottom w:val="single" w:sz="4" w:space="0" w:color="auto"/>
              <w:right w:val="nil"/>
            </w:tcBorders>
            <w:vAlign w:val="bottom"/>
            <w:hideMark/>
          </w:tcPr>
          <w:p w14:paraId="3737C8D5"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302 500</w:t>
            </w:r>
          </w:p>
        </w:tc>
        <w:tc>
          <w:tcPr>
            <w:tcW w:w="1464" w:type="dxa"/>
            <w:tcBorders>
              <w:top w:val="single" w:sz="4" w:space="0" w:color="000000"/>
              <w:left w:val="nil"/>
              <w:bottom w:val="single" w:sz="4" w:space="0" w:color="000000"/>
              <w:right w:val="nil"/>
            </w:tcBorders>
            <w:vAlign w:val="bottom"/>
            <w:hideMark/>
          </w:tcPr>
          <w:p w14:paraId="72206127"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316 250</w:t>
            </w:r>
          </w:p>
        </w:tc>
        <w:tc>
          <w:tcPr>
            <w:tcW w:w="1461" w:type="dxa"/>
            <w:tcBorders>
              <w:top w:val="single" w:sz="4" w:space="0" w:color="000000"/>
              <w:left w:val="nil"/>
              <w:bottom w:val="single" w:sz="4" w:space="0" w:color="000000"/>
              <w:right w:val="nil"/>
            </w:tcBorders>
            <w:vAlign w:val="bottom"/>
            <w:hideMark/>
          </w:tcPr>
          <w:p w14:paraId="5F3C03D6"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13 750</w:t>
            </w:r>
          </w:p>
        </w:tc>
      </w:tr>
      <w:tr w:rsidR="00992A45" w:rsidRPr="00BD7721" w14:paraId="4E1E572D" w14:textId="77777777" w:rsidTr="00420825">
        <w:trPr>
          <w:trHeight w:val="57"/>
          <w:jc w:val="right"/>
        </w:trPr>
        <w:tc>
          <w:tcPr>
            <w:tcW w:w="5130" w:type="dxa"/>
            <w:tcBorders>
              <w:top w:val="single" w:sz="4" w:space="0" w:color="auto"/>
              <w:left w:val="nil"/>
              <w:bottom w:val="single" w:sz="4" w:space="0" w:color="auto"/>
              <w:right w:val="nil"/>
            </w:tcBorders>
            <w:hideMark/>
          </w:tcPr>
          <w:p w14:paraId="784F8CEB" w14:textId="77777777" w:rsidR="00992A45" w:rsidRPr="00BD7721" w:rsidRDefault="00992A45" w:rsidP="004E48D5">
            <w:pPr>
              <w:pStyle w:val="Normal-pool"/>
              <w:spacing w:before="40" w:after="40"/>
              <w:rPr>
                <w:b/>
                <w:sz w:val="18"/>
                <w:szCs w:val="18"/>
                <w:lang w:val="en-GB"/>
              </w:rPr>
            </w:pPr>
            <w:r w:rsidRPr="00BD7721">
              <w:rPr>
                <w:b/>
                <w:sz w:val="18"/>
                <w:szCs w:val="18"/>
                <w:lang w:val="en-GB"/>
              </w:rPr>
              <w:t>Part B: rolling work programme up to 2030</w:t>
            </w:r>
          </w:p>
        </w:tc>
        <w:tc>
          <w:tcPr>
            <w:tcW w:w="1442" w:type="dxa"/>
            <w:tcBorders>
              <w:top w:val="single" w:sz="4" w:space="0" w:color="auto"/>
              <w:left w:val="nil"/>
              <w:bottom w:val="single" w:sz="4" w:space="0" w:color="auto"/>
              <w:right w:val="nil"/>
            </w:tcBorders>
            <w:vAlign w:val="bottom"/>
          </w:tcPr>
          <w:p w14:paraId="1EDDF8E7" w14:textId="77777777" w:rsidR="00992A45" w:rsidRPr="00BD7721" w:rsidRDefault="00992A45" w:rsidP="004E48D5">
            <w:pPr>
              <w:pStyle w:val="Normal-pool"/>
              <w:spacing w:before="40" w:after="40"/>
              <w:jc w:val="right"/>
              <w:rPr>
                <w:b/>
                <w:sz w:val="18"/>
                <w:szCs w:val="18"/>
                <w:lang w:val="en-GB"/>
              </w:rPr>
            </w:pPr>
          </w:p>
        </w:tc>
        <w:tc>
          <w:tcPr>
            <w:tcW w:w="1464" w:type="dxa"/>
            <w:tcBorders>
              <w:top w:val="single" w:sz="4" w:space="0" w:color="000000"/>
              <w:left w:val="nil"/>
              <w:bottom w:val="single" w:sz="4" w:space="0" w:color="auto"/>
              <w:right w:val="nil"/>
            </w:tcBorders>
            <w:vAlign w:val="bottom"/>
          </w:tcPr>
          <w:p w14:paraId="44A26E30" w14:textId="77777777" w:rsidR="00992A45" w:rsidRPr="00BD7721" w:rsidRDefault="00992A45" w:rsidP="004E48D5">
            <w:pPr>
              <w:pStyle w:val="Normal-pool"/>
              <w:spacing w:before="40" w:after="40"/>
              <w:jc w:val="right"/>
              <w:rPr>
                <w:sz w:val="18"/>
                <w:szCs w:val="18"/>
                <w:lang w:val="en-GB"/>
              </w:rPr>
            </w:pPr>
          </w:p>
        </w:tc>
        <w:tc>
          <w:tcPr>
            <w:tcW w:w="1461" w:type="dxa"/>
            <w:tcBorders>
              <w:top w:val="single" w:sz="4" w:space="0" w:color="000000"/>
              <w:left w:val="nil"/>
              <w:bottom w:val="single" w:sz="4" w:space="0" w:color="auto"/>
              <w:right w:val="nil"/>
            </w:tcBorders>
            <w:vAlign w:val="bottom"/>
          </w:tcPr>
          <w:p w14:paraId="266A1117" w14:textId="77777777" w:rsidR="00992A45" w:rsidRPr="00BD7721" w:rsidRDefault="00992A45" w:rsidP="004E48D5">
            <w:pPr>
              <w:pStyle w:val="Normal-pool"/>
              <w:spacing w:before="40" w:after="40"/>
              <w:jc w:val="right"/>
              <w:rPr>
                <w:sz w:val="18"/>
                <w:szCs w:val="18"/>
                <w:lang w:val="en-GB"/>
              </w:rPr>
            </w:pPr>
          </w:p>
        </w:tc>
      </w:tr>
      <w:tr w:rsidR="00992A45" w:rsidRPr="00BD7721" w14:paraId="2B7AAE2A" w14:textId="77777777" w:rsidTr="00E03AD9">
        <w:trPr>
          <w:trHeight w:val="57"/>
          <w:jc w:val="right"/>
        </w:trPr>
        <w:tc>
          <w:tcPr>
            <w:tcW w:w="5130" w:type="dxa"/>
            <w:tcBorders>
              <w:top w:val="single" w:sz="4" w:space="0" w:color="auto"/>
              <w:left w:val="nil"/>
              <w:bottom w:val="single" w:sz="4" w:space="0" w:color="auto"/>
              <w:right w:val="nil"/>
            </w:tcBorders>
            <w:hideMark/>
          </w:tcPr>
          <w:p w14:paraId="7D033F8C" w14:textId="77777777" w:rsidR="00992A45" w:rsidRPr="00BD7721" w:rsidRDefault="00992A45" w:rsidP="004E48D5">
            <w:pPr>
              <w:pStyle w:val="Normal-pool"/>
              <w:spacing w:before="40" w:after="40"/>
              <w:rPr>
                <w:b/>
                <w:sz w:val="18"/>
                <w:szCs w:val="18"/>
                <w:lang w:val="en-GB"/>
              </w:rPr>
            </w:pPr>
            <w:r w:rsidRPr="00BD7721">
              <w:rPr>
                <w:b/>
                <w:sz w:val="18"/>
                <w:szCs w:val="18"/>
                <w:lang w:val="en-GB"/>
              </w:rPr>
              <w:t>Objective 1: assessing knowledge</w:t>
            </w:r>
          </w:p>
        </w:tc>
        <w:tc>
          <w:tcPr>
            <w:tcW w:w="1442" w:type="dxa"/>
            <w:tcBorders>
              <w:top w:val="single" w:sz="4" w:space="0" w:color="auto"/>
              <w:left w:val="nil"/>
              <w:bottom w:val="single" w:sz="4" w:space="0" w:color="auto"/>
              <w:right w:val="nil"/>
            </w:tcBorders>
            <w:vAlign w:val="bottom"/>
            <w:hideMark/>
          </w:tcPr>
          <w:p w14:paraId="00A9D4C6"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1 724 800</w:t>
            </w:r>
          </w:p>
        </w:tc>
        <w:tc>
          <w:tcPr>
            <w:tcW w:w="1464" w:type="dxa"/>
            <w:tcBorders>
              <w:top w:val="single" w:sz="4" w:space="0" w:color="auto"/>
              <w:left w:val="nil"/>
              <w:bottom w:val="single" w:sz="4" w:space="0" w:color="auto"/>
              <w:right w:val="nil"/>
            </w:tcBorders>
            <w:vAlign w:val="bottom"/>
            <w:hideMark/>
          </w:tcPr>
          <w:p w14:paraId="0E546D99"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1 301 900</w:t>
            </w:r>
          </w:p>
        </w:tc>
        <w:tc>
          <w:tcPr>
            <w:tcW w:w="1461" w:type="dxa"/>
            <w:tcBorders>
              <w:top w:val="single" w:sz="4" w:space="0" w:color="auto"/>
              <w:left w:val="nil"/>
              <w:bottom w:val="single" w:sz="4" w:space="0" w:color="auto"/>
              <w:right w:val="nil"/>
            </w:tcBorders>
            <w:vAlign w:val="bottom"/>
            <w:hideMark/>
          </w:tcPr>
          <w:p w14:paraId="57FD4CDD"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(422 900)</w:t>
            </w:r>
          </w:p>
        </w:tc>
      </w:tr>
      <w:tr w:rsidR="00992A45" w:rsidRPr="00BD7721" w14:paraId="3A7ED461" w14:textId="77777777" w:rsidTr="00E03AD9">
        <w:trPr>
          <w:trHeight w:val="57"/>
          <w:jc w:val="right"/>
        </w:trPr>
        <w:tc>
          <w:tcPr>
            <w:tcW w:w="5130" w:type="dxa"/>
            <w:tcBorders>
              <w:top w:val="single" w:sz="4" w:space="0" w:color="auto"/>
              <w:left w:val="nil"/>
              <w:bottom w:val="nil"/>
              <w:right w:val="nil"/>
            </w:tcBorders>
            <w:hideMark/>
          </w:tcPr>
          <w:p w14:paraId="1C784465" w14:textId="77777777" w:rsidR="00992A45" w:rsidRPr="00BD7721" w:rsidRDefault="00992A45" w:rsidP="004E48D5">
            <w:pPr>
              <w:pStyle w:val="Normal-pool"/>
              <w:spacing w:before="40" w:after="40"/>
              <w:ind w:left="35"/>
              <w:rPr>
                <w:sz w:val="18"/>
                <w:szCs w:val="18"/>
                <w:lang w:val="en-GB"/>
              </w:rPr>
            </w:pPr>
            <w:r w:rsidRPr="00BD7721">
              <w:rPr>
                <w:sz w:val="18"/>
                <w:szCs w:val="18"/>
                <w:lang w:val="en-GB"/>
              </w:rPr>
              <w:t>Deliverable 1 (a): a thematic assessment of the interlinkages among biodiversity, water, food and health (nexus assessment)</w:t>
            </w:r>
          </w:p>
        </w:tc>
        <w:tc>
          <w:tcPr>
            <w:tcW w:w="1442" w:type="dxa"/>
            <w:tcBorders>
              <w:top w:val="single" w:sz="4" w:space="0" w:color="auto"/>
              <w:left w:val="nil"/>
              <w:bottom w:val="nil"/>
              <w:right w:val="nil"/>
            </w:tcBorders>
            <w:vAlign w:val="bottom"/>
            <w:hideMark/>
          </w:tcPr>
          <w:p w14:paraId="4CE4A6F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837 300</w:t>
            </w:r>
          </w:p>
        </w:tc>
        <w:tc>
          <w:tcPr>
            <w:tcW w:w="1464" w:type="dxa"/>
            <w:tcBorders>
              <w:top w:val="single" w:sz="4" w:space="0" w:color="auto"/>
              <w:left w:val="nil"/>
              <w:bottom w:val="nil"/>
              <w:right w:val="nil"/>
            </w:tcBorders>
            <w:vAlign w:val="bottom"/>
            <w:hideMark/>
          </w:tcPr>
          <w:p w14:paraId="7AE533A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606 900</w:t>
            </w:r>
          </w:p>
        </w:tc>
        <w:tc>
          <w:tcPr>
            <w:tcW w:w="1461" w:type="dxa"/>
            <w:tcBorders>
              <w:top w:val="single" w:sz="4" w:space="0" w:color="auto"/>
              <w:left w:val="nil"/>
              <w:bottom w:val="nil"/>
              <w:right w:val="nil"/>
            </w:tcBorders>
            <w:vAlign w:val="bottom"/>
            <w:hideMark/>
          </w:tcPr>
          <w:p w14:paraId="45FA9DA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(230 400)</w:t>
            </w:r>
          </w:p>
        </w:tc>
      </w:tr>
      <w:tr w:rsidR="00992A45" w:rsidRPr="00BD7721" w14:paraId="300BE6BE" w14:textId="77777777" w:rsidTr="00E03AD9">
        <w:trPr>
          <w:trHeight w:val="57"/>
          <w:jc w:val="right"/>
        </w:trPr>
        <w:tc>
          <w:tcPr>
            <w:tcW w:w="5130" w:type="dxa"/>
            <w:tcBorders>
              <w:top w:val="nil"/>
              <w:left w:val="nil"/>
              <w:bottom w:val="nil"/>
              <w:right w:val="nil"/>
            </w:tcBorders>
            <w:hideMark/>
          </w:tcPr>
          <w:p w14:paraId="2EA6565F" w14:textId="77777777" w:rsidR="00992A45" w:rsidRPr="00BD7721" w:rsidRDefault="00992A45" w:rsidP="004E48D5">
            <w:pPr>
              <w:pStyle w:val="Normal-pool"/>
              <w:spacing w:before="40" w:after="40"/>
              <w:ind w:left="35"/>
              <w:rPr>
                <w:sz w:val="18"/>
                <w:szCs w:val="18"/>
                <w:lang w:val="en-GB"/>
              </w:rPr>
            </w:pPr>
            <w:r w:rsidRPr="00BD7721">
              <w:rPr>
                <w:sz w:val="18"/>
                <w:szCs w:val="18"/>
                <w:lang w:val="en-GB"/>
              </w:rPr>
              <w:t>Deliverable 1 (c): a thematic assessment of the underlying causes of biodiversity loss and the determinants of transformative change and options for achieving the 2050 Vision for Biodiversity (transformative change assessment)</w:t>
            </w:r>
          </w:p>
        </w:tc>
        <w:tc>
          <w:tcPr>
            <w:tcW w:w="1442" w:type="dxa"/>
            <w:tcBorders>
              <w:top w:val="nil"/>
              <w:left w:val="nil"/>
              <w:bottom w:val="nil"/>
              <w:right w:val="nil"/>
            </w:tcBorders>
            <w:vAlign w:val="bottom"/>
            <w:hideMark/>
          </w:tcPr>
          <w:p w14:paraId="3E4C38C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516 250</w:t>
            </w:r>
          </w:p>
        </w:tc>
        <w:tc>
          <w:tcPr>
            <w:tcW w:w="1464" w:type="dxa"/>
            <w:tcBorders>
              <w:top w:val="nil"/>
              <w:left w:val="nil"/>
              <w:bottom w:val="nil"/>
              <w:right w:val="nil"/>
            </w:tcBorders>
            <w:vAlign w:val="bottom"/>
            <w:hideMark/>
          </w:tcPr>
          <w:p w14:paraId="0D2B01F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401 250</w:t>
            </w:r>
          </w:p>
        </w:tc>
        <w:tc>
          <w:tcPr>
            <w:tcW w:w="1461" w:type="dxa"/>
            <w:tcBorders>
              <w:top w:val="nil"/>
              <w:left w:val="nil"/>
              <w:bottom w:val="nil"/>
              <w:right w:val="nil"/>
            </w:tcBorders>
            <w:vAlign w:val="bottom"/>
            <w:hideMark/>
          </w:tcPr>
          <w:p w14:paraId="45F701C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(115 000)</w:t>
            </w:r>
          </w:p>
        </w:tc>
      </w:tr>
      <w:tr w:rsidR="00992A45" w:rsidRPr="00BD7721" w14:paraId="36F76B6D" w14:textId="77777777" w:rsidTr="00E03AD9">
        <w:trPr>
          <w:trHeight w:val="57"/>
          <w:jc w:val="right"/>
        </w:trPr>
        <w:tc>
          <w:tcPr>
            <w:tcW w:w="5130" w:type="dxa"/>
            <w:tcBorders>
              <w:top w:val="nil"/>
              <w:left w:val="nil"/>
              <w:bottom w:val="single" w:sz="4" w:space="0" w:color="auto"/>
              <w:right w:val="nil"/>
            </w:tcBorders>
            <w:hideMark/>
          </w:tcPr>
          <w:p w14:paraId="539FCA62" w14:textId="77777777" w:rsidR="00992A45" w:rsidRPr="00BD7721" w:rsidRDefault="00992A45" w:rsidP="004E48D5">
            <w:pPr>
              <w:pStyle w:val="Normal-pool"/>
              <w:spacing w:before="40" w:after="40"/>
              <w:ind w:left="35"/>
              <w:rPr>
                <w:sz w:val="18"/>
                <w:szCs w:val="18"/>
                <w:lang w:val="en-GB"/>
              </w:rPr>
            </w:pPr>
            <w:r w:rsidRPr="00BD7721">
              <w:rPr>
                <w:sz w:val="18"/>
                <w:szCs w:val="18"/>
                <w:lang w:val="en-GB"/>
              </w:rPr>
              <w:t>Deliverable 1 (d): a methodological assessment of the impact and dependence of business on biodiversity and nature’s contributions to people (business and biodiversity assessment)</w:t>
            </w:r>
          </w:p>
        </w:tc>
        <w:tc>
          <w:tcPr>
            <w:tcW w:w="1442" w:type="dxa"/>
            <w:tcBorders>
              <w:top w:val="nil"/>
              <w:left w:val="nil"/>
              <w:bottom w:val="single" w:sz="4" w:space="0" w:color="auto"/>
              <w:right w:val="nil"/>
            </w:tcBorders>
            <w:vAlign w:val="bottom"/>
            <w:hideMark/>
          </w:tcPr>
          <w:p w14:paraId="3423F6C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371 250</w:t>
            </w:r>
          </w:p>
        </w:tc>
        <w:tc>
          <w:tcPr>
            <w:tcW w:w="1464" w:type="dxa"/>
            <w:tcBorders>
              <w:top w:val="nil"/>
              <w:left w:val="nil"/>
              <w:bottom w:val="single" w:sz="4" w:space="0" w:color="auto"/>
              <w:right w:val="nil"/>
            </w:tcBorders>
            <w:vAlign w:val="bottom"/>
            <w:hideMark/>
          </w:tcPr>
          <w:p w14:paraId="62BE2C3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293 750</w:t>
            </w:r>
          </w:p>
        </w:tc>
        <w:tc>
          <w:tcPr>
            <w:tcW w:w="1461" w:type="dxa"/>
            <w:tcBorders>
              <w:top w:val="nil"/>
              <w:left w:val="nil"/>
              <w:bottom w:val="single" w:sz="4" w:space="0" w:color="auto"/>
              <w:right w:val="nil"/>
            </w:tcBorders>
            <w:vAlign w:val="bottom"/>
            <w:hideMark/>
          </w:tcPr>
          <w:p w14:paraId="34B24B1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(77 500)</w:t>
            </w:r>
          </w:p>
        </w:tc>
      </w:tr>
      <w:tr w:rsidR="00992A45" w:rsidRPr="00BD7721" w14:paraId="6F5DB9F6" w14:textId="77777777" w:rsidTr="00E03AD9">
        <w:trPr>
          <w:trHeight w:val="57"/>
          <w:jc w:val="right"/>
        </w:trPr>
        <w:tc>
          <w:tcPr>
            <w:tcW w:w="5130" w:type="dxa"/>
            <w:tcBorders>
              <w:top w:val="single" w:sz="4" w:space="0" w:color="auto"/>
              <w:left w:val="nil"/>
              <w:bottom w:val="single" w:sz="4" w:space="0" w:color="auto"/>
              <w:right w:val="nil"/>
            </w:tcBorders>
            <w:hideMark/>
          </w:tcPr>
          <w:p w14:paraId="4CE105AB" w14:textId="77777777" w:rsidR="00992A45" w:rsidRPr="00BD7721" w:rsidRDefault="00992A45" w:rsidP="004E48D5">
            <w:pPr>
              <w:pStyle w:val="Normal-pool"/>
              <w:spacing w:before="40" w:after="40"/>
              <w:rPr>
                <w:b/>
                <w:sz w:val="18"/>
                <w:szCs w:val="18"/>
                <w:lang w:val="en-GB"/>
              </w:rPr>
            </w:pPr>
            <w:r w:rsidRPr="00BD7721">
              <w:rPr>
                <w:b/>
                <w:sz w:val="18"/>
                <w:szCs w:val="18"/>
                <w:lang w:val="en-GB"/>
              </w:rPr>
              <w:t>Objective 2: building capacity</w:t>
            </w:r>
          </w:p>
        </w:tc>
        <w:tc>
          <w:tcPr>
            <w:tcW w:w="1442" w:type="dxa"/>
            <w:tcBorders>
              <w:top w:val="single" w:sz="4" w:space="0" w:color="auto"/>
              <w:left w:val="nil"/>
              <w:bottom w:val="single" w:sz="4" w:space="0" w:color="auto"/>
              <w:right w:val="nil"/>
            </w:tcBorders>
            <w:vAlign w:val="bottom"/>
            <w:hideMark/>
          </w:tcPr>
          <w:p w14:paraId="6FA35F7D"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767 500</w:t>
            </w:r>
          </w:p>
        </w:tc>
        <w:tc>
          <w:tcPr>
            <w:tcW w:w="1464" w:type="dxa"/>
            <w:tcBorders>
              <w:top w:val="single" w:sz="4" w:space="0" w:color="auto"/>
              <w:left w:val="nil"/>
              <w:bottom w:val="single" w:sz="4" w:space="0" w:color="auto"/>
              <w:right w:val="nil"/>
            </w:tcBorders>
            <w:vAlign w:val="bottom"/>
            <w:hideMark/>
          </w:tcPr>
          <w:p w14:paraId="69932D9A"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688 325</w:t>
            </w:r>
          </w:p>
        </w:tc>
        <w:tc>
          <w:tcPr>
            <w:tcW w:w="1461" w:type="dxa"/>
            <w:tcBorders>
              <w:top w:val="single" w:sz="4" w:space="0" w:color="auto"/>
              <w:left w:val="nil"/>
              <w:bottom w:val="single" w:sz="4" w:space="0" w:color="auto"/>
              <w:right w:val="nil"/>
            </w:tcBorders>
            <w:vAlign w:val="bottom"/>
            <w:hideMark/>
          </w:tcPr>
          <w:p w14:paraId="4E495C10"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(79 175)</w:t>
            </w:r>
          </w:p>
        </w:tc>
      </w:tr>
      <w:tr w:rsidR="00992A45" w:rsidRPr="00BD7721" w14:paraId="498327D5" w14:textId="77777777" w:rsidTr="00E03AD9">
        <w:trPr>
          <w:trHeight w:val="57"/>
          <w:jc w:val="right"/>
        </w:trPr>
        <w:tc>
          <w:tcPr>
            <w:tcW w:w="5130" w:type="dxa"/>
            <w:tcBorders>
              <w:top w:val="single" w:sz="4" w:space="0" w:color="auto"/>
              <w:left w:val="nil"/>
              <w:bottom w:val="single" w:sz="4" w:space="0" w:color="auto"/>
              <w:right w:val="nil"/>
            </w:tcBorders>
            <w:hideMark/>
          </w:tcPr>
          <w:p w14:paraId="79B3FEA3" w14:textId="77777777" w:rsidR="00992A45" w:rsidRPr="00BD7721" w:rsidRDefault="00992A45" w:rsidP="004E48D5">
            <w:pPr>
              <w:pStyle w:val="Normal-pool"/>
              <w:spacing w:before="40" w:after="40"/>
              <w:ind w:left="35"/>
              <w:rPr>
                <w:sz w:val="18"/>
                <w:szCs w:val="18"/>
                <w:lang w:val="en-GB"/>
              </w:rPr>
            </w:pPr>
            <w:r w:rsidRPr="00BD7721">
              <w:rPr>
                <w:sz w:val="18"/>
                <w:szCs w:val="18"/>
                <w:lang w:val="en-GB"/>
              </w:rPr>
              <w:t>Objective 2 (a): enhanced learning and engagement; objective 2 (b): facilitated access to expertise and information; and objective 2 (c): strengthened national and regional capacities</w:t>
            </w:r>
          </w:p>
        </w:tc>
        <w:tc>
          <w:tcPr>
            <w:tcW w:w="1442" w:type="dxa"/>
            <w:tcBorders>
              <w:top w:val="single" w:sz="4" w:space="0" w:color="auto"/>
              <w:left w:val="nil"/>
              <w:bottom w:val="single" w:sz="4" w:space="0" w:color="auto"/>
              <w:right w:val="nil"/>
            </w:tcBorders>
            <w:vAlign w:val="bottom"/>
            <w:hideMark/>
          </w:tcPr>
          <w:p w14:paraId="093C9F3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767 500</w:t>
            </w:r>
          </w:p>
        </w:tc>
        <w:tc>
          <w:tcPr>
            <w:tcW w:w="1464" w:type="dxa"/>
            <w:tcBorders>
              <w:top w:val="single" w:sz="4" w:space="0" w:color="auto"/>
              <w:left w:val="nil"/>
              <w:bottom w:val="single" w:sz="4" w:space="0" w:color="auto"/>
              <w:right w:val="nil"/>
            </w:tcBorders>
            <w:vAlign w:val="bottom"/>
            <w:hideMark/>
          </w:tcPr>
          <w:p w14:paraId="75B3C48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688 325</w:t>
            </w:r>
          </w:p>
        </w:tc>
        <w:tc>
          <w:tcPr>
            <w:tcW w:w="1461" w:type="dxa"/>
            <w:tcBorders>
              <w:top w:val="single" w:sz="4" w:space="0" w:color="auto"/>
              <w:left w:val="nil"/>
              <w:bottom w:val="single" w:sz="4" w:space="0" w:color="auto"/>
              <w:right w:val="nil"/>
            </w:tcBorders>
            <w:vAlign w:val="bottom"/>
            <w:hideMark/>
          </w:tcPr>
          <w:p w14:paraId="0C879C4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(79 175)</w:t>
            </w:r>
          </w:p>
        </w:tc>
      </w:tr>
      <w:tr w:rsidR="00992A45" w:rsidRPr="00BD7721" w14:paraId="62E2323A" w14:textId="77777777" w:rsidTr="00E03AD9">
        <w:trPr>
          <w:trHeight w:val="57"/>
          <w:jc w:val="right"/>
        </w:trPr>
        <w:tc>
          <w:tcPr>
            <w:tcW w:w="5130" w:type="dxa"/>
            <w:tcBorders>
              <w:top w:val="single" w:sz="4" w:space="0" w:color="auto"/>
              <w:left w:val="nil"/>
              <w:bottom w:val="single" w:sz="4" w:space="0" w:color="auto"/>
              <w:right w:val="nil"/>
            </w:tcBorders>
            <w:hideMark/>
          </w:tcPr>
          <w:p w14:paraId="479C00A1" w14:textId="77777777" w:rsidR="00992A45" w:rsidRPr="00BD7721" w:rsidRDefault="00992A45" w:rsidP="004E48D5">
            <w:pPr>
              <w:pStyle w:val="Normal-pool"/>
              <w:spacing w:before="40" w:after="40"/>
              <w:rPr>
                <w:b/>
                <w:sz w:val="18"/>
                <w:szCs w:val="18"/>
                <w:lang w:val="en-GB"/>
              </w:rPr>
            </w:pPr>
            <w:r w:rsidRPr="00BD7721">
              <w:rPr>
                <w:b/>
                <w:sz w:val="18"/>
                <w:szCs w:val="18"/>
                <w:lang w:val="en-GB"/>
              </w:rPr>
              <w:t>Objective 3: strengthening the knowledge foundations</w:t>
            </w:r>
          </w:p>
        </w:tc>
        <w:tc>
          <w:tcPr>
            <w:tcW w:w="1442" w:type="dxa"/>
            <w:tcBorders>
              <w:top w:val="single" w:sz="4" w:space="0" w:color="auto"/>
              <w:left w:val="nil"/>
              <w:bottom w:val="single" w:sz="4" w:space="0" w:color="auto"/>
              <w:right w:val="nil"/>
            </w:tcBorders>
            <w:vAlign w:val="bottom"/>
            <w:hideMark/>
          </w:tcPr>
          <w:p w14:paraId="46D0E9B1"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712 000</w:t>
            </w:r>
          </w:p>
        </w:tc>
        <w:tc>
          <w:tcPr>
            <w:tcW w:w="1464" w:type="dxa"/>
            <w:tcBorders>
              <w:top w:val="single" w:sz="4" w:space="0" w:color="auto"/>
              <w:left w:val="nil"/>
              <w:bottom w:val="single" w:sz="4" w:space="0" w:color="auto"/>
              <w:right w:val="nil"/>
            </w:tcBorders>
            <w:vAlign w:val="bottom"/>
            <w:hideMark/>
          </w:tcPr>
          <w:p w14:paraId="57A216E6"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597 000</w:t>
            </w:r>
          </w:p>
        </w:tc>
        <w:tc>
          <w:tcPr>
            <w:tcW w:w="1461" w:type="dxa"/>
            <w:tcBorders>
              <w:top w:val="single" w:sz="4" w:space="0" w:color="auto"/>
              <w:left w:val="nil"/>
              <w:bottom w:val="single" w:sz="4" w:space="0" w:color="auto"/>
              <w:right w:val="nil"/>
            </w:tcBorders>
            <w:vAlign w:val="bottom"/>
            <w:hideMark/>
          </w:tcPr>
          <w:p w14:paraId="0055491B"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(115 000)</w:t>
            </w:r>
          </w:p>
        </w:tc>
      </w:tr>
      <w:tr w:rsidR="00992A45" w:rsidRPr="00BD7721" w14:paraId="568FF311" w14:textId="77777777" w:rsidTr="00E03AD9">
        <w:trPr>
          <w:trHeight w:val="57"/>
          <w:jc w:val="right"/>
        </w:trPr>
        <w:tc>
          <w:tcPr>
            <w:tcW w:w="5130" w:type="dxa"/>
            <w:tcBorders>
              <w:top w:val="single" w:sz="4" w:space="0" w:color="auto"/>
              <w:left w:val="nil"/>
              <w:bottom w:val="nil"/>
              <w:right w:val="nil"/>
            </w:tcBorders>
            <w:hideMark/>
          </w:tcPr>
          <w:p w14:paraId="1AADB55D" w14:textId="77777777" w:rsidR="00992A45" w:rsidRPr="00BD7721" w:rsidRDefault="00992A45" w:rsidP="004E48D5">
            <w:pPr>
              <w:pStyle w:val="Normal-pool"/>
              <w:spacing w:before="40" w:after="40"/>
              <w:ind w:left="35"/>
              <w:rPr>
                <w:sz w:val="18"/>
                <w:szCs w:val="18"/>
                <w:lang w:val="en-GB"/>
              </w:rPr>
            </w:pPr>
            <w:r w:rsidRPr="00BD7721">
              <w:rPr>
                <w:sz w:val="18"/>
                <w:szCs w:val="18"/>
                <w:lang w:val="en-GB"/>
              </w:rPr>
              <w:t>Objective 3 (a): advanced work on knowledge and data</w:t>
            </w:r>
          </w:p>
        </w:tc>
        <w:tc>
          <w:tcPr>
            <w:tcW w:w="1442" w:type="dxa"/>
            <w:tcBorders>
              <w:top w:val="single" w:sz="4" w:space="0" w:color="auto"/>
              <w:left w:val="nil"/>
              <w:bottom w:val="nil"/>
              <w:right w:val="nil"/>
            </w:tcBorders>
            <w:vAlign w:val="bottom"/>
            <w:hideMark/>
          </w:tcPr>
          <w:p w14:paraId="15136DE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293 000</w:t>
            </w:r>
          </w:p>
        </w:tc>
        <w:tc>
          <w:tcPr>
            <w:tcW w:w="1464" w:type="dxa"/>
            <w:tcBorders>
              <w:top w:val="single" w:sz="4" w:space="0" w:color="auto"/>
              <w:left w:val="nil"/>
              <w:bottom w:val="nil"/>
              <w:right w:val="nil"/>
            </w:tcBorders>
            <w:vAlign w:val="bottom"/>
            <w:hideMark/>
          </w:tcPr>
          <w:p w14:paraId="256CFF55"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209 000</w:t>
            </w:r>
          </w:p>
        </w:tc>
        <w:tc>
          <w:tcPr>
            <w:tcW w:w="1461" w:type="dxa"/>
            <w:tcBorders>
              <w:top w:val="single" w:sz="4" w:space="0" w:color="auto"/>
              <w:left w:val="nil"/>
              <w:bottom w:val="nil"/>
              <w:right w:val="nil"/>
            </w:tcBorders>
            <w:vAlign w:val="bottom"/>
            <w:hideMark/>
          </w:tcPr>
          <w:p w14:paraId="618C186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(84 000)</w:t>
            </w:r>
          </w:p>
        </w:tc>
      </w:tr>
      <w:tr w:rsidR="00992A45" w:rsidRPr="00BD7721" w14:paraId="39369086" w14:textId="77777777" w:rsidTr="00E03AD9">
        <w:trPr>
          <w:trHeight w:val="57"/>
          <w:jc w:val="right"/>
        </w:trPr>
        <w:tc>
          <w:tcPr>
            <w:tcW w:w="5130" w:type="dxa"/>
            <w:tcBorders>
              <w:top w:val="nil"/>
              <w:left w:val="nil"/>
              <w:bottom w:val="single" w:sz="4" w:space="0" w:color="auto"/>
              <w:right w:val="nil"/>
            </w:tcBorders>
            <w:hideMark/>
          </w:tcPr>
          <w:p w14:paraId="6B6CA4FF" w14:textId="77777777" w:rsidR="00992A45" w:rsidRPr="00BD7721" w:rsidRDefault="00992A45" w:rsidP="004E48D5">
            <w:pPr>
              <w:pStyle w:val="Normal-pool"/>
              <w:spacing w:before="40" w:after="40"/>
              <w:ind w:left="35"/>
              <w:rPr>
                <w:sz w:val="18"/>
                <w:szCs w:val="18"/>
                <w:lang w:val="en-GB"/>
              </w:rPr>
            </w:pPr>
            <w:r w:rsidRPr="00BD7721">
              <w:rPr>
                <w:sz w:val="18"/>
                <w:szCs w:val="18"/>
                <w:lang w:val="en-GB"/>
              </w:rPr>
              <w:t>Objective 3 (b): enhanced recognition of and work with Indigenous and local knowledge systems</w:t>
            </w:r>
          </w:p>
        </w:tc>
        <w:tc>
          <w:tcPr>
            <w:tcW w:w="1442" w:type="dxa"/>
            <w:tcBorders>
              <w:top w:val="nil"/>
              <w:left w:val="nil"/>
              <w:bottom w:val="single" w:sz="4" w:space="0" w:color="auto"/>
              <w:right w:val="nil"/>
            </w:tcBorders>
            <w:vAlign w:val="bottom"/>
            <w:hideMark/>
          </w:tcPr>
          <w:p w14:paraId="4202B1F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419 000</w:t>
            </w:r>
          </w:p>
        </w:tc>
        <w:tc>
          <w:tcPr>
            <w:tcW w:w="1464" w:type="dxa"/>
            <w:tcBorders>
              <w:top w:val="nil"/>
              <w:left w:val="nil"/>
              <w:bottom w:val="single" w:sz="4" w:space="0" w:color="auto"/>
              <w:right w:val="nil"/>
            </w:tcBorders>
            <w:vAlign w:val="bottom"/>
            <w:hideMark/>
          </w:tcPr>
          <w:p w14:paraId="7C7216C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388 000</w:t>
            </w:r>
          </w:p>
        </w:tc>
        <w:tc>
          <w:tcPr>
            <w:tcW w:w="1461" w:type="dxa"/>
            <w:tcBorders>
              <w:top w:val="nil"/>
              <w:left w:val="nil"/>
              <w:bottom w:val="single" w:sz="4" w:space="0" w:color="auto"/>
              <w:right w:val="nil"/>
            </w:tcBorders>
            <w:vAlign w:val="bottom"/>
            <w:hideMark/>
          </w:tcPr>
          <w:p w14:paraId="3FE116D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(31 000)</w:t>
            </w:r>
          </w:p>
        </w:tc>
      </w:tr>
      <w:tr w:rsidR="00992A45" w:rsidRPr="00BD7721" w14:paraId="0C5C3543" w14:textId="77777777" w:rsidTr="00E03AD9">
        <w:trPr>
          <w:trHeight w:val="57"/>
          <w:jc w:val="right"/>
        </w:trPr>
        <w:tc>
          <w:tcPr>
            <w:tcW w:w="5130" w:type="dxa"/>
            <w:tcBorders>
              <w:top w:val="single" w:sz="4" w:space="0" w:color="auto"/>
              <w:left w:val="nil"/>
              <w:bottom w:val="single" w:sz="4" w:space="0" w:color="auto"/>
              <w:right w:val="nil"/>
            </w:tcBorders>
            <w:hideMark/>
          </w:tcPr>
          <w:p w14:paraId="7D532AA9" w14:textId="77777777" w:rsidR="00992A45" w:rsidRPr="00BD7721" w:rsidRDefault="00992A45" w:rsidP="004E48D5">
            <w:pPr>
              <w:pStyle w:val="Normal-pool"/>
              <w:spacing w:before="40" w:after="40"/>
              <w:rPr>
                <w:b/>
                <w:sz w:val="18"/>
                <w:szCs w:val="18"/>
                <w:lang w:val="en-GB"/>
              </w:rPr>
            </w:pPr>
            <w:r w:rsidRPr="00BD7721">
              <w:rPr>
                <w:b/>
                <w:sz w:val="18"/>
                <w:szCs w:val="18"/>
                <w:lang w:val="en-GB"/>
              </w:rPr>
              <w:t>Objective 4: supporting policy</w:t>
            </w:r>
          </w:p>
        </w:tc>
        <w:tc>
          <w:tcPr>
            <w:tcW w:w="1442" w:type="dxa"/>
            <w:tcBorders>
              <w:top w:val="single" w:sz="4" w:space="0" w:color="auto"/>
              <w:left w:val="nil"/>
              <w:bottom w:val="single" w:sz="4" w:space="0" w:color="auto"/>
              <w:right w:val="nil"/>
            </w:tcBorders>
            <w:vAlign w:val="bottom"/>
            <w:hideMark/>
          </w:tcPr>
          <w:p w14:paraId="7A988842"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750 000</w:t>
            </w:r>
          </w:p>
        </w:tc>
        <w:tc>
          <w:tcPr>
            <w:tcW w:w="1464" w:type="dxa"/>
            <w:tcBorders>
              <w:top w:val="single" w:sz="4" w:space="0" w:color="auto"/>
              <w:left w:val="nil"/>
              <w:bottom w:val="single" w:sz="4" w:space="0" w:color="auto"/>
              <w:right w:val="nil"/>
            </w:tcBorders>
            <w:vAlign w:val="bottom"/>
            <w:hideMark/>
          </w:tcPr>
          <w:p w14:paraId="48B03759"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335 000</w:t>
            </w:r>
          </w:p>
        </w:tc>
        <w:tc>
          <w:tcPr>
            <w:tcW w:w="1461" w:type="dxa"/>
            <w:tcBorders>
              <w:top w:val="single" w:sz="4" w:space="0" w:color="auto"/>
              <w:left w:val="nil"/>
              <w:bottom w:val="single" w:sz="4" w:space="0" w:color="auto"/>
              <w:right w:val="nil"/>
            </w:tcBorders>
            <w:vAlign w:val="bottom"/>
            <w:hideMark/>
          </w:tcPr>
          <w:p w14:paraId="2B483669"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(415 000)</w:t>
            </w:r>
          </w:p>
        </w:tc>
      </w:tr>
      <w:tr w:rsidR="00992A45" w:rsidRPr="00BD7721" w14:paraId="24F796B7" w14:textId="77777777" w:rsidTr="00E03AD9">
        <w:trPr>
          <w:trHeight w:val="57"/>
          <w:jc w:val="right"/>
        </w:trPr>
        <w:tc>
          <w:tcPr>
            <w:tcW w:w="5130" w:type="dxa"/>
            <w:tcBorders>
              <w:top w:val="single" w:sz="4" w:space="0" w:color="auto"/>
              <w:left w:val="nil"/>
              <w:bottom w:val="nil"/>
              <w:right w:val="nil"/>
            </w:tcBorders>
            <w:hideMark/>
          </w:tcPr>
          <w:p w14:paraId="4873FA05" w14:textId="77777777" w:rsidR="00992A45" w:rsidRPr="00BD7721" w:rsidRDefault="00992A45" w:rsidP="004E48D5">
            <w:pPr>
              <w:pStyle w:val="Normal-pool"/>
              <w:spacing w:before="40" w:after="40"/>
              <w:ind w:left="35"/>
              <w:rPr>
                <w:sz w:val="18"/>
                <w:szCs w:val="18"/>
                <w:lang w:val="en-GB"/>
              </w:rPr>
            </w:pPr>
            <w:r w:rsidRPr="00BD7721">
              <w:rPr>
                <w:sz w:val="18"/>
                <w:szCs w:val="18"/>
                <w:lang w:val="en-GB"/>
              </w:rPr>
              <w:t>Objective 4 (a): advanced work on policy instruments, policy support tools and methodologies</w:t>
            </w:r>
          </w:p>
        </w:tc>
        <w:tc>
          <w:tcPr>
            <w:tcW w:w="1442" w:type="dxa"/>
            <w:tcBorders>
              <w:top w:val="single" w:sz="4" w:space="0" w:color="auto"/>
              <w:left w:val="nil"/>
              <w:bottom w:val="nil"/>
              <w:right w:val="nil"/>
            </w:tcBorders>
            <w:vAlign w:val="bottom"/>
            <w:hideMark/>
          </w:tcPr>
          <w:p w14:paraId="244B71E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244 000</w:t>
            </w:r>
          </w:p>
        </w:tc>
        <w:tc>
          <w:tcPr>
            <w:tcW w:w="1464" w:type="dxa"/>
            <w:tcBorders>
              <w:top w:val="single" w:sz="4" w:space="0" w:color="auto"/>
              <w:left w:val="nil"/>
              <w:bottom w:val="nil"/>
              <w:right w:val="nil"/>
            </w:tcBorders>
            <w:vAlign w:val="bottom"/>
            <w:hideMark/>
          </w:tcPr>
          <w:p w14:paraId="7D5C72F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165 000</w:t>
            </w:r>
          </w:p>
        </w:tc>
        <w:tc>
          <w:tcPr>
            <w:tcW w:w="1461" w:type="dxa"/>
            <w:tcBorders>
              <w:top w:val="single" w:sz="4" w:space="0" w:color="auto"/>
              <w:left w:val="nil"/>
              <w:bottom w:val="nil"/>
              <w:right w:val="nil"/>
            </w:tcBorders>
            <w:vAlign w:val="bottom"/>
            <w:hideMark/>
          </w:tcPr>
          <w:p w14:paraId="5EB370B4"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(79 000)</w:t>
            </w:r>
          </w:p>
        </w:tc>
      </w:tr>
      <w:tr w:rsidR="00992A45" w:rsidRPr="00BD7721" w14:paraId="0FD5BA4E" w14:textId="77777777" w:rsidTr="00E03AD9">
        <w:trPr>
          <w:trHeight w:val="57"/>
          <w:jc w:val="right"/>
        </w:trPr>
        <w:tc>
          <w:tcPr>
            <w:tcW w:w="5130" w:type="dxa"/>
            <w:tcBorders>
              <w:top w:val="nil"/>
              <w:left w:val="nil"/>
              <w:bottom w:val="nil"/>
              <w:right w:val="nil"/>
            </w:tcBorders>
            <w:hideMark/>
          </w:tcPr>
          <w:p w14:paraId="495D9E7B" w14:textId="77777777" w:rsidR="00992A45" w:rsidRPr="00BD7721" w:rsidRDefault="00992A45" w:rsidP="004E48D5">
            <w:pPr>
              <w:pStyle w:val="Normal-pool"/>
              <w:spacing w:before="40" w:after="40"/>
              <w:ind w:left="35"/>
              <w:rPr>
                <w:sz w:val="18"/>
                <w:szCs w:val="18"/>
                <w:lang w:val="en-GB"/>
              </w:rPr>
            </w:pPr>
            <w:r w:rsidRPr="00BD7721">
              <w:rPr>
                <w:sz w:val="18"/>
                <w:szCs w:val="18"/>
                <w:lang w:val="en-GB"/>
              </w:rPr>
              <w:t xml:space="preserve">Objective 4 (b): advanced work on scenarios and models of biodiversity and ecosystem functions and services </w:t>
            </w:r>
          </w:p>
        </w:tc>
        <w:tc>
          <w:tcPr>
            <w:tcW w:w="1442" w:type="dxa"/>
            <w:tcBorders>
              <w:top w:val="nil"/>
              <w:left w:val="nil"/>
              <w:bottom w:val="nil"/>
              <w:right w:val="nil"/>
            </w:tcBorders>
            <w:vAlign w:val="bottom"/>
            <w:hideMark/>
          </w:tcPr>
          <w:p w14:paraId="2795B0C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271 000</w:t>
            </w:r>
          </w:p>
        </w:tc>
        <w:tc>
          <w:tcPr>
            <w:tcW w:w="1464" w:type="dxa"/>
            <w:tcBorders>
              <w:top w:val="nil"/>
              <w:left w:val="nil"/>
              <w:bottom w:val="nil"/>
              <w:right w:val="nil"/>
            </w:tcBorders>
            <w:vAlign w:val="bottom"/>
            <w:hideMark/>
          </w:tcPr>
          <w:p w14:paraId="34AB5879"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170 000</w:t>
            </w:r>
          </w:p>
        </w:tc>
        <w:tc>
          <w:tcPr>
            <w:tcW w:w="1461" w:type="dxa"/>
            <w:tcBorders>
              <w:top w:val="nil"/>
              <w:left w:val="nil"/>
              <w:bottom w:val="nil"/>
              <w:right w:val="nil"/>
            </w:tcBorders>
            <w:vAlign w:val="bottom"/>
            <w:hideMark/>
          </w:tcPr>
          <w:p w14:paraId="2C6DEAC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(101 000)</w:t>
            </w:r>
          </w:p>
        </w:tc>
      </w:tr>
      <w:tr w:rsidR="00992A45" w:rsidRPr="00BD7721" w14:paraId="5FE784A2" w14:textId="77777777" w:rsidTr="00E03AD9">
        <w:trPr>
          <w:trHeight w:val="57"/>
          <w:jc w:val="right"/>
        </w:trPr>
        <w:tc>
          <w:tcPr>
            <w:tcW w:w="5130" w:type="dxa"/>
            <w:tcBorders>
              <w:top w:val="nil"/>
              <w:left w:val="nil"/>
              <w:bottom w:val="single" w:sz="4" w:space="0" w:color="auto"/>
              <w:right w:val="nil"/>
            </w:tcBorders>
            <w:hideMark/>
          </w:tcPr>
          <w:p w14:paraId="1558F12B" w14:textId="77777777" w:rsidR="00992A45" w:rsidRPr="00BD7721" w:rsidRDefault="00992A45" w:rsidP="004E48D5">
            <w:pPr>
              <w:pStyle w:val="Normal-pool"/>
              <w:spacing w:before="40" w:after="40"/>
              <w:ind w:left="35"/>
              <w:rPr>
                <w:sz w:val="18"/>
                <w:szCs w:val="18"/>
                <w:lang w:val="en-GB"/>
              </w:rPr>
            </w:pPr>
            <w:r w:rsidRPr="00BD7721">
              <w:rPr>
                <w:sz w:val="18"/>
                <w:szCs w:val="18"/>
                <w:lang w:val="en-GB"/>
              </w:rPr>
              <w:t>Objective 4 (c): advanced work on multiple values</w:t>
            </w:r>
          </w:p>
        </w:tc>
        <w:tc>
          <w:tcPr>
            <w:tcW w:w="1442" w:type="dxa"/>
            <w:tcBorders>
              <w:top w:val="nil"/>
              <w:left w:val="nil"/>
              <w:bottom w:val="single" w:sz="4" w:space="0" w:color="auto"/>
              <w:right w:val="nil"/>
            </w:tcBorders>
            <w:vAlign w:val="bottom"/>
            <w:hideMark/>
          </w:tcPr>
          <w:p w14:paraId="1028C64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235 000</w:t>
            </w:r>
          </w:p>
        </w:tc>
        <w:tc>
          <w:tcPr>
            <w:tcW w:w="1464" w:type="dxa"/>
            <w:tcBorders>
              <w:top w:val="nil"/>
              <w:left w:val="nil"/>
              <w:bottom w:val="single" w:sz="4" w:space="0" w:color="auto"/>
              <w:right w:val="nil"/>
            </w:tcBorders>
            <w:vAlign w:val="bottom"/>
            <w:hideMark/>
          </w:tcPr>
          <w:p w14:paraId="074A77F8"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0</w:t>
            </w:r>
          </w:p>
        </w:tc>
        <w:tc>
          <w:tcPr>
            <w:tcW w:w="1461" w:type="dxa"/>
            <w:tcBorders>
              <w:top w:val="nil"/>
              <w:left w:val="nil"/>
              <w:bottom w:val="single" w:sz="4" w:space="0" w:color="auto"/>
              <w:right w:val="nil"/>
            </w:tcBorders>
            <w:vAlign w:val="bottom"/>
            <w:hideMark/>
          </w:tcPr>
          <w:p w14:paraId="4EE91C1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(235 000)</w:t>
            </w:r>
          </w:p>
        </w:tc>
      </w:tr>
      <w:tr w:rsidR="00992A45" w:rsidRPr="00BD7721" w14:paraId="793655C2" w14:textId="77777777" w:rsidTr="00E03AD9">
        <w:trPr>
          <w:trHeight w:val="57"/>
          <w:jc w:val="right"/>
        </w:trPr>
        <w:tc>
          <w:tcPr>
            <w:tcW w:w="5130" w:type="dxa"/>
            <w:tcBorders>
              <w:top w:val="single" w:sz="4" w:space="0" w:color="auto"/>
              <w:left w:val="nil"/>
              <w:bottom w:val="single" w:sz="4" w:space="0" w:color="auto"/>
              <w:right w:val="nil"/>
            </w:tcBorders>
            <w:hideMark/>
          </w:tcPr>
          <w:p w14:paraId="4FD8125E" w14:textId="77777777" w:rsidR="00992A45" w:rsidRPr="00BD7721" w:rsidRDefault="00992A45" w:rsidP="004E48D5">
            <w:pPr>
              <w:pStyle w:val="Normal-pool"/>
              <w:spacing w:before="40" w:after="40"/>
              <w:rPr>
                <w:b/>
                <w:sz w:val="18"/>
                <w:szCs w:val="18"/>
                <w:lang w:val="en-GB"/>
              </w:rPr>
            </w:pPr>
            <w:r w:rsidRPr="00BD7721">
              <w:rPr>
                <w:b/>
                <w:sz w:val="18"/>
                <w:szCs w:val="18"/>
                <w:lang w:val="en-GB"/>
              </w:rPr>
              <w:t>Objective 5: communicating and engaging</w:t>
            </w:r>
          </w:p>
        </w:tc>
        <w:tc>
          <w:tcPr>
            <w:tcW w:w="1442" w:type="dxa"/>
            <w:tcBorders>
              <w:top w:val="single" w:sz="4" w:space="0" w:color="auto"/>
              <w:left w:val="nil"/>
              <w:bottom w:val="single" w:sz="4" w:space="0" w:color="auto"/>
              <w:right w:val="nil"/>
            </w:tcBorders>
            <w:vAlign w:val="bottom"/>
            <w:hideMark/>
          </w:tcPr>
          <w:p w14:paraId="2F457FFC"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280 000</w:t>
            </w:r>
          </w:p>
        </w:tc>
        <w:tc>
          <w:tcPr>
            <w:tcW w:w="1464" w:type="dxa"/>
            <w:tcBorders>
              <w:top w:val="single" w:sz="4" w:space="0" w:color="auto"/>
              <w:left w:val="nil"/>
              <w:bottom w:val="single" w:sz="4" w:space="0" w:color="auto"/>
              <w:right w:val="nil"/>
            </w:tcBorders>
            <w:vAlign w:val="bottom"/>
            <w:hideMark/>
          </w:tcPr>
          <w:p w14:paraId="184BA63D"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350 000</w:t>
            </w:r>
          </w:p>
        </w:tc>
        <w:tc>
          <w:tcPr>
            <w:tcW w:w="1461" w:type="dxa"/>
            <w:tcBorders>
              <w:top w:val="single" w:sz="4" w:space="0" w:color="auto"/>
              <w:left w:val="nil"/>
              <w:bottom w:val="single" w:sz="4" w:space="0" w:color="auto"/>
              <w:right w:val="nil"/>
            </w:tcBorders>
            <w:vAlign w:val="bottom"/>
            <w:hideMark/>
          </w:tcPr>
          <w:p w14:paraId="293534C6"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70 000</w:t>
            </w:r>
          </w:p>
        </w:tc>
      </w:tr>
      <w:tr w:rsidR="00992A45" w:rsidRPr="00BD7721" w14:paraId="73F8D44E" w14:textId="77777777" w:rsidTr="00E03AD9">
        <w:trPr>
          <w:trHeight w:val="57"/>
          <w:jc w:val="right"/>
        </w:trPr>
        <w:tc>
          <w:tcPr>
            <w:tcW w:w="5130" w:type="dxa"/>
            <w:tcBorders>
              <w:top w:val="single" w:sz="4" w:space="0" w:color="auto"/>
              <w:left w:val="nil"/>
              <w:bottom w:val="nil"/>
              <w:right w:val="nil"/>
            </w:tcBorders>
            <w:hideMark/>
          </w:tcPr>
          <w:p w14:paraId="3484FEC5" w14:textId="77777777" w:rsidR="00992A45" w:rsidRPr="00BD7721" w:rsidRDefault="00992A45" w:rsidP="004E48D5">
            <w:pPr>
              <w:pStyle w:val="Normal-pool"/>
              <w:spacing w:before="40" w:after="40"/>
              <w:ind w:left="35"/>
              <w:rPr>
                <w:sz w:val="18"/>
                <w:szCs w:val="18"/>
                <w:lang w:val="en-GB"/>
              </w:rPr>
            </w:pPr>
            <w:r w:rsidRPr="00BD7721">
              <w:rPr>
                <w:sz w:val="18"/>
                <w:szCs w:val="18"/>
                <w:lang w:val="en-GB"/>
              </w:rPr>
              <w:t>Objective 5 (a): strengthened communication</w:t>
            </w:r>
          </w:p>
        </w:tc>
        <w:tc>
          <w:tcPr>
            <w:tcW w:w="1442" w:type="dxa"/>
            <w:tcBorders>
              <w:top w:val="single" w:sz="4" w:space="0" w:color="auto"/>
              <w:left w:val="nil"/>
              <w:bottom w:val="nil"/>
              <w:right w:val="nil"/>
            </w:tcBorders>
            <w:vAlign w:val="bottom"/>
            <w:hideMark/>
          </w:tcPr>
          <w:p w14:paraId="6D2E98D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250 000</w:t>
            </w:r>
          </w:p>
        </w:tc>
        <w:tc>
          <w:tcPr>
            <w:tcW w:w="1464" w:type="dxa"/>
            <w:tcBorders>
              <w:top w:val="single" w:sz="4" w:space="0" w:color="auto"/>
              <w:left w:val="nil"/>
              <w:bottom w:val="nil"/>
              <w:right w:val="nil"/>
            </w:tcBorders>
            <w:vAlign w:val="bottom"/>
            <w:hideMark/>
          </w:tcPr>
          <w:p w14:paraId="2FA96E2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290 000</w:t>
            </w:r>
          </w:p>
        </w:tc>
        <w:tc>
          <w:tcPr>
            <w:tcW w:w="1461" w:type="dxa"/>
            <w:tcBorders>
              <w:top w:val="single" w:sz="4" w:space="0" w:color="auto"/>
              <w:left w:val="nil"/>
              <w:bottom w:val="nil"/>
              <w:right w:val="nil"/>
            </w:tcBorders>
            <w:vAlign w:val="bottom"/>
            <w:hideMark/>
          </w:tcPr>
          <w:p w14:paraId="11F4B60D" w14:textId="5CA8B477" w:rsidR="00992A45" w:rsidRPr="00BD7721" w:rsidRDefault="00992A45" w:rsidP="004E48D5">
            <w:pPr>
              <w:pStyle w:val="Normal-pool"/>
              <w:spacing w:before="40" w:after="40"/>
              <w:jc w:val="right"/>
              <w:rPr>
                <w:sz w:val="18"/>
                <w:szCs w:val="18"/>
                <w:lang w:val="en-GB"/>
              </w:rPr>
            </w:pPr>
            <w:r w:rsidRPr="00BD7721">
              <w:rPr>
                <w:sz w:val="18"/>
                <w:szCs w:val="18"/>
                <w:lang w:val="en-GB"/>
              </w:rPr>
              <w:t>40 000</w:t>
            </w:r>
            <w:r w:rsidR="00F96DD5" w:rsidRPr="00BD7721">
              <w:rPr>
                <w:sz w:val="18"/>
                <w:szCs w:val="18"/>
                <w:lang w:val="en-GB"/>
              </w:rPr>
              <w:t xml:space="preserve"> </w:t>
            </w:r>
          </w:p>
        </w:tc>
      </w:tr>
      <w:tr w:rsidR="00992A45" w:rsidRPr="00BD7721" w14:paraId="09978D50" w14:textId="77777777" w:rsidTr="00E03AD9">
        <w:trPr>
          <w:trHeight w:val="57"/>
          <w:jc w:val="right"/>
        </w:trPr>
        <w:tc>
          <w:tcPr>
            <w:tcW w:w="5130" w:type="dxa"/>
            <w:tcBorders>
              <w:top w:val="nil"/>
              <w:left w:val="nil"/>
              <w:bottom w:val="single" w:sz="4" w:space="0" w:color="000000"/>
              <w:right w:val="nil"/>
            </w:tcBorders>
            <w:hideMark/>
          </w:tcPr>
          <w:p w14:paraId="2BF5AE65" w14:textId="77777777" w:rsidR="00992A45" w:rsidRPr="00BD7721" w:rsidRDefault="00992A45" w:rsidP="004E48D5">
            <w:pPr>
              <w:pStyle w:val="Normal-pool"/>
              <w:spacing w:before="40" w:after="40"/>
              <w:ind w:left="35"/>
              <w:rPr>
                <w:sz w:val="18"/>
                <w:szCs w:val="18"/>
                <w:lang w:val="en-GB"/>
              </w:rPr>
            </w:pPr>
            <w:r w:rsidRPr="00BD7721">
              <w:rPr>
                <w:sz w:val="18"/>
                <w:szCs w:val="18"/>
                <w:lang w:val="en-GB"/>
              </w:rPr>
              <w:t>Objective 5 (c): strengthened engagement of stakeholders</w:t>
            </w:r>
          </w:p>
        </w:tc>
        <w:tc>
          <w:tcPr>
            <w:tcW w:w="1442" w:type="dxa"/>
            <w:tcBorders>
              <w:top w:val="nil"/>
              <w:left w:val="nil"/>
              <w:bottom w:val="single" w:sz="4" w:space="0" w:color="000000"/>
              <w:right w:val="nil"/>
            </w:tcBorders>
            <w:vAlign w:val="bottom"/>
            <w:hideMark/>
          </w:tcPr>
          <w:p w14:paraId="0B302E7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30 000</w:t>
            </w:r>
          </w:p>
        </w:tc>
        <w:tc>
          <w:tcPr>
            <w:tcW w:w="1464" w:type="dxa"/>
            <w:tcBorders>
              <w:top w:val="nil"/>
              <w:left w:val="nil"/>
              <w:bottom w:val="single" w:sz="4" w:space="0" w:color="000000"/>
              <w:right w:val="nil"/>
            </w:tcBorders>
            <w:vAlign w:val="bottom"/>
            <w:hideMark/>
          </w:tcPr>
          <w:p w14:paraId="5274241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60 000</w:t>
            </w:r>
          </w:p>
        </w:tc>
        <w:tc>
          <w:tcPr>
            <w:tcW w:w="1461" w:type="dxa"/>
            <w:tcBorders>
              <w:top w:val="nil"/>
              <w:left w:val="nil"/>
              <w:bottom w:val="single" w:sz="4" w:space="0" w:color="000000"/>
              <w:right w:val="nil"/>
            </w:tcBorders>
            <w:vAlign w:val="bottom"/>
            <w:hideMark/>
          </w:tcPr>
          <w:p w14:paraId="4C984B8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30 000</w:t>
            </w:r>
          </w:p>
        </w:tc>
      </w:tr>
      <w:tr w:rsidR="00992A45" w:rsidRPr="00BD7721" w14:paraId="07ACD2E0" w14:textId="77777777" w:rsidTr="00E03AD9">
        <w:trPr>
          <w:trHeight w:val="57"/>
          <w:jc w:val="right"/>
        </w:trPr>
        <w:tc>
          <w:tcPr>
            <w:tcW w:w="5130" w:type="dxa"/>
            <w:tcBorders>
              <w:top w:val="single" w:sz="4" w:space="0" w:color="000000"/>
              <w:left w:val="nil"/>
              <w:bottom w:val="single" w:sz="4" w:space="0" w:color="000000"/>
              <w:right w:val="nil"/>
            </w:tcBorders>
            <w:hideMark/>
          </w:tcPr>
          <w:p w14:paraId="1614D9CE" w14:textId="77777777" w:rsidR="00992A45" w:rsidRPr="00BD7721" w:rsidRDefault="00992A45" w:rsidP="004E48D5">
            <w:pPr>
              <w:pStyle w:val="Normal-pool"/>
              <w:spacing w:before="40" w:after="40"/>
              <w:rPr>
                <w:b/>
                <w:sz w:val="18"/>
                <w:szCs w:val="18"/>
                <w:lang w:val="en-GB"/>
              </w:rPr>
            </w:pPr>
            <w:r w:rsidRPr="00BD7721">
              <w:rPr>
                <w:b/>
                <w:sz w:val="18"/>
                <w:szCs w:val="18"/>
                <w:lang w:val="en-GB"/>
              </w:rPr>
              <w:t>Subtotal, part B</w:t>
            </w:r>
          </w:p>
        </w:tc>
        <w:tc>
          <w:tcPr>
            <w:tcW w:w="1442" w:type="dxa"/>
            <w:tcBorders>
              <w:top w:val="single" w:sz="4" w:space="0" w:color="000000"/>
              <w:left w:val="nil"/>
              <w:bottom w:val="single" w:sz="4" w:space="0" w:color="000000"/>
              <w:right w:val="nil"/>
            </w:tcBorders>
            <w:vAlign w:val="bottom"/>
            <w:hideMark/>
          </w:tcPr>
          <w:p w14:paraId="38F47FF7"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4 234 300</w:t>
            </w:r>
          </w:p>
        </w:tc>
        <w:tc>
          <w:tcPr>
            <w:tcW w:w="1464" w:type="dxa"/>
            <w:tcBorders>
              <w:top w:val="single" w:sz="4" w:space="0" w:color="000000"/>
              <w:left w:val="nil"/>
              <w:bottom w:val="single" w:sz="4" w:space="0" w:color="000000"/>
              <w:right w:val="nil"/>
            </w:tcBorders>
            <w:vAlign w:val="bottom"/>
            <w:hideMark/>
          </w:tcPr>
          <w:p w14:paraId="16DDEF30"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3 272 225</w:t>
            </w:r>
          </w:p>
        </w:tc>
        <w:tc>
          <w:tcPr>
            <w:tcW w:w="1461" w:type="dxa"/>
            <w:tcBorders>
              <w:top w:val="single" w:sz="4" w:space="0" w:color="000000"/>
              <w:left w:val="nil"/>
              <w:bottom w:val="single" w:sz="4" w:space="0" w:color="000000"/>
              <w:right w:val="nil"/>
            </w:tcBorders>
            <w:vAlign w:val="bottom"/>
            <w:hideMark/>
          </w:tcPr>
          <w:p w14:paraId="5B2DD0B7"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(962 075)</w:t>
            </w:r>
          </w:p>
        </w:tc>
      </w:tr>
      <w:tr w:rsidR="00992A45" w:rsidRPr="00BD7721" w14:paraId="611E9139" w14:textId="77777777" w:rsidTr="00E03AD9">
        <w:trPr>
          <w:trHeight w:val="57"/>
          <w:jc w:val="right"/>
        </w:trPr>
        <w:tc>
          <w:tcPr>
            <w:tcW w:w="5130" w:type="dxa"/>
            <w:tcBorders>
              <w:top w:val="single" w:sz="4" w:space="0" w:color="000000"/>
              <w:left w:val="nil"/>
              <w:bottom w:val="single" w:sz="4" w:space="0" w:color="000000"/>
              <w:right w:val="nil"/>
            </w:tcBorders>
            <w:hideMark/>
          </w:tcPr>
          <w:p w14:paraId="0C229F6A" w14:textId="77777777" w:rsidR="00992A45" w:rsidRPr="00BD7721" w:rsidRDefault="00992A45" w:rsidP="004E48D5">
            <w:pPr>
              <w:pStyle w:val="Normal-pool"/>
              <w:spacing w:before="40" w:after="40"/>
              <w:rPr>
                <w:b/>
                <w:sz w:val="18"/>
                <w:szCs w:val="18"/>
                <w:lang w:val="en-GB"/>
              </w:rPr>
            </w:pPr>
            <w:r w:rsidRPr="00BD7721">
              <w:rPr>
                <w:b/>
                <w:sz w:val="18"/>
                <w:szCs w:val="18"/>
                <w:lang w:val="en-GB"/>
              </w:rPr>
              <w:t>Subtotal 2, implementation of the work programme</w:t>
            </w:r>
          </w:p>
        </w:tc>
        <w:tc>
          <w:tcPr>
            <w:tcW w:w="1442" w:type="dxa"/>
            <w:tcBorders>
              <w:top w:val="single" w:sz="4" w:space="0" w:color="000000"/>
              <w:left w:val="nil"/>
              <w:bottom w:val="single" w:sz="4" w:space="0" w:color="000000"/>
              <w:right w:val="nil"/>
            </w:tcBorders>
            <w:vAlign w:val="bottom"/>
            <w:hideMark/>
          </w:tcPr>
          <w:p w14:paraId="274A564A"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4 536 800</w:t>
            </w:r>
          </w:p>
        </w:tc>
        <w:tc>
          <w:tcPr>
            <w:tcW w:w="1464" w:type="dxa"/>
            <w:tcBorders>
              <w:top w:val="single" w:sz="4" w:space="0" w:color="000000"/>
              <w:left w:val="nil"/>
              <w:bottom w:val="single" w:sz="4" w:space="0" w:color="000000"/>
              <w:right w:val="nil"/>
            </w:tcBorders>
            <w:vAlign w:val="bottom"/>
            <w:hideMark/>
          </w:tcPr>
          <w:p w14:paraId="69DD11DF"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3 588 475</w:t>
            </w:r>
          </w:p>
        </w:tc>
        <w:tc>
          <w:tcPr>
            <w:tcW w:w="1461" w:type="dxa"/>
            <w:tcBorders>
              <w:top w:val="single" w:sz="4" w:space="0" w:color="000000"/>
              <w:left w:val="nil"/>
              <w:bottom w:val="single" w:sz="4" w:space="0" w:color="000000"/>
              <w:right w:val="nil"/>
            </w:tcBorders>
            <w:vAlign w:val="bottom"/>
            <w:hideMark/>
          </w:tcPr>
          <w:p w14:paraId="610392AB"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(948 325)</w:t>
            </w:r>
          </w:p>
        </w:tc>
      </w:tr>
      <w:tr w:rsidR="00992A45" w:rsidRPr="00BD7721" w14:paraId="41F9DDF8" w14:textId="77777777" w:rsidTr="00E03AD9">
        <w:trPr>
          <w:trHeight w:val="57"/>
          <w:jc w:val="right"/>
        </w:trPr>
        <w:tc>
          <w:tcPr>
            <w:tcW w:w="5130" w:type="dxa"/>
            <w:tcBorders>
              <w:top w:val="single" w:sz="4" w:space="0" w:color="000000"/>
              <w:left w:val="nil"/>
              <w:bottom w:val="nil"/>
              <w:right w:val="nil"/>
            </w:tcBorders>
            <w:hideMark/>
          </w:tcPr>
          <w:p w14:paraId="6CB60F25" w14:textId="77777777" w:rsidR="00992A45" w:rsidRPr="00BD7721" w:rsidRDefault="00992A45" w:rsidP="004E48D5">
            <w:pPr>
              <w:pStyle w:val="Normal-pool"/>
              <w:tabs>
                <w:tab w:val="left" w:pos="365"/>
              </w:tabs>
              <w:spacing w:before="40" w:after="40"/>
              <w:rPr>
                <w:b/>
                <w:sz w:val="18"/>
                <w:szCs w:val="18"/>
                <w:lang w:val="en-GB"/>
              </w:rPr>
            </w:pPr>
            <w:r w:rsidRPr="00BD7721">
              <w:rPr>
                <w:b/>
                <w:sz w:val="18"/>
                <w:szCs w:val="18"/>
                <w:lang w:val="en-GB"/>
              </w:rPr>
              <w:t>3.</w:t>
            </w:r>
            <w:r w:rsidRPr="00BD7721">
              <w:rPr>
                <w:b/>
                <w:sz w:val="18"/>
                <w:szCs w:val="18"/>
                <w:lang w:val="en-GB"/>
              </w:rPr>
              <w:tab/>
              <w:t>Secretariat</w:t>
            </w:r>
          </w:p>
        </w:tc>
        <w:tc>
          <w:tcPr>
            <w:tcW w:w="1442" w:type="dxa"/>
            <w:tcBorders>
              <w:top w:val="single" w:sz="4" w:space="0" w:color="000000"/>
              <w:left w:val="nil"/>
              <w:bottom w:val="nil"/>
              <w:right w:val="nil"/>
            </w:tcBorders>
            <w:vAlign w:val="bottom"/>
          </w:tcPr>
          <w:p w14:paraId="1F6FFDAC" w14:textId="77777777" w:rsidR="00992A45" w:rsidRPr="00BD7721" w:rsidRDefault="00992A45" w:rsidP="004E48D5">
            <w:pPr>
              <w:pStyle w:val="Normal-pool"/>
              <w:spacing w:before="40" w:after="40"/>
              <w:jc w:val="right"/>
              <w:rPr>
                <w:b/>
                <w:sz w:val="18"/>
                <w:szCs w:val="18"/>
                <w:lang w:val="en-GB"/>
              </w:rPr>
            </w:pPr>
          </w:p>
        </w:tc>
        <w:tc>
          <w:tcPr>
            <w:tcW w:w="1464" w:type="dxa"/>
            <w:tcBorders>
              <w:top w:val="single" w:sz="4" w:space="0" w:color="000000"/>
              <w:left w:val="nil"/>
              <w:bottom w:val="nil"/>
              <w:right w:val="nil"/>
            </w:tcBorders>
            <w:vAlign w:val="bottom"/>
          </w:tcPr>
          <w:p w14:paraId="26637372" w14:textId="77777777" w:rsidR="00992A45" w:rsidRPr="00BD7721" w:rsidRDefault="00992A45" w:rsidP="004E48D5">
            <w:pPr>
              <w:pStyle w:val="Normal-pool"/>
              <w:spacing w:before="40" w:after="40"/>
              <w:jc w:val="right"/>
              <w:rPr>
                <w:sz w:val="18"/>
                <w:szCs w:val="18"/>
                <w:lang w:val="en-GB"/>
              </w:rPr>
            </w:pPr>
          </w:p>
        </w:tc>
        <w:tc>
          <w:tcPr>
            <w:tcW w:w="1461" w:type="dxa"/>
            <w:tcBorders>
              <w:top w:val="single" w:sz="4" w:space="0" w:color="000000"/>
              <w:left w:val="nil"/>
              <w:bottom w:val="nil"/>
              <w:right w:val="nil"/>
            </w:tcBorders>
            <w:vAlign w:val="bottom"/>
          </w:tcPr>
          <w:p w14:paraId="5050AC96" w14:textId="77777777" w:rsidR="00992A45" w:rsidRPr="00BD7721" w:rsidRDefault="00992A45" w:rsidP="004E48D5">
            <w:pPr>
              <w:pStyle w:val="Normal-pool"/>
              <w:spacing w:before="40" w:after="40"/>
              <w:jc w:val="right"/>
              <w:rPr>
                <w:sz w:val="18"/>
                <w:szCs w:val="18"/>
                <w:lang w:val="en-GB"/>
              </w:rPr>
            </w:pPr>
          </w:p>
        </w:tc>
      </w:tr>
      <w:tr w:rsidR="00992A45" w:rsidRPr="00BD7721" w14:paraId="0E19D0AC" w14:textId="77777777" w:rsidTr="00E03AD9">
        <w:trPr>
          <w:trHeight w:val="57"/>
          <w:jc w:val="right"/>
        </w:trPr>
        <w:tc>
          <w:tcPr>
            <w:tcW w:w="5130" w:type="dxa"/>
            <w:tcBorders>
              <w:top w:val="nil"/>
              <w:left w:val="nil"/>
              <w:bottom w:val="nil"/>
              <w:right w:val="nil"/>
            </w:tcBorders>
            <w:hideMark/>
          </w:tcPr>
          <w:p w14:paraId="29C54704" w14:textId="77777777" w:rsidR="00992A45" w:rsidRPr="00BD7721" w:rsidRDefault="00992A45" w:rsidP="004E48D5">
            <w:pPr>
              <w:pStyle w:val="Normal-pool"/>
              <w:tabs>
                <w:tab w:val="left" w:pos="365"/>
              </w:tabs>
              <w:spacing w:before="40" w:after="40"/>
              <w:rPr>
                <w:sz w:val="18"/>
                <w:szCs w:val="18"/>
                <w:lang w:val="en-GB"/>
              </w:rPr>
            </w:pPr>
            <w:r w:rsidRPr="00BD7721">
              <w:rPr>
                <w:sz w:val="18"/>
                <w:szCs w:val="18"/>
                <w:lang w:val="en-GB"/>
              </w:rPr>
              <w:t>3.1</w:t>
            </w:r>
            <w:r w:rsidRPr="00BD7721">
              <w:rPr>
                <w:sz w:val="18"/>
                <w:szCs w:val="18"/>
                <w:lang w:val="en-GB"/>
              </w:rPr>
              <w:tab/>
              <w:t>Secretariat personnel</w:t>
            </w:r>
          </w:p>
        </w:tc>
        <w:tc>
          <w:tcPr>
            <w:tcW w:w="1442" w:type="dxa"/>
            <w:tcBorders>
              <w:top w:val="nil"/>
              <w:left w:val="nil"/>
              <w:bottom w:val="nil"/>
              <w:right w:val="nil"/>
            </w:tcBorders>
            <w:vAlign w:val="bottom"/>
            <w:hideMark/>
          </w:tcPr>
          <w:p w14:paraId="104228B7"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3 035 000</w:t>
            </w:r>
          </w:p>
        </w:tc>
        <w:tc>
          <w:tcPr>
            <w:tcW w:w="1464" w:type="dxa"/>
            <w:tcBorders>
              <w:top w:val="nil"/>
              <w:left w:val="nil"/>
              <w:bottom w:val="nil"/>
              <w:right w:val="nil"/>
            </w:tcBorders>
            <w:vAlign w:val="bottom"/>
            <w:hideMark/>
          </w:tcPr>
          <w:p w14:paraId="5520BA2A"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2 718 198</w:t>
            </w:r>
          </w:p>
        </w:tc>
        <w:tc>
          <w:tcPr>
            <w:tcW w:w="1461" w:type="dxa"/>
            <w:tcBorders>
              <w:top w:val="nil"/>
              <w:left w:val="nil"/>
              <w:bottom w:val="nil"/>
              <w:right w:val="nil"/>
            </w:tcBorders>
            <w:vAlign w:val="bottom"/>
            <w:hideMark/>
          </w:tcPr>
          <w:p w14:paraId="6392B43F"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(316 802)</w:t>
            </w:r>
          </w:p>
        </w:tc>
      </w:tr>
      <w:tr w:rsidR="00992A45" w:rsidRPr="00BD7721" w14:paraId="60D693B0" w14:textId="77777777" w:rsidTr="00E03AD9">
        <w:trPr>
          <w:trHeight w:val="57"/>
          <w:jc w:val="right"/>
        </w:trPr>
        <w:tc>
          <w:tcPr>
            <w:tcW w:w="5130" w:type="dxa"/>
            <w:tcBorders>
              <w:top w:val="nil"/>
              <w:left w:val="nil"/>
              <w:bottom w:val="single" w:sz="4" w:space="0" w:color="000000"/>
              <w:right w:val="nil"/>
            </w:tcBorders>
            <w:hideMark/>
          </w:tcPr>
          <w:p w14:paraId="0F670CA9" w14:textId="77777777" w:rsidR="00992A45" w:rsidRPr="00BD7721" w:rsidRDefault="00992A45" w:rsidP="004E48D5">
            <w:pPr>
              <w:pStyle w:val="Normal-pool"/>
              <w:tabs>
                <w:tab w:val="left" w:pos="365"/>
              </w:tabs>
              <w:spacing w:before="40" w:after="40"/>
              <w:rPr>
                <w:sz w:val="18"/>
                <w:szCs w:val="18"/>
                <w:lang w:val="en-GB"/>
              </w:rPr>
            </w:pPr>
            <w:r w:rsidRPr="00BD7721">
              <w:rPr>
                <w:sz w:val="18"/>
                <w:szCs w:val="18"/>
                <w:lang w:val="en-GB"/>
              </w:rPr>
              <w:t>3.2</w:t>
            </w:r>
            <w:r w:rsidRPr="00BD7721">
              <w:rPr>
                <w:sz w:val="18"/>
                <w:szCs w:val="18"/>
                <w:lang w:val="en-GB"/>
              </w:rPr>
              <w:tab/>
              <w:t>Operating costs (non-personnel)</w:t>
            </w:r>
          </w:p>
        </w:tc>
        <w:tc>
          <w:tcPr>
            <w:tcW w:w="1442" w:type="dxa"/>
            <w:tcBorders>
              <w:top w:val="nil"/>
              <w:left w:val="nil"/>
              <w:bottom w:val="single" w:sz="4" w:space="0" w:color="000000"/>
              <w:right w:val="nil"/>
            </w:tcBorders>
            <w:vAlign w:val="bottom"/>
            <w:hideMark/>
          </w:tcPr>
          <w:p w14:paraId="7F5D6F61"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346 000</w:t>
            </w:r>
          </w:p>
        </w:tc>
        <w:tc>
          <w:tcPr>
            <w:tcW w:w="1464" w:type="dxa"/>
            <w:tcBorders>
              <w:top w:val="nil"/>
              <w:left w:val="nil"/>
              <w:bottom w:val="single" w:sz="4" w:space="0" w:color="000000"/>
              <w:right w:val="nil"/>
            </w:tcBorders>
            <w:vAlign w:val="bottom"/>
            <w:hideMark/>
          </w:tcPr>
          <w:p w14:paraId="3E86E116"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352 500</w:t>
            </w:r>
          </w:p>
        </w:tc>
        <w:tc>
          <w:tcPr>
            <w:tcW w:w="1461" w:type="dxa"/>
            <w:tcBorders>
              <w:top w:val="nil"/>
              <w:left w:val="nil"/>
              <w:bottom w:val="single" w:sz="4" w:space="0" w:color="000000"/>
              <w:right w:val="nil"/>
            </w:tcBorders>
            <w:vAlign w:val="bottom"/>
            <w:hideMark/>
          </w:tcPr>
          <w:p w14:paraId="5775E4C7" w14:textId="46F17DD6" w:rsidR="00992A45" w:rsidRPr="00BD7721" w:rsidRDefault="00992A45" w:rsidP="004E48D5">
            <w:pPr>
              <w:pStyle w:val="Normal-pool"/>
              <w:spacing w:before="40" w:after="40"/>
              <w:jc w:val="right"/>
              <w:rPr>
                <w:sz w:val="18"/>
                <w:szCs w:val="18"/>
                <w:lang w:val="en-GB"/>
              </w:rPr>
            </w:pPr>
            <w:r w:rsidRPr="00BD7721">
              <w:rPr>
                <w:sz w:val="18"/>
                <w:szCs w:val="18"/>
                <w:lang w:val="en-GB"/>
              </w:rPr>
              <w:t>6 500</w:t>
            </w:r>
          </w:p>
        </w:tc>
      </w:tr>
      <w:tr w:rsidR="00992A45" w:rsidRPr="00BD7721" w14:paraId="136AA2F0" w14:textId="77777777" w:rsidTr="00E03AD9">
        <w:trPr>
          <w:trHeight w:val="57"/>
          <w:jc w:val="right"/>
        </w:trPr>
        <w:tc>
          <w:tcPr>
            <w:tcW w:w="5130" w:type="dxa"/>
            <w:tcBorders>
              <w:top w:val="single" w:sz="4" w:space="0" w:color="000000"/>
              <w:left w:val="nil"/>
              <w:bottom w:val="single" w:sz="4" w:space="0" w:color="000000"/>
              <w:right w:val="nil"/>
            </w:tcBorders>
            <w:hideMark/>
          </w:tcPr>
          <w:p w14:paraId="22ECA845" w14:textId="77777777" w:rsidR="00992A45" w:rsidRPr="00BD7721" w:rsidRDefault="00992A45" w:rsidP="004E48D5">
            <w:pPr>
              <w:pStyle w:val="Normal-pool"/>
              <w:spacing w:before="40" w:after="40"/>
              <w:rPr>
                <w:b/>
                <w:sz w:val="18"/>
                <w:szCs w:val="18"/>
                <w:lang w:val="en-GB"/>
              </w:rPr>
            </w:pPr>
            <w:r w:rsidRPr="00BD7721">
              <w:rPr>
                <w:b/>
                <w:sz w:val="18"/>
                <w:szCs w:val="18"/>
                <w:lang w:val="en-GB"/>
              </w:rPr>
              <w:t>Subtotal 3, secretariat (personnel + operating)</w:t>
            </w:r>
          </w:p>
        </w:tc>
        <w:tc>
          <w:tcPr>
            <w:tcW w:w="1442" w:type="dxa"/>
            <w:tcBorders>
              <w:top w:val="single" w:sz="4" w:space="0" w:color="000000"/>
              <w:left w:val="nil"/>
              <w:bottom w:val="single" w:sz="4" w:space="0" w:color="000000"/>
              <w:right w:val="nil"/>
            </w:tcBorders>
            <w:vAlign w:val="bottom"/>
            <w:hideMark/>
          </w:tcPr>
          <w:p w14:paraId="6C003708"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3 381 000</w:t>
            </w:r>
          </w:p>
        </w:tc>
        <w:tc>
          <w:tcPr>
            <w:tcW w:w="1464" w:type="dxa"/>
            <w:tcBorders>
              <w:top w:val="single" w:sz="4" w:space="0" w:color="000000"/>
              <w:left w:val="nil"/>
              <w:bottom w:val="single" w:sz="4" w:space="0" w:color="000000"/>
              <w:right w:val="nil"/>
            </w:tcBorders>
            <w:vAlign w:val="bottom"/>
            <w:hideMark/>
          </w:tcPr>
          <w:p w14:paraId="5F4C112F"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3 070 698</w:t>
            </w:r>
          </w:p>
        </w:tc>
        <w:tc>
          <w:tcPr>
            <w:tcW w:w="1461" w:type="dxa"/>
            <w:tcBorders>
              <w:top w:val="single" w:sz="4" w:space="0" w:color="000000"/>
              <w:left w:val="nil"/>
              <w:bottom w:val="single" w:sz="4" w:space="0" w:color="000000"/>
              <w:right w:val="nil"/>
            </w:tcBorders>
            <w:vAlign w:val="bottom"/>
            <w:hideMark/>
          </w:tcPr>
          <w:p w14:paraId="043C2BD8"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(310 302)</w:t>
            </w:r>
          </w:p>
        </w:tc>
      </w:tr>
      <w:tr w:rsidR="00992A45" w:rsidRPr="00BD7721" w14:paraId="61697152" w14:textId="77777777" w:rsidTr="00E03AD9">
        <w:trPr>
          <w:trHeight w:val="57"/>
          <w:jc w:val="right"/>
        </w:trPr>
        <w:tc>
          <w:tcPr>
            <w:tcW w:w="5130" w:type="dxa"/>
            <w:tcBorders>
              <w:top w:val="single" w:sz="4" w:space="0" w:color="000000"/>
              <w:left w:val="nil"/>
              <w:bottom w:val="single" w:sz="4" w:space="0" w:color="000000"/>
              <w:right w:val="nil"/>
            </w:tcBorders>
            <w:hideMark/>
          </w:tcPr>
          <w:p w14:paraId="7CF97DC4" w14:textId="7CFFEBFE" w:rsidR="00992A45" w:rsidRPr="00BD7721" w:rsidRDefault="00992A45" w:rsidP="004E48D5">
            <w:pPr>
              <w:pStyle w:val="Normal-pool"/>
              <w:spacing w:before="40" w:after="40"/>
              <w:rPr>
                <w:b/>
                <w:sz w:val="18"/>
                <w:szCs w:val="18"/>
                <w:lang w:val="en-GB"/>
              </w:rPr>
            </w:pPr>
            <w:r w:rsidRPr="00BD7721">
              <w:rPr>
                <w:b/>
                <w:sz w:val="18"/>
                <w:szCs w:val="18"/>
                <w:lang w:val="en-GB"/>
              </w:rPr>
              <w:t>Subtotal (1</w:t>
            </w:r>
            <w:r w:rsidR="004212A9" w:rsidRPr="00BD7721">
              <w:rPr>
                <w:b/>
                <w:sz w:val="18"/>
                <w:szCs w:val="18"/>
                <w:lang w:val="en-GB"/>
              </w:rPr>
              <w:t xml:space="preserve"> </w:t>
            </w:r>
            <w:r w:rsidRPr="00BD7721">
              <w:rPr>
                <w:b/>
                <w:sz w:val="18"/>
                <w:szCs w:val="18"/>
                <w:lang w:val="en-GB"/>
              </w:rPr>
              <w:t>+</w:t>
            </w:r>
            <w:r w:rsidR="004212A9" w:rsidRPr="00BD7721">
              <w:rPr>
                <w:b/>
                <w:sz w:val="18"/>
                <w:szCs w:val="18"/>
                <w:lang w:val="en-GB"/>
              </w:rPr>
              <w:t xml:space="preserve"> </w:t>
            </w:r>
            <w:r w:rsidRPr="00BD7721">
              <w:rPr>
                <w:b/>
                <w:sz w:val="18"/>
                <w:szCs w:val="18"/>
                <w:lang w:val="en-GB"/>
              </w:rPr>
              <w:t>2</w:t>
            </w:r>
            <w:r w:rsidR="004212A9" w:rsidRPr="00BD7721">
              <w:rPr>
                <w:b/>
                <w:sz w:val="18"/>
                <w:szCs w:val="18"/>
                <w:lang w:val="en-GB"/>
              </w:rPr>
              <w:t xml:space="preserve"> </w:t>
            </w:r>
            <w:r w:rsidRPr="00BD7721">
              <w:rPr>
                <w:b/>
                <w:sz w:val="18"/>
                <w:szCs w:val="18"/>
                <w:lang w:val="en-GB"/>
              </w:rPr>
              <w:t>+</w:t>
            </w:r>
            <w:r w:rsidR="004212A9" w:rsidRPr="00BD7721">
              <w:rPr>
                <w:b/>
                <w:sz w:val="18"/>
                <w:szCs w:val="18"/>
                <w:lang w:val="en-GB"/>
              </w:rPr>
              <w:t xml:space="preserve"> </w:t>
            </w:r>
            <w:r w:rsidRPr="00BD7721">
              <w:rPr>
                <w:b/>
                <w:sz w:val="18"/>
                <w:szCs w:val="18"/>
                <w:lang w:val="en-GB"/>
              </w:rPr>
              <w:t>3)</w:t>
            </w:r>
          </w:p>
        </w:tc>
        <w:tc>
          <w:tcPr>
            <w:tcW w:w="1442" w:type="dxa"/>
            <w:tcBorders>
              <w:top w:val="single" w:sz="4" w:space="0" w:color="000000"/>
              <w:left w:val="nil"/>
              <w:bottom w:val="single" w:sz="4" w:space="0" w:color="000000"/>
              <w:right w:val="nil"/>
            </w:tcBorders>
            <w:vAlign w:val="bottom"/>
            <w:hideMark/>
          </w:tcPr>
          <w:p w14:paraId="0A5ACB55"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9 558 250</w:t>
            </w:r>
          </w:p>
        </w:tc>
        <w:tc>
          <w:tcPr>
            <w:tcW w:w="1464" w:type="dxa"/>
            <w:tcBorders>
              <w:top w:val="single" w:sz="4" w:space="0" w:color="000000"/>
              <w:left w:val="nil"/>
              <w:bottom w:val="single" w:sz="4" w:space="0" w:color="000000"/>
              <w:right w:val="nil"/>
            </w:tcBorders>
            <w:vAlign w:val="bottom"/>
            <w:hideMark/>
          </w:tcPr>
          <w:p w14:paraId="58372A8F"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8 399 623</w:t>
            </w:r>
          </w:p>
        </w:tc>
        <w:tc>
          <w:tcPr>
            <w:tcW w:w="1461" w:type="dxa"/>
            <w:tcBorders>
              <w:top w:val="single" w:sz="4" w:space="0" w:color="000000"/>
              <w:left w:val="nil"/>
              <w:bottom w:val="single" w:sz="4" w:space="0" w:color="000000"/>
              <w:right w:val="nil"/>
            </w:tcBorders>
            <w:vAlign w:val="bottom"/>
            <w:hideMark/>
          </w:tcPr>
          <w:p w14:paraId="57689002"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(1 158 627)</w:t>
            </w:r>
          </w:p>
        </w:tc>
      </w:tr>
      <w:tr w:rsidR="00992A45" w:rsidRPr="00BD7721" w14:paraId="1AA8E9CB" w14:textId="77777777" w:rsidTr="00E03AD9">
        <w:trPr>
          <w:trHeight w:val="57"/>
          <w:jc w:val="right"/>
        </w:trPr>
        <w:tc>
          <w:tcPr>
            <w:tcW w:w="5130" w:type="dxa"/>
            <w:tcBorders>
              <w:top w:val="single" w:sz="4" w:space="0" w:color="000000"/>
              <w:left w:val="nil"/>
              <w:bottom w:val="single" w:sz="4" w:space="0" w:color="000000"/>
              <w:right w:val="nil"/>
            </w:tcBorders>
            <w:hideMark/>
          </w:tcPr>
          <w:p w14:paraId="252D3367" w14:textId="77777777" w:rsidR="00992A45" w:rsidRPr="00BD7721" w:rsidRDefault="00992A45" w:rsidP="004E48D5">
            <w:pPr>
              <w:pStyle w:val="Normal-pool"/>
              <w:spacing w:before="40" w:after="40"/>
              <w:rPr>
                <w:sz w:val="18"/>
                <w:szCs w:val="18"/>
                <w:lang w:val="en-GB"/>
              </w:rPr>
            </w:pPr>
            <w:r w:rsidRPr="00BD7721">
              <w:rPr>
                <w:sz w:val="18"/>
                <w:szCs w:val="18"/>
                <w:lang w:val="en-GB"/>
              </w:rPr>
              <w:t xml:space="preserve">Programme support costs </w:t>
            </w:r>
          </w:p>
        </w:tc>
        <w:tc>
          <w:tcPr>
            <w:tcW w:w="1442" w:type="dxa"/>
            <w:tcBorders>
              <w:top w:val="single" w:sz="4" w:space="0" w:color="000000"/>
              <w:left w:val="nil"/>
              <w:bottom w:val="single" w:sz="4" w:space="0" w:color="000000"/>
              <w:right w:val="nil"/>
            </w:tcBorders>
            <w:vAlign w:val="bottom"/>
            <w:hideMark/>
          </w:tcPr>
          <w:p w14:paraId="5219BD60"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764 660</w:t>
            </w:r>
          </w:p>
        </w:tc>
        <w:tc>
          <w:tcPr>
            <w:tcW w:w="1464" w:type="dxa"/>
            <w:tcBorders>
              <w:top w:val="single" w:sz="4" w:space="0" w:color="000000"/>
              <w:left w:val="nil"/>
              <w:bottom w:val="single" w:sz="4" w:space="0" w:color="000000"/>
              <w:right w:val="nil"/>
            </w:tcBorders>
            <w:vAlign w:val="bottom"/>
            <w:hideMark/>
          </w:tcPr>
          <w:p w14:paraId="4082E63D"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671 970</w:t>
            </w:r>
          </w:p>
        </w:tc>
        <w:tc>
          <w:tcPr>
            <w:tcW w:w="1461" w:type="dxa"/>
            <w:tcBorders>
              <w:top w:val="single" w:sz="4" w:space="0" w:color="000000"/>
              <w:left w:val="nil"/>
              <w:bottom w:val="single" w:sz="4" w:space="0" w:color="000000"/>
              <w:right w:val="nil"/>
            </w:tcBorders>
            <w:vAlign w:val="bottom"/>
            <w:hideMark/>
          </w:tcPr>
          <w:p w14:paraId="78C78E3E" w14:textId="77777777" w:rsidR="00992A45" w:rsidRPr="00BD7721" w:rsidRDefault="00992A45" w:rsidP="004E48D5">
            <w:pPr>
              <w:pStyle w:val="Normal-pool"/>
              <w:spacing w:before="40" w:after="40"/>
              <w:jc w:val="right"/>
              <w:rPr>
                <w:sz w:val="18"/>
                <w:szCs w:val="18"/>
                <w:lang w:val="en-GB"/>
              </w:rPr>
            </w:pPr>
            <w:r w:rsidRPr="00BD7721">
              <w:rPr>
                <w:sz w:val="18"/>
                <w:szCs w:val="18"/>
                <w:lang w:val="en-GB"/>
              </w:rPr>
              <w:t>(92 690)</w:t>
            </w:r>
          </w:p>
        </w:tc>
      </w:tr>
      <w:tr w:rsidR="00992A45" w:rsidRPr="00BD7721" w14:paraId="417E38E1" w14:textId="77777777" w:rsidTr="00E03AD9">
        <w:trPr>
          <w:trHeight w:val="57"/>
          <w:jc w:val="right"/>
        </w:trPr>
        <w:tc>
          <w:tcPr>
            <w:tcW w:w="5130" w:type="dxa"/>
            <w:tcBorders>
              <w:top w:val="single" w:sz="4" w:space="0" w:color="000000"/>
              <w:left w:val="nil"/>
              <w:bottom w:val="single" w:sz="12" w:space="0" w:color="000000"/>
              <w:right w:val="nil"/>
            </w:tcBorders>
            <w:hideMark/>
          </w:tcPr>
          <w:p w14:paraId="5D1DE198" w14:textId="77777777" w:rsidR="00992A45" w:rsidRPr="00BD7721" w:rsidRDefault="00992A45" w:rsidP="004E48D5">
            <w:pPr>
              <w:pStyle w:val="Normal-pool"/>
              <w:spacing w:before="40" w:after="40"/>
              <w:rPr>
                <w:b/>
                <w:sz w:val="18"/>
                <w:szCs w:val="18"/>
                <w:lang w:val="en-GB"/>
              </w:rPr>
            </w:pPr>
            <w:r w:rsidRPr="00BD7721">
              <w:rPr>
                <w:b/>
                <w:sz w:val="18"/>
                <w:szCs w:val="18"/>
                <w:lang w:val="en-GB"/>
              </w:rPr>
              <w:t>Total</w:t>
            </w:r>
          </w:p>
        </w:tc>
        <w:tc>
          <w:tcPr>
            <w:tcW w:w="1442" w:type="dxa"/>
            <w:tcBorders>
              <w:top w:val="single" w:sz="4" w:space="0" w:color="000000"/>
              <w:left w:val="nil"/>
              <w:bottom w:val="single" w:sz="12" w:space="0" w:color="000000"/>
              <w:right w:val="nil"/>
            </w:tcBorders>
            <w:vAlign w:val="bottom"/>
            <w:hideMark/>
          </w:tcPr>
          <w:p w14:paraId="5E645DAE"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10 322 910</w:t>
            </w:r>
          </w:p>
        </w:tc>
        <w:tc>
          <w:tcPr>
            <w:tcW w:w="1464" w:type="dxa"/>
            <w:tcBorders>
              <w:top w:val="single" w:sz="4" w:space="0" w:color="000000"/>
              <w:left w:val="nil"/>
              <w:bottom w:val="single" w:sz="12" w:space="0" w:color="000000"/>
              <w:right w:val="nil"/>
            </w:tcBorders>
            <w:vAlign w:val="bottom"/>
            <w:hideMark/>
          </w:tcPr>
          <w:p w14:paraId="4B6AD7C4"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9 071 593</w:t>
            </w:r>
          </w:p>
        </w:tc>
        <w:tc>
          <w:tcPr>
            <w:tcW w:w="1461" w:type="dxa"/>
            <w:tcBorders>
              <w:top w:val="single" w:sz="4" w:space="0" w:color="000000"/>
              <w:left w:val="nil"/>
              <w:bottom w:val="single" w:sz="12" w:space="0" w:color="000000"/>
              <w:right w:val="nil"/>
            </w:tcBorders>
            <w:vAlign w:val="bottom"/>
            <w:hideMark/>
          </w:tcPr>
          <w:p w14:paraId="5CE46832" w14:textId="77777777" w:rsidR="00992A45" w:rsidRPr="00BD7721" w:rsidRDefault="00992A45" w:rsidP="004E48D5">
            <w:pPr>
              <w:pStyle w:val="Normal-pool"/>
              <w:spacing w:before="40" w:after="40"/>
              <w:jc w:val="right"/>
              <w:rPr>
                <w:b/>
                <w:sz w:val="18"/>
                <w:szCs w:val="18"/>
                <w:lang w:val="en-GB"/>
              </w:rPr>
            </w:pPr>
            <w:r w:rsidRPr="00BD7721">
              <w:rPr>
                <w:b/>
                <w:sz w:val="18"/>
                <w:szCs w:val="18"/>
                <w:lang w:val="en-GB"/>
              </w:rPr>
              <w:t>(1 251 317)</w:t>
            </w:r>
          </w:p>
        </w:tc>
      </w:tr>
    </w:tbl>
    <w:p w14:paraId="2258ED1A" w14:textId="77777777" w:rsidR="00992A45" w:rsidRPr="00BD7721" w:rsidRDefault="00992A45" w:rsidP="00992A45">
      <w:pPr>
        <w:pStyle w:val="CH1"/>
        <w:rPr>
          <w:rFonts w:eastAsia="Yu Mincho"/>
          <w:lang w:val="en-GB"/>
        </w:rPr>
      </w:pPr>
      <w:r w:rsidRPr="00BD7721">
        <w:rPr>
          <w:rFonts w:eastAsia="Yu Mincho"/>
          <w:lang w:val="en-GB"/>
        </w:rPr>
        <w:tab/>
        <w:t>IV.</w:t>
      </w:r>
      <w:r w:rsidRPr="00BD7721">
        <w:rPr>
          <w:rFonts w:eastAsia="Yu Mincho"/>
          <w:lang w:val="en-GB"/>
        </w:rPr>
        <w:tab/>
        <w:t>Budget for 2024</w:t>
      </w:r>
    </w:p>
    <w:p w14:paraId="488CBE5C" w14:textId="77777777" w:rsidR="00992A45" w:rsidRPr="00BD7721" w:rsidRDefault="00992A45" w:rsidP="00992A45">
      <w:pPr>
        <w:pStyle w:val="Titletable"/>
        <w:rPr>
          <w:lang w:val="en-GB"/>
        </w:rPr>
      </w:pPr>
      <w:r w:rsidRPr="00BD7721">
        <w:rPr>
          <w:b w:val="0"/>
          <w:bCs w:val="0"/>
          <w:lang w:val="en-GB"/>
        </w:rPr>
        <w:t xml:space="preserve">Table 7 </w:t>
      </w:r>
      <w:r w:rsidRPr="00BD7721">
        <w:rPr>
          <w:b w:val="0"/>
          <w:bCs w:val="0"/>
          <w:lang w:val="en-GB"/>
        </w:rPr>
        <w:br/>
      </w:r>
      <w:r w:rsidRPr="00BD7721">
        <w:rPr>
          <w:lang w:val="en-GB"/>
        </w:rPr>
        <w:t xml:space="preserve">Budget for 2024 </w:t>
      </w:r>
    </w:p>
    <w:p w14:paraId="5A6FA6F0" w14:textId="77777777" w:rsidR="00992A45" w:rsidRPr="00BD7721" w:rsidRDefault="00992A45" w:rsidP="00992A45">
      <w:pPr>
        <w:pStyle w:val="Titletable"/>
        <w:rPr>
          <w:b w:val="0"/>
          <w:bCs w:val="0"/>
          <w:sz w:val="18"/>
          <w:szCs w:val="18"/>
          <w:lang w:val="en-GB"/>
        </w:rPr>
      </w:pPr>
      <w:r w:rsidRPr="00BD7721">
        <w:rPr>
          <w:b w:val="0"/>
          <w:bCs w:val="0"/>
          <w:sz w:val="18"/>
          <w:szCs w:val="18"/>
          <w:lang w:val="en-GB"/>
        </w:rPr>
        <w:t>(United States dollars)</w:t>
      </w:r>
    </w:p>
    <w:tbl>
      <w:tblPr>
        <w:tblW w:w="5000" w:type="pct"/>
        <w:jc w:val="right"/>
        <w:tblBorders>
          <w:insideH w:val="nil"/>
          <w:insideV w:val="nil"/>
        </w:tblBorders>
        <w:tblLayout w:type="fixed"/>
        <w:tblLook w:val="0400" w:firstRow="0" w:lastRow="0" w:firstColumn="0" w:lastColumn="0" w:noHBand="0" w:noVBand="1"/>
      </w:tblPr>
      <w:tblGrid>
        <w:gridCol w:w="5245"/>
        <w:gridCol w:w="1550"/>
        <w:gridCol w:w="1416"/>
        <w:gridCol w:w="1286"/>
      </w:tblGrid>
      <w:tr w:rsidR="00992A45" w:rsidRPr="00BD7721" w14:paraId="6130C1EE" w14:textId="77777777" w:rsidTr="00D72A8C">
        <w:trPr>
          <w:trHeight w:val="57"/>
          <w:tblHeader/>
          <w:jc w:val="right"/>
        </w:trPr>
        <w:tc>
          <w:tcPr>
            <w:tcW w:w="5245" w:type="dxa"/>
            <w:tcBorders>
              <w:top w:val="single" w:sz="4" w:space="0" w:color="000000"/>
              <w:left w:val="nil"/>
              <w:bottom w:val="single" w:sz="12" w:space="0" w:color="000000"/>
              <w:right w:val="nil"/>
            </w:tcBorders>
            <w:vAlign w:val="bottom"/>
            <w:hideMark/>
          </w:tcPr>
          <w:p w14:paraId="08642506" w14:textId="77777777" w:rsidR="00992A45" w:rsidRPr="00BD7721" w:rsidRDefault="00992A45" w:rsidP="00D72A8C">
            <w:pPr>
              <w:pStyle w:val="Normal-pool-Table"/>
              <w:spacing w:after="30"/>
              <w:rPr>
                <w:i/>
                <w:iCs/>
                <w:lang w:val="en-GB"/>
              </w:rPr>
            </w:pPr>
            <w:r w:rsidRPr="00BD7721">
              <w:rPr>
                <w:i/>
                <w:iCs/>
                <w:lang w:val="en-GB"/>
              </w:rPr>
              <w:t>Budget items</w:t>
            </w:r>
          </w:p>
        </w:tc>
        <w:tc>
          <w:tcPr>
            <w:tcW w:w="1550" w:type="dxa"/>
            <w:tcBorders>
              <w:top w:val="single" w:sz="4" w:space="0" w:color="000000"/>
              <w:left w:val="nil"/>
              <w:bottom w:val="single" w:sz="12" w:space="0" w:color="000000"/>
              <w:right w:val="nil"/>
            </w:tcBorders>
            <w:vAlign w:val="bottom"/>
            <w:hideMark/>
          </w:tcPr>
          <w:p w14:paraId="04ED16DF" w14:textId="77777777" w:rsidR="00992A45" w:rsidRPr="00BD7721" w:rsidRDefault="00992A45" w:rsidP="00D72A8C">
            <w:pPr>
              <w:pStyle w:val="Normal-pool-Table"/>
              <w:spacing w:after="30"/>
              <w:jc w:val="right"/>
              <w:rPr>
                <w:i/>
                <w:iCs/>
                <w:lang w:val="en-GB"/>
              </w:rPr>
            </w:pPr>
            <w:r w:rsidRPr="00BD7721">
              <w:rPr>
                <w:i/>
                <w:iCs/>
                <w:lang w:val="en-GB"/>
              </w:rPr>
              <w:t>2024 provisional budget</w:t>
            </w:r>
          </w:p>
        </w:tc>
        <w:tc>
          <w:tcPr>
            <w:tcW w:w="1416" w:type="dxa"/>
            <w:tcBorders>
              <w:top w:val="single" w:sz="4" w:space="0" w:color="000000"/>
              <w:left w:val="nil"/>
              <w:bottom w:val="single" w:sz="12" w:space="0" w:color="000000"/>
              <w:right w:val="nil"/>
            </w:tcBorders>
            <w:vAlign w:val="bottom"/>
            <w:hideMark/>
          </w:tcPr>
          <w:p w14:paraId="16932BA0" w14:textId="77777777" w:rsidR="00992A45" w:rsidRPr="00BD7721" w:rsidRDefault="00992A45" w:rsidP="00D72A8C">
            <w:pPr>
              <w:pStyle w:val="Normal-pool-Table"/>
              <w:spacing w:after="30"/>
              <w:jc w:val="right"/>
              <w:rPr>
                <w:i/>
                <w:iCs/>
                <w:lang w:val="en-GB"/>
              </w:rPr>
            </w:pPr>
            <w:r w:rsidRPr="00BD7721">
              <w:rPr>
                <w:i/>
                <w:iCs/>
                <w:lang w:val="en-GB"/>
              </w:rPr>
              <w:t>2024 revised budget</w:t>
            </w:r>
          </w:p>
        </w:tc>
        <w:tc>
          <w:tcPr>
            <w:tcW w:w="1286" w:type="dxa"/>
            <w:tcBorders>
              <w:top w:val="single" w:sz="4" w:space="0" w:color="000000"/>
              <w:left w:val="nil"/>
              <w:bottom w:val="single" w:sz="12" w:space="0" w:color="000000"/>
              <w:right w:val="nil"/>
            </w:tcBorders>
            <w:vAlign w:val="bottom"/>
            <w:hideMark/>
          </w:tcPr>
          <w:p w14:paraId="26FD5EF6" w14:textId="77777777" w:rsidR="00992A45" w:rsidRPr="00BD7721" w:rsidRDefault="00992A45" w:rsidP="00D72A8C">
            <w:pPr>
              <w:pStyle w:val="Normal-pool-Table"/>
              <w:spacing w:after="30"/>
              <w:jc w:val="right"/>
              <w:rPr>
                <w:i/>
                <w:iCs/>
                <w:lang w:val="en-GB"/>
              </w:rPr>
            </w:pPr>
            <w:r w:rsidRPr="00BD7721">
              <w:rPr>
                <w:i/>
                <w:iCs/>
                <w:lang w:val="en-GB"/>
              </w:rPr>
              <w:t>Change</w:t>
            </w:r>
          </w:p>
        </w:tc>
      </w:tr>
      <w:tr w:rsidR="00992A45" w:rsidRPr="00BD7721" w14:paraId="17AA8921" w14:textId="77777777" w:rsidTr="00D72A8C">
        <w:trPr>
          <w:trHeight w:val="57"/>
          <w:jc w:val="right"/>
        </w:trPr>
        <w:tc>
          <w:tcPr>
            <w:tcW w:w="5245" w:type="dxa"/>
            <w:tcBorders>
              <w:top w:val="single" w:sz="12" w:space="0" w:color="000000"/>
              <w:left w:val="nil"/>
              <w:bottom w:val="nil"/>
              <w:right w:val="nil"/>
            </w:tcBorders>
            <w:vAlign w:val="bottom"/>
            <w:hideMark/>
          </w:tcPr>
          <w:p w14:paraId="268CBB01" w14:textId="77777777" w:rsidR="00992A45" w:rsidRPr="00BD7721" w:rsidRDefault="00992A45" w:rsidP="00D72A8C">
            <w:pPr>
              <w:pStyle w:val="Normal-pool-Table"/>
              <w:tabs>
                <w:tab w:val="clear" w:pos="624"/>
                <w:tab w:val="left" w:pos="322"/>
              </w:tabs>
              <w:spacing w:after="30"/>
              <w:rPr>
                <w:b/>
                <w:lang w:val="en-GB"/>
              </w:rPr>
            </w:pPr>
            <w:r w:rsidRPr="00BD7721">
              <w:rPr>
                <w:b/>
                <w:lang w:val="en-GB"/>
              </w:rPr>
              <w:t>1.</w:t>
            </w:r>
            <w:r w:rsidRPr="00BD7721">
              <w:rPr>
                <w:b/>
                <w:lang w:val="en-GB"/>
              </w:rPr>
              <w:tab/>
            </w:r>
            <w:r w:rsidRPr="00BD7721">
              <w:rPr>
                <w:b/>
                <w:bCs/>
                <w:lang w:val="en-GB"/>
              </w:rPr>
              <w:t>Meetings of the IPBES bodies</w:t>
            </w:r>
          </w:p>
        </w:tc>
        <w:tc>
          <w:tcPr>
            <w:tcW w:w="1550" w:type="dxa"/>
            <w:tcBorders>
              <w:top w:val="single" w:sz="12" w:space="0" w:color="000000"/>
              <w:left w:val="nil"/>
              <w:bottom w:val="nil"/>
              <w:right w:val="nil"/>
            </w:tcBorders>
            <w:vAlign w:val="bottom"/>
          </w:tcPr>
          <w:p w14:paraId="7FEECC48" w14:textId="77777777" w:rsidR="00992A45" w:rsidRPr="00BD7721" w:rsidRDefault="00992A45" w:rsidP="00D72A8C">
            <w:pPr>
              <w:pStyle w:val="Normal-pool-Table"/>
              <w:spacing w:after="30"/>
              <w:jc w:val="right"/>
              <w:rPr>
                <w:b/>
                <w:lang w:val="en-GB"/>
              </w:rPr>
            </w:pPr>
          </w:p>
        </w:tc>
        <w:tc>
          <w:tcPr>
            <w:tcW w:w="1416" w:type="dxa"/>
            <w:tcBorders>
              <w:top w:val="single" w:sz="12" w:space="0" w:color="000000"/>
              <w:left w:val="nil"/>
              <w:bottom w:val="nil"/>
              <w:right w:val="nil"/>
            </w:tcBorders>
            <w:vAlign w:val="bottom"/>
          </w:tcPr>
          <w:p w14:paraId="071FEBD5" w14:textId="77777777" w:rsidR="00992A45" w:rsidRPr="00BD7721" w:rsidRDefault="00992A45" w:rsidP="00D72A8C">
            <w:pPr>
              <w:pStyle w:val="Normal-pool-Table"/>
              <w:spacing w:after="30"/>
              <w:jc w:val="right"/>
              <w:rPr>
                <w:lang w:val="en-GB"/>
              </w:rPr>
            </w:pPr>
          </w:p>
        </w:tc>
        <w:tc>
          <w:tcPr>
            <w:tcW w:w="1286" w:type="dxa"/>
            <w:tcBorders>
              <w:top w:val="single" w:sz="12" w:space="0" w:color="000000"/>
              <w:left w:val="nil"/>
              <w:bottom w:val="nil"/>
              <w:right w:val="nil"/>
            </w:tcBorders>
            <w:vAlign w:val="bottom"/>
          </w:tcPr>
          <w:p w14:paraId="6EA6FFA7" w14:textId="77777777" w:rsidR="00992A45" w:rsidRPr="00BD7721" w:rsidRDefault="00992A45" w:rsidP="00D72A8C">
            <w:pPr>
              <w:pStyle w:val="Normal-pool-Table"/>
              <w:spacing w:after="30"/>
              <w:jc w:val="right"/>
              <w:rPr>
                <w:lang w:val="en-GB"/>
              </w:rPr>
            </w:pPr>
          </w:p>
        </w:tc>
      </w:tr>
      <w:tr w:rsidR="00992A45" w:rsidRPr="00BD7721" w14:paraId="265E7514" w14:textId="77777777" w:rsidTr="00D72A8C">
        <w:trPr>
          <w:trHeight w:val="57"/>
          <w:jc w:val="right"/>
        </w:trPr>
        <w:tc>
          <w:tcPr>
            <w:tcW w:w="5245" w:type="dxa"/>
            <w:tcBorders>
              <w:top w:val="nil"/>
              <w:left w:val="nil"/>
              <w:bottom w:val="nil"/>
              <w:right w:val="nil"/>
            </w:tcBorders>
            <w:vAlign w:val="bottom"/>
            <w:hideMark/>
          </w:tcPr>
          <w:p w14:paraId="045B7A5A" w14:textId="77777777" w:rsidR="00992A45" w:rsidRPr="00BD7721" w:rsidRDefault="00992A45" w:rsidP="00D72A8C">
            <w:pPr>
              <w:pStyle w:val="Normal-pool-Table"/>
              <w:tabs>
                <w:tab w:val="clear" w:pos="624"/>
                <w:tab w:val="left" w:pos="322"/>
              </w:tabs>
              <w:spacing w:after="30"/>
              <w:rPr>
                <w:b/>
                <w:lang w:val="en-GB"/>
              </w:rPr>
            </w:pPr>
            <w:r w:rsidRPr="00BD7721">
              <w:rPr>
                <w:b/>
                <w:lang w:val="en-GB"/>
              </w:rPr>
              <w:t>1.1</w:t>
            </w:r>
            <w:r w:rsidRPr="00BD7721">
              <w:rPr>
                <w:b/>
                <w:lang w:val="en-GB"/>
              </w:rPr>
              <w:tab/>
              <w:t xml:space="preserve">Sessions of the </w:t>
            </w:r>
            <w:r w:rsidRPr="00BD7721">
              <w:rPr>
                <w:lang w:val="en-GB"/>
              </w:rPr>
              <w:t>Plenary</w:t>
            </w:r>
          </w:p>
        </w:tc>
        <w:tc>
          <w:tcPr>
            <w:tcW w:w="1550" w:type="dxa"/>
            <w:tcBorders>
              <w:top w:val="nil"/>
              <w:left w:val="nil"/>
              <w:bottom w:val="nil"/>
              <w:right w:val="nil"/>
            </w:tcBorders>
            <w:vAlign w:val="bottom"/>
          </w:tcPr>
          <w:p w14:paraId="44718D7C" w14:textId="77777777" w:rsidR="00992A45" w:rsidRPr="00BD7721" w:rsidRDefault="00992A45" w:rsidP="00D72A8C">
            <w:pPr>
              <w:pStyle w:val="Normal-pool-Table"/>
              <w:spacing w:after="30"/>
              <w:jc w:val="right"/>
              <w:rPr>
                <w:b/>
                <w:lang w:val="en-GB"/>
              </w:rPr>
            </w:pPr>
          </w:p>
        </w:tc>
        <w:tc>
          <w:tcPr>
            <w:tcW w:w="1416" w:type="dxa"/>
            <w:tcBorders>
              <w:top w:val="nil"/>
              <w:left w:val="nil"/>
              <w:bottom w:val="nil"/>
              <w:right w:val="nil"/>
            </w:tcBorders>
            <w:vAlign w:val="bottom"/>
          </w:tcPr>
          <w:p w14:paraId="534DB021" w14:textId="77777777" w:rsidR="00992A45" w:rsidRPr="00BD7721" w:rsidRDefault="00992A45" w:rsidP="00D72A8C">
            <w:pPr>
              <w:pStyle w:val="Normal-pool-Table"/>
              <w:spacing w:after="30"/>
              <w:jc w:val="right"/>
              <w:rPr>
                <w:lang w:val="en-GB"/>
              </w:rPr>
            </w:pPr>
          </w:p>
        </w:tc>
        <w:tc>
          <w:tcPr>
            <w:tcW w:w="1286" w:type="dxa"/>
            <w:tcBorders>
              <w:top w:val="nil"/>
              <w:left w:val="nil"/>
              <w:bottom w:val="nil"/>
              <w:right w:val="nil"/>
            </w:tcBorders>
            <w:vAlign w:val="bottom"/>
          </w:tcPr>
          <w:p w14:paraId="666AB2E9" w14:textId="77777777" w:rsidR="00992A45" w:rsidRPr="00BD7721" w:rsidRDefault="00992A45" w:rsidP="00D72A8C">
            <w:pPr>
              <w:pStyle w:val="Normal-pool-Table"/>
              <w:spacing w:after="30"/>
              <w:jc w:val="right"/>
              <w:rPr>
                <w:lang w:val="en-GB"/>
              </w:rPr>
            </w:pPr>
          </w:p>
        </w:tc>
      </w:tr>
      <w:tr w:rsidR="00992A45" w:rsidRPr="00BD7721" w14:paraId="335A4D92" w14:textId="77777777" w:rsidTr="00D72A8C">
        <w:trPr>
          <w:trHeight w:val="57"/>
          <w:jc w:val="right"/>
        </w:trPr>
        <w:tc>
          <w:tcPr>
            <w:tcW w:w="5245" w:type="dxa"/>
            <w:tcBorders>
              <w:top w:val="nil"/>
              <w:left w:val="nil"/>
              <w:bottom w:val="nil"/>
              <w:right w:val="nil"/>
            </w:tcBorders>
            <w:vAlign w:val="bottom"/>
            <w:hideMark/>
          </w:tcPr>
          <w:p w14:paraId="10BE5157" w14:textId="77777777" w:rsidR="00992A45" w:rsidRPr="00BD7721" w:rsidRDefault="00992A45" w:rsidP="00D72A8C">
            <w:pPr>
              <w:pStyle w:val="Normal-pool-Table"/>
              <w:spacing w:after="30"/>
              <w:rPr>
                <w:lang w:val="en-GB"/>
              </w:rPr>
            </w:pPr>
            <w:r w:rsidRPr="00BD7721">
              <w:rPr>
                <w:lang w:val="en-GB"/>
              </w:rPr>
              <w:t xml:space="preserve">Travel costs for participants in the eleventh session of the Plenary (travel and daily subsistence allowance) </w:t>
            </w:r>
          </w:p>
        </w:tc>
        <w:tc>
          <w:tcPr>
            <w:tcW w:w="1550" w:type="dxa"/>
            <w:tcBorders>
              <w:top w:val="nil"/>
              <w:left w:val="nil"/>
              <w:bottom w:val="nil"/>
              <w:right w:val="nil"/>
            </w:tcBorders>
            <w:vAlign w:val="bottom"/>
            <w:hideMark/>
          </w:tcPr>
          <w:p w14:paraId="70433E9C" w14:textId="77777777" w:rsidR="00992A45" w:rsidRPr="00BD7721" w:rsidRDefault="00992A45" w:rsidP="00D72A8C">
            <w:pPr>
              <w:pStyle w:val="Normal-pool-Table"/>
              <w:spacing w:after="30"/>
              <w:jc w:val="right"/>
              <w:rPr>
                <w:lang w:val="en-GB"/>
              </w:rPr>
            </w:pPr>
            <w:r w:rsidRPr="00BD7721">
              <w:rPr>
                <w:lang w:val="en-GB"/>
              </w:rPr>
              <w:t>500 000</w:t>
            </w:r>
          </w:p>
        </w:tc>
        <w:tc>
          <w:tcPr>
            <w:tcW w:w="1416" w:type="dxa"/>
            <w:tcBorders>
              <w:top w:val="nil"/>
              <w:left w:val="nil"/>
              <w:bottom w:val="nil"/>
              <w:right w:val="nil"/>
            </w:tcBorders>
            <w:vAlign w:val="bottom"/>
            <w:hideMark/>
          </w:tcPr>
          <w:p w14:paraId="5EC5D5DD" w14:textId="77777777" w:rsidR="00992A45" w:rsidRPr="00BD7721" w:rsidRDefault="00992A45" w:rsidP="00D72A8C">
            <w:pPr>
              <w:pStyle w:val="Normal-pool-Table"/>
              <w:spacing w:after="30"/>
              <w:jc w:val="right"/>
              <w:rPr>
                <w:lang w:val="en-GB"/>
              </w:rPr>
            </w:pPr>
            <w:r w:rsidRPr="00BD7721">
              <w:rPr>
                <w:lang w:val="en-GB"/>
              </w:rPr>
              <w:t>500 000</w:t>
            </w:r>
          </w:p>
        </w:tc>
        <w:tc>
          <w:tcPr>
            <w:tcW w:w="1286" w:type="dxa"/>
            <w:tcBorders>
              <w:top w:val="nil"/>
              <w:left w:val="nil"/>
              <w:bottom w:val="nil"/>
              <w:right w:val="nil"/>
            </w:tcBorders>
            <w:vAlign w:val="bottom"/>
            <w:hideMark/>
          </w:tcPr>
          <w:p w14:paraId="66AA6E67" w14:textId="77777777" w:rsidR="00992A45" w:rsidRPr="00BD7721" w:rsidRDefault="00992A45" w:rsidP="00D72A8C">
            <w:pPr>
              <w:pStyle w:val="Normal-pool-Table"/>
              <w:spacing w:after="30"/>
              <w:jc w:val="right"/>
              <w:rPr>
                <w:lang w:val="en-GB"/>
              </w:rPr>
            </w:pPr>
            <w:r w:rsidRPr="00BD7721">
              <w:rPr>
                <w:lang w:val="en-GB"/>
              </w:rPr>
              <w:t>0</w:t>
            </w:r>
          </w:p>
        </w:tc>
      </w:tr>
      <w:tr w:rsidR="00992A45" w:rsidRPr="00BD7721" w14:paraId="7384E83C" w14:textId="77777777" w:rsidTr="00D72A8C">
        <w:trPr>
          <w:trHeight w:val="57"/>
          <w:jc w:val="right"/>
        </w:trPr>
        <w:tc>
          <w:tcPr>
            <w:tcW w:w="5245" w:type="dxa"/>
            <w:tcBorders>
              <w:top w:val="nil"/>
              <w:left w:val="nil"/>
              <w:bottom w:val="nil"/>
              <w:right w:val="nil"/>
            </w:tcBorders>
            <w:vAlign w:val="bottom"/>
            <w:hideMark/>
          </w:tcPr>
          <w:p w14:paraId="2A5E9FF3" w14:textId="77777777" w:rsidR="00992A45" w:rsidRPr="00BD7721" w:rsidRDefault="00992A45" w:rsidP="00D72A8C">
            <w:pPr>
              <w:pStyle w:val="Normal-pool-Table"/>
              <w:spacing w:after="30"/>
              <w:rPr>
                <w:lang w:val="en-GB"/>
              </w:rPr>
            </w:pPr>
            <w:r w:rsidRPr="00BD7721">
              <w:rPr>
                <w:lang w:val="en-GB"/>
              </w:rPr>
              <w:t>Conference services (translation, editing and interpretation)</w:t>
            </w:r>
          </w:p>
        </w:tc>
        <w:tc>
          <w:tcPr>
            <w:tcW w:w="1550" w:type="dxa"/>
            <w:tcBorders>
              <w:top w:val="nil"/>
              <w:left w:val="nil"/>
              <w:bottom w:val="nil"/>
              <w:right w:val="nil"/>
            </w:tcBorders>
            <w:vAlign w:val="bottom"/>
            <w:hideMark/>
          </w:tcPr>
          <w:p w14:paraId="0B2AF2D0" w14:textId="77777777" w:rsidR="00992A45" w:rsidRPr="00BD7721" w:rsidRDefault="00992A45" w:rsidP="00D72A8C">
            <w:pPr>
              <w:pStyle w:val="Normal-pool-Table"/>
              <w:spacing w:after="30"/>
              <w:jc w:val="right"/>
              <w:rPr>
                <w:lang w:val="en-GB"/>
              </w:rPr>
            </w:pPr>
            <w:r w:rsidRPr="00BD7721">
              <w:rPr>
                <w:lang w:val="en-GB"/>
              </w:rPr>
              <w:t>830 000</w:t>
            </w:r>
          </w:p>
        </w:tc>
        <w:tc>
          <w:tcPr>
            <w:tcW w:w="1416" w:type="dxa"/>
            <w:tcBorders>
              <w:top w:val="nil"/>
              <w:left w:val="nil"/>
              <w:bottom w:val="nil"/>
              <w:right w:val="nil"/>
            </w:tcBorders>
            <w:vAlign w:val="bottom"/>
            <w:hideMark/>
          </w:tcPr>
          <w:p w14:paraId="09B1DE9F" w14:textId="77777777" w:rsidR="00992A45" w:rsidRPr="00BD7721" w:rsidRDefault="00992A45" w:rsidP="00D72A8C">
            <w:pPr>
              <w:pStyle w:val="Normal-pool-Table"/>
              <w:spacing w:after="30"/>
              <w:jc w:val="right"/>
              <w:rPr>
                <w:lang w:val="en-GB"/>
              </w:rPr>
            </w:pPr>
            <w:r w:rsidRPr="00BD7721">
              <w:rPr>
                <w:lang w:val="en-GB"/>
              </w:rPr>
              <w:t>830 000</w:t>
            </w:r>
          </w:p>
        </w:tc>
        <w:tc>
          <w:tcPr>
            <w:tcW w:w="1286" w:type="dxa"/>
            <w:tcBorders>
              <w:top w:val="nil"/>
              <w:left w:val="nil"/>
              <w:bottom w:val="nil"/>
              <w:right w:val="nil"/>
            </w:tcBorders>
            <w:vAlign w:val="bottom"/>
            <w:hideMark/>
          </w:tcPr>
          <w:p w14:paraId="07B63110" w14:textId="77777777" w:rsidR="00992A45" w:rsidRPr="00BD7721" w:rsidRDefault="00992A45" w:rsidP="00D72A8C">
            <w:pPr>
              <w:pStyle w:val="Normal-pool-Table"/>
              <w:spacing w:after="30"/>
              <w:jc w:val="right"/>
              <w:rPr>
                <w:lang w:val="en-GB"/>
              </w:rPr>
            </w:pPr>
            <w:r w:rsidRPr="00BD7721">
              <w:rPr>
                <w:lang w:val="en-GB"/>
              </w:rPr>
              <w:t>0</w:t>
            </w:r>
          </w:p>
        </w:tc>
      </w:tr>
      <w:tr w:rsidR="00992A45" w:rsidRPr="00BD7721" w14:paraId="13324B15" w14:textId="77777777" w:rsidTr="00D72A8C">
        <w:trPr>
          <w:trHeight w:val="57"/>
          <w:jc w:val="right"/>
        </w:trPr>
        <w:tc>
          <w:tcPr>
            <w:tcW w:w="5245" w:type="dxa"/>
            <w:tcBorders>
              <w:top w:val="nil"/>
              <w:left w:val="nil"/>
              <w:bottom w:val="nil"/>
              <w:right w:val="nil"/>
            </w:tcBorders>
            <w:vAlign w:val="bottom"/>
            <w:hideMark/>
          </w:tcPr>
          <w:p w14:paraId="4CCE3331" w14:textId="77777777" w:rsidR="00992A45" w:rsidRPr="00BD7721" w:rsidRDefault="00992A45" w:rsidP="00D72A8C">
            <w:pPr>
              <w:pStyle w:val="Normal-pool-Table"/>
              <w:spacing w:after="30"/>
              <w:rPr>
                <w:lang w:val="en-GB"/>
              </w:rPr>
            </w:pPr>
            <w:r w:rsidRPr="00BD7721">
              <w:rPr>
                <w:lang w:val="en-GB"/>
              </w:rPr>
              <w:t>Reporting services</w:t>
            </w:r>
          </w:p>
        </w:tc>
        <w:tc>
          <w:tcPr>
            <w:tcW w:w="1550" w:type="dxa"/>
            <w:tcBorders>
              <w:top w:val="nil"/>
              <w:left w:val="nil"/>
              <w:bottom w:val="nil"/>
              <w:right w:val="nil"/>
            </w:tcBorders>
            <w:vAlign w:val="bottom"/>
            <w:hideMark/>
          </w:tcPr>
          <w:p w14:paraId="1D8EC023" w14:textId="77777777" w:rsidR="00992A45" w:rsidRPr="00BD7721" w:rsidRDefault="00992A45" w:rsidP="00D72A8C">
            <w:pPr>
              <w:pStyle w:val="Normal-pool-Table"/>
              <w:spacing w:after="30"/>
              <w:jc w:val="right"/>
              <w:rPr>
                <w:lang w:val="en-GB"/>
              </w:rPr>
            </w:pPr>
            <w:r w:rsidRPr="00BD7721">
              <w:rPr>
                <w:lang w:val="en-GB"/>
              </w:rPr>
              <w:t>65 000</w:t>
            </w:r>
          </w:p>
        </w:tc>
        <w:tc>
          <w:tcPr>
            <w:tcW w:w="1416" w:type="dxa"/>
            <w:tcBorders>
              <w:top w:val="nil"/>
              <w:left w:val="nil"/>
              <w:bottom w:val="nil"/>
              <w:right w:val="nil"/>
            </w:tcBorders>
            <w:vAlign w:val="bottom"/>
            <w:hideMark/>
          </w:tcPr>
          <w:p w14:paraId="086DB052" w14:textId="77777777" w:rsidR="00992A45" w:rsidRPr="00BD7721" w:rsidRDefault="00992A45" w:rsidP="00D72A8C">
            <w:pPr>
              <w:pStyle w:val="Normal-pool-Table"/>
              <w:spacing w:after="30"/>
              <w:jc w:val="right"/>
              <w:rPr>
                <w:lang w:val="en-GB"/>
              </w:rPr>
            </w:pPr>
            <w:r w:rsidRPr="00BD7721">
              <w:rPr>
                <w:lang w:val="en-GB"/>
              </w:rPr>
              <w:t>65 000</w:t>
            </w:r>
          </w:p>
        </w:tc>
        <w:tc>
          <w:tcPr>
            <w:tcW w:w="1286" w:type="dxa"/>
            <w:tcBorders>
              <w:top w:val="nil"/>
              <w:left w:val="nil"/>
              <w:bottom w:val="nil"/>
              <w:right w:val="nil"/>
            </w:tcBorders>
            <w:vAlign w:val="bottom"/>
            <w:hideMark/>
          </w:tcPr>
          <w:p w14:paraId="7311F6B4" w14:textId="77777777" w:rsidR="00992A45" w:rsidRPr="00BD7721" w:rsidRDefault="00992A45" w:rsidP="00D72A8C">
            <w:pPr>
              <w:pStyle w:val="Normal-pool-Table"/>
              <w:spacing w:after="30"/>
              <w:jc w:val="right"/>
              <w:rPr>
                <w:lang w:val="en-GB"/>
              </w:rPr>
            </w:pPr>
            <w:r w:rsidRPr="00BD7721">
              <w:rPr>
                <w:lang w:val="en-GB"/>
              </w:rPr>
              <w:t>0</w:t>
            </w:r>
          </w:p>
        </w:tc>
      </w:tr>
      <w:tr w:rsidR="00992A45" w:rsidRPr="00BD7721" w14:paraId="01E7E739" w14:textId="77777777" w:rsidTr="00D72A8C">
        <w:trPr>
          <w:trHeight w:val="57"/>
          <w:jc w:val="right"/>
        </w:trPr>
        <w:tc>
          <w:tcPr>
            <w:tcW w:w="5245" w:type="dxa"/>
            <w:tcBorders>
              <w:top w:val="nil"/>
              <w:left w:val="nil"/>
              <w:bottom w:val="single" w:sz="4" w:space="0" w:color="000000"/>
              <w:right w:val="nil"/>
            </w:tcBorders>
            <w:vAlign w:val="bottom"/>
            <w:hideMark/>
          </w:tcPr>
          <w:p w14:paraId="0B77297E" w14:textId="77777777" w:rsidR="00992A45" w:rsidRPr="00BD7721" w:rsidRDefault="00992A45" w:rsidP="00D72A8C">
            <w:pPr>
              <w:pStyle w:val="Normal-pool-Table"/>
              <w:spacing w:after="30"/>
              <w:rPr>
                <w:lang w:val="en-GB"/>
              </w:rPr>
            </w:pPr>
            <w:r w:rsidRPr="00BD7721">
              <w:rPr>
                <w:lang w:val="en-GB"/>
              </w:rPr>
              <w:t xml:space="preserve">Security and other costs </w:t>
            </w:r>
          </w:p>
        </w:tc>
        <w:tc>
          <w:tcPr>
            <w:tcW w:w="1550" w:type="dxa"/>
            <w:tcBorders>
              <w:top w:val="nil"/>
              <w:left w:val="nil"/>
              <w:bottom w:val="single" w:sz="4" w:space="0" w:color="000000"/>
              <w:right w:val="nil"/>
            </w:tcBorders>
            <w:vAlign w:val="bottom"/>
            <w:hideMark/>
          </w:tcPr>
          <w:p w14:paraId="757F7779" w14:textId="77777777" w:rsidR="00992A45" w:rsidRPr="00BD7721" w:rsidRDefault="00992A45" w:rsidP="00D72A8C">
            <w:pPr>
              <w:pStyle w:val="Normal-pool-Table"/>
              <w:spacing w:after="30"/>
              <w:jc w:val="right"/>
              <w:rPr>
                <w:lang w:val="en-GB"/>
              </w:rPr>
            </w:pPr>
            <w:r w:rsidRPr="00BD7721">
              <w:rPr>
                <w:lang w:val="en-GB"/>
              </w:rPr>
              <w:t>100 000</w:t>
            </w:r>
          </w:p>
        </w:tc>
        <w:tc>
          <w:tcPr>
            <w:tcW w:w="1416" w:type="dxa"/>
            <w:tcBorders>
              <w:top w:val="nil"/>
              <w:left w:val="nil"/>
              <w:bottom w:val="single" w:sz="4" w:space="0" w:color="000000"/>
              <w:right w:val="nil"/>
            </w:tcBorders>
            <w:vAlign w:val="bottom"/>
            <w:hideMark/>
          </w:tcPr>
          <w:p w14:paraId="36175FB5" w14:textId="77777777" w:rsidR="00992A45" w:rsidRPr="00BD7721" w:rsidRDefault="00992A45" w:rsidP="00D72A8C">
            <w:pPr>
              <w:pStyle w:val="Normal-pool-Table"/>
              <w:spacing w:after="30"/>
              <w:jc w:val="right"/>
              <w:rPr>
                <w:lang w:val="en-GB"/>
              </w:rPr>
            </w:pPr>
            <w:r w:rsidRPr="00BD7721">
              <w:rPr>
                <w:lang w:val="en-GB"/>
              </w:rPr>
              <w:t>100 000</w:t>
            </w:r>
          </w:p>
        </w:tc>
        <w:tc>
          <w:tcPr>
            <w:tcW w:w="1286" w:type="dxa"/>
            <w:tcBorders>
              <w:top w:val="nil"/>
              <w:left w:val="nil"/>
              <w:bottom w:val="single" w:sz="4" w:space="0" w:color="000000"/>
              <w:right w:val="nil"/>
            </w:tcBorders>
            <w:vAlign w:val="bottom"/>
            <w:hideMark/>
          </w:tcPr>
          <w:p w14:paraId="39BF7B3F" w14:textId="77777777" w:rsidR="00992A45" w:rsidRPr="00BD7721" w:rsidRDefault="00992A45" w:rsidP="00D72A8C">
            <w:pPr>
              <w:pStyle w:val="Normal-pool-Table"/>
              <w:spacing w:after="30"/>
              <w:jc w:val="right"/>
              <w:rPr>
                <w:lang w:val="en-GB"/>
              </w:rPr>
            </w:pPr>
            <w:r w:rsidRPr="00BD7721">
              <w:rPr>
                <w:lang w:val="en-GB"/>
              </w:rPr>
              <w:t>0</w:t>
            </w:r>
          </w:p>
        </w:tc>
      </w:tr>
      <w:tr w:rsidR="00992A45" w:rsidRPr="00BD7721" w14:paraId="56B52CD1"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389E2630" w14:textId="77777777" w:rsidR="00992A45" w:rsidRPr="00BD7721" w:rsidRDefault="00992A45" w:rsidP="00D72A8C">
            <w:pPr>
              <w:pStyle w:val="Normal-pool-Table"/>
              <w:spacing w:after="30"/>
              <w:rPr>
                <w:b/>
                <w:lang w:val="en-GB"/>
              </w:rPr>
            </w:pPr>
            <w:r w:rsidRPr="00BD7721">
              <w:rPr>
                <w:b/>
                <w:lang w:val="en-GB"/>
              </w:rPr>
              <w:t>Subtotal 1.1, sessions of the Plenary</w:t>
            </w:r>
          </w:p>
        </w:tc>
        <w:tc>
          <w:tcPr>
            <w:tcW w:w="1550" w:type="dxa"/>
            <w:tcBorders>
              <w:top w:val="single" w:sz="4" w:space="0" w:color="000000"/>
              <w:left w:val="nil"/>
              <w:bottom w:val="single" w:sz="4" w:space="0" w:color="000000"/>
              <w:right w:val="nil"/>
            </w:tcBorders>
            <w:vAlign w:val="bottom"/>
            <w:hideMark/>
          </w:tcPr>
          <w:p w14:paraId="262BC6EC" w14:textId="77777777" w:rsidR="00992A45" w:rsidRPr="00BD7721" w:rsidRDefault="00992A45" w:rsidP="00D72A8C">
            <w:pPr>
              <w:pStyle w:val="Normal-pool-Table"/>
              <w:spacing w:after="30"/>
              <w:jc w:val="right"/>
              <w:rPr>
                <w:b/>
                <w:lang w:val="en-GB"/>
              </w:rPr>
            </w:pPr>
            <w:r w:rsidRPr="00BD7721">
              <w:rPr>
                <w:b/>
                <w:lang w:val="en-GB"/>
              </w:rPr>
              <w:t>1 495 000</w:t>
            </w:r>
          </w:p>
        </w:tc>
        <w:tc>
          <w:tcPr>
            <w:tcW w:w="1416" w:type="dxa"/>
            <w:tcBorders>
              <w:top w:val="single" w:sz="4" w:space="0" w:color="000000"/>
              <w:left w:val="nil"/>
              <w:bottom w:val="single" w:sz="4" w:space="0" w:color="000000"/>
              <w:right w:val="nil"/>
            </w:tcBorders>
            <w:vAlign w:val="bottom"/>
            <w:hideMark/>
          </w:tcPr>
          <w:p w14:paraId="787B2126" w14:textId="77777777" w:rsidR="00992A45" w:rsidRPr="00BD7721" w:rsidRDefault="00992A45" w:rsidP="00D72A8C">
            <w:pPr>
              <w:pStyle w:val="Normal-pool-Table"/>
              <w:spacing w:after="30"/>
              <w:jc w:val="right"/>
              <w:rPr>
                <w:b/>
                <w:lang w:val="en-GB"/>
              </w:rPr>
            </w:pPr>
            <w:r w:rsidRPr="00BD7721">
              <w:rPr>
                <w:b/>
                <w:lang w:val="en-GB"/>
              </w:rPr>
              <w:t>1 495 000</w:t>
            </w:r>
          </w:p>
        </w:tc>
        <w:tc>
          <w:tcPr>
            <w:tcW w:w="1286" w:type="dxa"/>
            <w:tcBorders>
              <w:top w:val="single" w:sz="4" w:space="0" w:color="000000"/>
              <w:left w:val="nil"/>
              <w:bottom w:val="single" w:sz="4" w:space="0" w:color="000000"/>
              <w:right w:val="nil"/>
            </w:tcBorders>
            <w:vAlign w:val="bottom"/>
            <w:hideMark/>
          </w:tcPr>
          <w:p w14:paraId="26B3B1B5" w14:textId="77777777" w:rsidR="00992A45" w:rsidRPr="00BD7721" w:rsidRDefault="00992A45" w:rsidP="00D72A8C">
            <w:pPr>
              <w:pStyle w:val="Normal-pool-Table"/>
              <w:spacing w:after="30"/>
              <w:jc w:val="right"/>
              <w:rPr>
                <w:b/>
                <w:lang w:val="en-GB"/>
              </w:rPr>
            </w:pPr>
            <w:r w:rsidRPr="00BD7721">
              <w:rPr>
                <w:b/>
                <w:lang w:val="en-GB"/>
              </w:rPr>
              <w:t>0</w:t>
            </w:r>
          </w:p>
        </w:tc>
      </w:tr>
      <w:tr w:rsidR="00992A45" w:rsidRPr="00BD7721" w14:paraId="7B3271CC" w14:textId="77777777" w:rsidTr="00D72A8C">
        <w:trPr>
          <w:trHeight w:val="57"/>
          <w:jc w:val="right"/>
        </w:trPr>
        <w:tc>
          <w:tcPr>
            <w:tcW w:w="5245" w:type="dxa"/>
            <w:tcBorders>
              <w:top w:val="single" w:sz="4" w:space="0" w:color="000000"/>
              <w:left w:val="nil"/>
              <w:bottom w:val="single" w:sz="4" w:space="0" w:color="auto"/>
              <w:right w:val="nil"/>
            </w:tcBorders>
            <w:vAlign w:val="bottom"/>
            <w:hideMark/>
          </w:tcPr>
          <w:p w14:paraId="7F853360" w14:textId="77777777" w:rsidR="00992A45" w:rsidRPr="00BD7721" w:rsidRDefault="00992A45" w:rsidP="00D72A8C">
            <w:pPr>
              <w:pStyle w:val="Normal-pool-Table"/>
              <w:tabs>
                <w:tab w:val="clear" w:pos="624"/>
                <w:tab w:val="left" w:pos="322"/>
              </w:tabs>
              <w:spacing w:after="30"/>
              <w:rPr>
                <w:b/>
                <w:lang w:val="en-GB"/>
              </w:rPr>
            </w:pPr>
            <w:r w:rsidRPr="00BD7721">
              <w:rPr>
                <w:b/>
                <w:lang w:val="en-GB"/>
              </w:rPr>
              <w:t>1.2</w:t>
            </w:r>
            <w:r w:rsidRPr="00BD7721">
              <w:rPr>
                <w:b/>
                <w:lang w:val="en-GB"/>
              </w:rPr>
              <w:tab/>
              <w:t>Bureau and Multidisciplinary Expert Panel sessions</w:t>
            </w:r>
          </w:p>
        </w:tc>
        <w:tc>
          <w:tcPr>
            <w:tcW w:w="1550" w:type="dxa"/>
            <w:tcBorders>
              <w:top w:val="single" w:sz="4" w:space="0" w:color="000000"/>
              <w:left w:val="nil"/>
              <w:bottom w:val="single" w:sz="4" w:space="0" w:color="auto"/>
              <w:right w:val="nil"/>
            </w:tcBorders>
            <w:vAlign w:val="bottom"/>
            <w:hideMark/>
          </w:tcPr>
          <w:p w14:paraId="3410E7D5" w14:textId="7B522EE0" w:rsidR="00992A45" w:rsidRPr="00BD7721" w:rsidRDefault="004212A9" w:rsidP="00D72A8C">
            <w:pPr>
              <w:pStyle w:val="Normal-pool-Table"/>
              <w:spacing w:after="30"/>
              <w:jc w:val="right"/>
              <w:rPr>
                <w:lang w:val="en-GB"/>
              </w:rPr>
            </w:pPr>
            <w:r w:rsidRPr="00BD7721">
              <w:rPr>
                <w:lang w:val="en-GB"/>
              </w:rPr>
              <w:t xml:space="preserve"> </w:t>
            </w:r>
          </w:p>
        </w:tc>
        <w:tc>
          <w:tcPr>
            <w:tcW w:w="1416" w:type="dxa"/>
            <w:tcBorders>
              <w:top w:val="single" w:sz="4" w:space="0" w:color="000000"/>
              <w:left w:val="nil"/>
              <w:bottom w:val="single" w:sz="4" w:space="0" w:color="auto"/>
              <w:right w:val="nil"/>
            </w:tcBorders>
            <w:vAlign w:val="bottom"/>
            <w:hideMark/>
          </w:tcPr>
          <w:p w14:paraId="079A96E5" w14:textId="342FCB93" w:rsidR="00992A45" w:rsidRPr="00BD7721" w:rsidRDefault="004212A9" w:rsidP="00D72A8C">
            <w:pPr>
              <w:pStyle w:val="Normal-pool-Table"/>
              <w:spacing w:after="30"/>
              <w:jc w:val="right"/>
              <w:rPr>
                <w:lang w:val="en-GB"/>
              </w:rPr>
            </w:pPr>
            <w:r w:rsidRPr="00BD7721">
              <w:rPr>
                <w:lang w:val="en-GB"/>
              </w:rPr>
              <w:t xml:space="preserve"> </w:t>
            </w:r>
          </w:p>
        </w:tc>
        <w:tc>
          <w:tcPr>
            <w:tcW w:w="1286" w:type="dxa"/>
            <w:tcBorders>
              <w:top w:val="single" w:sz="4" w:space="0" w:color="000000"/>
              <w:left w:val="nil"/>
              <w:bottom w:val="single" w:sz="4" w:space="0" w:color="auto"/>
              <w:right w:val="nil"/>
            </w:tcBorders>
            <w:vAlign w:val="bottom"/>
          </w:tcPr>
          <w:p w14:paraId="509B91BA" w14:textId="77777777" w:rsidR="00992A45" w:rsidRPr="00BD7721" w:rsidRDefault="00992A45" w:rsidP="00D72A8C">
            <w:pPr>
              <w:pStyle w:val="Normal-pool-Table"/>
              <w:spacing w:after="30"/>
              <w:jc w:val="right"/>
              <w:rPr>
                <w:lang w:val="en-GB"/>
              </w:rPr>
            </w:pPr>
          </w:p>
        </w:tc>
      </w:tr>
      <w:tr w:rsidR="00992A45" w:rsidRPr="00BD7721" w14:paraId="35E83A66" w14:textId="77777777" w:rsidTr="00D72A8C">
        <w:trPr>
          <w:trHeight w:val="57"/>
          <w:jc w:val="right"/>
        </w:trPr>
        <w:tc>
          <w:tcPr>
            <w:tcW w:w="5245" w:type="dxa"/>
            <w:tcBorders>
              <w:top w:val="single" w:sz="4" w:space="0" w:color="auto"/>
              <w:left w:val="nil"/>
              <w:bottom w:val="nil"/>
              <w:right w:val="nil"/>
            </w:tcBorders>
            <w:vAlign w:val="bottom"/>
            <w:hideMark/>
          </w:tcPr>
          <w:p w14:paraId="59448828" w14:textId="77777777" w:rsidR="00992A45" w:rsidRPr="00BD7721" w:rsidRDefault="00992A45" w:rsidP="00D72A8C">
            <w:pPr>
              <w:pStyle w:val="Normal-pool-Table"/>
              <w:spacing w:after="30"/>
              <w:rPr>
                <w:lang w:val="en-GB"/>
              </w:rPr>
            </w:pPr>
            <w:r w:rsidRPr="00BD7721">
              <w:rPr>
                <w:lang w:val="en-GB"/>
              </w:rPr>
              <w:t>Travel and meeting costs for participants for one Bureau session</w:t>
            </w:r>
          </w:p>
        </w:tc>
        <w:tc>
          <w:tcPr>
            <w:tcW w:w="1550" w:type="dxa"/>
            <w:tcBorders>
              <w:top w:val="single" w:sz="4" w:space="0" w:color="auto"/>
              <w:left w:val="nil"/>
              <w:bottom w:val="nil"/>
              <w:right w:val="nil"/>
            </w:tcBorders>
            <w:vAlign w:val="bottom"/>
            <w:hideMark/>
          </w:tcPr>
          <w:p w14:paraId="352859D9" w14:textId="77777777" w:rsidR="00992A45" w:rsidRPr="00BD7721" w:rsidRDefault="00992A45" w:rsidP="00D72A8C">
            <w:pPr>
              <w:pStyle w:val="Normal-pool-Table"/>
              <w:spacing w:after="30"/>
              <w:jc w:val="right"/>
              <w:rPr>
                <w:lang w:val="en-GB"/>
              </w:rPr>
            </w:pPr>
            <w:r w:rsidRPr="00BD7721">
              <w:rPr>
                <w:lang w:val="en-GB"/>
              </w:rPr>
              <w:t>35 450</w:t>
            </w:r>
          </w:p>
        </w:tc>
        <w:tc>
          <w:tcPr>
            <w:tcW w:w="1416" w:type="dxa"/>
            <w:tcBorders>
              <w:top w:val="single" w:sz="4" w:space="0" w:color="auto"/>
              <w:left w:val="nil"/>
              <w:bottom w:val="nil"/>
              <w:right w:val="nil"/>
            </w:tcBorders>
            <w:vAlign w:val="bottom"/>
            <w:hideMark/>
          </w:tcPr>
          <w:p w14:paraId="680BA236" w14:textId="77777777" w:rsidR="00992A45" w:rsidRPr="00BD7721" w:rsidRDefault="00992A45" w:rsidP="00D72A8C">
            <w:pPr>
              <w:pStyle w:val="Normal-pool-Table"/>
              <w:spacing w:after="30"/>
              <w:jc w:val="right"/>
              <w:rPr>
                <w:lang w:val="en-GB"/>
              </w:rPr>
            </w:pPr>
            <w:r w:rsidRPr="00BD7721">
              <w:rPr>
                <w:lang w:val="en-GB"/>
              </w:rPr>
              <w:t>35 450</w:t>
            </w:r>
          </w:p>
        </w:tc>
        <w:tc>
          <w:tcPr>
            <w:tcW w:w="1286" w:type="dxa"/>
            <w:tcBorders>
              <w:top w:val="single" w:sz="4" w:space="0" w:color="auto"/>
              <w:left w:val="nil"/>
              <w:bottom w:val="nil"/>
              <w:right w:val="nil"/>
            </w:tcBorders>
            <w:vAlign w:val="bottom"/>
            <w:hideMark/>
          </w:tcPr>
          <w:p w14:paraId="215ADD4B" w14:textId="77777777" w:rsidR="00992A45" w:rsidRPr="00BD7721" w:rsidRDefault="00992A45" w:rsidP="00D72A8C">
            <w:pPr>
              <w:pStyle w:val="Normal-pool-Table"/>
              <w:spacing w:after="30"/>
              <w:jc w:val="right"/>
              <w:rPr>
                <w:lang w:val="en-GB"/>
              </w:rPr>
            </w:pPr>
            <w:r w:rsidRPr="00BD7721">
              <w:rPr>
                <w:lang w:val="en-GB"/>
              </w:rPr>
              <w:t>0</w:t>
            </w:r>
          </w:p>
        </w:tc>
      </w:tr>
      <w:tr w:rsidR="00992A45" w:rsidRPr="00BD7721" w14:paraId="10139B6F" w14:textId="77777777" w:rsidTr="00D72A8C">
        <w:trPr>
          <w:trHeight w:val="57"/>
          <w:jc w:val="right"/>
        </w:trPr>
        <w:tc>
          <w:tcPr>
            <w:tcW w:w="5245" w:type="dxa"/>
            <w:tcBorders>
              <w:top w:val="nil"/>
              <w:left w:val="nil"/>
              <w:bottom w:val="single" w:sz="4" w:space="0" w:color="000000"/>
              <w:right w:val="nil"/>
            </w:tcBorders>
            <w:vAlign w:val="bottom"/>
            <w:hideMark/>
          </w:tcPr>
          <w:p w14:paraId="29151EB7" w14:textId="77777777" w:rsidR="00992A45" w:rsidRPr="00BD7721" w:rsidRDefault="00992A45" w:rsidP="00D72A8C">
            <w:pPr>
              <w:pStyle w:val="Normal-pool-Table"/>
              <w:spacing w:after="30"/>
              <w:rPr>
                <w:lang w:val="en-GB"/>
              </w:rPr>
            </w:pPr>
            <w:r w:rsidRPr="00BD7721">
              <w:rPr>
                <w:lang w:val="en-GB"/>
              </w:rPr>
              <w:t>Travel and meeting costs for participants for one Panel session</w:t>
            </w:r>
          </w:p>
        </w:tc>
        <w:tc>
          <w:tcPr>
            <w:tcW w:w="1550" w:type="dxa"/>
            <w:tcBorders>
              <w:top w:val="nil"/>
              <w:left w:val="nil"/>
              <w:bottom w:val="single" w:sz="4" w:space="0" w:color="000000"/>
              <w:right w:val="nil"/>
            </w:tcBorders>
            <w:vAlign w:val="bottom"/>
            <w:hideMark/>
          </w:tcPr>
          <w:p w14:paraId="2A482D25" w14:textId="77777777" w:rsidR="00992A45" w:rsidRPr="00BD7721" w:rsidRDefault="00992A45" w:rsidP="00D72A8C">
            <w:pPr>
              <w:pStyle w:val="Normal-pool-Table"/>
              <w:spacing w:after="30"/>
              <w:jc w:val="right"/>
              <w:rPr>
                <w:lang w:val="en-GB"/>
              </w:rPr>
            </w:pPr>
            <w:r w:rsidRPr="00BD7721">
              <w:rPr>
                <w:lang w:val="en-GB"/>
              </w:rPr>
              <w:t>85 000</w:t>
            </w:r>
          </w:p>
        </w:tc>
        <w:tc>
          <w:tcPr>
            <w:tcW w:w="1416" w:type="dxa"/>
            <w:tcBorders>
              <w:top w:val="nil"/>
              <w:left w:val="nil"/>
              <w:bottom w:val="single" w:sz="4" w:space="0" w:color="000000"/>
              <w:right w:val="nil"/>
            </w:tcBorders>
            <w:vAlign w:val="bottom"/>
            <w:hideMark/>
          </w:tcPr>
          <w:p w14:paraId="2DF8B60A" w14:textId="77777777" w:rsidR="00992A45" w:rsidRPr="00BD7721" w:rsidRDefault="00992A45" w:rsidP="00D72A8C">
            <w:pPr>
              <w:pStyle w:val="Normal-pool-Table"/>
              <w:spacing w:after="30"/>
              <w:jc w:val="right"/>
              <w:rPr>
                <w:lang w:val="en-GB"/>
              </w:rPr>
            </w:pPr>
            <w:r w:rsidRPr="00BD7721">
              <w:rPr>
                <w:lang w:val="en-GB"/>
              </w:rPr>
              <w:t>85 000</w:t>
            </w:r>
          </w:p>
        </w:tc>
        <w:tc>
          <w:tcPr>
            <w:tcW w:w="1286" w:type="dxa"/>
            <w:tcBorders>
              <w:top w:val="nil"/>
              <w:left w:val="nil"/>
              <w:bottom w:val="single" w:sz="4" w:space="0" w:color="000000"/>
              <w:right w:val="nil"/>
            </w:tcBorders>
            <w:vAlign w:val="bottom"/>
            <w:hideMark/>
          </w:tcPr>
          <w:p w14:paraId="396C700E" w14:textId="77777777" w:rsidR="00992A45" w:rsidRPr="00BD7721" w:rsidRDefault="00992A45" w:rsidP="00D72A8C">
            <w:pPr>
              <w:pStyle w:val="Normal-pool-Table"/>
              <w:spacing w:after="30"/>
              <w:jc w:val="right"/>
              <w:rPr>
                <w:lang w:val="en-GB"/>
              </w:rPr>
            </w:pPr>
            <w:r w:rsidRPr="00BD7721">
              <w:rPr>
                <w:lang w:val="en-GB"/>
              </w:rPr>
              <w:t>0</w:t>
            </w:r>
          </w:p>
        </w:tc>
      </w:tr>
      <w:tr w:rsidR="00992A45" w:rsidRPr="00BD7721" w14:paraId="4D53B3C5"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5B3EBCB3" w14:textId="77777777" w:rsidR="00992A45" w:rsidRPr="00BD7721" w:rsidRDefault="00992A45" w:rsidP="00D72A8C">
            <w:pPr>
              <w:pStyle w:val="Normal-pool-Table"/>
              <w:spacing w:after="30"/>
              <w:rPr>
                <w:b/>
                <w:lang w:val="en-GB"/>
              </w:rPr>
            </w:pPr>
            <w:r w:rsidRPr="00BD7721">
              <w:rPr>
                <w:b/>
                <w:lang w:val="en-GB"/>
              </w:rPr>
              <w:t>Subtotal 1.2, Bureau and Multidisciplinary Expert Panel sessions</w:t>
            </w:r>
          </w:p>
        </w:tc>
        <w:tc>
          <w:tcPr>
            <w:tcW w:w="1550" w:type="dxa"/>
            <w:tcBorders>
              <w:top w:val="single" w:sz="4" w:space="0" w:color="000000"/>
              <w:left w:val="nil"/>
              <w:bottom w:val="single" w:sz="4" w:space="0" w:color="000000"/>
              <w:right w:val="nil"/>
            </w:tcBorders>
            <w:vAlign w:val="bottom"/>
            <w:hideMark/>
          </w:tcPr>
          <w:p w14:paraId="10DA14E5" w14:textId="77777777" w:rsidR="00992A45" w:rsidRPr="00BD7721" w:rsidRDefault="00992A45" w:rsidP="00D72A8C">
            <w:pPr>
              <w:pStyle w:val="Normal-pool-Table"/>
              <w:spacing w:after="30"/>
              <w:jc w:val="right"/>
              <w:rPr>
                <w:b/>
                <w:lang w:val="en-GB"/>
              </w:rPr>
            </w:pPr>
            <w:r w:rsidRPr="00BD7721">
              <w:rPr>
                <w:b/>
                <w:lang w:val="en-GB"/>
              </w:rPr>
              <w:t>120 450</w:t>
            </w:r>
          </w:p>
        </w:tc>
        <w:tc>
          <w:tcPr>
            <w:tcW w:w="1416" w:type="dxa"/>
            <w:tcBorders>
              <w:top w:val="single" w:sz="4" w:space="0" w:color="000000"/>
              <w:left w:val="nil"/>
              <w:bottom w:val="single" w:sz="4" w:space="0" w:color="000000"/>
              <w:right w:val="nil"/>
            </w:tcBorders>
            <w:vAlign w:val="bottom"/>
            <w:hideMark/>
          </w:tcPr>
          <w:p w14:paraId="19603DF5" w14:textId="77777777" w:rsidR="00992A45" w:rsidRPr="00BD7721" w:rsidRDefault="00992A45" w:rsidP="00D72A8C">
            <w:pPr>
              <w:pStyle w:val="Normal-pool-Table"/>
              <w:spacing w:after="30"/>
              <w:jc w:val="right"/>
              <w:rPr>
                <w:b/>
                <w:lang w:val="en-GB"/>
              </w:rPr>
            </w:pPr>
            <w:r w:rsidRPr="00BD7721">
              <w:rPr>
                <w:b/>
                <w:lang w:val="en-GB"/>
              </w:rPr>
              <w:t>120 450</w:t>
            </w:r>
          </w:p>
        </w:tc>
        <w:tc>
          <w:tcPr>
            <w:tcW w:w="1286" w:type="dxa"/>
            <w:tcBorders>
              <w:top w:val="single" w:sz="4" w:space="0" w:color="000000"/>
              <w:left w:val="nil"/>
              <w:bottom w:val="single" w:sz="4" w:space="0" w:color="000000"/>
              <w:right w:val="nil"/>
            </w:tcBorders>
            <w:vAlign w:val="bottom"/>
            <w:hideMark/>
          </w:tcPr>
          <w:p w14:paraId="1C358C4A" w14:textId="77777777" w:rsidR="00992A45" w:rsidRPr="00BD7721" w:rsidRDefault="00992A45" w:rsidP="00D72A8C">
            <w:pPr>
              <w:pStyle w:val="Normal-pool-Table"/>
              <w:spacing w:after="30"/>
              <w:jc w:val="right"/>
              <w:rPr>
                <w:b/>
                <w:lang w:val="en-GB"/>
              </w:rPr>
            </w:pPr>
            <w:r w:rsidRPr="00BD7721">
              <w:rPr>
                <w:b/>
                <w:lang w:val="en-GB"/>
              </w:rPr>
              <w:t>0</w:t>
            </w:r>
          </w:p>
        </w:tc>
      </w:tr>
      <w:tr w:rsidR="00992A45" w:rsidRPr="00BD7721" w14:paraId="70015094"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1F2471F2" w14:textId="77777777" w:rsidR="00992A45" w:rsidRPr="00BD7721" w:rsidRDefault="00992A45" w:rsidP="00D72A8C">
            <w:pPr>
              <w:pStyle w:val="Normal-pool-Table"/>
              <w:tabs>
                <w:tab w:val="clear" w:pos="624"/>
                <w:tab w:val="left" w:pos="322"/>
              </w:tabs>
              <w:spacing w:after="30"/>
              <w:rPr>
                <w:b/>
                <w:lang w:val="en-GB"/>
              </w:rPr>
            </w:pPr>
            <w:r w:rsidRPr="00BD7721">
              <w:rPr>
                <w:b/>
                <w:lang w:val="en-GB"/>
              </w:rPr>
              <w:t>1.3</w:t>
            </w:r>
            <w:r w:rsidRPr="00BD7721">
              <w:rPr>
                <w:b/>
                <w:lang w:val="en-GB"/>
              </w:rPr>
              <w:tab/>
              <w:t>Travel costs of the Chair to represent IPBES</w:t>
            </w:r>
          </w:p>
        </w:tc>
        <w:tc>
          <w:tcPr>
            <w:tcW w:w="1550" w:type="dxa"/>
            <w:tcBorders>
              <w:top w:val="single" w:sz="4" w:space="0" w:color="000000"/>
              <w:left w:val="nil"/>
              <w:bottom w:val="single" w:sz="4" w:space="0" w:color="000000"/>
              <w:right w:val="nil"/>
            </w:tcBorders>
            <w:vAlign w:val="bottom"/>
            <w:hideMark/>
          </w:tcPr>
          <w:p w14:paraId="54342189" w14:textId="77777777" w:rsidR="00992A45" w:rsidRPr="00BD7721" w:rsidRDefault="00992A45" w:rsidP="00D72A8C">
            <w:pPr>
              <w:pStyle w:val="Normal-pool-Table"/>
              <w:spacing w:after="30"/>
              <w:jc w:val="right"/>
              <w:rPr>
                <w:b/>
                <w:lang w:val="en-GB"/>
              </w:rPr>
            </w:pPr>
            <w:r w:rsidRPr="00BD7721">
              <w:rPr>
                <w:b/>
                <w:lang w:val="en-GB"/>
              </w:rPr>
              <w:t>25 000</w:t>
            </w:r>
          </w:p>
        </w:tc>
        <w:tc>
          <w:tcPr>
            <w:tcW w:w="1416" w:type="dxa"/>
            <w:tcBorders>
              <w:top w:val="single" w:sz="4" w:space="0" w:color="000000"/>
              <w:left w:val="nil"/>
              <w:bottom w:val="single" w:sz="4" w:space="0" w:color="000000"/>
              <w:right w:val="nil"/>
            </w:tcBorders>
            <w:vAlign w:val="bottom"/>
            <w:hideMark/>
          </w:tcPr>
          <w:p w14:paraId="6EF76FB1" w14:textId="77777777" w:rsidR="00992A45" w:rsidRPr="00BD7721" w:rsidRDefault="00992A45" w:rsidP="00D72A8C">
            <w:pPr>
              <w:pStyle w:val="Normal-pool-Table"/>
              <w:spacing w:after="30"/>
              <w:jc w:val="right"/>
              <w:rPr>
                <w:b/>
                <w:lang w:val="en-GB"/>
              </w:rPr>
            </w:pPr>
            <w:r w:rsidRPr="00BD7721">
              <w:rPr>
                <w:b/>
                <w:lang w:val="en-GB"/>
              </w:rPr>
              <w:t>25 000</w:t>
            </w:r>
          </w:p>
        </w:tc>
        <w:tc>
          <w:tcPr>
            <w:tcW w:w="1286" w:type="dxa"/>
            <w:tcBorders>
              <w:top w:val="single" w:sz="4" w:space="0" w:color="000000"/>
              <w:left w:val="nil"/>
              <w:bottom w:val="single" w:sz="4" w:space="0" w:color="000000"/>
              <w:right w:val="nil"/>
            </w:tcBorders>
            <w:vAlign w:val="bottom"/>
            <w:hideMark/>
          </w:tcPr>
          <w:p w14:paraId="2584BADC" w14:textId="77777777" w:rsidR="00992A45" w:rsidRPr="00BD7721" w:rsidRDefault="00992A45" w:rsidP="00D72A8C">
            <w:pPr>
              <w:pStyle w:val="Normal-pool-Table"/>
              <w:spacing w:after="30"/>
              <w:jc w:val="right"/>
              <w:rPr>
                <w:b/>
                <w:lang w:val="en-GB"/>
              </w:rPr>
            </w:pPr>
            <w:r w:rsidRPr="00BD7721">
              <w:rPr>
                <w:b/>
                <w:lang w:val="en-GB"/>
              </w:rPr>
              <w:t>0</w:t>
            </w:r>
          </w:p>
        </w:tc>
      </w:tr>
      <w:tr w:rsidR="00992A45" w:rsidRPr="00BD7721" w14:paraId="740EA6C7"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7D7D229E" w14:textId="77777777" w:rsidR="00992A45" w:rsidRPr="00BD7721" w:rsidRDefault="00992A45" w:rsidP="00D72A8C">
            <w:pPr>
              <w:pStyle w:val="Normal-pool-Table"/>
              <w:spacing w:after="30"/>
              <w:rPr>
                <w:b/>
                <w:lang w:val="en-GB"/>
              </w:rPr>
            </w:pPr>
            <w:r w:rsidRPr="00BD7721">
              <w:rPr>
                <w:b/>
                <w:lang w:val="en-GB"/>
              </w:rPr>
              <w:t>Subtotal 1, meetings of the IPBES bodies</w:t>
            </w:r>
          </w:p>
        </w:tc>
        <w:tc>
          <w:tcPr>
            <w:tcW w:w="1550" w:type="dxa"/>
            <w:tcBorders>
              <w:top w:val="single" w:sz="4" w:space="0" w:color="000000"/>
              <w:left w:val="nil"/>
              <w:bottom w:val="single" w:sz="4" w:space="0" w:color="000000"/>
              <w:right w:val="nil"/>
            </w:tcBorders>
            <w:vAlign w:val="bottom"/>
            <w:hideMark/>
          </w:tcPr>
          <w:p w14:paraId="44A5F41F" w14:textId="77777777" w:rsidR="00992A45" w:rsidRPr="00BD7721" w:rsidRDefault="00992A45" w:rsidP="00D72A8C">
            <w:pPr>
              <w:pStyle w:val="Normal-pool-Table"/>
              <w:spacing w:after="30"/>
              <w:jc w:val="right"/>
              <w:rPr>
                <w:b/>
                <w:lang w:val="en-GB"/>
              </w:rPr>
            </w:pPr>
            <w:r w:rsidRPr="00BD7721">
              <w:rPr>
                <w:b/>
                <w:lang w:val="en-GB"/>
              </w:rPr>
              <w:t>1 640 450</w:t>
            </w:r>
          </w:p>
        </w:tc>
        <w:tc>
          <w:tcPr>
            <w:tcW w:w="1416" w:type="dxa"/>
            <w:tcBorders>
              <w:top w:val="single" w:sz="4" w:space="0" w:color="000000"/>
              <w:left w:val="nil"/>
              <w:bottom w:val="single" w:sz="4" w:space="0" w:color="000000"/>
              <w:right w:val="nil"/>
            </w:tcBorders>
            <w:vAlign w:val="bottom"/>
            <w:hideMark/>
          </w:tcPr>
          <w:p w14:paraId="2D931251" w14:textId="77777777" w:rsidR="00992A45" w:rsidRPr="00BD7721" w:rsidRDefault="00992A45" w:rsidP="00D72A8C">
            <w:pPr>
              <w:pStyle w:val="Normal-pool-Table"/>
              <w:spacing w:after="30"/>
              <w:jc w:val="right"/>
              <w:rPr>
                <w:b/>
                <w:lang w:val="en-GB"/>
              </w:rPr>
            </w:pPr>
            <w:r w:rsidRPr="00BD7721">
              <w:rPr>
                <w:b/>
                <w:lang w:val="en-GB"/>
              </w:rPr>
              <w:t>1 640 450</w:t>
            </w:r>
          </w:p>
        </w:tc>
        <w:tc>
          <w:tcPr>
            <w:tcW w:w="1286" w:type="dxa"/>
            <w:tcBorders>
              <w:top w:val="single" w:sz="4" w:space="0" w:color="000000"/>
              <w:left w:val="nil"/>
              <w:bottom w:val="single" w:sz="4" w:space="0" w:color="000000"/>
              <w:right w:val="nil"/>
            </w:tcBorders>
            <w:vAlign w:val="bottom"/>
            <w:hideMark/>
          </w:tcPr>
          <w:p w14:paraId="7E328B15" w14:textId="77777777" w:rsidR="00992A45" w:rsidRPr="00BD7721" w:rsidRDefault="00992A45" w:rsidP="00D72A8C">
            <w:pPr>
              <w:pStyle w:val="Normal-pool-Table"/>
              <w:spacing w:after="30"/>
              <w:jc w:val="right"/>
              <w:rPr>
                <w:b/>
                <w:lang w:val="en-GB"/>
              </w:rPr>
            </w:pPr>
            <w:r w:rsidRPr="00BD7721">
              <w:rPr>
                <w:b/>
                <w:lang w:val="en-GB"/>
              </w:rPr>
              <w:t>0</w:t>
            </w:r>
          </w:p>
        </w:tc>
      </w:tr>
      <w:tr w:rsidR="00992A45" w:rsidRPr="00BD7721" w14:paraId="1C19DA38" w14:textId="77777777" w:rsidTr="00D72A8C">
        <w:trPr>
          <w:trHeight w:val="57"/>
          <w:jc w:val="right"/>
        </w:trPr>
        <w:tc>
          <w:tcPr>
            <w:tcW w:w="9497" w:type="dxa"/>
            <w:gridSpan w:val="4"/>
            <w:tcBorders>
              <w:top w:val="single" w:sz="4" w:space="0" w:color="000000"/>
              <w:left w:val="nil"/>
              <w:bottom w:val="nil"/>
              <w:right w:val="nil"/>
            </w:tcBorders>
            <w:vAlign w:val="bottom"/>
            <w:hideMark/>
          </w:tcPr>
          <w:p w14:paraId="71210DC3" w14:textId="77777777" w:rsidR="00992A45" w:rsidRPr="00BD7721" w:rsidRDefault="00992A45" w:rsidP="00D72A8C">
            <w:pPr>
              <w:pStyle w:val="Normal-pool-Table"/>
              <w:tabs>
                <w:tab w:val="clear" w:pos="624"/>
                <w:tab w:val="left" w:pos="322"/>
              </w:tabs>
              <w:spacing w:after="30"/>
              <w:rPr>
                <w:b/>
                <w:lang w:val="en-GB"/>
              </w:rPr>
            </w:pPr>
            <w:r w:rsidRPr="00BD7721">
              <w:rPr>
                <w:b/>
                <w:lang w:val="en-GB"/>
              </w:rPr>
              <w:t>2.</w:t>
            </w:r>
            <w:r w:rsidRPr="00BD7721">
              <w:rPr>
                <w:b/>
                <w:lang w:val="en-GB"/>
              </w:rPr>
              <w:tab/>
              <w:t xml:space="preserve">Implementation of the work programme </w:t>
            </w:r>
          </w:p>
        </w:tc>
      </w:tr>
      <w:tr w:rsidR="00992A45" w:rsidRPr="00BD7721" w14:paraId="5FA60D26" w14:textId="77777777" w:rsidTr="00D72A8C">
        <w:trPr>
          <w:trHeight w:val="57"/>
          <w:jc w:val="right"/>
        </w:trPr>
        <w:tc>
          <w:tcPr>
            <w:tcW w:w="9497" w:type="dxa"/>
            <w:gridSpan w:val="4"/>
            <w:tcBorders>
              <w:top w:val="nil"/>
              <w:left w:val="nil"/>
              <w:bottom w:val="nil"/>
              <w:right w:val="nil"/>
            </w:tcBorders>
            <w:vAlign w:val="bottom"/>
            <w:hideMark/>
          </w:tcPr>
          <w:p w14:paraId="26D54ADF" w14:textId="77777777" w:rsidR="00992A45" w:rsidRPr="00BD7721" w:rsidRDefault="00992A45" w:rsidP="00D72A8C">
            <w:pPr>
              <w:pStyle w:val="Normal-pool-Table"/>
              <w:spacing w:after="30"/>
              <w:rPr>
                <w:b/>
                <w:lang w:val="en-GB"/>
              </w:rPr>
            </w:pPr>
            <w:r w:rsidRPr="00BD7721">
              <w:rPr>
                <w:b/>
                <w:lang w:val="en-GB"/>
              </w:rPr>
              <w:t>Part A: first work programme (wp1)</w:t>
            </w:r>
          </w:p>
        </w:tc>
      </w:tr>
      <w:tr w:rsidR="00992A45" w:rsidRPr="00BD7721" w14:paraId="32058F23" w14:textId="77777777" w:rsidTr="00D72A8C">
        <w:trPr>
          <w:trHeight w:val="57"/>
          <w:jc w:val="right"/>
        </w:trPr>
        <w:tc>
          <w:tcPr>
            <w:tcW w:w="5245" w:type="dxa"/>
            <w:tcBorders>
              <w:top w:val="nil"/>
              <w:left w:val="nil"/>
              <w:bottom w:val="nil"/>
              <w:right w:val="nil"/>
            </w:tcBorders>
            <w:vAlign w:val="bottom"/>
            <w:hideMark/>
          </w:tcPr>
          <w:p w14:paraId="0053573B" w14:textId="0EB2025C" w:rsidR="00992A45" w:rsidRPr="00BD7721" w:rsidRDefault="00A5728A" w:rsidP="00D72A8C">
            <w:pPr>
              <w:pStyle w:val="Normal-pool-Table"/>
              <w:spacing w:after="30"/>
              <w:rPr>
                <w:b/>
                <w:lang w:val="en-GB"/>
              </w:rPr>
            </w:pPr>
            <w:r w:rsidRPr="00BD7721">
              <w:rPr>
                <w:b/>
                <w:color w:val="000000"/>
                <w:lang w:val="en-GB"/>
              </w:rPr>
              <w:t>wp1</w:t>
            </w:r>
            <w:r w:rsidR="005F3A21" w:rsidRPr="00BD7721">
              <w:rPr>
                <w:b/>
                <w:color w:val="000000"/>
                <w:lang w:val="en-GB"/>
              </w:rPr>
              <w:t xml:space="preserve"> </w:t>
            </w:r>
            <w:r w:rsidRPr="00BD7721">
              <w:rPr>
                <w:b/>
                <w:color w:val="000000"/>
                <w:lang w:val="en-GB"/>
              </w:rPr>
              <w:t>-</w:t>
            </w:r>
            <w:r w:rsidR="005F3A21" w:rsidRPr="00BD7721">
              <w:rPr>
                <w:b/>
                <w:color w:val="000000"/>
                <w:lang w:val="en-GB"/>
              </w:rPr>
              <w:t xml:space="preserve"> </w:t>
            </w:r>
            <w:r w:rsidR="00992A45" w:rsidRPr="00BD7721">
              <w:rPr>
                <w:b/>
                <w:color w:val="000000"/>
                <w:lang w:val="en-GB"/>
              </w:rPr>
              <w:t>Objective</w:t>
            </w:r>
            <w:r w:rsidR="00992A45" w:rsidRPr="00BD7721">
              <w:rPr>
                <w:b/>
                <w:lang w:val="en-GB"/>
              </w:rPr>
              <w:t xml:space="preserve"> 3: strengthen the knowledge-policy interface with regard to thematic and methodological issues</w:t>
            </w:r>
          </w:p>
        </w:tc>
        <w:tc>
          <w:tcPr>
            <w:tcW w:w="1550" w:type="dxa"/>
            <w:tcBorders>
              <w:top w:val="nil"/>
              <w:left w:val="nil"/>
              <w:bottom w:val="nil"/>
              <w:right w:val="nil"/>
            </w:tcBorders>
            <w:vAlign w:val="bottom"/>
          </w:tcPr>
          <w:p w14:paraId="18461F8B" w14:textId="77777777" w:rsidR="00992A45" w:rsidRPr="00BD7721" w:rsidRDefault="00992A45" w:rsidP="00D72A8C">
            <w:pPr>
              <w:pStyle w:val="Normal-pool-Table"/>
              <w:spacing w:after="30"/>
              <w:jc w:val="right"/>
              <w:rPr>
                <w:b/>
                <w:lang w:val="en-GB"/>
              </w:rPr>
            </w:pPr>
          </w:p>
        </w:tc>
        <w:tc>
          <w:tcPr>
            <w:tcW w:w="1416" w:type="dxa"/>
            <w:tcBorders>
              <w:top w:val="nil"/>
              <w:left w:val="nil"/>
              <w:bottom w:val="nil"/>
              <w:right w:val="nil"/>
            </w:tcBorders>
            <w:vAlign w:val="bottom"/>
            <w:hideMark/>
          </w:tcPr>
          <w:p w14:paraId="5534D84F" w14:textId="77777777" w:rsidR="00992A45" w:rsidRPr="00BD7721" w:rsidRDefault="00992A45" w:rsidP="00D72A8C">
            <w:pPr>
              <w:pStyle w:val="Normal-pool-Table"/>
              <w:spacing w:after="30"/>
              <w:jc w:val="right"/>
              <w:rPr>
                <w:b/>
                <w:lang w:val="en-GB"/>
              </w:rPr>
            </w:pPr>
            <w:r w:rsidRPr="00BD7721">
              <w:rPr>
                <w:b/>
                <w:lang w:val="en-GB"/>
              </w:rPr>
              <w:t>20 000</w:t>
            </w:r>
          </w:p>
        </w:tc>
        <w:tc>
          <w:tcPr>
            <w:tcW w:w="1286" w:type="dxa"/>
            <w:tcBorders>
              <w:top w:val="nil"/>
              <w:left w:val="nil"/>
              <w:bottom w:val="nil"/>
              <w:right w:val="nil"/>
            </w:tcBorders>
            <w:vAlign w:val="bottom"/>
            <w:hideMark/>
          </w:tcPr>
          <w:p w14:paraId="675B3B79" w14:textId="77777777" w:rsidR="00992A45" w:rsidRPr="00BD7721" w:rsidRDefault="00992A45" w:rsidP="00D72A8C">
            <w:pPr>
              <w:pStyle w:val="Normal-pool-Table"/>
              <w:spacing w:after="30"/>
              <w:jc w:val="right"/>
              <w:rPr>
                <w:b/>
                <w:lang w:val="en-GB"/>
              </w:rPr>
            </w:pPr>
            <w:r w:rsidRPr="00BD7721">
              <w:rPr>
                <w:b/>
                <w:lang w:val="en-GB"/>
              </w:rPr>
              <w:t>20 000</w:t>
            </w:r>
          </w:p>
        </w:tc>
      </w:tr>
      <w:tr w:rsidR="00992A45" w:rsidRPr="00BD7721" w14:paraId="3332657D" w14:textId="77777777" w:rsidTr="00D72A8C">
        <w:trPr>
          <w:trHeight w:val="57"/>
          <w:jc w:val="right"/>
        </w:trPr>
        <w:tc>
          <w:tcPr>
            <w:tcW w:w="5245" w:type="dxa"/>
            <w:tcBorders>
              <w:top w:val="nil"/>
              <w:left w:val="nil"/>
              <w:bottom w:val="single" w:sz="4" w:space="0" w:color="000000"/>
              <w:right w:val="nil"/>
            </w:tcBorders>
            <w:vAlign w:val="bottom"/>
            <w:hideMark/>
          </w:tcPr>
          <w:p w14:paraId="1A510710" w14:textId="58CF608F" w:rsidR="00992A45" w:rsidRPr="00BD7721" w:rsidRDefault="00A5728A" w:rsidP="00D72A8C">
            <w:pPr>
              <w:pStyle w:val="Normal-pool-Table"/>
              <w:spacing w:after="30"/>
              <w:rPr>
                <w:lang w:val="en-GB"/>
              </w:rPr>
            </w:pPr>
            <w:r w:rsidRPr="00BD7721">
              <w:rPr>
                <w:b/>
                <w:color w:val="000000"/>
                <w:lang w:val="en-GB"/>
              </w:rPr>
              <w:t>wp1</w:t>
            </w:r>
            <w:r w:rsidR="005F3A21" w:rsidRPr="00BD7721">
              <w:rPr>
                <w:b/>
                <w:color w:val="000000"/>
                <w:lang w:val="en-GB"/>
              </w:rPr>
              <w:t xml:space="preserve"> </w:t>
            </w:r>
            <w:r w:rsidRPr="00BD7721">
              <w:rPr>
                <w:b/>
                <w:color w:val="000000"/>
                <w:lang w:val="en-GB"/>
              </w:rPr>
              <w:t>-</w:t>
            </w:r>
            <w:r w:rsidR="005F3A21" w:rsidRPr="00BD7721">
              <w:rPr>
                <w:b/>
                <w:color w:val="000000"/>
                <w:lang w:val="en-GB"/>
              </w:rPr>
              <w:t xml:space="preserve"> </w:t>
            </w:r>
            <w:r w:rsidR="00992A45" w:rsidRPr="00BD7721">
              <w:rPr>
                <w:lang w:val="en-GB"/>
              </w:rPr>
              <w:t xml:space="preserve">Deliverable 3 (b) (ii): invasive alien species assessment </w:t>
            </w:r>
          </w:p>
        </w:tc>
        <w:tc>
          <w:tcPr>
            <w:tcW w:w="1550" w:type="dxa"/>
            <w:tcBorders>
              <w:top w:val="nil"/>
              <w:left w:val="nil"/>
              <w:bottom w:val="single" w:sz="4" w:space="0" w:color="000000"/>
              <w:right w:val="nil"/>
            </w:tcBorders>
            <w:vAlign w:val="bottom"/>
          </w:tcPr>
          <w:p w14:paraId="3188A005" w14:textId="77777777" w:rsidR="00992A45" w:rsidRPr="00BD7721" w:rsidRDefault="00992A45" w:rsidP="00D72A8C">
            <w:pPr>
              <w:pStyle w:val="Normal-pool-Table"/>
              <w:spacing w:after="30"/>
              <w:jc w:val="right"/>
              <w:rPr>
                <w:lang w:val="en-GB"/>
              </w:rPr>
            </w:pPr>
          </w:p>
        </w:tc>
        <w:tc>
          <w:tcPr>
            <w:tcW w:w="1416" w:type="dxa"/>
            <w:tcBorders>
              <w:top w:val="nil"/>
              <w:left w:val="nil"/>
              <w:bottom w:val="single" w:sz="4" w:space="0" w:color="000000"/>
              <w:right w:val="nil"/>
            </w:tcBorders>
            <w:vAlign w:val="bottom"/>
            <w:hideMark/>
          </w:tcPr>
          <w:p w14:paraId="616FA3ED" w14:textId="77777777" w:rsidR="00992A45" w:rsidRPr="00BD7721" w:rsidRDefault="00992A45" w:rsidP="00D72A8C">
            <w:pPr>
              <w:pStyle w:val="Normal-pool-Table"/>
              <w:spacing w:after="30"/>
              <w:jc w:val="right"/>
              <w:rPr>
                <w:lang w:val="en-GB"/>
              </w:rPr>
            </w:pPr>
            <w:r w:rsidRPr="00BD7721">
              <w:rPr>
                <w:lang w:val="en-GB"/>
              </w:rPr>
              <w:t>20 000</w:t>
            </w:r>
          </w:p>
        </w:tc>
        <w:tc>
          <w:tcPr>
            <w:tcW w:w="1286" w:type="dxa"/>
            <w:tcBorders>
              <w:top w:val="nil"/>
              <w:left w:val="nil"/>
              <w:bottom w:val="single" w:sz="4" w:space="0" w:color="000000"/>
              <w:right w:val="nil"/>
            </w:tcBorders>
            <w:vAlign w:val="bottom"/>
            <w:hideMark/>
          </w:tcPr>
          <w:p w14:paraId="12F09936" w14:textId="77777777" w:rsidR="00992A45" w:rsidRPr="00BD7721" w:rsidRDefault="00992A45" w:rsidP="00D72A8C">
            <w:pPr>
              <w:pStyle w:val="Normal-pool-Table"/>
              <w:spacing w:after="30"/>
              <w:jc w:val="right"/>
              <w:rPr>
                <w:lang w:val="en-GB"/>
              </w:rPr>
            </w:pPr>
            <w:r w:rsidRPr="00BD7721">
              <w:rPr>
                <w:lang w:val="en-GB"/>
              </w:rPr>
              <w:t>20 000</w:t>
            </w:r>
          </w:p>
        </w:tc>
      </w:tr>
      <w:tr w:rsidR="00992A45" w:rsidRPr="00BD7721" w14:paraId="06A35C91"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2F6C4115" w14:textId="77777777" w:rsidR="00992A45" w:rsidRPr="00BD7721" w:rsidRDefault="00992A45" w:rsidP="00D72A8C">
            <w:pPr>
              <w:pStyle w:val="Normal-pool-Table"/>
              <w:spacing w:after="30"/>
              <w:rPr>
                <w:b/>
                <w:lang w:val="en-GB"/>
              </w:rPr>
            </w:pPr>
            <w:r w:rsidRPr="00BD7721">
              <w:rPr>
                <w:b/>
                <w:lang w:val="en-GB"/>
              </w:rPr>
              <w:t>Subtotal, part A</w:t>
            </w:r>
          </w:p>
        </w:tc>
        <w:tc>
          <w:tcPr>
            <w:tcW w:w="1550" w:type="dxa"/>
            <w:tcBorders>
              <w:top w:val="single" w:sz="4" w:space="0" w:color="000000"/>
              <w:left w:val="nil"/>
              <w:bottom w:val="single" w:sz="4" w:space="0" w:color="000000"/>
              <w:right w:val="nil"/>
            </w:tcBorders>
            <w:vAlign w:val="bottom"/>
          </w:tcPr>
          <w:p w14:paraId="67097FD8" w14:textId="77777777" w:rsidR="00992A45" w:rsidRPr="00BD7721" w:rsidRDefault="00992A45" w:rsidP="00D72A8C">
            <w:pPr>
              <w:pStyle w:val="Normal-pool-Table"/>
              <w:spacing w:after="30"/>
              <w:jc w:val="right"/>
              <w:rPr>
                <w:b/>
                <w:lang w:val="en-GB"/>
              </w:rPr>
            </w:pPr>
          </w:p>
        </w:tc>
        <w:tc>
          <w:tcPr>
            <w:tcW w:w="1416" w:type="dxa"/>
            <w:tcBorders>
              <w:top w:val="single" w:sz="4" w:space="0" w:color="000000"/>
              <w:left w:val="nil"/>
              <w:bottom w:val="single" w:sz="4" w:space="0" w:color="000000"/>
              <w:right w:val="nil"/>
            </w:tcBorders>
            <w:vAlign w:val="bottom"/>
            <w:hideMark/>
          </w:tcPr>
          <w:p w14:paraId="727A6AAA" w14:textId="77777777" w:rsidR="00992A45" w:rsidRPr="00BD7721" w:rsidRDefault="00992A45" w:rsidP="00D72A8C">
            <w:pPr>
              <w:pStyle w:val="Normal-pool-Table"/>
              <w:spacing w:after="30"/>
              <w:jc w:val="right"/>
              <w:rPr>
                <w:b/>
                <w:lang w:val="en-GB"/>
              </w:rPr>
            </w:pPr>
            <w:r w:rsidRPr="00BD7721">
              <w:rPr>
                <w:b/>
                <w:lang w:val="en-GB"/>
              </w:rPr>
              <w:t>20 000</w:t>
            </w:r>
          </w:p>
        </w:tc>
        <w:tc>
          <w:tcPr>
            <w:tcW w:w="1286" w:type="dxa"/>
            <w:tcBorders>
              <w:top w:val="single" w:sz="4" w:space="0" w:color="000000"/>
              <w:left w:val="nil"/>
              <w:bottom w:val="single" w:sz="4" w:space="0" w:color="000000"/>
              <w:right w:val="nil"/>
            </w:tcBorders>
            <w:vAlign w:val="bottom"/>
            <w:hideMark/>
          </w:tcPr>
          <w:p w14:paraId="5D5AFCDC" w14:textId="77777777" w:rsidR="00992A45" w:rsidRPr="00BD7721" w:rsidRDefault="00992A45" w:rsidP="00D72A8C">
            <w:pPr>
              <w:pStyle w:val="Normal-pool-Table"/>
              <w:spacing w:after="30"/>
              <w:jc w:val="right"/>
              <w:rPr>
                <w:b/>
                <w:lang w:val="en-GB"/>
              </w:rPr>
            </w:pPr>
            <w:r w:rsidRPr="00BD7721">
              <w:rPr>
                <w:b/>
                <w:lang w:val="en-GB"/>
              </w:rPr>
              <w:t>20 000</w:t>
            </w:r>
          </w:p>
        </w:tc>
      </w:tr>
      <w:tr w:rsidR="00992A45" w:rsidRPr="00BD7721" w14:paraId="329AC808" w14:textId="77777777" w:rsidTr="00D72A8C">
        <w:trPr>
          <w:trHeight w:val="57"/>
          <w:jc w:val="right"/>
        </w:trPr>
        <w:tc>
          <w:tcPr>
            <w:tcW w:w="5245" w:type="dxa"/>
            <w:tcBorders>
              <w:top w:val="single" w:sz="4" w:space="0" w:color="000000"/>
              <w:left w:val="nil"/>
              <w:bottom w:val="nil"/>
              <w:right w:val="nil"/>
            </w:tcBorders>
            <w:vAlign w:val="bottom"/>
            <w:hideMark/>
          </w:tcPr>
          <w:p w14:paraId="4422D595" w14:textId="77777777" w:rsidR="00992A45" w:rsidRPr="00BD7721" w:rsidRDefault="00992A45" w:rsidP="00D72A8C">
            <w:pPr>
              <w:pStyle w:val="Normal-pool-Table"/>
              <w:spacing w:after="30"/>
              <w:rPr>
                <w:b/>
                <w:lang w:val="en-GB"/>
              </w:rPr>
            </w:pPr>
            <w:r w:rsidRPr="00BD7721">
              <w:rPr>
                <w:b/>
                <w:lang w:val="en-GB"/>
              </w:rPr>
              <w:t>Part B: rolling work programme up to 2030</w:t>
            </w:r>
          </w:p>
        </w:tc>
        <w:tc>
          <w:tcPr>
            <w:tcW w:w="1550" w:type="dxa"/>
            <w:tcBorders>
              <w:top w:val="single" w:sz="4" w:space="0" w:color="000000"/>
              <w:left w:val="nil"/>
              <w:bottom w:val="nil"/>
              <w:right w:val="nil"/>
            </w:tcBorders>
            <w:vAlign w:val="bottom"/>
          </w:tcPr>
          <w:p w14:paraId="076883BC" w14:textId="77777777" w:rsidR="00992A45" w:rsidRPr="00BD7721" w:rsidRDefault="00992A45" w:rsidP="00D72A8C">
            <w:pPr>
              <w:pStyle w:val="Normal-pool-Table"/>
              <w:spacing w:after="30"/>
              <w:jc w:val="right"/>
              <w:rPr>
                <w:lang w:val="en-GB"/>
              </w:rPr>
            </w:pPr>
          </w:p>
        </w:tc>
        <w:tc>
          <w:tcPr>
            <w:tcW w:w="1416" w:type="dxa"/>
            <w:tcBorders>
              <w:top w:val="single" w:sz="4" w:space="0" w:color="000000"/>
              <w:left w:val="nil"/>
              <w:bottom w:val="nil"/>
              <w:right w:val="nil"/>
            </w:tcBorders>
            <w:vAlign w:val="bottom"/>
          </w:tcPr>
          <w:p w14:paraId="4F92652A" w14:textId="77777777" w:rsidR="00992A45" w:rsidRPr="00BD7721" w:rsidRDefault="00992A45" w:rsidP="00D72A8C">
            <w:pPr>
              <w:pStyle w:val="Normal-pool-Table"/>
              <w:spacing w:after="30"/>
              <w:jc w:val="right"/>
              <w:rPr>
                <w:lang w:val="en-GB"/>
              </w:rPr>
            </w:pPr>
          </w:p>
        </w:tc>
        <w:tc>
          <w:tcPr>
            <w:tcW w:w="1286" w:type="dxa"/>
            <w:tcBorders>
              <w:top w:val="single" w:sz="4" w:space="0" w:color="000000"/>
              <w:left w:val="nil"/>
              <w:bottom w:val="nil"/>
              <w:right w:val="nil"/>
            </w:tcBorders>
            <w:vAlign w:val="bottom"/>
          </w:tcPr>
          <w:p w14:paraId="3E3FD9FE" w14:textId="77777777" w:rsidR="00992A45" w:rsidRPr="00BD7721" w:rsidRDefault="00992A45" w:rsidP="00D72A8C">
            <w:pPr>
              <w:pStyle w:val="Normal-pool-Table"/>
              <w:spacing w:after="30"/>
              <w:jc w:val="right"/>
              <w:rPr>
                <w:lang w:val="en-GB"/>
              </w:rPr>
            </w:pPr>
          </w:p>
        </w:tc>
      </w:tr>
      <w:tr w:rsidR="00992A45" w:rsidRPr="00BD7721" w14:paraId="453748B8" w14:textId="77777777" w:rsidTr="00D72A8C">
        <w:trPr>
          <w:trHeight w:val="57"/>
          <w:jc w:val="right"/>
        </w:trPr>
        <w:tc>
          <w:tcPr>
            <w:tcW w:w="5245" w:type="dxa"/>
            <w:tcBorders>
              <w:top w:val="nil"/>
              <w:left w:val="nil"/>
              <w:bottom w:val="nil"/>
              <w:right w:val="nil"/>
            </w:tcBorders>
            <w:vAlign w:val="bottom"/>
            <w:hideMark/>
          </w:tcPr>
          <w:p w14:paraId="76F89DD0" w14:textId="77777777" w:rsidR="00992A45" w:rsidRPr="00BD7721" w:rsidRDefault="00992A45" w:rsidP="00D72A8C">
            <w:pPr>
              <w:pStyle w:val="Normal-pool-Table"/>
              <w:spacing w:after="30"/>
              <w:rPr>
                <w:b/>
                <w:lang w:val="en-GB"/>
              </w:rPr>
            </w:pPr>
            <w:r w:rsidRPr="00BD7721">
              <w:rPr>
                <w:b/>
                <w:lang w:val="en-GB"/>
              </w:rPr>
              <w:t>Objective 1: assessing knowledge</w:t>
            </w:r>
          </w:p>
        </w:tc>
        <w:tc>
          <w:tcPr>
            <w:tcW w:w="1550" w:type="dxa"/>
            <w:tcBorders>
              <w:top w:val="nil"/>
              <w:left w:val="nil"/>
              <w:bottom w:val="nil"/>
              <w:right w:val="nil"/>
            </w:tcBorders>
            <w:vAlign w:val="bottom"/>
            <w:hideMark/>
          </w:tcPr>
          <w:p w14:paraId="3ACB3CA2" w14:textId="77777777" w:rsidR="00992A45" w:rsidRPr="00BD7721" w:rsidRDefault="00992A45" w:rsidP="00D72A8C">
            <w:pPr>
              <w:pStyle w:val="Normal-pool-Table"/>
              <w:spacing w:after="30"/>
              <w:jc w:val="right"/>
              <w:rPr>
                <w:b/>
                <w:lang w:val="en-GB"/>
              </w:rPr>
            </w:pPr>
            <w:r w:rsidRPr="00BD7721">
              <w:rPr>
                <w:b/>
                <w:lang w:val="en-GB"/>
              </w:rPr>
              <w:t>2 145 050</w:t>
            </w:r>
          </w:p>
        </w:tc>
        <w:tc>
          <w:tcPr>
            <w:tcW w:w="1416" w:type="dxa"/>
            <w:tcBorders>
              <w:top w:val="nil"/>
              <w:left w:val="nil"/>
              <w:bottom w:val="nil"/>
              <w:right w:val="nil"/>
            </w:tcBorders>
            <w:vAlign w:val="bottom"/>
            <w:hideMark/>
          </w:tcPr>
          <w:p w14:paraId="21E1E74C" w14:textId="77777777" w:rsidR="00992A45" w:rsidRPr="00BD7721" w:rsidRDefault="00992A45" w:rsidP="00D72A8C">
            <w:pPr>
              <w:pStyle w:val="Normal-pool-Table"/>
              <w:spacing w:after="30"/>
              <w:jc w:val="right"/>
              <w:rPr>
                <w:b/>
                <w:lang w:val="en-GB"/>
              </w:rPr>
            </w:pPr>
            <w:r w:rsidRPr="00BD7721">
              <w:rPr>
                <w:b/>
                <w:lang w:val="en-GB"/>
              </w:rPr>
              <w:t>2 386 150</w:t>
            </w:r>
          </w:p>
        </w:tc>
        <w:tc>
          <w:tcPr>
            <w:tcW w:w="1286" w:type="dxa"/>
            <w:tcBorders>
              <w:top w:val="nil"/>
              <w:left w:val="nil"/>
              <w:bottom w:val="nil"/>
              <w:right w:val="nil"/>
            </w:tcBorders>
            <w:vAlign w:val="bottom"/>
            <w:hideMark/>
          </w:tcPr>
          <w:p w14:paraId="72731D48" w14:textId="77777777" w:rsidR="00992A45" w:rsidRPr="00BD7721" w:rsidRDefault="00992A45" w:rsidP="00D72A8C">
            <w:pPr>
              <w:pStyle w:val="Normal-pool-Table"/>
              <w:spacing w:after="30"/>
              <w:jc w:val="right"/>
              <w:rPr>
                <w:b/>
                <w:lang w:val="en-GB"/>
              </w:rPr>
            </w:pPr>
            <w:r w:rsidRPr="00BD7721">
              <w:rPr>
                <w:b/>
                <w:lang w:val="en-GB"/>
              </w:rPr>
              <w:t>241 100</w:t>
            </w:r>
          </w:p>
        </w:tc>
      </w:tr>
      <w:tr w:rsidR="00992A45" w:rsidRPr="00BD7721" w14:paraId="753B6BD4" w14:textId="77777777" w:rsidTr="00D72A8C">
        <w:trPr>
          <w:trHeight w:val="57"/>
          <w:jc w:val="right"/>
        </w:trPr>
        <w:tc>
          <w:tcPr>
            <w:tcW w:w="5245" w:type="dxa"/>
            <w:tcBorders>
              <w:top w:val="nil"/>
              <w:left w:val="nil"/>
              <w:bottom w:val="nil"/>
              <w:right w:val="nil"/>
            </w:tcBorders>
            <w:vAlign w:val="bottom"/>
            <w:hideMark/>
          </w:tcPr>
          <w:p w14:paraId="74ED9488" w14:textId="77777777" w:rsidR="00992A45" w:rsidRPr="00BD7721" w:rsidRDefault="00992A45" w:rsidP="00D72A8C">
            <w:pPr>
              <w:pStyle w:val="Normal-pool-Table"/>
              <w:spacing w:after="30"/>
              <w:rPr>
                <w:lang w:val="en-GB"/>
              </w:rPr>
            </w:pPr>
            <w:r w:rsidRPr="00BD7721">
              <w:rPr>
                <w:lang w:val="en-GB"/>
              </w:rPr>
              <w:t>Deliverable 1 (a): a thematic assessment of the interlinkages among biodiversity, water, food and health (nexus assessment)</w:t>
            </w:r>
          </w:p>
        </w:tc>
        <w:tc>
          <w:tcPr>
            <w:tcW w:w="1550" w:type="dxa"/>
            <w:tcBorders>
              <w:top w:val="nil"/>
              <w:left w:val="nil"/>
              <w:bottom w:val="nil"/>
              <w:right w:val="nil"/>
            </w:tcBorders>
            <w:vAlign w:val="bottom"/>
            <w:hideMark/>
          </w:tcPr>
          <w:p w14:paraId="59680F81" w14:textId="77777777" w:rsidR="00992A45" w:rsidRPr="00BD7721" w:rsidRDefault="00992A45" w:rsidP="00D72A8C">
            <w:pPr>
              <w:pStyle w:val="Normal-pool-Table"/>
              <w:spacing w:after="30"/>
              <w:jc w:val="right"/>
              <w:rPr>
                <w:lang w:val="en-GB"/>
              </w:rPr>
            </w:pPr>
            <w:r w:rsidRPr="00BD7721">
              <w:rPr>
                <w:lang w:val="en-GB"/>
              </w:rPr>
              <w:t>986 050</w:t>
            </w:r>
          </w:p>
        </w:tc>
        <w:tc>
          <w:tcPr>
            <w:tcW w:w="1416" w:type="dxa"/>
            <w:tcBorders>
              <w:top w:val="nil"/>
              <w:left w:val="nil"/>
              <w:bottom w:val="nil"/>
              <w:right w:val="nil"/>
            </w:tcBorders>
            <w:vAlign w:val="bottom"/>
            <w:hideMark/>
          </w:tcPr>
          <w:p w14:paraId="0827A980" w14:textId="77777777" w:rsidR="00992A45" w:rsidRPr="00BD7721" w:rsidRDefault="00992A45" w:rsidP="00D72A8C">
            <w:pPr>
              <w:pStyle w:val="Normal-pool-Table"/>
              <w:spacing w:after="30"/>
              <w:jc w:val="right"/>
              <w:rPr>
                <w:lang w:val="en-GB"/>
              </w:rPr>
            </w:pPr>
            <w:r w:rsidRPr="00BD7721">
              <w:rPr>
                <w:lang w:val="en-GB"/>
              </w:rPr>
              <w:t>892 150</w:t>
            </w:r>
          </w:p>
        </w:tc>
        <w:tc>
          <w:tcPr>
            <w:tcW w:w="1286" w:type="dxa"/>
            <w:tcBorders>
              <w:top w:val="nil"/>
              <w:left w:val="nil"/>
              <w:bottom w:val="nil"/>
              <w:right w:val="nil"/>
            </w:tcBorders>
            <w:vAlign w:val="bottom"/>
            <w:hideMark/>
          </w:tcPr>
          <w:p w14:paraId="749E3A9C" w14:textId="77777777" w:rsidR="00992A45" w:rsidRPr="00BD7721" w:rsidRDefault="00992A45" w:rsidP="00D72A8C">
            <w:pPr>
              <w:pStyle w:val="Normal-pool-Table"/>
              <w:spacing w:after="30"/>
              <w:jc w:val="right"/>
              <w:rPr>
                <w:lang w:val="en-GB"/>
              </w:rPr>
            </w:pPr>
            <w:r w:rsidRPr="00BD7721">
              <w:rPr>
                <w:lang w:val="en-GB"/>
              </w:rPr>
              <w:t>(93 900)</w:t>
            </w:r>
          </w:p>
        </w:tc>
      </w:tr>
      <w:tr w:rsidR="00992A45" w:rsidRPr="00BD7721" w14:paraId="766264D1" w14:textId="77777777" w:rsidTr="00D72A8C">
        <w:trPr>
          <w:trHeight w:val="57"/>
          <w:jc w:val="right"/>
        </w:trPr>
        <w:tc>
          <w:tcPr>
            <w:tcW w:w="5245" w:type="dxa"/>
            <w:tcBorders>
              <w:top w:val="nil"/>
              <w:left w:val="nil"/>
              <w:bottom w:val="nil"/>
              <w:right w:val="nil"/>
            </w:tcBorders>
            <w:vAlign w:val="bottom"/>
            <w:hideMark/>
          </w:tcPr>
          <w:p w14:paraId="03A49948" w14:textId="77777777" w:rsidR="00992A45" w:rsidRPr="00BD7721" w:rsidRDefault="00992A45" w:rsidP="00D72A8C">
            <w:pPr>
              <w:pStyle w:val="Normal-pool-Table"/>
              <w:spacing w:after="30"/>
              <w:rPr>
                <w:lang w:val="en-GB"/>
              </w:rPr>
            </w:pPr>
            <w:r w:rsidRPr="00BD7721">
              <w:rPr>
                <w:lang w:val="en-GB"/>
              </w:rPr>
              <w:t>Deliverable 1 (c): a thematic assessment of the underlying causes of biodiversity loss and determinants of transformative change and options for achieving the 2050 Vision for Biodiversity (transformative change assessment)</w:t>
            </w:r>
          </w:p>
        </w:tc>
        <w:tc>
          <w:tcPr>
            <w:tcW w:w="1550" w:type="dxa"/>
            <w:tcBorders>
              <w:top w:val="nil"/>
              <w:left w:val="nil"/>
              <w:bottom w:val="nil"/>
              <w:right w:val="nil"/>
            </w:tcBorders>
            <w:vAlign w:val="bottom"/>
            <w:hideMark/>
          </w:tcPr>
          <w:p w14:paraId="5C991CF8" w14:textId="77777777" w:rsidR="00992A45" w:rsidRPr="00BD7721" w:rsidRDefault="00992A45" w:rsidP="00D72A8C">
            <w:pPr>
              <w:pStyle w:val="Normal-pool-Table"/>
              <w:spacing w:after="30"/>
              <w:jc w:val="right"/>
              <w:rPr>
                <w:lang w:val="en-GB"/>
              </w:rPr>
            </w:pPr>
            <w:r w:rsidRPr="00BD7721">
              <w:rPr>
                <w:lang w:val="en-GB"/>
              </w:rPr>
              <w:t>662 750</w:t>
            </w:r>
          </w:p>
        </w:tc>
        <w:tc>
          <w:tcPr>
            <w:tcW w:w="1416" w:type="dxa"/>
            <w:tcBorders>
              <w:top w:val="nil"/>
              <w:left w:val="nil"/>
              <w:bottom w:val="nil"/>
              <w:right w:val="nil"/>
            </w:tcBorders>
            <w:vAlign w:val="bottom"/>
            <w:hideMark/>
          </w:tcPr>
          <w:p w14:paraId="78F950AC" w14:textId="77777777" w:rsidR="00992A45" w:rsidRPr="00BD7721" w:rsidRDefault="00992A45" w:rsidP="00D72A8C">
            <w:pPr>
              <w:pStyle w:val="Normal-pool-Table"/>
              <w:spacing w:after="30"/>
              <w:jc w:val="right"/>
              <w:rPr>
                <w:lang w:val="en-GB"/>
              </w:rPr>
            </w:pPr>
            <w:r w:rsidRPr="00BD7721">
              <w:rPr>
                <w:lang w:val="en-GB"/>
              </w:rPr>
              <w:t>537 750</w:t>
            </w:r>
          </w:p>
        </w:tc>
        <w:tc>
          <w:tcPr>
            <w:tcW w:w="1286" w:type="dxa"/>
            <w:tcBorders>
              <w:top w:val="nil"/>
              <w:left w:val="nil"/>
              <w:bottom w:val="nil"/>
              <w:right w:val="nil"/>
            </w:tcBorders>
            <w:vAlign w:val="bottom"/>
            <w:hideMark/>
          </w:tcPr>
          <w:p w14:paraId="0F98DCFC" w14:textId="77777777" w:rsidR="00992A45" w:rsidRPr="00BD7721" w:rsidRDefault="00992A45" w:rsidP="00D72A8C">
            <w:pPr>
              <w:pStyle w:val="Normal-pool-Table"/>
              <w:spacing w:after="30"/>
              <w:jc w:val="right"/>
              <w:rPr>
                <w:lang w:val="en-GB"/>
              </w:rPr>
            </w:pPr>
            <w:r w:rsidRPr="00BD7721">
              <w:rPr>
                <w:lang w:val="en-GB"/>
              </w:rPr>
              <w:t>(125 000)</w:t>
            </w:r>
          </w:p>
        </w:tc>
      </w:tr>
      <w:tr w:rsidR="00992A45" w:rsidRPr="00BD7721" w14:paraId="5B6CEFB8" w14:textId="77777777" w:rsidTr="00D72A8C">
        <w:trPr>
          <w:trHeight w:val="57"/>
          <w:jc w:val="right"/>
        </w:trPr>
        <w:tc>
          <w:tcPr>
            <w:tcW w:w="5245" w:type="dxa"/>
            <w:tcBorders>
              <w:top w:val="nil"/>
              <w:left w:val="nil"/>
              <w:bottom w:val="nil"/>
              <w:right w:val="nil"/>
            </w:tcBorders>
            <w:vAlign w:val="bottom"/>
            <w:hideMark/>
          </w:tcPr>
          <w:p w14:paraId="37C2ABC0" w14:textId="77777777" w:rsidR="00992A45" w:rsidRPr="00BD7721" w:rsidRDefault="00992A45" w:rsidP="00D72A8C">
            <w:pPr>
              <w:pStyle w:val="Normal-pool-Table"/>
              <w:spacing w:after="30"/>
              <w:rPr>
                <w:lang w:val="en-GB"/>
              </w:rPr>
            </w:pPr>
            <w:r w:rsidRPr="00BD7721">
              <w:rPr>
                <w:lang w:val="en-GB"/>
              </w:rPr>
              <w:t>Deliverable 1 (d): a methodological assessment of the impact and dependence</w:t>
            </w:r>
            <w:bookmarkStart w:id="30" w:name="_heading=h.tyjcwt"/>
            <w:bookmarkEnd w:id="30"/>
            <w:r w:rsidRPr="00BD7721">
              <w:rPr>
                <w:lang w:val="en-GB"/>
              </w:rPr>
              <w:t xml:space="preserve"> of business on biodiversity and nature’s contributions to people (business and biodiversity assessment)</w:t>
            </w:r>
          </w:p>
        </w:tc>
        <w:tc>
          <w:tcPr>
            <w:tcW w:w="1550" w:type="dxa"/>
            <w:tcBorders>
              <w:top w:val="nil"/>
              <w:left w:val="nil"/>
              <w:bottom w:val="nil"/>
              <w:right w:val="nil"/>
            </w:tcBorders>
            <w:vAlign w:val="bottom"/>
            <w:hideMark/>
          </w:tcPr>
          <w:p w14:paraId="4243A81C" w14:textId="77777777" w:rsidR="00992A45" w:rsidRPr="00BD7721" w:rsidRDefault="00992A45" w:rsidP="00D72A8C">
            <w:pPr>
              <w:pStyle w:val="Normal-pool-Table"/>
              <w:spacing w:after="30"/>
              <w:jc w:val="right"/>
              <w:rPr>
                <w:lang w:val="en-GB"/>
              </w:rPr>
            </w:pPr>
            <w:r w:rsidRPr="00BD7721">
              <w:rPr>
                <w:lang w:val="en-GB"/>
              </w:rPr>
              <w:t>496 250</w:t>
            </w:r>
          </w:p>
        </w:tc>
        <w:tc>
          <w:tcPr>
            <w:tcW w:w="1416" w:type="dxa"/>
            <w:tcBorders>
              <w:top w:val="nil"/>
              <w:left w:val="nil"/>
              <w:bottom w:val="nil"/>
              <w:right w:val="nil"/>
            </w:tcBorders>
            <w:vAlign w:val="bottom"/>
            <w:hideMark/>
          </w:tcPr>
          <w:p w14:paraId="38951F53" w14:textId="77777777" w:rsidR="00992A45" w:rsidRPr="00BD7721" w:rsidRDefault="00992A45" w:rsidP="00D72A8C">
            <w:pPr>
              <w:pStyle w:val="Normal-pool-Table"/>
              <w:spacing w:after="30"/>
              <w:jc w:val="right"/>
              <w:rPr>
                <w:lang w:val="en-GB"/>
              </w:rPr>
            </w:pPr>
            <w:r w:rsidRPr="00BD7721">
              <w:rPr>
                <w:lang w:val="en-GB"/>
              </w:rPr>
              <w:t>458 750</w:t>
            </w:r>
          </w:p>
        </w:tc>
        <w:tc>
          <w:tcPr>
            <w:tcW w:w="1286" w:type="dxa"/>
            <w:tcBorders>
              <w:top w:val="nil"/>
              <w:left w:val="nil"/>
              <w:bottom w:val="nil"/>
              <w:right w:val="nil"/>
            </w:tcBorders>
            <w:vAlign w:val="bottom"/>
            <w:hideMark/>
          </w:tcPr>
          <w:p w14:paraId="4BDF953C" w14:textId="77777777" w:rsidR="00992A45" w:rsidRPr="00BD7721" w:rsidRDefault="00992A45" w:rsidP="00D72A8C">
            <w:pPr>
              <w:pStyle w:val="Normal-pool-Table"/>
              <w:spacing w:after="30"/>
              <w:jc w:val="right"/>
              <w:rPr>
                <w:lang w:val="en-GB"/>
              </w:rPr>
            </w:pPr>
            <w:r w:rsidRPr="00BD7721">
              <w:rPr>
                <w:lang w:val="en-GB"/>
              </w:rPr>
              <w:t>(37 500)</w:t>
            </w:r>
          </w:p>
        </w:tc>
      </w:tr>
      <w:tr w:rsidR="00992A45" w:rsidRPr="00BD7721" w14:paraId="1EA671B2" w14:textId="77777777" w:rsidTr="00D72A8C">
        <w:trPr>
          <w:trHeight w:val="57"/>
          <w:jc w:val="right"/>
        </w:trPr>
        <w:tc>
          <w:tcPr>
            <w:tcW w:w="5245" w:type="dxa"/>
            <w:tcBorders>
              <w:top w:val="nil"/>
              <w:left w:val="nil"/>
              <w:bottom w:val="nil"/>
              <w:right w:val="nil"/>
            </w:tcBorders>
            <w:vAlign w:val="bottom"/>
            <w:hideMark/>
          </w:tcPr>
          <w:p w14:paraId="7D354646" w14:textId="77777777" w:rsidR="00992A45" w:rsidRPr="00BD7721" w:rsidRDefault="00992A45" w:rsidP="00D72A8C">
            <w:pPr>
              <w:pStyle w:val="Normal-pool-Table"/>
              <w:spacing w:after="30"/>
              <w:rPr>
                <w:lang w:val="en-GB"/>
              </w:rPr>
            </w:pPr>
            <w:r w:rsidRPr="00BD7721">
              <w:rPr>
                <w:lang w:val="en-GB"/>
              </w:rPr>
              <w:t>Deliverable 1 (e): second global assessment of biodiversity and ecosystem services</w:t>
            </w:r>
          </w:p>
        </w:tc>
        <w:tc>
          <w:tcPr>
            <w:tcW w:w="1550" w:type="dxa"/>
            <w:tcBorders>
              <w:top w:val="nil"/>
              <w:left w:val="nil"/>
              <w:bottom w:val="nil"/>
              <w:right w:val="nil"/>
            </w:tcBorders>
            <w:vAlign w:val="bottom"/>
            <w:hideMark/>
          </w:tcPr>
          <w:p w14:paraId="7FD5E2DD" w14:textId="77777777" w:rsidR="00992A45" w:rsidRPr="00BD7721" w:rsidRDefault="00992A45" w:rsidP="00D72A8C">
            <w:pPr>
              <w:pStyle w:val="Normal-pool-Table"/>
              <w:spacing w:after="30"/>
              <w:jc w:val="right"/>
              <w:rPr>
                <w:lang w:val="en-GB"/>
              </w:rPr>
            </w:pPr>
            <w:r w:rsidRPr="00BD7721">
              <w:rPr>
                <w:lang w:val="en-GB"/>
              </w:rPr>
              <w:t>0</w:t>
            </w:r>
          </w:p>
        </w:tc>
        <w:tc>
          <w:tcPr>
            <w:tcW w:w="1416" w:type="dxa"/>
            <w:tcBorders>
              <w:top w:val="nil"/>
              <w:left w:val="nil"/>
              <w:bottom w:val="nil"/>
              <w:right w:val="nil"/>
            </w:tcBorders>
            <w:vAlign w:val="bottom"/>
            <w:hideMark/>
          </w:tcPr>
          <w:p w14:paraId="4B6D26CE" w14:textId="77777777" w:rsidR="00992A45" w:rsidRPr="00BD7721" w:rsidRDefault="00992A45" w:rsidP="00D72A8C">
            <w:pPr>
              <w:pStyle w:val="Normal-pool-Table"/>
              <w:spacing w:after="30"/>
              <w:jc w:val="right"/>
              <w:rPr>
                <w:lang w:val="en-GB"/>
              </w:rPr>
            </w:pPr>
            <w:r w:rsidRPr="00BD7721">
              <w:rPr>
                <w:lang w:val="en-GB"/>
              </w:rPr>
              <w:t>145 000</w:t>
            </w:r>
          </w:p>
        </w:tc>
        <w:tc>
          <w:tcPr>
            <w:tcW w:w="1286" w:type="dxa"/>
            <w:tcBorders>
              <w:top w:val="nil"/>
              <w:left w:val="nil"/>
              <w:bottom w:val="nil"/>
              <w:right w:val="nil"/>
            </w:tcBorders>
            <w:vAlign w:val="bottom"/>
            <w:hideMark/>
          </w:tcPr>
          <w:p w14:paraId="357683AE" w14:textId="77777777" w:rsidR="00992A45" w:rsidRPr="00BD7721" w:rsidRDefault="00992A45" w:rsidP="00D72A8C">
            <w:pPr>
              <w:pStyle w:val="Normal-pool-Table"/>
              <w:spacing w:after="30"/>
              <w:jc w:val="right"/>
              <w:rPr>
                <w:lang w:val="en-GB"/>
              </w:rPr>
            </w:pPr>
            <w:r w:rsidRPr="00BD7721">
              <w:rPr>
                <w:lang w:val="en-GB"/>
              </w:rPr>
              <w:t>145 000</w:t>
            </w:r>
          </w:p>
        </w:tc>
      </w:tr>
      <w:tr w:rsidR="00992A45" w:rsidRPr="00BD7721" w14:paraId="4A75B8F6" w14:textId="77777777" w:rsidTr="00D72A8C">
        <w:trPr>
          <w:trHeight w:val="57"/>
          <w:jc w:val="right"/>
        </w:trPr>
        <w:tc>
          <w:tcPr>
            <w:tcW w:w="5245" w:type="dxa"/>
            <w:tcBorders>
              <w:top w:val="nil"/>
              <w:left w:val="nil"/>
              <w:bottom w:val="single" w:sz="4" w:space="0" w:color="auto"/>
              <w:right w:val="nil"/>
            </w:tcBorders>
            <w:vAlign w:val="bottom"/>
            <w:hideMark/>
          </w:tcPr>
          <w:p w14:paraId="72647814" w14:textId="382B85A0" w:rsidR="00992A45" w:rsidRPr="00BD7721" w:rsidRDefault="00992A45" w:rsidP="00D72A8C">
            <w:pPr>
              <w:spacing w:before="40" w:after="30"/>
            </w:pPr>
            <w:r w:rsidRPr="00BD7721">
              <w:t>Deliverable 1 (f): first fast-track assessment (fast-track assessment</w:t>
            </w:r>
            <w:r w:rsidR="00D72A8C" w:rsidRPr="00BD7721">
              <w:t> </w:t>
            </w:r>
            <w:r w:rsidRPr="00BD7721">
              <w:t>(1))</w:t>
            </w:r>
          </w:p>
        </w:tc>
        <w:tc>
          <w:tcPr>
            <w:tcW w:w="1550" w:type="dxa"/>
            <w:tcBorders>
              <w:top w:val="nil"/>
              <w:left w:val="nil"/>
              <w:bottom w:val="single" w:sz="4" w:space="0" w:color="auto"/>
              <w:right w:val="nil"/>
            </w:tcBorders>
            <w:vAlign w:val="bottom"/>
            <w:hideMark/>
          </w:tcPr>
          <w:p w14:paraId="135F7CDF" w14:textId="77777777" w:rsidR="00992A45" w:rsidRPr="00BD7721" w:rsidRDefault="00992A45" w:rsidP="00D72A8C">
            <w:pPr>
              <w:pStyle w:val="Normal-pool-Table"/>
              <w:spacing w:after="30"/>
              <w:jc w:val="right"/>
              <w:rPr>
                <w:lang w:val="en-GB"/>
              </w:rPr>
            </w:pPr>
            <w:r w:rsidRPr="00BD7721">
              <w:rPr>
                <w:lang w:val="en-GB"/>
              </w:rPr>
              <w:t>0</w:t>
            </w:r>
          </w:p>
        </w:tc>
        <w:tc>
          <w:tcPr>
            <w:tcW w:w="1416" w:type="dxa"/>
            <w:tcBorders>
              <w:top w:val="nil"/>
              <w:left w:val="nil"/>
              <w:bottom w:val="single" w:sz="4" w:space="0" w:color="auto"/>
              <w:right w:val="nil"/>
            </w:tcBorders>
            <w:vAlign w:val="bottom"/>
            <w:hideMark/>
          </w:tcPr>
          <w:p w14:paraId="5146362D" w14:textId="77777777" w:rsidR="00992A45" w:rsidRPr="00BD7721" w:rsidRDefault="00992A45" w:rsidP="00D72A8C">
            <w:pPr>
              <w:pStyle w:val="Normal-pool-Table"/>
              <w:spacing w:after="30"/>
              <w:jc w:val="right"/>
              <w:rPr>
                <w:lang w:val="en-GB"/>
              </w:rPr>
            </w:pPr>
            <w:r w:rsidRPr="00BD7721">
              <w:rPr>
                <w:lang w:val="en-GB"/>
              </w:rPr>
              <w:t>352 500</w:t>
            </w:r>
          </w:p>
        </w:tc>
        <w:tc>
          <w:tcPr>
            <w:tcW w:w="1286" w:type="dxa"/>
            <w:tcBorders>
              <w:top w:val="nil"/>
              <w:left w:val="nil"/>
              <w:bottom w:val="single" w:sz="4" w:space="0" w:color="auto"/>
              <w:right w:val="nil"/>
            </w:tcBorders>
            <w:vAlign w:val="bottom"/>
            <w:hideMark/>
          </w:tcPr>
          <w:p w14:paraId="0D993AE9" w14:textId="77777777" w:rsidR="00992A45" w:rsidRPr="00BD7721" w:rsidRDefault="00992A45" w:rsidP="00D72A8C">
            <w:pPr>
              <w:pStyle w:val="Normal-pool-Table"/>
              <w:spacing w:after="30"/>
              <w:jc w:val="right"/>
              <w:rPr>
                <w:lang w:val="en-GB"/>
              </w:rPr>
            </w:pPr>
            <w:r w:rsidRPr="00BD7721">
              <w:rPr>
                <w:lang w:val="en-GB"/>
              </w:rPr>
              <w:t>352 500</w:t>
            </w:r>
          </w:p>
        </w:tc>
      </w:tr>
      <w:tr w:rsidR="00992A45" w:rsidRPr="00BD7721" w14:paraId="2CDB9CAA" w14:textId="77777777" w:rsidTr="00D72A8C">
        <w:trPr>
          <w:trHeight w:val="57"/>
          <w:jc w:val="right"/>
        </w:trPr>
        <w:tc>
          <w:tcPr>
            <w:tcW w:w="5245" w:type="dxa"/>
            <w:tcBorders>
              <w:top w:val="single" w:sz="4" w:space="0" w:color="auto"/>
              <w:left w:val="nil"/>
              <w:bottom w:val="single" w:sz="4" w:space="0" w:color="auto"/>
              <w:right w:val="nil"/>
            </w:tcBorders>
            <w:vAlign w:val="bottom"/>
            <w:hideMark/>
          </w:tcPr>
          <w:p w14:paraId="214597AD" w14:textId="77777777" w:rsidR="00992A45" w:rsidRPr="00BD7721" w:rsidRDefault="00992A45" w:rsidP="00D72A8C">
            <w:pPr>
              <w:pStyle w:val="Normal-pool-Table"/>
              <w:spacing w:after="30"/>
              <w:rPr>
                <w:b/>
                <w:lang w:val="en-GB"/>
              </w:rPr>
            </w:pPr>
            <w:r w:rsidRPr="00BD7721">
              <w:rPr>
                <w:b/>
                <w:lang w:val="en-GB"/>
              </w:rPr>
              <w:t>Objective 2: building capacity</w:t>
            </w:r>
          </w:p>
        </w:tc>
        <w:tc>
          <w:tcPr>
            <w:tcW w:w="1550" w:type="dxa"/>
            <w:tcBorders>
              <w:top w:val="single" w:sz="4" w:space="0" w:color="auto"/>
              <w:left w:val="nil"/>
              <w:bottom w:val="single" w:sz="4" w:space="0" w:color="auto"/>
              <w:right w:val="nil"/>
            </w:tcBorders>
            <w:vAlign w:val="bottom"/>
            <w:hideMark/>
          </w:tcPr>
          <w:p w14:paraId="05D88751" w14:textId="77777777" w:rsidR="00992A45" w:rsidRPr="00BD7721" w:rsidRDefault="00992A45" w:rsidP="00D72A8C">
            <w:pPr>
              <w:pStyle w:val="Normal-pool-Table"/>
              <w:spacing w:after="30"/>
              <w:jc w:val="right"/>
              <w:rPr>
                <w:b/>
                <w:lang w:val="en-GB"/>
              </w:rPr>
            </w:pPr>
            <w:r w:rsidRPr="00BD7721">
              <w:rPr>
                <w:b/>
                <w:lang w:val="en-GB"/>
              </w:rPr>
              <w:t>503 000</w:t>
            </w:r>
          </w:p>
        </w:tc>
        <w:tc>
          <w:tcPr>
            <w:tcW w:w="1416" w:type="dxa"/>
            <w:tcBorders>
              <w:top w:val="single" w:sz="4" w:space="0" w:color="auto"/>
              <w:left w:val="nil"/>
              <w:bottom w:val="single" w:sz="4" w:space="0" w:color="auto"/>
              <w:right w:val="nil"/>
            </w:tcBorders>
            <w:vAlign w:val="bottom"/>
            <w:hideMark/>
          </w:tcPr>
          <w:p w14:paraId="5ECBDC21" w14:textId="77777777" w:rsidR="00992A45" w:rsidRPr="00BD7721" w:rsidRDefault="00992A45" w:rsidP="00D72A8C">
            <w:pPr>
              <w:pStyle w:val="Normal-pool-Table"/>
              <w:spacing w:after="30"/>
              <w:jc w:val="right"/>
              <w:rPr>
                <w:b/>
                <w:lang w:val="en-GB"/>
              </w:rPr>
            </w:pPr>
            <w:r w:rsidRPr="00BD7721">
              <w:rPr>
                <w:b/>
                <w:lang w:val="en-GB"/>
              </w:rPr>
              <w:t>554 250</w:t>
            </w:r>
          </w:p>
        </w:tc>
        <w:tc>
          <w:tcPr>
            <w:tcW w:w="1286" w:type="dxa"/>
            <w:tcBorders>
              <w:top w:val="single" w:sz="4" w:space="0" w:color="auto"/>
              <w:left w:val="nil"/>
              <w:bottom w:val="single" w:sz="4" w:space="0" w:color="auto"/>
              <w:right w:val="nil"/>
            </w:tcBorders>
            <w:vAlign w:val="bottom"/>
            <w:hideMark/>
          </w:tcPr>
          <w:p w14:paraId="4DC8D68C" w14:textId="77777777" w:rsidR="00992A45" w:rsidRPr="00BD7721" w:rsidRDefault="00992A45" w:rsidP="00D72A8C">
            <w:pPr>
              <w:pStyle w:val="Normal-pool-Table"/>
              <w:spacing w:after="30"/>
              <w:jc w:val="right"/>
              <w:rPr>
                <w:b/>
                <w:lang w:val="en-GB"/>
              </w:rPr>
            </w:pPr>
            <w:r w:rsidRPr="00BD7721">
              <w:rPr>
                <w:b/>
                <w:lang w:val="en-GB"/>
              </w:rPr>
              <w:t>51 250</w:t>
            </w:r>
          </w:p>
        </w:tc>
      </w:tr>
      <w:tr w:rsidR="00992A45" w:rsidRPr="00BD7721" w14:paraId="6C3423BD" w14:textId="77777777" w:rsidTr="00D72A8C">
        <w:trPr>
          <w:trHeight w:val="57"/>
          <w:jc w:val="right"/>
        </w:trPr>
        <w:tc>
          <w:tcPr>
            <w:tcW w:w="5245" w:type="dxa"/>
            <w:tcBorders>
              <w:top w:val="single" w:sz="4" w:space="0" w:color="auto"/>
              <w:left w:val="nil"/>
              <w:bottom w:val="single" w:sz="4" w:space="0" w:color="auto"/>
              <w:right w:val="nil"/>
            </w:tcBorders>
            <w:vAlign w:val="bottom"/>
            <w:hideMark/>
          </w:tcPr>
          <w:p w14:paraId="0015FD81" w14:textId="77777777" w:rsidR="00992A45" w:rsidRPr="00BD7721" w:rsidRDefault="00992A45" w:rsidP="00D72A8C">
            <w:pPr>
              <w:pStyle w:val="Normal-pool-Table"/>
              <w:spacing w:after="30"/>
              <w:rPr>
                <w:lang w:val="en-GB"/>
              </w:rPr>
            </w:pPr>
            <w:r w:rsidRPr="00BD7721">
              <w:rPr>
                <w:lang w:val="en-GB"/>
              </w:rPr>
              <w:t xml:space="preserve">Objective 2 (a): enhanced learning and engagement; objective 2 (b): facilitated access to expertise and information; and objective 2 (c): strengthened national and regional capacities </w:t>
            </w:r>
          </w:p>
        </w:tc>
        <w:tc>
          <w:tcPr>
            <w:tcW w:w="1550" w:type="dxa"/>
            <w:tcBorders>
              <w:top w:val="single" w:sz="4" w:space="0" w:color="auto"/>
              <w:left w:val="nil"/>
              <w:bottom w:val="single" w:sz="4" w:space="0" w:color="auto"/>
              <w:right w:val="nil"/>
            </w:tcBorders>
            <w:vAlign w:val="bottom"/>
            <w:hideMark/>
          </w:tcPr>
          <w:p w14:paraId="66AAE5DF" w14:textId="77777777" w:rsidR="00992A45" w:rsidRPr="00BD7721" w:rsidRDefault="00992A45" w:rsidP="00D72A8C">
            <w:pPr>
              <w:pStyle w:val="Normal-pool-Table"/>
              <w:spacing w:after="30"/>
              <w:jc w:val="right"/>
              <w:rPr>
                <w:lang w:val="en-GB"/>
              </w:rPr>
            </w:pPr>
            <w:r w:rsidRPr="00BD7721">
              <w:rPr>
                <w:lang w:val="en-GB"/>
              </w:rPr>
              <w:t>503 000</w:t>
            </w:r>
          </w:p>
        </w:tc>
        <w:tc>
          <w:tcPr>
            <w:tcW w:w="1416" w:type="dxa"/>
            <w:tcBorders>
              <w:top w:val="single" w:sz="4" w:space="0" w:color="auto"/>
              <w:left w:val="nil"/>
              <w:bottom w:val="single" w:sz="4" w:space="0" w:color="auto"/>
              <w:right w:val="nil"/>
            </w:tcBorders>
            <w:vAlign w:val="bottom"/>
            <w:hideMark/>
          </w:tcPr>
          <w:p w14:paraId="45419C11" w14:textId="77777777" w:rsidR="00992A45" w:rsidRPr="00BD7721" w:rsidRDefault="00992A45" w:rsidP="00D72A8C">
            <w:pPr>
              <w:pStyle w:val="Normal-pool-Table"/>
              <w:spacing w:after="30"/>
              <w:jc w:val="right"/>
              <w:rPr>
                <w:lang w:val="en-GB"/>
              </w:rPr>
            </w:pPr>
            <w:r w:rsidRPr="00BD7721">
              <w:rPr>
                <w:lang w:val="en-GB"/>
              </w:rPr>
              <w:t>554 250</w:t>
            </w:r>
          </w:p>
        </w:tc>
        <w:tc>
          <w:tcPr>
            <w:tcW w:w="1286" w:type="dxa"/>
            <w:tcBorders>
              <w:top w:val="single" w:sz="4" w:space="0" w:color="auto"/>
              <w:left w:val="nil"/>
              <w:bottom w:val="single" w:sz="4" w:space="0" w:color="auto"/>
              <w:right w:val="nil"/>
            </w:tcBorders>
            <w:vAlign w:val="bottom"/>
            <w:hideMark/>
          </w:tcPr>
          <w:p w14:paraId="010D098D" w14:textId="77777777" w:rsidR="00992A45" w:rsidRPr="00BD7721" w:rsidRDefault="00992A45" w:rsidP="00D72A8C">
            <w:pPr>
              <w:pStyle w:val="Normal-pool-Table"/>
              <w:spacing w:after="30"/>
              <w:jc w:val="right"/>
              <w:rPr>
                <w:lang w:val="en-GB"/>
              </w:rPr>
            </w:pPr>
            <w:r w:rsidRPr="00BD7721">
              <w:rPr>
                <w:lang w:val="en-GB"/>
              </w:rPr>
              <w:t>51 250</w:t>
            </w:r>
          </w:p>
        </w:tc>
      </w:tr>
      <w:tr w:rsidR="00992A45" w:rsidRPr="00BD7721" w14:paraId="1890787C" w14:textId="77777777" w:rsidTr="00D72A8C">
        <w:trPr>
          <w:trHeight w:val="57"/>
          <w:jc w:val="right"/>
        </w:trPr>
        <w:tc>
          <w:tcPr>
            <w:tcW w:w="5245" w:type="dxa"/>
            <w:tcBorders>
              <w:top w:val="single" w:sz="4" w:space="0" w:color="auto"/>
              <w:left w:val="nil"/>
              <w:bottom w:val="single" w:sz="4" w:space="0" w:color="auto"/>
              <w:right w:val="nil"/>
            </w:tcBorders>
            <w:vAlign w:val="bottom"/>
            <w:hideMark/>
          </w:tcPr>
          <w:p w14:paraId="274BE85F" w14:textId="77777777" w:rsidR="00992A45" w:rsidRPr="00BD7721" w:rsidRDefault="00992A45" w:rsidP="00D72A8C">
            <w:pPr>
              <w:pStyle w:val="Normal-pool-Table"/>
              <w:spacing w:after="30"/>
              <w:rPr>
                <w:b/>
                <w:lang w:val="en-GB"/>
              </w:rPr>
            </w:pPr>
            <w:r w:rsidRPr="00BD7721">
              <w:rPr>
                <w:b/>
                <w:lang w:val="en-GB"/>
              </w:rPr>
              <w:t>Objective 3: strengthening the knowledge foundations</w:t>
            </w:r>
          </w:p>
        </w:tc>
        <w:tc>
          <w:tcPr>
            <w:tcW w:w="1550" w:type="dxa"/>
            <w:tcBorders>
              <w:top w:val="single" w:sz="4" w:space="0" w:color="auto"/>
              <w:left w:val="nil"/>
              <w:bottom w:val="single" w:sz="4" w:space="0" w:color="auto"/>
              <w:right w:val="nil"/>
            </w:tcBorders>
            <w:vAlign w:val="bottom"/>
            <w:hideMark/>
          </w:tcPr>
          <w:p w14:paraId="261E5A4E" w14:textId="77777777" w:rsidR="00992A45" w:rsidRPr="00BD7721" w:rsidRDefault="00992A45" w:rsidP="00D72A8C">
            <w:pPr>
              <w:pStyle w:val="Normal-pool-Table"/>
              <w:spacing w:after="30"/>
              <w:jc w:val="right"/>
              <w:rPr>
                <w:b/>
                <w:lang w:val="en-GB"/>
              </w:rPr>
            </w:pPr>
            <w:r w:rsidRPr="00BD7721">
              <w:rPr>
                <w:b/>
                <w:lang w:val="en-GB"/>
              </w:rPr>
              <w:t>558 000</w:t>
            </w:r>
          </w:p>
        </w:tc>
        <w:tc>
          <w:tcPr>
            <w:tcW w:w="1416" w:type="dxa"/>
            <w:tcBorders>
              <w:top w:val="single" w:sz="4" w:space="0" w:color="auto"/>
              <w:left w:val="nil"/>
              <w:bottom w:val="single" w:sz="4" w:space="0" w:color="auto"/>
              <w:right w:val="nil"/>
            </w:tcBorders>
            <w:vAlign w:val="bottom"/>
            <w:hideMark/>
          </w:tcPr>
          <w:p w14:paraId="757B3B59" w14:textId="77777777" w:rsidR="00992A45" w:rsidRPr="00BD7721" w:rsidRDefault="00992A45" w:rsidP="00D72A8C">
            <w:pPr>
              <w:pStyle w:val="Normal-pool-Table"/>
              <w:spacing w:after="30"/>
              <w:jc w:val="right"/>
              <w:rPr>
                <w:b/>
                <w:lang w:val="en-GB"/>
              </w:rPr>
            </w:pPr>
            <w:r w:rsidRPr="00BD7721">
              <w:rPr>
                <w:b/>
                <w:lang w:val="en-GB"/>
              </w:rPr>
              <w:t>748 000</w:t>
            </w:r>
          </w:p>
        </w:tc>
        <w:tc>
          <w:tcPr>
            <w:tcW w:w="1286" w:type="dxa"/>
            <w:tcBorders>
              <w:top w:val="single" w:sz="4" w:space="0" w:color="auto"/>
              <w:left w:val="nil"/>
              <w:bottom w:val="single" w:sz="4" w:space="0" w:color="auto"/>
              <w:right w:val="nil"/>
            </w:tcBorders>
            <w:vAlign w:val="bottom"/>
            <w:hideMark/>
          </w:tcPr>
          <w:p w14:paraId="13A0BD72" w14:textId="77777777" w:rsidR="00992A45" w:rsidRPr="00BD7721" w:rsidRDefault="00992A45" w:rsidP="00D72A8C">
            <w:pPr>
              <w:pStyle w:val="Normal-pool-Table"/>
              <w:spacing w:after="30"/>
              <w:jc w:val="right"/>
              <w:rPr>
                <w:b/>
                <w:lang w:val="en-GB"/>
              </w:rPr>
            </w:pPr>
            <w:r w:rsidRPr="00BD7721">
              <w:rPr>
                <w:b/>
                <w:lang w:val="en-GB"/>
              </w:rPr>
              <w:t>190 000</w:t>
            </w:r>
          </w:p>
        </w:tc>
      </w:tr>
      <w:tr w:rsidR="00992A45" w:rsidRPr="00BD7721" w14:paraId="4D1E3EBD" w14:textId="77777777" w:rsidTr="00D72A8C">
        <w:trPr>
          <w:trHeight w:val="57"/>
          <w:jc w:val="right"/>
        </w:trPr>
        <w:tc>
          <w:tcPr>
            <w:tcW w:w="5245" w:type="dxa"/>
            <w:tcBorders>
              <w:top w:val="single" w:sz="4" w:space="0" w:color="auto"/>
              <w:left w:val="nil"/>
              <w:bottom w:val="nil"/>
              <w:right w:val="nil"/>
            </w:tcBorders>
            <w:vAlign w:val="bottom"/>
            <w:hideMark/>
          </w:tcPr>
          <w:p w14:paraId="796AFE1E" w14:textId="77777777" w:rsidR="00992A45" w:rsidRPr="00BD7721" w:rsidRDefault="00992A45" w:rsidP="00D72A8C">
            <w:pPr>
              <w:pStyle w:val="Normal-pool-Table"/>
              <w:spacing w:after="30"/>
              <w:rPr>
                <w:lang w:val="en-GB"/>
              </w:rPr>
            </w:pPr>
            <w:r w:rsidRPr="00BD7721">
              <w:rPr>
                <w:lang w:val="en-GB"/>
              </w:rPr>
              <w:t>Objective 3 (a): advanced work on knowledge and data</w:t>
            </w:r>
          </w:p>
        </w:tc>
        <w:tc>
          <w:tcPr>
            <w:tcW w:w="1550" w:type="dxa"/>
            <w:tcBorders>
              <w:top w:val="single" w:sz="4" w:space="0" w:color="auto"/>
              <w:left w:val="nil"/>
              <w:bottom w:val="nil"/>
              <w:right w:val="nil"/>
            </w:tcBorders>
            <w:vAlign w:val="bottom"/>
            <w:hideMark/>
          </w:tcPr>
          <w:p w14:paraId="18A3B345" w14:textId="77777777" w:rsidR="00992A45" w:rsidRPr="00BD7721" w:rsidRDefault="00992A45" w:rsidP="00D72A8C">
            <w:pPr>
              <w:pStyle w:val="Normal-pool-Table"/>
              <w:spacing w:after="30"/>
              <w:jc w:val="right"/>
              <w:rPr>
                <w:lang w:val="en-GB"/>
              </w:rPr>
            </w:pPr>
            <w:r w:rsidRPr="00BD7721">
              <w:rPr>
                <w:lang w:val="en-GB"/>
              </w:rPr>
              <w:t>303 000</w:t>
            </w:r>
          </w:p>
        </w:tc>
        <w:tc>
          <w:tcPr>
            <w:tcW w:w="1416" w:type="dxa"/>
            <w:tcBorders>
              <w:top w:val="single" w:sz="4" w:space="0" w:color="auto"/>
              <w:left w:val="nil"/>
              <w:bottom w:val="nil"/>
              <w:right w:val="nil"/>
            </w:tcBorders>
            <w:vAlign w:val="bottom"/>
            <w:hideMark/>
          </w:tcPr>
          <w:p w14:paraId="5B2126F8" w14:textId="77777777" w:rsidR="00992A45" w:rsidRPr="00BD7721" w:rsidRDefault="00992A45" w:rsidP="00D72A8C">
            <w:pPr>
              <w:pStyle w:val="Normal-pool-Table"/>
              <w:spacing w:after="30"/>
              <w:jc w:val="right"/>
              <w:rPr>
                <w:lang w:val="en-GB"/>
              </w:rPr>
            </w:pPr>
            <w:r w:rsidRPr="00BD7721">
              <w:rPr>
                <w:lang w:val="en-GB"/>
              </w:rPr>
              <w:t>356 000</w:t>
            </w:r>
          </w:p>
        </w:tc>
        <w:tc>
          <w:tcPr>
            <w:tcW w:w="1286" w:type="dxa"/>
            <w:tcBorders>
              <w:top w:val="single" w:sz="4" w:space="0" w:color="auto"/>
              <w:left w:val="nil"/>
              <w:bottom w:val="nil"/>
              <w:right w:val="nil"/>
            </w:tcBorders>
            <w:vAlign w:val="bottom"/>
            <w:hideMark/>
          </w:tcPr>
          <w:p w14:paraId="21E0EE2F" w14:textId="77777777" w:rsidR="00992A45" w:rsidRPr="00BD7721" w:rsidRDefault="00992A45" w:rsidP="00D72A8C">
            <w:pPr>
              <w:pStyle w:val="Normal-pool-Table"/>
              <w:spacing w:after="30"/>
              <w:jc w:val="right"/>
              <w:rPr>
                <w:lang w:val="en-GB"/>
              </w:rPr>
            </w:pPr>
            <w:r w:rsidRPr="00BD7721">
              <w:rPr>
                <w:lang w:val="en-GB"/>
              </w:rPr>
              <w:t>53 000</w:t>
            </w:r>
          </w:p>
        </w:tc>
      </w:tr>
      <w:tr w:rsidR="00992A45" w:rsidRPr="00BD7721" w14:paraId="6C13B2D0" w14:textId="77777777" w:rsidTr="00D72A8C">
        <w:trPr>
          <w:trHeight w:val="57"/>
          <w:jc w:val="right"/>
        </w:trPr>
        <w:tc>
          <w:tcPr>
            <w:tcW w:w="5245" w:type="dxa"/>
            <w:tcBorders>
              <w:top w:val="nil"/>
              <w:left w:val="nil"/>
              <w:bottom w:val="single" w:sz="4" w:space="0" w:color="auto"/>
              <w:right w:val="nil"/>
            </w:tcBorders>
            <w:vAlign w:val="bottom"/>
            <w:hideMark/>
          </w:tcPr>
          <w:p w14:paraId="1C59C54F" w14:textId="77777777" w:rsidR="00992A45" w:rsidRPr="00BD7721" w:rsidRDefault="00992A45" w:rsidP="00D72A8C">
            <w:pPr>
              <w:pStyle w:val="Normal-pool-Table"/>
              <w:spacing w:after="30"/>
              <w:rPr>
                <w:lang w:val="en-GB"/>
              </w:rPr>
            </w:pPr>
            <w:r w:rsidRPr="00BD7721">
              <w:rPr>
                <w:lang w:val="en-GB"/>
              </w:rPr>
              <w:t>Objective 3 (b): enhanced recognition of and work with Indigenous and local knowledge systems</w:t>
            </w:r>
          </w:p>
        </w:tc>
        <w:tc>
          <w:tcPr>
            <w:tcW w:w="1550" w:type="dxa"/>
            <w:tcBorders>
              <w:top w:val="nil"/>
              <w:left w:val="nil"/>
              <w:bottom w:val="single" w:sz="4" w:space="0" w:color="auto"/>
              <w:right w:val="nil"/>
            </w:tcBorders>
            <w:vAlign w:val="bottom"/>
            <w:hideMark/>
          </w:tcPr>
          <w:p w14:paraId="3AF329B6" w14:textId="77777777" w:rsidR="00992A45" w:rsidRPr="00BD7721" w:rsidRDefault="00992A45" w:rsidP="00D72A8C">
            <w:pPr>
              <w:pStyle w:val="Normal-pool-Table"/>
              <w:spacing w:after="30"/>
              <w:jc w:val="right"/>
              <w:rPr>
                <w:lang w:val="en-GB"/>
              </w:rPr>
            </w:pPr>
            <w:r w:rsidRPr="00BD7721">
              <w:rPr>
                <w:lang w:val="en-GB"/>
              </w:rPr>
              <w:t>255 000</w:t>
            </w:r>
          </w:p>
        </w:tc>
        <w:tc>
          <w:tcPr>
            <w:tcW w:w="1416" w:type="dxa"/>
            <w:tcBorders>
              <w:top w:val="nil"/>
              <w:left w:val="nil"/>
              <w:bottom w:val="single" w:sz="4" w:space="0" w:color="auto"/>
              <w:right w:val="nil"/>
            </w:tcBorders>
            <w:vAlign w:val="bottom"/>
            <w:hideMark/>
          </w:tcPr>
          <w:p w14:paraId="1D9405EF" w14:textId="77777777" w:rsidR="00992A45" w:rsidRPr="00BD7721" w:rsidRDefault="00992A45" w:rsidP="00D72A8C">
            <w:pPr>
              <w:pStyle w:val="Normal-pool-Table"/>
              <w:spacing w:after="30"/>
              <w:jc w:val="right"/>
              <w:rPr>
                <w:lang w:val="en-GB"/>
              </w:rPr>
            </w:pPr>
            <w:r w:rsidRPr="00BD7721">
              <w:rPr>
                <w:lang w:val="en-GB"/>
              </w:rPr>
              <w:t>392 000</w:t>
            </w:r>
          </w:p>
        </w:tc>
        <w:tc>
          <w:tcPr>
            <w:tcW w:w="1286" w:type="dxa"/>
            <w:tcBorders>
              <w:top w:val="nil"/>
              <w:left w:val="nil"/>
              <w:bottom w:val="single" w:sz="4" w:space="0" w:color="auto"/>
              <w:right w:val="nil"/>
            </w:tcBorders>
            <w:vAlign w:val="bottom"/>
            <w:hideMark/>
          </w:tcPr>
          <w:p w14:paraId="52B45AFE" w14:textId="77777777" w:rsidR="00992A45" w:rsidRPr="00BD7721" w:rsidRDefault="00992A45" w:rsidP="00D72A8C">
            <w:pPr>
              <w:pStyle w:val="Normal-pool-Table"/>
              <w:spacing w:after="30"/>
              <w:jc w:val="right"/>
              <w:rPr>
                <w:lang w:val="en-GB"/>
              </w:rPr>
            </w:pPr>
            <w:r w:rsidRPr="00BD7721">
              <w:rPr>
                <w:lang w:val="en-GB"/>
              </w:rPr>
              <w:t>137 000</w:t>
            </w:r>
          </w:p>
        </w:tc>
      </w:tr>
      <w:tr w:rsidR="00E564DF" w:rsidRPr="00BD7721" w14:paraId="3B3A499C" w14:textId="77777777" w:rsidTr="00D72A8C">
        <w:trPr>
          <w:trHeight w:val="57"/>
          <w:jc w:val="right"/>
        </w:trPr>
        <w:tc>
          <w:tcPr>
            <w:tcW w:w="5245" w:type="dxa"/>
            <w:tcBorders>
              <w:top w:val="single" w:sz="4" w:space="0" w:color="auto"/>
              <w:left w:val="nil"/>
              <w:bottom w:val="single" w:sz="4" w:space="0" w:color="auto"/>
              <w:right w:val="nil"/>
            </w:tcBorders>
            <w:vAlign w:val="bottom"/>
          </w:tcPr>
          <w:p w14:paraId="335E5C5F" w14:textId="3FC2B2A8" w:rsidR="00E564DF" w:rsidRPr="00BD7721" w:rsidRDefault="00E564DF" w:rsidP="00D72A8C">
            <w:pPr>
              <w:pStyle w:val="Normal-pool-Table"/>
              <w:spacing w:after="30"/>
              <w:rPr>
                <w:b/>
                <w:lang w:val="en-GB"/>
              </w:rPr>
            </w:pPr>
            <w:r w:rsidRPr="00BD7721">
              <w:rPr>
                <w:b/>
                <w:lang w:val="en-GB"/>
              </w:rPr>
              <w:t>Objective 4: supporting policy</w:t>
            </w:r>
          </w:p>
        </w:tc>
        <w:tc>
          <w:tcPr>
            <w:tcW w:w="1550" w:type="dxa"/>
            <w:tcBorders>
              <w:top w:val="single" w:sz="4" w:space="0" w:color="auto"/>
              <w:left w:val="nil"/>
              <w:bottom w:val="single" w:sz="4" w:space="0" w:color="auto"/>
              <w:right w:val="nil"/>
            </w:tcBorders>
            <w:vAlign w:val="bottom"/>
          </w:tcPr>
          <w:p w14:paraId="460A8918" w14:textId="04A4A3F7" w:rsidR="00E564DF" w:rsidRPr="00BD7721" w:rsidRDefault="00E564DF" w:rsidP="00D72A8C">
            <w:pPr>
              <w:pStyle w:val="Normal-pool-Table"/>
              <w:spacing w:after="30"/>
              <w:jc w:val="right"/>
              <w:rPr>
                <w:b/>
                <w:lang w:val="en-GB"/>
              </w:rPr>
            </w:pPr>
            <w:r w:rsidRPr="00BD7721">
              <w:rPr>
                <w:b/>
                <w:lang w:val="en-GB"/>
              </w:rPr>
              <w:t>750 000</w:t>
            </w:r>
          </w:p>
        </w:tc>
        <w:tc>
          <w:tcPr>
            <w:tcW w:w="1416" w:type="dxa"/>
            <w:tcBorders>
              <w:top w:val="single" w:sz="4" w:space="0" w:color="auto"/>
              <w:left w:val="nil"/>
              <w:bottom w:val="single" w:sz="4" w:space="0" w:color="auto"/>
              <w:right w:val="nil"/>
            </w:tcBorders>
            <w:vAlign w:val="bottom"/>
          </w:tcPr>
          <w:p w14:paraId="1D3A3CBB" w14:textId="695DF6C4" w:rsidR="00E564DF" w:rsidRPr="00BD7721" w:rsidRDefault="00E564DF" w:rsidP="00D72A8C">
            <w:pPr>
              <w:pStyle w:val="Normal-pool-Table"/>
              <w:spacing w:after="30"/>
              <w:jc w:val="right"/>
              <w:rPr>
                <w:b/>
                <w:lang w:val="en-GB"/>
              </w:rPr>
            </w:pPr>
            <w:r w:rsidRPr="00BD7721">
              <w:rPr>
                <w:b/>
                <w:lang w:val="en-GB"/>
              </w:rPr>
              <w:t>437 000</w:t>
            </w:r>
          </w:p>
        </w:tc>
        <w:tc>
          <w:tcPr>
            <w:tcW w:w="1286" w:type="dxa"/>
            <w:tcBorders>
              <w:top w:val="single" w:sz="4" w:space="0" w:color="auto"/>
              <w:left w:val="nil"/>
              <w:bottom w:val="single" w:sz="4" w:space="0" w:color="auto"/>
              <w:right w:val="nil"/>
            </w:tcBorders>
            <w:vAlign w:val="bottom"/>
          </w:tcPr>
          <w:p w14:paraId="5E3891B2" w14:textId="10B0CABA" w:rsidR="00E564DF" w:rsidRPr="00BD7721" w:rsidRDefault="00E564DF" w:rsidP="00D72A8C">
            <w:pPr>
              <w:pStyle w:val="Normal-pool-Table"/>
              <w:spacing w:after="30"/>
              <w:jc w:val="right"/>
              <w:rPr>
                <w:b/>
                <w:lang w:val="en-GB"/>
              </w:rPr>
            </w:pPr>
            <w:r w:rsidRPr="00BD7721">
              <w:rPr>
                <w:b/>
                <w:lang w:val="en-GB"/>
              </w:rPr>
              <w:t>(313 000)</w:t>
            </w:r>
          </w:p>
        </w:tc>
      </w:tr>
      <w:tr w:rsidR="00992A45" w:rsidRPr="00BD7721" w14:paraId="02DEE1B4" w14:textId="77777777" w:rsidTr="00D72A8C">
        <w:trPr>
          <w:trHeight w:val="57"/>
          <w:jc w:val="right"/>
        </w:trPr>
        <w:tc>
          <w:tcPr>
            <w:tcW w:w="5245" w:type="dxa"/>
            <w:tcBorders>
              <w:top w:val="single" w:sz="4" w:space="0" w:color="auto"/>
              <w:left w:val="nil"/>
              <w:bottom w:val="nil"/>
              <w:right w:val="nil"/>
            </w:tcBorders>
            <w:vAlign w:val="bottom"/>
            <w:hideMark/>
          </w:tcPr>
          <w:p w14:paraId="3B75DD97" w14:textId="77777777" w:rsidR="00992A45" w:rsidRPr="00BD7721" w:rsidRDefault="00992A45" w:rsidP="00D72A8C">
            <w:pPr>
              <w:pStyle w:val="Normal-pool-Table"/>
              <w:spacing w:after="30"/>
              <w:rPr>
                <w:bCs/>
                <w:lang w:val="en-GB"/>
              </w:rPr>
            </w:pPr>
            <w:r w:rsidRPr="00BD7721">
              <w:rPr>
                <w:bCs/>
                <w:lang w:val="en-GB"/>
              </w:rPr>
              <w:t>Objective 4 (a): advanced work on policy instruments, policy support tools and methodologies</w:t>
            </w:r>
          </w:p>
        </w:tc>
        <w:tc>
          <w:tcPr>
            <w:tcW w:w="1550" w:type="dxa"/>
            <w:tcBorders>
              <w:top w:val="single" w:sz="4" w:space="0" w:color="auto"/>
              <w:left w:val="nil"/>
              <w:bottom w:val="nil"/>
              <w:right w:val="nil"/>
            </w:tcBorders>
            <w:vAlign w:val="bottom"/>
            <w:hideMark/>
          </w:tcPr>
          <w:p w14:paraId="50EBC012" w14:textId="77777777" w:rsidR="00992A45" w:rsidRPr="00BD7721" w:rsidRDefault="00992A45" w:rsidP="00D72A8C">
            <w:pPr>
              <w:pStyle w:val="Normal-pool-Table"/>
              <w:spacing w:after="30"/>
              <w:jc w:val="right"/>
              <w:rPr>
                <w:bCs/>
                <w:lang w:val="en-GB"/>
              </w:rPr>
            </w:pPr>
            <w:r w:rsidRPr="00BD7721">
              <w:rPr>
                <w:bCs/>
                <w:lang w:val="en-GB"/>
              </w:rPr>
              <w:t>244 000</w:t>
            </w:r>
          </w:p>
        </w:tc>
        <w:tc>
          <w:tcPr>
            <w:tcW w:w="1416" w:type="dxa"/>
            <w:tcBorders>
              <w:top w:val="single" w:sz="4" w:space="0" w:color="auto"/>
              <w:left w:val="nil"/>
              <w:bottom w:val="nil"/>
              <w:right w:val="nil"/>
            </w:tcBorders>
            <w:vAlign w:val="bottom"/>
            <w:hideMark/>
          </w:tcPr>
          <w:p w14:paraId="13D61D40" w14:textId="77777777" w:rsidR="00992A45" w:rsidRPr="00BD7721" w:rsidRDefault="00992A45" w:rsidP="00D72A8C">
            <w:pPr>
              <w:pStyle w:val="Normal-pool-Table"/>
              <w:spacing w:after="30"/>
              <w:jc w:val="right"/>
              <w:rPr>
                <w:bCs/>
                <w:lang w:val="en-GB"/>
              </w:rPr>
            </w:pPr>
            <w:r w:rsidRPr="00BD7721">
              <w:rPr>
                <w:bCs/>
                <w:lang w:val="en-GB"/>
              </w:rPr>
              <w:t>170 000</w:t>
            </w:r>
          </w:p>
        </w:tc>
        <w:tc>
          <w:tcPr>
            <w:tcW w:w="1286" w:type="dxa"/>
            <w:tcBorders>
              <w:top w:val="single" w:sz="4" w:space="0" w:color="auto"/>
              <w:left w:val="nil"/>
              <w:bottom w:val="nil"/>
              <w:right w:val="nil"/>
            </w:tcBorders>
            <w:vAlign w:val="bottom"/>
            <w:hideMark/>
          </w:tcPr>
          <w:p w14:paraId="0C39076F" w14:textId="77777777" w:rsidR="00992A45" w:rsidRPr="00BD7721" w:rsidRDefault="00992A45" w:rsidP="00D72A8C">
            <w:pPr>
              <w:pStyle w:val="Normal-pool-Table"/>
              <w:spacing w:after="30"/>
              <w:jc w:val="right"/>
              <w:rPr>
                <w:b/>
                <w:lang w:val="en-GB"/>
              </w:rPr>
            </w:pPr>
            <w:r w:rsidRPr="00BD7721">
              <w:rPr>
                <w:b/>
                <w:lang w:val="en-GB"/>
              </w:rPr>
              <w:t>(74 000)</w:t>
            </w:r>
          </w:p>
        </w:tc>
      </w:tr>
      <w:tr w:rsidR="00992A45" w:rsidRPr="00BD7721" w14:paraId="2E5ABE1A" w14:textId="77777777" w:rsidTr="00D72A8C">
        <w:trPr>
          <w:trHeight w:val="57"/>
          <w:jc w:val="right"/>
        </w:trPr>
        <w:tc>
          <w:tcPr>
            <w:tcW w:w="5245" w:type="dxa"/>
            <w:tcBorders>
              <w:top w:val="nil"/>
              <w:left w:val="nil"/>
              <w:bottom w:val="nil"/>
              <w:right w:val="nil"/>
            </w:tcBorders>
            <w:vAlign w:val="bottom"/>
            <w:hideMark/>
          </w:tcPr>
          <w:p w14:paraId="3B856898" w14:textId="77777777" w:rsidR="00992A45" w:rsidRPr="00BD7721" w:rsidRDefault="00992A45" w:rsidP="00D72A8C">
            <w:pPr>
              <w:pStyle w:val="Normal-pool-Table"/>
              <w:spacing w:after="30"/>
              <w:rPr>
                <w:lang w:val="en-GB"/>
              </w:rPr>
            </w:pPr>
            <w:r w:rsidRPr="00BD7721">
              <w:rPr>
                <w:lang w:val="en-GB"/>
              </w:rPr>
              <w:t xml:space="preserve">Objective 4 (b): advanced work on scenarios and models of biodiversity and ecosystem functions and services </w:t>
            </w:r>
          </w:p>
        </w:tc>
        <w:tc>
          <w:tcPr>
            <w:tcW w:w="1550" w:type="dxa"/>
            <w:tcBorders>
              <w:top w:val="nil"/>
              <w:left w:val="nil"/>
              <w:bottom w:val="nil"/>
              <w:right w:val="nil"/>
            </w:tcBorders>
            <w:vAlign w:val="bottom"/>
            <w:hideMark/>
          </w:tcPr>
          <w:p w14:paraId="080A5D86" w14:textId="77777777" w:rsidR="00992A45" w:rsidRPr="00BD7721" w:rsidRDefault="00992A45" w:rsidP="00D72A8C">
            <w:pPr>
              <w:pStyle w:val="Normal-pool-Table"/>
              <w:spacing w:after="30"/>
              <w:jc w:val="right"/>
              <w:rPr>
                <w:lang w:val="en-GB"/>
              </w:rPr>
            </w:pPr>
            <w:r w:rsidRPr="00BD7721">
              <w:rPr>
                <w:lang w:val="en-GB"/>
              </w:rPr>
              <w:t>271 000</w:t>
            </w:r>
          </w:p>
        </w:tc>
        <w:tc>
          <w:tcPr>
            <w:tcW w:w="1416" w:type="dxa"/>
            <w:tcBorders>
              <w:top w:val="nil"/>
              <w:left w:val="nil"/>
              <w:bottom w:val="nil"/>
              <w:right w:val="nil"/>
            </w:tcBorders>
            <w:vAlign w:val="bottom"/>
            <w:hideMark/>
          </w:tcPr>
          <w:p w14:paraId="10B2A10B" w14:textId="77777777" w:rsidR="00992A45" w:rsidRPr="00BD7721" w:rsidRDefault="00992A45" w:rsidP="00D72A8C">
            <w:pPr>
              <w:pStyle w:val="Normal-pool-Table"/>
              <w:spacing w:after="30"/>
              <w:jc w:val="right"/>
              <w:rPr>
                <w:lang w:val="en-GB"/>
              </w:rPr>
            </w:pPr>
            <w:r w:rsidRPr="00BD7721">
              <w:rPr>
                <w:lang w:val="en-GB"/>
              </w:rPr>
              <w:t>267 000</w:t>
            </w:r>
          </w:p>
        </w:tc>
        <w:tc>
          <w:tcPr>
            <w:tcW w:w="1286" w:type="dxa"/>
            <w:tcBorders>
              <w:top w:val="nil"/>
              <w:left w:val="nil"/>
              <w:bottom w:val="nil"/>
              <w:right w:val="nil"/>
            </w:tcBorders>
            <w:vAlign w:val="bottom"/>
            <w:hideMark/>
          </w:tcPr>
          <w:p w14:paraId="2FD8E1CA" w14:textId="77777777" w:rsidR="00992A45" w:rsidRPr="00BD7721" w:rsidRDefault="00992A45" w:rsidP="00D72A8C">
            <w:pPr>
              <w:pStyle w:val="Normal-pool-Table"/>
              <w:spacing w:after="30"/>
              <w:jc w:val="right"/>
              <w:rPr>
                <w:lang w:val="en-GB"/>
              </w:rPr>
            </w:pPr>
            <w:r w:rsidRPr="00BD7721">
              <w:rPr>
                <w:lang w:val="en-GB"/>
              </w:rPr>
              <w:t>(4 000)</w:t>
            </w:r>
          </w:p>
        </w:tc>
      </w:tr>
      <w:tr w:rsidR="00992A45" w:rsidRPr="00BD7721" w14:paraId="785CA162" w14:textId="77777777" w:rsidTr="00D72A8C">
        <w:trPr>
          <w:trHeight w:val="57"/>
          <w:jc w:val="right"/>
        </w:trPr>
        <w:tc>
          <w:tcPr>
            <w:tcW w:w="5245" w:type="dxa"/>
            <w:tcBorders>
              <w:top w:val="nil"/>
              <w:left w:val="nil"/>
              <w:bottom w:val="single" w:sz="4" w:space="0" w:color="auto"/>
              <w:right w:val="nil"/>
            </w:tcBorders>
            <w:vAlign w:val="bottom"/>
            <w:hideMark/>
          </w:tcPr>
          <w:p w14:paraId="6A3BBC5E" w14:textId="77777777" w:rsidR="00992A45" w:rsidRPr="00BD7721" w:rsidRDefault="00992A45" w:rsidP="00D72A8C">
            <w:pPr>
              <w:pStyle w:val="Normal-pool-Table"/>
              <w:spacing w:after="30"/>
              <w:rPr>
                <w:lang w:val="en-GB"/>
              </w:rPr>
            </w:pPr>
            <w:r w:rsidRPr="00BD7721">
              <w:rPr>
                <w:lang w:val="en-GB"/>
              </w:rPr>
              <w:t>Objective 4 (c): advanced work on multiple values</w:t>
            </w:r>
          </w:p>
        </w:tc>
        <w:tc>
          <w:tcPr>
            <w:tcW w:w="1550" w:type="dxa"/>
            <w:tcBorders>
              <w:top w:val="nil"/>
              <w:left w:val="nil"/>
              <w:bottom w:val="single" w:sz="4" w:space="0" w:color="auto"/>
              <w:right w:val="nil"/>
            </w:tcBorders>
            <w:vAlign w:val="bottom"/>
            <w:hideMark/>
          </w:tcPr>
          <w:p w14:paraId="10B64296" w14:textId="77777777" w:rsidR="00992A45" w:rsidRPr="00BD7721" w:rsidRDefault="00992A45" w:rsidP="00D72A8C">
            <w:pPr>
              <w:pStyle w:val="Normal-pool-Table"/>
              <w:spacing w:after="30"/>
              <w:jc w:val="right"/>
              <w:rPr>
                <w:lang w:val="en-GB"/>
              </w:rPr>
            </w:pPr>
            <w:r w:rsidRPr="00BD7721">
              <w:rPr>
                <w:lang w:val="en-GB"/>
              </w:rPr>
              <w:t>235 000</w:t>
            </w:r>
          </w:p>
        </w:tc>
        <w:tc>
          <w:tcPr>
            <w:tcW w:w="1416" w:type="dxa"/>
            <w:tcBorders>
              <w:top w:val="nil"/>
              <w:left w:val="nil"/>
              <w:bottom w:val="single" w:sz="4" w:space="0" w:color="auto"/>
              <w:right w:val="nil"/>
            </w:tcBorders>
            <w:vAlign w:val="bottom"/>
            <w:hideMark/>
          </w:tcPr>
          <w:p w14:paraId="3B251F34" w14:textId="77777777" w:rsidR="00992A45" w:rsidRPr="00BD7721" w:rsidRDefault="00992A45" w:rsidP="00D72A8C">
            <w:pPr>
              <w:pStyle w:val="Normal-pool-Table"/>
              <w:spacing w:after="30"/>
              <w:jc w:val="right"/>
              <w:rPr>
                <w:lang w:val="en-GB"/>
              </w:rPr>
            </w:pPr>
            <w:r w:rsidRPr="00BD7721">
              <w:rPr>
                <w:lang w:val="en-GB"/>
              </w:rPr>
              <w:t>0</w:t>
            </w:r>
          </w:p>
        </w:tc>
        <w:tc>
          <w:tcPr>
            <w:tcW w:w="1286" w:type="dxa"/>
            <w:tcBorders>
              <w:top w:val="nil"/>
              <w:left w:val="nil"/>
              <w:bottom w:val="single" w:sz="4" w:space="0" w:color="auto"/>
              <w:right w:val="nil"/>
            </w:tcBorders>
            <w:vAlign w:val="bottom"/>
            <w:hideMark/>
          </w:tcPr>
          <w:p w14:paraId="1A2AD5E6" w14:textId="77777777" w:rsidR="00992A45" w:rsidRPr="00BD7721" w:rsidRDefault="00992A45" w:rsidP="00D72A8C">
            <w:pPr>
              <w:pStyle w:val="Normal-pool-Table"/>
              <w:spacing w:after="30"/>
              <w:jc w:val="right"/>
              <w:rPr>
                <w:lang w:val="en-GB"/>
              </w:rPr>
            </w:pPr>
            <w:r w:rsidRPr="00BD7721">
              <w:rPr>
                <w:lang w:val="en-GB"/>
              </w:rPr>
              <w:t>(235 000)</w:t>
            </w:r>
          </w:p>
        </w:tc>
      </w:tr>
      <w:tr w:rsidR="00992A45" w:rsidRPr="00BD7721" w14:paraId="14744507" w14:textId="77777777" w:rsidTr="00D72A8C">
        <w:trPr>
          <w:trHeight w:val="57"/>
          <w:jc w:val="right"/>
        </w:trPr>
        <w:tc>
          <w:tcPr>
            <w:tcW w:w="5245" w:type="dxa"/>
            <w:tcBorders>
              <w:top w:val="single" w:sz="4" w:space="0" w:color="auto"/>
              <w:left w:val="nil"/>
              <w:bottom w:val="single" w:sz="4" w:space="0" w:color="auto"/>
              <w:right w:val="nil"/>
            </w:tcBorders>
            <w:vAlign w:val="bottom"/>
            <w:hideMark/>
          </w:tcPr>
          <w:p w14:paraId="14A81BB9" w14:textId="77777777" w:rsidR="00992A45" w:rsidRPr="00BD7721" w:rsidRDefault="00992A45" w:rsidP="00D72A8C">
            <w:pPr>
              <w:pStyle w:val="Normal-pool-Table"/>
              <w:spacing w:after="30"/>
              <w:rPr>
                <w:b/>
                <w:lang w:val="en-GB"/>
              </w:rPr>
            </w:pPr>
            <w:r w:rsidRPr="00BD7721">
              <w:rPr>
                <w:b/>
                <w:lang w:val="en-GB"/>
              </w:rPr>
              <w:t>Objective 5: communicating and engaging</w:t>
            </w:r>
          </w:p>
        </w:tc>
        <w:tc>
          <w:tcPr>
            <w:tcW w:w="1550" w:type="dxa"/>
            <w:tcBorders>
              <w:top w:val="single" w:sz="4" w:space="0" w:color="auto"/>
              <w:left w:val="nil"/>
              <w:bottom w:val="single" w:sz="4" w:space="0" w:color="auto"/>
              <w:right w:val="nil"/>
            </w:tcBorders>
            <w:vAlign w:val="bottom"/>
            <w:hideMark/>
          </w:tcPr>
          <w:p w14:paraId="103C4A12" w14:textId="77777777" w:rsidR="00992A45" w:rsidRPr="00BD7721" w:rsidRDefault="00992A45" w:rsidP="00D72A8C">
            <w:pPr>
              <w:pStyle w:val="Normal-pool-Table"/>
              <w:spacing w:after="30"/>
              <w:jc w:val="right"/>
              <w:rPr>
                <w:b/>
                <w:lang w:val="en-GB"/>
              </w:rPr>
            </w:pPr>
            <w:r w:rsidRPr="00BD7721">
              <w:rPr>
                <w:b/>
                <w:lang w:val="en-GB"/>
              </w:rPr>
              <w:t>280 000</w:t>
            </w:r>
          </w:p>
        </w:tc>
        <w:tc>
          <w:tcPr>
            <w:tcW w:w="1416" w:type="dxa"/>
            <w:tcBorders>
              <w:top w:val="single" w:sz="4" w:space="0" w:color="auto"/>
              <w:left w:val="nil"/>
              <w:bottom w:val="single" w:sz="4" w:space="0" w:color="auto"/>
              <w:right w:val="nil"/>
            </w:tcBorders>
            <w:vAlign w:val="bottom"/>
            <w:hideMark/>
          </w:tcPr>
          <w:p w14:paraId="73F2616A" w14:textId="77777777" w:rsidR="00992A45" w:rsidRPr="00BD7721" w:rsidRDefault="00992A45" w:rsidP="00D72A8C">
            <w:pPr>
              <w:pStyle w:val="Normal-pool-Table"/>
              <w:spacing w:after="30"/>
              <w:jc w:val="right"/>
              <w:rPr>
                <w:b/>
                <w:lang w:val="en-GB"/>
              </w:rPr>
            </w:pPr>
            <w:r w:rsidRPr="00BD7721">
              <w:rPr>
                <w:b/>
                <w:lang w:val="en-GB"/>
              </w:rPr>
              <w:t>280 000</w:t>
            </w:r>
          </w:p>
        </w:tc>
        <w:tc>
          <w:tcPr>
            <w:tcW w:w="1286" w:type="dxa"/>
            <w:tcBorders>
              <w:top w:val="single" w:sz="4" w:space="0" w:color="auto"/>
              <w:left w:val="nil"/>
              <w:bottom w:val="single" w:sz="4" w:space="0" w:color="auto"/>
              <w:right w:val="nil"/>
            </w:tcBorders>
            <w:vAlign w:val="bottom"/>
            <w:hideMark/>
          </w:tcPr>
          <w:p w14:paraId="34900749" w14:textId="77777777" w:rsidR="00992A45" w:rsidRPr="00BD7721" w:rsidRDefault="00992A45" w:rsidP="00D72A8C">
            <w:pPr>
              <w:pStyle w:val="Normal-pool-Table"/>
              <w:spacing w:after="30"/>
              <w:jc w:val="right"/>
              <w:rPr>
                <w:b/>
                <w:lang w:val="en-GB"/>
              </w:rPr>
            </w:pPr>
            <w:r w:rsidRPr="00BD7721">
              <w:rPr>
                <w:b/>
                <w:lang w:val="en-GB"/>
              </w:rPr>
              <w:t>0</w:t>
            </w:r>
          </w:p>
        </w:tc>
      </w:tr>
      <w:tr w:rsidR="00992A45" w:rsidRPr="00BD7721" w14:paraId="753191A5" w14:textId="77777777" w:rsidTr="00D72A8C">
        <w:trPr>
          <w:trHeight w:val="57"/>
          <w:jc w:val="right"/>
        </w:trPr>
        <w:tc>
          <w:tcPr>
            <w:tcW w:w="5245" w:type="dxa"/>
            <w:tcBorders>
              <w:top w:val="single" w:sz="4" w:space="0" w:color="auto"/>
              <w:left w:val="nil"/>
              <w:bottom w:val="nil"/>
              <w:right w:val="nil"/>
            </w:tcBorders>
            <w:vAlign w:val="bottom"/>
            <w:hideMark/>
          </w:tcPr>
          <w:p w14:paraId="4B88D849" w14:textId="77777777" w:rsidR="00992A45" w:rsidRPr="00BD7721" w:rsidRDefault="00992A45" w:rsidP="00D72A8C">
            <w:pPr>
              <w:pStyle w:val="Normal-pool-Table"/>
              <w:spacing w:after="30"/>
              <w:rPr>
                <w:lang w:val="en-GB"/>
              </w:rPr>
            </w:pPr>
            <w:r w:rsidRPr="00BD7721">
              <w:rPr>
                <w:lang w:val="en-GB"/>
              </w:rPr>
              <w:t>Objective 5 (a): strengthened communication</w:t>
            </w:r>
          </w:p>
        </w:tc>
        <w:tc>
          <w:tcPr>
            <w:tcW w:w="1550" w:type="dxa"/>
            <w:tcBorders>
              <w:top w:val="single" w:sz="4" w:space="0" w:color="auto"/>
              <w:left w:val="nil"/>
              <w:bottom w:val="nil"/>
              <w:right w:val="nil"/>
            </w:tcBorders>
            <w:vAlign w:val="bottom"/>
            <w:hideMark/>
          </w:tcPr>
          <w:p w14:paraId="5BDE51F1" w14:textId="77777777" w:rsidR="00992A45" w:rsidRPr="00BD7721" w:rsidRDefault="00992A45" w:rsidP="00D72A8C">
            <w:pPr>
              <w:pStyle w:val="Normal-pool-Table"/>
              <w:spacing w:after="30"/>
              <w:jc w:val="right"/>
              <w:rPr>
                <w:lang w:val="en-GB"/>
              </w:rPr>
            </w:pPr>
            <w:r w:rsidRPr="00BD7721">
              <w:rPr>
                <w:lang w:val="en-GB"/>
              </w:rPr>
              <w:t>250 000</w:t>
            </w:r>
          </w:p>
        </w:tc>
        <w:tc>
          <w:tcPr>
            <w:tcW w:w="1416" w:type="dxa"/>
            <w:tcBorders>
              <w:top w:val="single" w:sz="4" w:space="0" w:color="auto"/>
              <w:left w:val="nil"/>
              <w:bottom w:val="nil"/>
              <w:right w:val="nil"/>
            </w:tcBorders>
            <w:vAlign w:val="bottom"/>
            <w:hideMark/>
          </w:tcPr>
          <w:p w14:paraId="7AFA7A31" w14:textId="77777777" w:rsidR="00992A45" w:rsidRPr="00BD7721" w:rsidRDefault="00992A45" w:rsidP="00D72A8C">
            <w:pPr>
              <w:pStyle w:val="Normal-pool-Table"/>
              <w:spacing w:after="30"/>
              <w:jc w:val="right"/>
              <w:rPr>
                <w:lang w:val="en-GB"/>
              </w:rPr>
            </w:pPr>
            <w:r w:rsidRPr="00BD7721">
              <w:rPr>
                <w:lang w:val="en-GB"/>
              </w:rPr>
              <w:t>250 000</w:t>
            </w:r>
          </w:p>
        </w:tc>
        <w:tc>
          <w:tcPr>
            <w:tcW w:w="1286" w:type="dxa"/>
            <w:tcBorders>
              <w:top w:val="single" w:sz="4" w:space="0" w:color="auto"/>
              <w:left w:val="nil"/>
              <w:bottom w:val="nil"/>
              <w:right w:val="nil"/>
            </w:tcBorders>
            <w:vAlign w:val="bottom"/>
            <w:hideMark/>
          </w:tcPr>
          <w:p w14:paraId="762E9C5D" w14:textId="77777777" w:rsidR="00992A45" w:rsidRPr="00BD7721" w:rsidRDefault="00992A45" w:rsidP="00D72A8C">
            <w:pPr>
              <w:pStyle w:val="Normal-pool-Table"/>
              <w:spacing w:after="30"/>
              <w:jc w:val="right"/>
              <w:rPr>
                <w:lang w:val="en-GB"/>
              </w:rPr>
            </w:pPr>
            <w:r w:rsidRPr="00BD7721">
              <w:rPr>
                <w:lang w:val="en-GB"/>
              </w:rPr>
              <w:t>0</w:t>
            </w:r>
          </w:p>
        </w:tc>
      </w:tr>
      <w:tr w:rsidR="00992A45" w:rsidRPr="00BD7721" w14:paraId="109A40CA" w14:textId="77777777" w:rsidTr="00D72A8C">
        <w:trPr>
          <w:trHeight w:val="57"/>
          <w:jc w:val="right"/>
        </w:trPr>
        <w:tc>
          <w:tcPr>
            <w:tcW w:w="5245" w:type="dxa"/>
            <w:tcBorders>
              <w:top w:val="nil"/>
              <w:left w:val="nil"/>
              <w:bottom w:val="single" w:sz="4" w:space="0" w:color="auto"/>
              <w:right w:val="nil"/>
            </w:tcBorders>
            <w:vAlign w:val="bottom"/>
            <w:hideMark/>
          </w:tcPr>
          <w:p w14:paraId="09AD5C82" w14:textId="77777777" w:rsidR="00992A45" w:rsidRPr="00BD7721" w:rsidRDefault="00992A45" w:rsidP="00D72A8C">
            <w:pPr>
              <w:pStyle w:val="Normal-pool-Table"/>
              <w:spacing w:after="30"/>
              <w:rPr>
                <w:lang w:val="en-GB"/>
              </w:rPr>
            </w:pPr>
            <w:r w:rsidRPr="00BD7721">
              <w:rPr>
                <w:lang w:val="en-GB"/>
              </w:rPr>
              <w:t>Objective 5 (c): strengthened engagement of stakeholders</w:t>
            </w:r>
          </w:p>
        </w:tc>
        <w:tc>
          <w:tcPr>
            <w:tcW w:w="1550" w:type="dxa"/>
            <w:tcBorders>
              <w:top w:val="nil"/>
              <w:left w:val="nil"/>
              <w:bottom w:val="single" w:sz="4" w:space="0" w:color="auto"/>
              <w:right w:val="nil"/>
            </w:tcBorders>
            <w:vAlign w:val="bottom"/>
            <w:hideMark/>
          </w:tcPr>
          <w:p w14:paraId="5AC29A8D" w14:textId="77777777" w:rsidR="00992A45" w:rsidRPr="00BD7721" w:rsidRDefault="00992A45" w:rsidP="00D72A8C">
            <w:pPr>
              <w:pStyle w:val="Normal-pool-Table"/>
              <w:spacing w:after="30"/>
              <w:jc w:val="right"/>
              <w:rPr>
                <w:lang w:val="en-GB"/>
              </w:rPr>
            </w:pPr>
            <w:r w:rsidRPr="00BD7721">
              <w:rPr>
                <w:lang w:val="en-GB"/>
              </w:rPr>
              <w:t>30 000</w:t>
            </w:r>
          </w:p>
        </w:tc>
        <w:tc>
          <w:tcPr>
            <w:tcW w:w="1416" w:type="dxa"/>
            <w:tcBorders>
              <w:top w:val="nil"/>
              <w:left w:val="nil"/>
              <w:bottom w:val="single" w:sz="4" w:space="0" w:color="auto"/>
              <w:right w:val="nil"/>
            </w:tcBorders>
            <w:vAlign w:val="bottom"/>
            <w:hideMark/>
          </w:tcPr>
          <w:p w14:paraId="76AFFD51" w14:textId="77777777" w:rsidR="00992A45" w:rsidRPr="00BD7721" w:rsidRDefault="00992A45" w:rsidP="00D72A8C">
            <w:pPr>
              <w:pStyle w:val="Normal-pool-Table"/>
              <w:spacing w:after="30"/>
              <w:jc w:val="right"/>
              <w:rPr>
                <w:lang w:val="en-GB"/>
              </w:rPr>
            </w:pPr>
            <w:r w:rsidRPr="00BD7721">
              <w:rPr>
                <w:lang w:val="en-GB"/>
              </w:rPr>
              <w:t>30 000</w:t>
            </w:r>
          </w:p>
        </w:tc>
        <w:tc>
          <w:tcPr>
            <w:tcW w:w="1286" w:type="dxa"/>
            <w:tcBorders>
              <w:top w:val="nil"/>
              <w:left w:val="nil"/>
              <w:bottom w:val="single" w:sz="4" w:space="0" w:color="auto"/>
              <w:right w:val="nil"/>
            </w:tcBorders>
            <w:vAlign w:val="bottom"/>
            <w:hideMark/>
          </w:tcPr>
          <w:p w14:paraId="5896146B" w14:textId="77777777" w:rsidR="00992A45" w:rsidRPr="00BD7721" w:rsidRDefault="00992A45" w:rsidP="00D72A8C">
            <w:pPr>
              <w:pStyle w:val="Normal-pool-Table"/>
              <w:spacing w:after="30"/>
              <w:jc w:val="right"/>
              <w:rPr>
                <w:lang w:val="en-GB"/>
              </w:rPr>
            </w:pPr>
            <w:r w:rsidRPr="00BD7721">
              <w:rPr>
                <w:lang w:val="en-GB"/>
              </w:rPr>
              <w:t>0</w:t>
            </w:r>
          </w:p>
        </w:tc>
      </w:tr>
      <w:tr w:rsidR="00992A45" w:rsidRPr="00BD7721" w14:paraId="613666F0" w14:textId="77777777" w:rsidTr="00D72A8C">
        <w:trPr>
          <w:trHeight w:val="57"/>
          <w:jc w:val="right"/>
        </w:trPr>
        <w:tc>
          <w:tcPr>
            <w:tcW w:w="5245" w:type="dxa"/>
            <w:tcBorders>
              <w:top w:val="single" w:sz="4" w:space="0" w:color="auto"/>
              <w:left w:val="nil"/>
              <w:bottom w:val="single" w:sz="4" w:space="0" w:color="auto"/>
              <w:right w:val="nil"/>
            </w:tcBorders>
            <w:vAlign w:val="bottom"/>
            <w:hideMark/>
          </w:tcPr>
          <w:p w14:paraId="08B438CA" w14:textId="77777777" w:rsidR="00992A45" w:rsidRPr="00BD7721" w:rsidRDefault="00992A45" w:rsidP="00D72A8C">
            <w:pPr>
              <w:pStyle w:val="Normal-pool-Table"/>
              <w:spacing w:after="30"/>
              <w:rPr>
                <w:lang w:val="en-GB"/>
              </w:rPr>
            </w:pPr>
            <w:r w:rsidRPr="00BD7721">
              <w:rPr>
                <w:b/>
                <w:lang w:val="en-GB"/>
              </w:rPr>
              <w:t>Objective 6: improving the effectiveness of the Platform</w:t>
            </w:r>
          </w:p>
        </w:tc>
        <w:tc>
          <w:tcPr>
            <w:tcW w:w="1550" w:type="dxa"/>
            <w:tcBorders>
              <w:top w:val="single" w:sz="4" w:space="0" w:color="auto"/>
              <w:left w:val="nil"/>
              <w:bottom w:val="single" w:sz="4" w:space="0" w:color="auto"/>
              <w:right w:val="nil"/>
            </w:tcBorders>
            <w:vAlign w:val="bottom"/>
            <w:hideMark/>
          </w:tcPr>
          <w:p w14:paraId="04F341BA" w14:textId="77777777" w:rsidR="00992A45" w:rsidRPr="00BD7721" w:rsidRDefault="00992A45" w:rsidP="00D72A8C">
            <w:pPr>
              <w:pStyle w:val="Normal-pool-Table"/>
              <w:spacing w:after="30"/>
              <w:jc w:val="right"/>
              <w:rPr>
                <w:lang w:val="en-GB"/>
              </w:rPr>
            </w:pPr>
            <w:r w:rsidRPr="00BD7721">
              <w:rPr>
                <w:lang w:val="en-GB"/>
              </w:rPr>
              <w:t>0</w:t>
            </w:r>
          </w:p>
        </w:tc>
        <w:tc>
          <w:tcPr>
            <w:tcW w:w="1416" w:type="dxa"/>
            <w:tcBorders>
              <w:top w:val="single" w:sz="4" w:space="0" w:color="auto"/>
              <w:left w:val="nil"/>
              <w:bottom w:val="single" w:sz="4" w:space="0" w:color="auto"/>
              <w:right w:val="nil"/>
            </w:tcBorders>
            <w:vAlign w:val="bottom"/>
            <w:hideMark/>
          </w:tcPr>
          <w:p w14:paraId="032D33B9" w14:textId="77777777" w:rsidR="00992A45" w:rsidRPr="00BD7721" w:rsidRDefault="00992A45" w:rsidP="00D72A8C">
            <w:pPr>
              <w:pStyle w:val="Normal-pool-Table"/>
              <w:spacing w:after="30"/>
              <w:jc w:val="right"/>
              <w:rPr>
                <w:b/>
                <w:lang w:val="en-GB"/>
              </w:rPr>
            </w:pPr>
            <w:r w:rsidRPr="00BD7721">
              <w:rPr>
                <w:b/>
                <w:lang w:val="en-GB"/>
              </w:rPr>
              <w:t>7 700</w:t>
            </w:r>
          </w:p>
        </w:tc>
        <w:tc>
          <w:tcPr>
            <w:tcW w:w="1286" w:type="dxa"/>
            <w:tcBorders>
              <w:top w:val="single" w:sz="4" w:space="0" w:color="auto"/>
              <w:left w:val="nil"/>
              <w:bottom w:val="single" w:sz="4" w:space="0" w:color="auto"/>
              <w:right w:val="nil"/>
            </w:tcBorders>
            <w:vAlign w:val="bottom"/>
            <w:hideMark/>
          </w:tcPr>
          <w:p w14:paraId="7825E7B1" w14:textId="77777777" w:rsidR="00992A45" w:rsidRPr="00BD7721" w:rsidRDefault="00992A45" w:rsidP="00D72A8C">
            <w:pPr>
              <w:pStyle w:val="Normal-pool-Table"/>
              <w:spacing w:after="30"/>
              <w:jc w:val="right"/>
              <w:rPr>
                <w:b/>
                <w:lang w:val="en-GB"/>
              </w:rPr>
            </w:pPr>
            <w:r w:rsidRPr="00BD7721">
              <w:rPr>
                <w:b/>
                <w:lang w:val="en-GB"/>
              </w:rPr>
              <w:t>7 700</w:t>
            </w:r>
          </w:p>
        </w:tc>
      </w:tr>
      <w:tr w:rsidR="00992A45" w:rsidRPr="00BD7721" w14:paraId="57FC0946" w14:textId="77777777" w:rsidTr="00D72A8C">
        <w:trPr>
          <w:trHeight w:val="57"/>
          <w:jc w:val="right"/>
        </w:trPr>
        <w:tc>
          <w:tcPr>
            <w:tcW w:w="5245" w:type="dxa"/>
            <w:tcBorders>
              <w:top w:val="single" w:sz="4" w:space="0" w:color="auto"/>
              <w:left w:val="nil"/>
              <w:bottom w:val="single" w:sz="4" w:space="0" w:color="000000"/>
              <w:right w:val="nil"/>
            </w:tcBorders>
            <w:vAlign w:val="bottom"/>
            <w:hideMark/>
          </w:tcPr>
          <w:p w14:paraId="7F17FCD8" w14:textId="77777777" w:rsidR="00992A45" w:rsidRPr="00BD7721" w:rsidRDefault="00992A45" w:rsidP="00D72A8C">
            <w:pPr>
              <w:pStyle w:val="Normal-pool-Table"/>
              <w:spacing w:after="30"/>
              <w:rPr>
                <w:lang w:val="en-GB"/>
              </w:rPr>
            </w:pPr>
            <w:r w:rsidRPr="00BD7721">
              <w:rPr>
                <w:lang w:val="en-GB"/>
              </w:rPr>
              <w:t>Objective 6 (a): periodic review of the effectiveness of IPBES</w:t>
            </w:r>
          </w:p>
        </w:tc>
        <w:tc>
          <w:tcPr>
            <w:tcW w:w="1550" w:type="dxa"/>
            <w:tcBorders>
              <w:top w:val="single" w:sz="4" w:space="0" w:color="auto"/>
              <w:left w:val="nil"/>
              <w:bottom w:val="single" w:sz="4" w:space="0" w:color="000000"/>
              <w:right w:val="nil"/>
            </w:tcBorders>
            <w:vAlign w:val="bottom"/>
            <w:hideMark/>
          </w:tcPr>
          <w:p w14:paraId="564BEDBE" w14:textId="77777777" w:rsidR="00992A45" w:rsidRPr="00BD7721" w:rsidRDefault="00992A45" w:rsidP="00D72A8C">
            <w:pPr>
              <w:pStyle w:val="Normal-pool-Table"/>
              <w:spacing w:after="30"/>
              <w:jc w:val="right"/>
              <w:rPr>
                <w:lang w:val="en-GB"/>
              </w:rPr>
            </w:pPr>
            <w:r w:rsidRPr="00BD7721">
              <w:rPr>
                <w:lang w:val="en-GB"/>
              </w:rPr>
              <w:t>0</w:t>
            </w:r>
          </w:p>
        </w:tc>
        <w:tc>
          <w:tcPr>
            <w:tcW w:w="1416" w:type="dxa"/>
            <w:tcBorders>
              <w:top w:val="single" w:sz="4" w:space="0" w:color="auto"/>
              <w:left w:val="nil"/>
              <w:bottom w:val="single" w:sz="4" w:space="0" w:color="000000"/>
              <w:right w:val="nil"/>
            </w:tcBorders>
            <w:vAlign w:val="bottom"/>
            <w:hideMark/>
          </w:tcPr>
          <w:p w14:paraId="39EC74DB" w14:textId="77777777" w:rsidR="00992A45" w:rsidRPr="00BD7721" w:rsidRDefault="00992A45" w:rsidP="00D72A8C">
            <w:pPr>
              <w:pStyle w:val="Normal-pool-Table"/>
              <w:spacing w:after="30"/>
              <w:jc w:val="right"/>
              <w:rPr>
                <w:lang w:val="en-GB"/>
              </w:rPr>
            </w:pPr>
            <w:r w:rsidRPr="00BD7721">
              <w:rPr>
                <w:lang w:val="en-GB"/>
              </w:rPr>
              <w:t>7 700</w:t>
            </w:r>
          </w:p>
        </w:tc>
        <w:tc>
          <w:tcPr>
            <w:tcW w:w="1286" w:type="dxa"/>
            <w:tcBorders>
              <w:top w:val="single" w:sz="4" w:space="0" w:color="auto"/>
              <w:left w:val="nil"/>
              <w:bottom w:val="single" w:sz="4" w:space="0" w:color="000000"/>
              <w:right w:val="nil"/>
            </w:tcBorders>
            <w:vAlign w:val="bottom"/>
            <w:hideMark/>
          </w:tcPr>
          <w:p w14:paraId="3F4BBF70" w14:textId="77777777" w:rsidR="00992A45" w:rsidRPr="00BD7721" w:rsidRDefault="00992A45" w:rsidP="00D72A8C">
            <w:pPr>
              <w:pStyle w:val="Normal-pool-Table"/>
              <w:spacing w:after="30"/>
              <w:jc w:val="right"/>
              <w:rPr>
                <w:lang w:val="en-GB"/>
              </w:rPr>
            </w:pPr>
            <w:r w:rsidRPr="00BD7721">
              <w:rPr>
                <w:lang w:val="en-GB"/>
              </w:rPr>
              <w:t>7 700</w:t>
            </w:r>
          </w:p>
        </w:tc>
      </w:tr>
      <w:tr w:rsidR="00992A45" w:rsidRPr="00BD7721" w14:paraId="00BDB25A"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7AFC973F" w14:textId="77777777" w:rsidR="00992A45" w:rsidRPr="00BD7721" w:rsidRDefault="00992A45" w:rsidP="00D72A8C">
            <w:pPr>
              <w:pStyle w:val="Normal-pool-Table"/>
              <w:spacing w:after="30"/>
              <w:rPr>
                <w:b/>
                <w:lang w:val="en-GB"/>
              </w:rPr>
            </w:pPr>
            <w:r w:rsidRPr="00BD7721">
              <w:rPr>
                <w:b/>
                <w:lang w:val="en-GB"/>
              </w:rPr>
              <w:t>Subtotal, part B</w:t>
            </w:r>
          </w:p>
        </w:tc>
        <w:tc>
          <w:tcPr>
            <w:tcW w:w="1550" w:type="dxa"/>
            <w:tcBorders>
              <w:top w:val="single" w:sz="4" w:space="0" w:color="000000"/>
              <w:left w:val="nil"/>
              <w:bottom w:val="single" w:sz="4" w:space="0" w:color="000000"/>
              <w:right w:val="nil"/>
            </w:tcBorders>
            <w:vAlign w:val="bottom"/>
            <w:hideMark/>
          </w:tcPr>
          <w:p w14:paraId="47433D67" w14:textId="77777777" w:rsidR="00992A45" w:rsidRPr="00BD7721" w:rsidRDefault="00992A45" w:rsidP="00D72A8C">
            <w:pPr>
              <w:pStyle w:val="Normal-pool-Table"/>
              <w:spacing w:after="30"/>
              <w:jc w:val="right"/>
              <w:rPr>
                <w:b/>
                <w:lang w:val="en-GB"/>
              </w:rPr>
            </w:pPr>
            <w:r w:rsidRPr="00BD7721">
              <w:rPr>
                <w:b/>
                <w:lang w:val="en-GB"/>
              </w:rPr>
              <w:t>4 236 050</w:t>
            </w:r>
          </w:p>
        </w:tc>
        <w:tc>
          <w:tcPr>
            <w:tcW w:w="1416" w:type="dxa"/>
            <w:tcBorders>
              <w:top w:val="single" w:sz="4" w:space="0" w:color="000000"/>
              <w:left w:val="nil"/>
              <w:bottom w:val="single" w:sz="4" w:space="0" w:color="000000"/>
              <w:right w:val="nil"/>
            </w:tcBorders>
            <w:vAlign w:val="bottom"/>
            <w:hideMark/>
          </w:tcPr>
          <w:p w14:paraId="79977972" w14:textId="77777777" w:rsidR="00992A45" w:rsidRPr="00BD7721" w:rsidRDefault="00992A45" w:rsidP="00D72A8C">
            <w:pPr>
              <w:pStyle w:val="Normal-pool-Table"/>
              <w:spacing w:after="30"/>
              <w:jc w:val="right"/>
              <w:rPr>
                <w:b/>
                <w:lang w:val="en-GB"/>
              </w:rPr>
            </w:pPr>
            <w:r w:rsidRPr="00BD7721">
              <w:rPr>
                <w:b/>
                <w:lang w:val="en-GB"/>
              </w:rPr>
              <w:t>4 413 100</w:t>
            </w:r>
          </w:p>
        </w:tc>
        <w:tc>
          <w:tcPr>
            <w:tcW w:w="1286" w:type="dxa"/>
            <w:tcBorders>
              <w:top w:val="single" w:sz="4" w:space="0" w:color="000000"/>
              <w:left w:val="nil"/>
              <w:bottom w:val="single" w:sz="4" w:space="0" w:color="000000"/>
              <w:right w:val="nil"/>
            </w:tcBorders>
            <w:vAlign w:val="bottom"/>
            <w:hideMark/>
          </w:tcPr>
          <w:p w14:paraId="431B133C" w14:textId="77777777" w:rsidR="00992A45" w:rsidRPr="00BD7721" w:rsidRDefault="00992A45" w:rsidP="00D72A8C">
            <w:pPr>
              <w:pStyle w:val="Normal-pool-Table"/>
              <w:spacing w:after="30"/>
              <w:jc w:val="right"/>
              <w:rPr>
                <w:b/>
                <w:lang w:val="en-GB"/>
              </w:rPr>
            </w:pPr>
            <w:r w:rsidRPr="00BD7721">
              <w:rPr>
                <w:b/>
                <w:lang w:val="en-GB"/>
              </w:rPr>
              <w:t>177 050</w:t>
            </w:r>
          </w:p>
        </w:tc>
      </w:tr>
      <w:tr w:rsidR="00992A45" w:rsidRPr="00BD7721" w14:paraId="18835789"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086FDA1A" w14:textId="77777777" w:rsidR="00992A45" w:rsidRPr="00BD7721" w:rsidRDefault="00992A45" w:rsidP="00D72A8C">
            <w:pPr>
              <w:pStyle w:val="Normal-pool-Table"/>
              <w:spacing w:after="30"/>
              <w:rPr>
                <w:b/>
                <w:lang w:val="en-GB"/>
              </w:rPr>
            </w:pPr>
            <w:r w:rsidRPr="00BD7721">
              <w:rPr>
                <w:b/>
                <w:lang w:val="en-GB"/>
              </w:rPr>
              <w:t>Subtotal 2, implementation of the work programme</w:t>
            </w:r>
          </w:p>
        </w:tc>
        <w:tc>
          <w:tcPr>
            <w:tcW w:w="1550" w:type="dxa"/>
            <w:tcBorders>
              <w:top w:val="single" w:sz="4" w:space="0" w:color="000000"/>
              <w:left w:val="nil"/>
              <w:bottom w:val="single" w:sz="4" w:space="0" w:color="000000"/>
              <w:right w:val="nil"/>
            </w:tcBorders>
            <w:vAlign w:val="bottom"/>
            <w:hideMark/>
          </w:tcPr>
          <w:p w14:paraId="460EBBC9" w14:textId="77777777" w:rsidR="00992A45" w:rsidRPr="00BD7721" w:rsidRDefault="00992A45" w:rsidP="00D72A8C">
            <w:pPr>
              <w:pStyle w:val="Normal-pool-Table"/>
              <w:spacing w:after="30"/>
              <w:jc w:val="right"/>
              <w:rPr>
                <w:b/>
                <w:lang w:val="en-GB"/>
              </w:rPr>
            </w:pPr>
            <w:r w:rsidRPr="00BD7721">
              <w:rPr>
                <w:b/>
                <w:lang w:val="en-GB"/>
              </w:rPr>
              <w:t>4 236 050</w:t>
            </w:r>
          </w:p>
        </w:tc>
        <w:tc>
          <w:tcPr>
            <w:tcW w:w="1416" w:type="dxa"/>
            <w:tcBorders>
              <w:top w:val="single" w:sz="4" w:space="0" w:color="000000"/>
              <w:left w:val="nil"/>
              <w:bottom w:val="single" w:sz="4" w:space="0" w:color="000000"/>
              <w:right w:val="nil"/>
            </w:tcBorders>
            <w:vAlign w:val="bottom"/>
            <w:hideMark/>
          </w:tcPr>
          <w:p w14:paraId="3E46F708" w14:textId="77777777" w:rsidR="00992A45" w:rsidRPr="00BD7721" w:rsidRDefault="00992A45" w:rsidP="00D72A8C">
            <w:pPr>
              <w:pStyle w:val="Normal-pool-Table"/>
              <w:spacing w:after="30"/>
              <w:jc w:val="right"/>
              <w:rPr>
                <w:b/>
                <w:lang w:val="en-GB"/>
              </w:rPr>
            </w:pPr>
            <w:r w:rsidRPr="00BD7721">
              <w:rPr>
                <w:b/>
                <w:lang w:val="en-GB"/>
              </w:rPr>
              <w:t>4 433 100</w:t>
            </w:r>
          </w:p>
        </w:tc>
        <w:tc>
          <w:tcPr>
            <w:tcW w:w="1286" w:type="dxa"/>
            <w:tcBorders>
              <w:top w:val="single" w:sz="4" w:space="0" w:color="000000"/>
              <w:left w:val="nil"/>
              <w:bottom w:val="single" w:sz="4" w:space="0" w:color="000000"/>
              <w:right w:val="nil"/>
            </w:tcBorders>
            <w:vAlign w:val="bottom"/>
            <w:hideMark/>
          </w:tcPr>
          <w:p w14:paraId="437FCA5E" w14:textId="77777777" w:rsidR="00992A45" w:rsidRPr="00BD7721" w:rsidRDefault="00992A45" w:rsidP="00D72A8C">
            <w:pPr>
              <w:pStyle w:val="Normal-pool-Table"/>
              <w:spacing w:after="30"/>
              <w:jc w:val="right"/>
              <w:rPr>
                <w:b/>
                <w:lang w:val="en-GB"/>
              </w:rPr>
            </w:pPr>
            <w:r w:rsidRPr="00BD7721">
              <w:rPr>
                <w:b/>
                <w:lang w:val="en-GB"/>
              </w:rPr>
              <w:t>197 050</w:t>
            </w:r>
          </w:p>
        </w:tc>
      </w:tr>
      <w:tr w:rsidR="00992A45" w:rsidRPr="00BD7721" w14:paraId="671C1B96" w14:textId="77777777" w:rsidTr="00D72A8C">
        <w:trPr>
          <w:trHeight w:val="57"/>
          <w:jc w:val="right"/>
        </w:trPr>
        <w:tc>
          <w:tcPr>
            <w:tcW w:w="5245" w:type="dxa"/>
            <w:tcBorders>
              <w:top w:val="single" w:sz="4" w:space="0" w:color="000000"/>
              <w:left w:val="nil"/>
              <w:bottom w:val="nil"/>
              <w:right w:val="nil"/>
            </w:tcBorders>
            <w:vAlign w:val="bottom"/>
            <w:hideMark/>
          </w:tcPr>
          <w:p w14:paraId="01C1DF04" w14:textId="77777777" w:rsidR="00992A45" w:rsidRPr="00BD7721" w:rsidRDefault="00992A45" w:rsidP="00D72A8C">
            <w:pPr>
              <w:pStyle w:val="Normal-pool-Table"/>
              <w:tabs>
                <w:tab w:val="clear" w:pos="624"/>
                <w:tab w:val="left" w:pos="322"/>
              </w:tabs>
              <w:spacing w:after="30"/>
              <w:rPr>
                <w:b/>
                <w:lang w:val="en-GB"/>
              </w:rPr>
            </w:pPr>
            <w:r w:rsidRPr="00BD7721">
              <w:rPr>
                <w:b/>
                <w:lang w:val="en-GB"/>
              </w:rPr>
              <w:t>3.</w:t>
            </w:r>
            <w:r w:rsidRPr="00BD7721">
              <w:rPr>
                <w:b/>
                <w:lang w:val="en-GB"/>
              </w:rPr>
              <w:tab/>
              <w:t>Secretariat</w:t>
            </w:r>
          </w:p>
        </w:tc>
        <w:tc>
          <w:tcPr>
            <w:tcW w:w="1550" w:type="dxa"/>
            <w:tcBorders>
              <w:top w:val="single" w:sz="4" w:space="0" w:color="000000"/>
              <w:left w:val="nil"/>
              <w:bottom w:val="nil"/>
              <w:right w:val="nil"/>
            </w:tcBorders>
            <w:vAlign w:val="bottom"/>
          </w:tcPr>
          <w:p w14:paraId="0595516E" w14:textId="77777777" w:rsidR="00992A45" w:rsidRPr="00BD7721" w:rsidRDefault="00992A45" w:rsidP="00D72A8C">
            <w:pPr>
              <w:pStyle w:val="Normal-pool-Table"/>
              <w:spacing w:after="30"/>
              <w:jc w:val="right"/>
              <w:rPr>
                <w:lang w:val="en-GB"/>
              </w:rPr>
            </w:pPr>
          </w:p>
        </w:tc>
        <w:tc>
          <w:tcPr>
            <w:tcW w:w="1416" w:type="dxa"/>
            <w:tcBorders>
              <w:top w:val="single" w:sz="4" w:space="0" w:color="000000"/>
              <w:left w:val="nil"/>
              <w:bottom w:val="nil"/>
              <w:right w:val="nil"/>
            </w:tcBorders>
            <w:vAlign w:val="bottom"/>
          </w:tcPr>
          <w:p w14:paraId="4C61AC8C" w14:textId="77777777" w:rsidR="00992A45" w:rsidRPr="00BD7721" w:rsidRDefault="00992A45" w:rsidP="00D72A8C">
            <w:pPr>
              <w:pStyle w:val="Normal-pool-Table"/>
              <w:spacing w:after="30"/>
              <w:jc w:val="right"/>
              <w:rPr>
                <w:lang w:val="en-GB"/>
              </w:rPr>
            </w:pPr>
          </w:p>
        </w:tc>
        <w:tc>
          <w:tcPr>
            <w:tcW w:w="1286" w:type="dxa"/>
            <w:tcBorders>
              <w:top w:val="single" w:sz="4" w:space="0" w:color="000000"/>
              <w:left w:val="nil"/>
              <w:bottom w:val="nil"/>
              <w:right w:val="nil"/>
            </w:tcBorders>
            <w:vAlign w:val="bottom"/>
          </w:tcPr>
          <w:p w14:paraId="5A25618C" w14:textId="77777777" w:rsidR="00992A45" w:rsidRPr="00BD7721" w:rsidRDefault="00992A45" w:rsidP="00D72A8C">
            <w:pPr>
              <w:pStyle w:val="Normal-pool-Table"/>
              <w:spacing w:after="30"/>
              <w:jc w:val="right"/>
              <w:rPr>
                <w:lang w:val="en-GB"/>
              </w:rPr>
            </w:pPr>
          </w:p>
        </w:tc>
      </w:tr>
      <w:tr w:rsidR="00992A45" w:rsidRPr="00BD7721" w14:paraId="3EBC4B72" w14:textId="77777777" w:rsidTr="00D72A8C">
        <w:trPr>
          <w:trHeight w:val="57"/>
          <w:jc w:val="right"/>
        </w:trPr>
        <w:tc>
          <w:tcPr>
            <w:tcW w:w="5245" w:type="dxa"/>
            <w:tcBorders>
              <w:top w:val="nil"/>
              <w:left w:val="nil"/>
              <w:bottom w:val="nil"/>
              <w:right w:val="nil"/>
            </w:tcBorders>
            <w:vAlign w:val="bottom"/>
            <w:hideMark/>
          </w:tcPr>
          <w:p w14:paraId="3C5B40A1" w14:textId="77777777" w:rsidR="00992A45" w:rsidRPr="00BD7721" w:rsidRDefault="00992A45" w:rsidP="00D72A8C">
            <w:pPr>
              <w:pStyle w:val="Normal-pool-Table"/>
              <w:tabs>
                <w:tab w:val="clear" w:pos="624"/>
                <w:tab w:val="left" w:pos="463"/>
              </w:tabs>
              <w:spacing w:after="30"/>
              <w:rPr>
                <w:lang w:val="en-GB"/>
              </w:rPr>
            </w:pPr>
            <w:r w:rsidRPr="00BD7721">
              <w:rPr>
                <w:lang w:val="en-GB"/>
              </w:rPr>
              <w:t>3.1</w:t>
            </w:r>
            <w:r w:rsidRPr="00BD7721">
              <w:rPr>
                <w:lang w:val="en-GB"/>
              </w:rPr>
              <w:tab/>
              <w:t>Secretariat personnel</w:t>
            </w:r>
          </w:p>
        </w:tc>
        <w:tc>
          <w:tcPr>
            <w:tcW w:w="1550" w:type="dxa"/>
            <w:tcBorders>
              <w:top w:val="nil"/>
              <w:left w:val="nil"/>
              <w:bottom w:val="nil"/>
              <w:right w:val="nil"/>
            </w:tcBorders>
            <w:vAlign w:val="bottom"/>
            <w:hideMark/>
          </w:tcPr>
          <w:p w14:paraId="13CB32FD" w14:textId="77777777" w:rsidR="00992A45" w:rsidRPr="00BD7721" w:rsidRDefault="00992A45" w:rsidP="00D72A8C">
            <w:pPr>
              <w:pStyle w:val="Normal-pool-Table"/>
              <w:spacing w:after="30"/>
              <w:jc w:val="right"/>
              <w:rPr>
                <w:lang w:val="en-GB"/>
              </w:rPr>
            </w:pPr>
            <w:r w:rsidRPr="00BD7721">
              <w:rPr>
                <w:lang w:val="en-GB"/>
              </w:rPr>
              <w:t>3 174 563</w:t>
            </w:r>
          </w:p>
        </w:tc>
        <w:tc>
          <w:tcPr>
            <w:tcW w:w="1416" w:type="dxa"/>
            <w:tcBorders>
              <w:top w:val="nil"/>
              <w:left w:val="nil"/>
              <w:bottom w:val="nil"/>
              <w:right w:val="nil"/>
            </w:tcBorders>
            <w:vAlign w:val="bottom"/>
            <w:hideMark/>
          </w:tcPr>
          <w:p w14:paraId="756FC6DC" w14:textId="77777777" w:rsidR="00992A45" w:rsidRPr="00BD7721" w:rsidRDefault="00992A45" w:rsidP="00D72A8C">
            <w:pPr>
              <w:pStyle w:val="Normal-pool-Table"/>
              <w:spacing w:after="30"/>
              <w:jc w:val="right"/>
              <w:rPr>
                <w:lang w:val="en-GB"/>
              </w:rPr>
            </w:pPr>
            <w:r w:rsidRPr="00BD7721">
              <w:rPr>
                <w:lang w:val="en-GB"/>
              </w:rPr>
              <w:t>3 255 300</w:t>
            </w:r>
          </w:p>
        </w:tc>
        <w:tc>
          <w:tcPr>
            <w:tcW w:w="1286" w:type="dxa"/>
            <w:tcBorders>
              <w:top w:val="nil"/>
              <w:left w:val="nil"/>
              <w:bottom w:val="nil"/>
              <w:right w:val="nil"/>
            </w:tcBorders>
            <w:vAlign w:val="bottom"/>
            <w:hideMark/>
          </w:tcPr>
          <w:p w14:paraId="5C2CD38A" w14:textId="77777777" w:rsidR="00992A45" w:rsidRPr="00BD7721" w:rsidRDefault="00992A45" w:rsidP="00D72A8C">
            <w:pPr>
              <w:pStyle w:val="Normal-pool-Table"/>
              <w:spacing w:after="30"/>
              <w:jc w:val="right"/>
              <w:rPr>
                <w:lang w:val="en-GB"/>
              </w:rPr>
            </w:pPr>
            <w:r w:rsidRPr="00BD7721">
              <w:rPr>
                <w:lang w:val="en-GB"/>
              </w:rPr>
              <w:t>80 737</w:t>
            </w:r>
          </w:p>
        </w:tc>
      </w:tr>
      <w:tr w:rsidR="00992A45" w:rsidRPr="00BD7721" w14:paraId="421B9DF9" w14:textId="77777777" w:rsidTr="00D72A8C">
        <w:trPr>
          <w:trHeight w:val="57"/>
          <w:jc w:val="right"/>
        </w:trPr>
        <w:tc>
          <w:tcPr>
            <w:tcW w:w="5245" w:type="dxa"/>
            <w:tcBorders>
              <w:top w:val="nil"/>
              <w:left w:val="nil"/>
              <w:bottom w:val="single" w:sz="4" w:space="0" w:color="000000"/>
              <w:right w:val="nil"/>
            </w:tcBorders>
            <w:vAlign w:val="bottom"/>
            <w:hideMark/>
          </w:tcPr>
          <w:p w14:paraId="58A726FC" w14:textId="77777777" w:rsidR="00992A45" w:rsidRPr="00BD7721" w:rsidRDefault="00992A45" w:rsidP="00D72A8C">
            <w:pPr>
              <w:pStyle w:val="Normal-pool-Table"/>
              <w:tabs>
                <w:tab w:val="clear" w:pos="624"/>
                <w:tab w:val="left" w:pos="463"/>
              </w:tabs>
              <w:spacing w:after="30"/>
              <w:rPr>
                <w:lang w:val="en-GB"/>
              </w:rPr>
            </w:pPr>
            <w:r w:rsidRPr="00BD7721">
              <w:rPr>
                <w:lang w:val="en-GB"/>
              </w:rPr>
              <w:t>3.2</w:t>
            </w:r>
            <w:r w:rsidRPr="00BD7721">
              <w:rPr>
                <w:lang w:val="en-GB"/>
              </w:rPr>
              <w:tab/>
              <w:t>Operating costs (non-personnel)</w:t>
            </w:r>
          </w:p>
        </w:tc>
        <w:tc>
          <w:tcPr>
            <w:tcW w:w="1550" w:type="dxa"/>
            <w:tcBorders>
              <w:top w:val="nil"/>
              <w:left w:val="nil"/>
              <w:bottom w:val="single" w:sz="4" w:space="0" w:color="000000"/>
              <w:right w:val="nil"/>
            </w:tcBorders>
            <w:vAlign w:val="bottom"/>
            <w:hideMark/>
          </w:tcPr>
          <w:p w14:paraId="1F8F71D5" w14:textId="77777777" w:rsidR="00992A45" w:rsidRPr="00BD7721" w:rsidRDefault="00992A45" w:rsidP="00D72A8C">
            <w:pPr>
              <w:pStyle w:val="Normal-pool-Table"/>
              <w:spacing w:after="30"/>
              <w:jc w:val="right"/>
              <w:rPr>
                <w:lang w:val="en-GB"/>
              </w:rPr>
            </w:pPr>
            <w:r w:rsidRPr="00BD7721">
              <w:rPr>
                <w:lang w:val="en-GB"/>
              </w:rPr>
              <w:t>346 000</w:t>
            </w:r>
          </w:p>
        </w:tc>
        <w:tc>
          <w:tcPr>
            <w:tcW w:w="1416" w:type="dxa"/>
            <w:tcBorders>
              <w:top w:val="nil"/>
              <w:left w:val="nil"/>
              <w:bottom w:val="single" w:sz="4" w:space="0" w:color="000000"/>
              <w:right w:val="nil"/>
            </w:tcBorders>
            <w:vAlign w:val="bottom"/>
            <w:hideMark/>
          </w:tcPr>
          <w:p w14:paraId="5D0EBB83" w14:textId="77777777" w:rsidR="00992A45" w:rsidRPr="00BD7721" w:rsidRDefault="00992A45" w:rsidP="00D72A8C">
            <w:pPr>
              <w:pStyle w:val="Normal-pool-Table"/>
              <w:spacing w:after="30"/>
              <w:jc w:val="right"/>
              <w:rPr>
                <w:lang w:val="en-GB"/>
              </w:rPr>
            </w:pPr>
            <w:r w:rsidRPr="00BD7721">
              <w:rPr>
                <w:lang w:val="en-GB"/>
              </w:rPr>
              <w:t>352 500</w:t>
            </w:r>
          </w:p>
        </w:tc>
        <w:tc>
          <w:tcPr>
            <w:tcW w:w="1286" w:type="dxa"/>
            <w:tcBorders>
              <w:top w:val="nil"/>
              <w:left w:val="nil"/>
              <w:bottom w:val="single" w:sz="4" w:space="0" w:color="000000"/>
              <w:right w:val="nil"/>
            </w:tcBorders>
            <w:vAlign w:val="bottom"/>
            <w:hideMark/>
          </w:tcPr>
          <w:p w14:paraId="193C8734" w14:textId="77777777" w:rsidR="00992A45" w:rsidRPr="00BD7721" w:rsidRDefault="00992A45" w:rsidP="00D72A8C">
            <w:pPr>
              <w:pStyle w:val="Normal-pool-Table"/>
              <w:spacing w:after="30"/>
              <w:jc w:val="right"/>
              <w:rPr>
                <w:lang w:val="en-GB"/>
              </w:rPr>
            </w:pPr>
            <w:r w:rsidRPr="00BD7721">
              <w:rPr>
                <w:lang w:val="en-GB"/>
              </w:rPr>
              <w:t>6 500</w:t>
            </w:r>
          </w:p>
        </w:tc>
      </w:tr>
      <w:tr w:rsidR="00992A45" w:rsidRPr="00BD7721" w14:paraId="4B79084D"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38882942" w14:textId="77777777" w:rsidR="00992A45" w:rsidRPr="00BD7721" w:rsidRDefault="00992A45" w:rsidP="00D72A8C">
            <w:pPr>
              <w:pStyle w:val="Normal-pool-Table"/>
              <w:spacing w:after="30"/>
              <w:rPr>
                <w:b/>
                <w:lang w:val="en-GB"/>
              </w:rPr>
            </w:pPr>
            <w:r w:rsidRPr="00BD7721">
              <w:rPr>
                <w:b/>
                <w:lang w:val="en-GB"/>
              </w:rPr>
              <w:t>Subtotal 3, secretariat (personnel + operating)</w:t>
            </w:r>
          </w:p>
        </w:tc>
        <w:tc>
          <w:tcPr>
            <w:tcW w:w="1550" w:type="dxa"/>
            <w:tcBorders>
              <w:top w:val="single" w:sz="4" w:space="0" w:color="000000"/>
              <w:left w:val="nil"/>
              <w:bottom w:val="single" w:sz="4" w:space="0" w:color="000000"/>
              <w:right w:val="nil"/>
            </w:tcBorders>
            <w:vAlign w:val="bottom"/>
            <w:hideMark/>
          </w:tcPr>
          <w:p w14:paraId="5AA38D9C" w14:textId="77777777" w:rsidR="00992A45" w:rsidRPr="00BD7721" w:rsidRDefault="00992A45" w:rsidP="00D72A8C">
            <w:pPr>
              <w:pStyle w:val="Normal-pool-Table"/>
              <w:spacing w:after="30"/>
              <w:jc w:val="right"/>
              <w:rPr>
                <w:b/>
                <w:lang w:val="en-GB"/>
              </w:rPr>
            </w:pPr>
            <w:r w:rsidRPr="00BD7721">
              <w:rPr>
                <w:b/>
                <w:lang w:val="en-GB"/>
              </w:rPr>
              <w:t>3 520 563</w:t>
            </w:r>
          </w:p>
        </w:tc>
        <w:tc>
          <w:tcPr>
            <w:tcW w:w="1416" w:type="dxa"/>
            <w:tcBorders>
              <w:top w:val="single" w:sz="4" w:space="0" w:color="000000"/>
              <w:left w:val="nil"/>
              <w:bottom w:val="single" w:sz="4" w:space="0" w:color="000000"/>
              <w:right w:val="nil"/>
            </w:tcBorders>
            <w:vAlign w:val="bottom"/>
            <w:hideMark/>
          </w:tcPr>
          <w:p w14:paraId="4F7C8232" w14:textId="77777777" w:rsidR="00992A45" w:rsidRPr="00BD7721" w:rsidRDefault="00992A45" w:rsidP="00D72A8C">
            <w:pPr>
              <w:pStyle w:val="Normal-pool-Table"/>
              <w:spacing w:after="30"/>
              <w:jc w:val="right"/>
              <w:rPr>
                <w:b/>
                <w:lang w:val="en-GB"/>
              </w:rPr>
            </w:pPr>
            <w:r w:rsidRPr="00BD7721">
              <w:rPr>
                <w:b/>
                <w:lang w:val="en-GB"/>
              </w:rPr>
              <w:t>3 607 800</w:t>
            </w:r>
          </w:p>
        </w:tc>
        <w:tc>
          <w:tcPr>
            <w:tcW w:w="1286" w:type="dxa"/>
            <w:tcBorders>
              <w:top w:val="single" w:sz="4" w:space="0" w:color="000000"/>
              <w:left w:val="nil"/>
              <w:bottom w:val="single" w:sz="4" w:space="0" w:color="000000"/>
              <w:right w:val="nil"/>
            </w:tcBorders>
            <w:vAlign w:val="bottom"/>
            <w:hideMark/>
          </w:tcPr>
          <w:p w14:paraId="769BA0E9" w14:textId="77777777" w:rsidR="00992A45" w:rsidRPr="00BD7721" w:rsidRDefault="00992A45" w:rsidP="00D72A8C">
            <w:pPr>
              <w:pStyle w:val="Normal-pool-Table"/>
              <w:spacing w:after="30"/>
              <w:jc w:val="right"/>
              <w:rPr>
                <w:b/>
                <w:lang w:val="en-GB"/>
              </w:rPr>
            </w:pPr>
            <w:r w:rsidRPr="00BD7721">
              <w:rPr>
                <w:b/>
                <w:lang w:val="en-GB"/>
              </w:rPr>
              <w:t>87 237</w:t>
            </w:r>
          </w:p>
        </w:tc>
      </w:tr>
      <w:tr w:rsidR="00992A45" w:rsidRPr="00BD7721" w14:paraId="01EC509A"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7D403CF9" w14:textId="77777777" w:rsidR="00992A45" w:rsidRPr="00BD7721" w:rsidRDefault="00992A45" w:rsidP="00D72A8C">
            <w:pPr>
              <w:pStyle w:val="Normal-pool-Table"/>
              <w:spacing w:after="30"/>
              <w:rPr>
                <w:b/>
                <w:lang w:val="en-GB"/>
              </w:rPr>
            </w:pPr>
            <w:r w:rsidRPr="00BD7721">
              <w:rPr>
                <w:b/>
                <w:lang w:val="en-GB"/>
              </w:rPr>
              <w:t>Subtotal (1+2+3)</w:t>
            </w:r>
          </w:p>
        </w:tc>
        <w:tc>
          <w:tcPr>
            <w:tcW w:w="1550" w:type="dxa"/>
            <w:tcBorders>
              <w:top w:val="single" w:sz="4" w:space="0" w:color="000000"/>
              <w:left w:val="nil"/>
              <w:bottom w:val="single" w:sz="4" w:space="0" w:color="000000"/>
              <w:right w:val="nil"/>
            </w:tcBorders>
            <w:vAlign w:val="bottom"/>
            <w:hideMark/>
          </w:tcPr>
          <w:p w14:paraId="247015D8" w14:textId="77777777" w:rsidR="00992A45" w:rsidRPr="00BD7721" w:rsidRDefault="00992A45" w:rsidP="00D72A8C">
            <w:pPr>
              <w:pStyle w:val="Normal-pool-Table"/>
              <w:spacing w:after="30"/>
              <w:jc w:val="right"/>
              <w:rPr>
                <w:b/>
                <w:lang w:val="en-GB"/>
              </w:rPr>
            </w:pPr>
            <w:r w:rsidRPr="00BD7721">
              <w:rPr>
                <w:b/>
                <w:lang w:val="en-GB"/>
              </w:rPr>
              <w:t>9 397 063</w:t>
            </w:r>
          </w:p>
        </w:tc>
        <w:tc>
          <w:tcPr>
            <w:tcW w:w="1416" w:type="dxa"/>
            <w:tcBorders>
              <w:top w:val="single" w:sz="4" w:space="0" w:color="000000"/>
              <w:left w:val="nil"/>
              <w:bottom w:val="single" w:sz="4" w:space="0" w:color="000000"/>
              <w:right w:val="nil"/>
            </w:tcBorders>
            <w:vAlign w:val="bottom"/>
            <w:hideMark/>
          </w:tcPr>
          <w:p w14:paraId="7B02BCD5" w14:textId="77777777" w:rsidR="00992A45" w:rsidRPr="00BD7721" w:rsidRDefault="00992A45" w:rsidP="00D72A8C">
            <w:pPr>
              <w:pStyle w:val="Normal-pool-Table"/>
              <w:spacing w:after="30"/>
              <w:jc w:val="right"/>
              <w:rPr>
                <w:b/>
                <w:lang w:val="en-GB"/>
              </w:rPr>
            </w:pPr>
            <w:r w:rsidRPr="00BD7721">
              <w:rPr>
                <w:b/>
                <w:lang w:val="en-GB"/>
              </w:rPr>
              <w:t>9 681 350</w:t>
            </w:r>
          </w:p>
        </w:tc>
        <w:tc>
          <w:tcPr>
            <w:tcW w:w="1286" w:type="dxa"/>
            <w:tcBorders>
              <w:top w:val="single" w:sz="4" w:space="0" w:color="000000"/>
              <w:left w:val="nil"/>
              <w:bottom w:val="single" w:sz="4" w:space="0" w:color="000000"/>
              <w:right w:val="nil"/>
            </w:tcBorders>
            <w:vAlign w:val="bottom"/>
            <w:hideMark/>
          </w:tcPr>
          <w:p w14:paraId="33132E84" w14:textId="77777777" w:rsidR="00992A45" w:rsidRPr="00BD7721" w:rsidRDefault="00992A45" w:rsidP="00D72A8C">
            <w:pPr>
              <w:pStyle w:val="Normal-pool-Table"/>
              <w:spacing w:after="30"/>
              <w:jc w:val="right"/>
              <w:rPr>
                <w:b/>
                <w:lang w:val="en-GB"/>
              </w:rPr>
            </w:pPr>
            <w:r w:rsidRPr="00BD7721">
              <w:rPr>
                <w:b/>
                <w:lang w:val="en-GB"/>
              </w:rPr>
              <w:t>284 287</w:t>
            </w:r>
          </w:p>
        </w:tc>
      </w:tr>
      <w:tr w:rsidR="00992A45" w:rsidRPr="00BD7721" w14:paraId="04B7153A" w14:textId="77777777" w:rsidTr="00D72A8C">
        <w:trPr>
          <w:trHeight w:val="57"/>
          <w:jc w:val="right"/>
        </w:trPr>
        <w:tc>
          <w:tcPr>
            <w:tcW w:w="5245" w:type="dxa"/>
            <w:tcBorders>
              <w:top w:val="single" w:sz="4" w:space="0" w:color="000000"/>
              <w:left w:val="nil"/>
              <w:bottom w:val="single" w:sz="4" w:space="0" w:color="000000"/>
              <w:right w:val="nil"/>
            </w:tcBorders>
            <w:vAlign w:val="bottom"/>
            <w:hideMark/>
          </w:tcPr>
          <w:p w14:paraId="61DCE4D5" w14:textId="77777777" w:rsidR="00992A45" w:rsidRPr="00BD7721" w:rsidRDefault="00992A45" w:rsidP="00D72A8C">
            <w:pPr>
              <w:pStyle w:val="Normal-pool-Table"/>
              <w:spacing w:after="30"/>
              <w:rPr>
                <w:lang w:val="en-GB"/>
              </w:rPr>
            </w:pPr>
            <w:r w:rsidRPr="00BD7721">
              <w:rPr>
                <w:lang w:val="en-GB"/>
              </w:rPr>
              <w:t>Programme support costs</w:t>
            </w:r>
          </w:p>
        </w:tc>
        <w:tc>
          <w:tcPr>
            <w:tcW w:w="1550" w:type="dxa"/>
            <w:tcBorders>
              <w:top w:val="single" w:sz="4" w:space="0" w:color="000000"/>
              <w:left w:val="nil"/>
              <w:bottom w:val="single" w:sz="4" w:space="0" w:color="000000"/>
              <w:right w:val="nil"/>
            </w:tcBorders>
            <w:vAlign w:val="bottom"/>
            <w:hideMark/>
          </w:tcPr>
          <w:p w14:paraId="7243A4C2" w14:textId="77777777" w:rsidR="00992A45" w:rsidRPr="00BD7721" w:rsidRDefault="00992A45" w:rsidP="00D72A8C">
            <w:pPr>
              <w:pStyle w:val="Normal-pool-Table"/>
              <w:spacing w:after="30"/>
              <w:jc w:val="right"/>
              <w:rPr>
                <w:lang w:val="en-GB"/>
              </w:rPr>
            </w:pPr>
            <w:r w:rsidRPr="00BD7721">
              <w:rPr>
                <w:lang w:val="en-GB"/>
              </w:rPr>
              <w:t>751 765</w:t>
            </w:r>
          </w:p>
        </w:tc>
        <w:tc>
          <w:tcPr>
            <w:tcW w:w="1416" w:type="dxa"/>
            <w:tcBorders>
              <w:top w:val="single" w:sz="4" w:space="0" w:color="000000"/>
              <w:left w:val="nil"/>
              <w:bottom w:val="single" w:sz="4" w:space="0" w:color="000000"/>
              <w:right w:val="nil"/>
            </w:tcBorders>
            <w:vAlign w:val="bottom"/>
            <w:hideMark/>
          </w:tcPr>
          <w:p w14:paraId="28148E1B" w14:textId="77777777" w:rsidR="00992A45" w:rsidRPr="00BD7721" w:rsidRDefault="00992A45" w:rsidP="00D72A8C">
            <w:pPr>
              <w:pStyle w:val="Normal-pool-Table"/>
              <w:spacing w:after="30"/>
              <w:jc w:val="right"/>
              <w:rPr>
                <w:lang w:val="en-GB"/>
              </w:rPr>
            </w:pPr>
            <w:r w:rsidRPr="00BD7721">
              <w:rPr>
                <w:lang w:val="en-GB"/>
              </w:rPr>
              <w:t>774 508</w:t>
            </w:r>
          </w:p>
        </w:tc>
        <w:tc>
          <w:tcPr>
            <w:tcW w:w="1286" w:type="dxa"/>
            <w:tcBorders>
              <w:top w:val="single" w:sz="4" w:space="0" w:color="000000"/>
              <w:left w:val="nil"/>
              <w:bottom w:val="single" w:sz="4" w:space="0" w:color="000000"/>
              <w:right w:val="nil"/>
            </w:tcBorders>
            <w:vAlign w:val="bottom"/>
            <w:hideMark/>
          </w:tcPr>
          <w:p w14:paraId="379C5D61" w14:textId="77777777" w:rsidR="00992A45" w:rsidRPr="00BD7721" w:rsidRDefault="00992A45" w:rsidP="00D72A8C">
            <w:pPr>
              <w:pStyle w:val="Normal-pool-Table"/>
              <w:spacing w:after="30"/>
              <w:jc w:val="right"/>
              <w:rPr>
                <w:lang w:val="en-GB"/>
              </w:rPr>
            </w:pPr>
            <w:r w:rsidRPr="00BD7721">
              <w:rPr>
                <w:lang w:val="en-GB"/>
              </w:rPr>
              <w:t>22 743</w:t>
            </w:r>
          </w:p>
        </w:tc>
      </w:tr>
      <w:tr w:rsidR="00992A45" w:rsidRPr="00BD7721" w14:paraId="0710BD0F" w14:textId="77777777" w:rsidTr="00D72A8C">
        <w:trPr>
          <w:trHeight w:val="57"/>
          <w:jc w:val="right"/>
        </w:trPr>
        <w:tc>
          <w:tcPr>
            <w:tcW w:w="5245" w:type="dxa"/>
            <w:tcBorders>
              <w:top w:val="single" w:sz="4" w:space="0" w:color="000000"/>
              <w:left w:val="nil"/>
              <w:bottom w:val="single" w:sz="12" w:space="0" w:color="000000"/>
              <w:right w:val="nil"/>
            </w:tcBorders>
            <w:vAlign w:val="bottom"/>
            <w:hideMark/>
          </w:tcPr>
          <w:p w14:paraId="7EB61461" w14:textId="77777777" w:rsidR="00992A45" w:rsidRPr="00BD7721" w:rsidRDefault="00992A45" w:rsidP="00D72A8C">
            <w:pPr>
              <w:pStyle w:val="Normal-pool-Table"/>
              <w:spacing w:after="30"/>
              <w:rPr>
                <w:b/>
                <w:lang w:val="en-GB"/>
              </w:rPr>
            </w:pPr>
            <w:r w:rsidRPr="00BD7721">
              <w:rPr>
                <w:b/>
                <w:lang w:val="en-GB"/>
              </w:rPr>
              <w:t>Total</w:t>
            </w:r>
          </w:p>
        </w:tc>
        <w:tc>
          <w:tcPr>
            <w:tcW w:w="1550" w:type="dxa"/>
            <w:tcBorders>
              <w:top w:val="single" w:sz="4" w:space="0" w:color="000000"/>
              <w:left w:val="nil"/>
              <w:bottom w:val="single" w:sz="12" w:space="0" w:color="000000"/>
              <w:right w:val="nil"/>
            </w:tcBorders>
            <w:vAlign w:val="bottom"/>
            <w:hideMark/>
          </w:tcPr>
          <w:p w14:paraId="2A38C3ED" w14:textId="77777777" w:rsidR="00992A45" w:rsidRPr="00BD7721" w:rsidRDefault="00992A45" w:rsidP="00D72A8C">
            <w:pPr>
              <w:pStyle w:val="Normal-pool-Table"/>
              <w:spacing w:after="30"/>
              <w:jc w:val="right"/>
              <w:rPr>
                <w:b/>
                <w:lang w:val="en-GB"/>
              </w:rPr>
            </w:pPr>
            <w:r w:rsidRPr="00BD7721">
              <w:rPr>
                <w:b/>
                <w:lang w:val="en-GB"/>
              </w:rPr>
              <w:t>10 148 828</w:t>
            </w:r>
          </w:p>
        </w:tc>
        <w:tc>
          <w:tcPr>
            <w:tcW w:w="1416" w:type="dxa"/>
            <w:tcBorders>
              <w:top w:val="single" w:sz="4" w:space="0" w:color="000000"/>
              <w:left w:val="nil"/>
              <w:bottom w:val="single" w:sz="12" w:space="0" w:color="000000"/>
              <w:right w:val="nil"/>
            </w:tcBorders>
            <w:vAlign w:val="bottom"/>
            <w:hideMark/>
          </w:tcPr>
          <w:p w14:paraId="5EC12A25" w14:textId="77777777" w:rsidR="00992A45" w:rsidRPr="00BD7721" w:rsidRDefault="00992A45" w:rsidP="00D72A8C">
            <w:pPr>
              <w:pStyle w:val="Normal-pool-Table"/>
              <w:spacing w:after="30"/>
              <w:jc w:val="right"/>
              <w:rPr>
                <w:b/>
                <w:lang w:val="en-GB"/>
              </w:rPr>
            </w:pPr>
            <w:r w:rsidRPr="00BD7721">
              <w:rPr>
                <w:b/>
                <w:lang w:val="en-GB"/>
              </w:rPr>
              <w:t>10 455 858</w:t>
            </w:r>
          </w:p>
        </w:tc>
        <w:tc>
          <w:tcPr>
            <w:tcW w:w="1286" w:type="dxa"/>
            <w:tcBorders>
              <w:top w:val="single" w:sz="4" w:space="0" w:color="000000"/>
              <w:left w:val="nil"/>
              <w:bottom w:val="single" w:sz="12" w:space="0" w:color="000000"/>
              <w:right w:val="nil"/>
            </w:tcBorders>
            <w:vAlign w:val="bottom"/>
            <w:hideMark/>
          </w:tcPr>
          <w:p w14:paraId="337ABF7C" w14:textId="77777777" w:rsidR="00992A45" w:rsidRPr="00BD7721" w:rsidRDefault="00992A45" w:rsidP="00D72A8C">
            <w:pPr>
              <w:pStyle w:val="Normal-pool-Table"/>
              <w:spacing w:after="30"/>
              <w:jc w:val="right"/>
              <w:rPr>
                <w:b/>
                <w:lang w:val="en-GB"/>
              </w:rPr>
            </w:pPr>
            <w:r w:rsidRPr="00BD7721">
              <w:rPr>
                <w:b/>
                <w:lang w:val="en-GB"/>
              </w:rPr>
              <w:t>307 030</w:t>
            </w:r>
          </w:p>
        </w:tc>
      </w:tr>
    </w:tbl>
    <w:p w14:paraId="2831A717" w14:textId="2CF969F8" w:rsidR="00992A45" w:rsidRPr="00BD7721" w:rsidRDefault="00992A45" w:rsidP="00212CBC">
      <w:pPr>
        <w:pStyle w:val="CH1"/>
        <w:tabs>
          <w:tab w:val="right" w:pos="9213"/>
        </w:tabs>
        <w:rPr>
          <w:rFonts w:eastAsia="Yu Mincho"/>
          <w:lang w:val="en-GB"/>
        </w:rPr>
      </w:pPr>
      <w:r w:rsidRPr="00BD7721">
        <w:rPr>
          <w:rFonts w:eastAsia="Yu Mincho"/>
          <w:lang w:val="en-GB"/>
        </w:rPr>
        <w:tab/>
        <w:t>V.</w:t>
      </w:r>
      <w:r w:rsidRPr="00BD7721">
        <w:rPr>
          <w:rFonts w:eastAsia="Yu Mincho"/>
          <w:lang w:val="en-GB"/>
        </w:rPr>
        <w:tab/>
        <w:t>Provisional budget for 2025</w:t>
      </w:r>
    </w:p>
    <w:p w14:paraId="13E3F181" w14:textId="77777777" w:rsidR="00992A45" w:rsidRPr="00BD7721" w:rsidRDefault="00992A45" w:rsidP="00992A45">
      <w:pPr>
        <w:pStyle w:val="Titletable"/>
        <w:rPr>
          <w:lang w:val="en-GB"/>
        </w:rPr>
      </w:pPr>
      <w:r w:rsidRPr="00BD7721">
        <w:rPr>
          <w:b w:val="0"/>
          <w:bCs w:val="0"/>
          <w:lang w:val="en-GB"/>
        </w:rPr>
        <w:t xml:space="preserve">Table 8 </w:t>
      </w:r>
      <w:r w:rsidRPr="00BD7721">
        <w:rPr>
          <w:b w:val="0"/>
          <w:bCs w:val="0"/>
          <w:lang w:val="en-GB"/>
        </w:rPr>
        <w:br/>
      </w:r>
      <w:r w:rsidRPr="00BD7721">
        <w:rPr>
          <w:lang w:val="en-GB"/>
        </w:rPr>
        <w:t>Provisional budget for 2025</w:t>
      </w:r>
    </w:p>
    <w:p w14:paraId="2AB494AB" w14:textId="77777777" w:rsidR="00992A45" w:rsidRPr="00BD7721" w:rsidRDefault="00992A45" w:rsidP="00992A45">
      <w:pPr>
        <w:pStyle w:val="Titletable"/>
        <w:rPr>
          <w:b w:val="0"/>
          <w:bCs w:val="0"/>
          <w:sz w:val="18"/>
          <w:szCs w:val="18"/>
          <w:lang w:val="en-GB"/>
        </w:rPr>
      </w:pPr>
      <w:r w:rsidRPr="00BD7721">
        <w:rPr>
          <w:b w:val="0"/>
          <w:bCs w:val="0"/>
          <w:sz w:val="18"/>
          <w:szCs w:val="18"/>
          <w:lang w:val="en-GB"/>
        </w:rPr>
        <w:t>(United States dollars)</w:t>
      </w:r>
    </w:p>
    <w:tbl>
      <w:tblPr>
        <w:tblW w:w="5000" w:type="pct"/>
        <w:jc w:val="right"/>
        <w:tblBorders>
          <w:insideH w:val="nil"/>
          <w:insideV w:val="nil"/>
        </w:tblBorders>
        <w:tblLayout w:type="fixed"/>
        <w:tblLook w:val="04A0" w:firstRow="1" w:lastRow="0" w:firstColumn="1" w:lastColumn="0" w:noHBand="0" w:noVBand="1"/>
      </w:tblPr>
      <w:tblGrid>
        <w:gridCol w:w="7513"/>
        <w:gridCol w:w="1984"/>
      </w:tblGrid>
      <w:tr w:rsidR="00992A45" w:rsidRPr="00BD7721" w14:paraId="4D664C79" w14:textId="77777777" w:rsidTr="004E48D5">
        <w:trPr>
          <w:trHeight w:val="57"/>
          <w:tblHeader/>
          <w:jc w:val="right"/>
        </w:trPr>
        <w:tc>
          <w:tcPr>
            <w:tcW w:w="7513" w:type="dxa"/>
            <w:tcBorders>
              <w:top w:val="single" w:sz="4" w:space="0" w:color="000000"/>
              <w:left w:val="nil"/>
              <w:bottom w:val="single" w:sz="12" w:space="0" w:color="000000"/>
              <w:right w:val="nil"/>
            </w:tcBorders>
            <w:vAlign w:val="bottom"/>
            <w:hideMark/>
          </w:tcPr>
          <w:p w14:paraId="6CB81D70" w14:textId="77777777" w:rsidR="00992A45" w:rsidRPr="00BD7721" w:rsidRDefault="00992A45" w:rsidP="008F194E">
            <w:pPr>
              <w:pStyle w:val="Normal-pool"/>
              <w:spacing w:before="40" w:after="40"/>
              <w:rPr>
                <w:i/>
                <w:iCs/>
                <w:sz w:val="18"/>
                <w:szCs w:val="18"/>
                <w:lang w:val="en-GB"/>
              </w:rPr>
            </w:pPr>
            <w:r w:rsidRPr="00BD7721">
              <w:rPr>
                <w:i/>
                <w:iCs/>
                <w:sz w:val="18"/>
                <w:szCs w:val="18"/>
                <w:lang w:val="en-GB"/>
              </w:rPr>
              <w:t>Budget items</w:t>
            </w:r>
          </w:p>
        </w:tc>
        <w:tc>
          <w:tcPr>
            <w:tcW w:w="1984" w:type="dxa"/>
            <w:tcBorders>
              <w:top w:val="single" w:sz="4" w:space="0" w:color="000000"/>
              <w:left w:val="nil"/>
              <w:bottom w:val="single" w:sz="12" w:space="0" w:color="000000"/>
              <w:right w:val="nil"/>
            </w:tcBorders>
            <w:vAlign w:val="bottom"/>
            <w:hideMark/>
          </w:tcPr>
          <w:p w14:paraId="6E4E502A" w14:textId="77777777" w:rsidR="00992A45" w:rsidRPr="00BD7721" w:rsidRDefault="00992A45" w:rsidP="008F194E">
            <w:pPr>
              <w:pStyle w:val="Normal-pool"/>
              <w:spacing w:before="40" w:after="40"/>
              <w:jc w:val="right"/>
              <w:rPr>
                <w:i/>
                <w:iCs/>
                <w:sz w:val="18"/>
                <w:szCs w:val="18"/>
                <w:lang w:val="en-GB"/>
              </w:rPr>
            </w:pPr>
            <w:r w:rsidRPr="00BD7721">
              <w:rPr>
                <w:i/>
                <w:iCs/>
                <w:sz w:val="18"/>
                <w:szCs w:val="18"/>
                <w:lang w:val="en-GB"/>
              </w:rPr>
              <w:t>2025 provisional budget</w:t>
            </w:r>
          </w:p>
        </w:tc>
      </w:tr>
      <w:tr w:rsidR="00992A45" w:rsidRPr="00BD7721" w14:paraId="158AF63F" w14:textId="77777777" w:rsidTr="004E48D5">
        <w:trPr>
          <w:trHeight w:val="57"/>
          <w:jc w:val="right"/>
        </w:trPr>
        <w:tc>
          <w:tcPr>
            <w:tcW w:w="7513" w:type="dxa"/>
            <w:tcBorders>
              <w:top w:val="single" w:sz="12" w:space="0" w:color="000000"/>
              <w:left w:val="nil"/>
              <w:bottom w:val="nil"/>
              <w:right w:val="nil"/>
            </w:tcBorders>
            <w:hideMark/>
          </w:tcPr>
          <w:p w14:paraId="6890A97A" w14:textId="77777777" w:rsidR="00992A45" w:rsidRPr="00BD7721" w:rsidRDefault="00992A45" w:rsidP="008F194E">
            <w:pPr>
              <w:pStyle w:val="Normal-pool"/>
              <w:tabs>
                <w:tab w:val="left" w:pos="322"/>
              </w:tabs>
              <w:spacing w:before="40" w:after="40"/>
              <w:rPr>
                <w:b/>
                <w:sz w:val="18"/>
                <w:szCs w:val="18"/>
                <w:lang w:val="en-GB"/>
              </w:rPr>
            </w:pPr>
            <w:r w:rsidRPr="00BD7721">
              <w:rPr>
                <w:b/>
                <w:sz w:val="18"/>
                <w:szCs w:val="18"/>
                <w:lang w:val="en-GB"/>
              </w:rPr>
              <w:t>1.</w:t>
            </w:r>
            <w:r w:rsidRPr="00BD7721">
              <w:rPr>
                <w:b/>
                <w:sz w:val="18"/>
                <w:szCs w:val="18"/>
                <w:lang w:val="en-GB"/>
              </w:rPr>
              <w:tab/>
              <w:t>Meetings of the IPBES bodies</w:t>
            </w:r>
          </w:p>
        </w:tc>
        <w:tc>
          <w:tcPr>
            <w:tcW w:w="1984" w:type="dxa"/>
            <w:tcBorders>
              <w:top w:val="single" w:sz="12" w:space="0" w:color="000000"/>
              <w:left w:val="nil"/>
              <w:bottom w:val="nil"/>
              <w:right w:val="nil"/>
            </w:tcBorders>
          </w:tcPr>
          <w:p w14:paraId="10C2A043" w14:textId="77777777" w:rsidR="00992A45" w:rsidRPr="00BD7721" w:rsidRDefault="00992A45" w:rsidP="008F194E">
            <w:pPr>
              <w:pStyle w:val="Normal-pool"/>
              <w:spacing w:before="40" w:after="40"/>
              <w:jc w:val="right"/>
              <w:rPr>
                <w:b/>
                <w:sz w:val="18"/>
                <w:szCs w:val="18"/>
                <w:lang w:val="en-GB"/>
              </w:rPr>
            </w:pPr>
          </w:p>
        </w:tc>
      </w:tr>
      <w:tr w:rsidR="00992A45" w:rsidRPr="00BD7721" w14:paraId="119FFACA" w14:textId="77777777" w:rsidTr="004E48D5">
        <w:trPr>
          <w:trHeight w:val="57"/>
          <w:jc w:val="right"/>
        </w:trPr>
        <w:tc>
          <w:tcPr>
            <w:tcW w:w="7513" w:type="dxa"/>
            <w:tcBorders>
              <w:top w:val="nil"/>
              <w:left w:val="nil"/>
              <w:bottom w:val="nil"/>
              <w:right w:val="nil"/>
            </w:tcBorders>
            <w:hideMark/>
          </w:tcPr>
          <w:p w14:paraId="0F158271" w14:textId="77777777" w:rsidR="00992A45" w:rsidRPr="00BD7721" w:rsidRDefault="00992A45" w:rsidP="008F194E">
            <w:pPr>
              <w:pStyle w:val="Normal-pool"/>
              <w:tabs>
                <w:tab w:val="left" w:pos="322"/>
              </w:tabs>
              <w:spacing w:before="40" w:after="40"/>
              <w:rPr>
                <w:b/>
                <w:sz w:val="18"/>
                <w:szCs w:val="18"/>
                <w:lang w:val="en-GB"/>
              </w:rPr>
            </w:pPr>
            <w:r w:rsidRPr="00BD7721">
              <w:rPr>
                <w:b/>
                <w:sz w:val="18"/>
                <w:szCs w:val="18"/>
                <w:lang w:val="en-GB"/>
              </w:rPr>
              <w:t>1.1</w:t>
            </w:r>
            <w:r w:rsidRPr="00BD7721">
              <w:rPr>
                <w:b/>
                <w:sz w:val="18"/>
                <w:szCs w:val="18"/>
                <w:lang w:val="en-GB"/>
              </w:rPr>
              <w:tab/>
              <w:t>Sessions of the Plenary</w:t>
            </w:r>
          </w:p>
        </w:tc>
        <w:tc>
          <w:tcPr>
            <w:tcW w:w="1984" w:type="dxa"/>
            <w:tcBorders>
              <w:top w:val="nil"/>
              <w:left w:val="nil"/>
              <w:bottom w:val="nil"/>
              <w:right w:val="nil"/>
            </w:tcBorders>
          </w:tcPr>
          <w:p w14:paraId="4739DB54" w14:textId="77777777" w:rsidR="00992A45" w:rsidRPr="00BD7721" w:rsidRDefault="00992A45" w:rsidP="008F194E">
            <w:pPr>
              <w:pStyle w:val="Normal-pool"/>
              <w:spacing w:before="40" w:after="40"/>
              <w:jc w:val="right"/>
              <w:rPr>
                <w:b/>
                <w:sz w:val="18"/>
                <w:szCs w:val="18"/>
                <w:lang w:val="en-GB"/>
              </w:rPr>
            </w:pPr>
          </w:p>
        </w:tc>
      </w:tr>
      <w:tr w:rsidR="00992A45" w:rsidRPr="00BD7721" w14:paraId="209E3403" w14:textId="77777777" w:rsidTr="004D15D3">
        <w:trPr>
          <w:trHeight w:val="57"/>
          <w:jc w:val="right"/>
        </w:trPr>
        <w:tc>
          <w:tcPr>
            <w:tcW w:w="7513" w:type="dxa"/>
            <w:tcBorders>
              <w:top w:val="nil"/>
              <w:left w:val="nil"/>
              <w:bottom w:val="nil"/>
              <w:right w:val="nil"/>
            </w:tcBorders>
            <w:hideMark/>
          </w:tcPr>
          <w:p w14:paraId="4164BF9F" w14:textId="77777777" w:rsidR="00992A45" w:rsidRPr="00BD7721" w:rsidRDefault="00992A45" w:rsidP="008F194E">
            <w:pPr>
              <w:pStyle w:val="Normal-pool"/>
              <w:spacing w:before="40" w:after="40"/>
              <w:ind w:left="319"/>
              <w:rPr>
                <w:sz w:val="18"/>
                <w:szCs w:val="18"/>
                <w:lang w:val="en-GB"/>
              </w:rPr>
            </w:pPr>
            <w:r w:rsidRPr="00BD7721">
              <w:rPr>
                <w:sz w:val="18"/>
                <w:szCs w:val="18"/>
                <w:lang w:val="en-GB"/>
              </w:rPr>
              <w:t xml:space="preserve">Travel costs for participants in the twelfth session of the Plenary (travel and daily subsistence allowance) </w:t>
            </w:r>
          </w:p>
        </w:tc>
        <w:tc>
          <w:tcPr>
            <w:tcW w:w="1984" w:type="dxa"/>
            <w:tcBorders>
              <w:top w:val="nil"/>
              <w:left w:val="nil"/>
              <w:bottom w:val="nil"/>
              <w:right w:val="nil"/>
            </w:tcBorders>
            <w:vAlign w:val="bottom"/>
            <w:hideMark/>
          </w:tcPr>
          <w:p w14:paraId="5117FEFE"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500 000</w:t>
            </w:r>
          </w:p>
        </w:tc>
      </w:tr>
      <w:tr w:rsidR="00992A45" w:rsidRPr="00BD7721" w14:paraId="3E421EC9" w14:textId="77777777" w:rsidTr="004D15D3">
        <w:trPr>
          <w:trHeight w:val="57"/>
          <w:jc w:val="right"/>
        </w:trPr>
        <w:tc>
          <w:tcPr>
            <w:tcW w:w="7513" w:type="dxa"/>
            <w:tcBorders>
              <w:top w:val="nil"/>
              <w:left w:val="nil"/>
              <w:bottom w:val="nil"/>
              <w:right w:val="nil"/>
            </w:tcBorders>
            <w:hideMark/>
          </w:tcPr>
          <w:p w14:paraId="703E137B" w14:textId="77777777" w:rsidR="00992A45" w:rsidRPr="00BD7721" w:rsidRDefault="00992A45" w:rsidP="008F194E">
            <w:pPr>
              <w:pStyle w:val="Normal-pool"/>
              <w:spacing w:before="40" w:after="40"/>
              <w:ind w:left="319"/>
              <w:rPr>
                <w:sz w:val="18"/>
                <w:szCs w:val="18"/>
                <w:lang w:val="en-GB"/>
              </w:rPr>
            </w:pPr>
            <w:r w:rsidRPr="00BD7721">
              <w:rPr>
                <w:sz w:val="18"/>
                <w:szCs w:val="18"/>
                <w:lang w:val="en-GB"/>
              </w:rPr>
              <w:t>Conference services (translation, editing and interpretation)</w:t>
            </w:r>
          </w:p>
        </w:tc>
        <w:tc>
          <w:tcPr>
            <w:tcW w:w="1984" w:type="dxa"/>
            <w:tcBorders>
              <w:top w:val="nil"/>
              <w:left w:val="nil"/>
              <w:bottom w:val="nil"/>
              <w:right w:val="nil"/>
            </w:tcBorders>
            <w:vAlign w:val="bottom"/>
            <w:hideMark/>
          </w:tcPr>
          <w:p w14:paraId="187E3EF6"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830 000</w:t>
            </w:r>
          </w:p>
        </w:tc>
      </w:tr>
      <w:tr w:rsidR="00992A45" w:rsidRPr="00BD7721" w14:paraId="00F1A351" w14:textId="77777777" w:rsidTr="004D15D3">
        <w:trPr>
          <w:trHeight w:val="57"/>
          <w:jc w:val="right"/>
        </w:trPr>
        <w:tc>
          <w:tcPr>
            <w:tcW w:w="7513" w:type="dxa"/>
            <w:tcBorders>
              <w:top w:val="nil"/>
              <w:left w:val="nil"/>
              <w:bottom w:val="nil"/>
              <w:right w:val="nil"/>
            </w:tcBorders>
            <w:hideMark/>
          </w:tcPr>
          <w:p w14:paraId="09A3E070" w14:textId="77777777" w:rsidR="00992A45" w:rsidRPr="00BD7721" w:rsidRDefault="00992A45" w:rsidP="008F194E">
            <w:pPr>
              <w:pStyle w:val="Normal-pool"/>
              <w:spacing w:before="40" w:after="40"/>
              <w:ind w:left="319"/>
              <w:rPr>
                <w:sz w:val="18"/>
                <w:szCs w:val="18"/>
                <w:lang w:val="en-GB"/>
              </w:rPr>
            </w:pPr>
            <w:r w:rsidRPr="00BD7721">
              <w:rPr>
                <w:sz w:val="18"/>
                <w:szCs w:val="18"/>
                <w:lang w:val="en-GB"/>
              </w:rPr>
              <w:t>Reporting services</w:t>
            </w:r>
          </w:p>
        </w:tc>
        <w:tc>
          <w:tcPr>
            <w:tcW w:w="1984" w:type="dxa"/>
            <w:tcBorders>
              <w:top w:val="nil"/>
              <w:left w:val="nil"/>
              <w:bottom w:val="nil"/>
              <w:right w:val="nil"/>
            </w:tcBorders>
            <w:vAlign w:val="bottom"/>
            <w:hideMark/>
          </w:tcPr>
          <w:p w14:paraId="6EE5CCE0"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65 000</w:t>
            </w:r>
          </w:p>
        </w:tc>
      </w:tr>
      <w:tr w:rsidR="00992A45" w:rsidRPr="00BD7721" w14:paraId="443332F5" w14:textId="77777777" w:rsidTr="004D15D3">
        <w:trPr>
          <w:trHeight w:val="57"/>
          <w:jc w:val="right"/>
        </w:trPr>
        <w:tc>
          <w:tcPr>
            <w:tcW w:w="7513" w:type="dxa"/>
            <w:tcBorders>
              <w:top w:val="nil"/>
              <w:left w:val="nil"/>
              <w:bottom w:val="single" w:sz="4" w:space="0" w:color="000000"/>
              <w:right w:val="nil"/>
            </w:tcBorders>
            <w:hideMark/>
          </w:tcPr>
          <w:p w14:paraId="51130A4E" w14:textId="77777777" w:rsidR="00992A45" w:rsidRPr="00BD7721" w:rsidRDefault="00992A45" w:rsidP="008F194E">
            <w:pPr>
              <w:pStyle w:val="Normal-pool"/>
              <w:spacing w:before="40" w:after="40"/>
              <w:ind w:left="319"/>
              <w:rPr>
                <w:sz w:val="18"/>
                <w:szCs w:val="18"/>
                <w:lang w:val="en-GB"/>
              </w:rPr>
            </w:pPr>
            <w:r w:rsidRPr="00BD7721">
              <w:rPr>
                <w:sz w:val="18"/>
                <w:szCs w:val="18"/>
                <w:lang w:val="en-GB"/>
              </w:rPr>
              <w:t xml:space="preserve">Security and other costs </w:t>
            </w:r>
          </w:p>
        </w:tc>
        <w:tc>
          <w:tcPr>
            <w:tcW w:w="1984" w:type="dxa"/>
            <w:tcBorders>
              <w:top w:val="nil"/>
              <w:left w:val="nil"/>
              <w:bottom w:val="single" w:sz="4" w:space="0" w:color="000000"/>
              <w:right w:val="nil"/>
            </w:tcBorders>
            <w:vAlign w:val="bottom"/>
            <w:hideMark/>
          </w:tcPr>
          <w:p w14:paraId="627F2ECC"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200 000</w:t>
            </w:r>
          </w:p>
        </w:tc>
      </w:tr>
      <w:tr w:rsidR="00992A45" w:rsidRPr="00BD7721" w14:paraId="69A6DB5F" w14:textId="77777777" w:rsidTr="004D15D3">
        <w:trPr>
          <w:trHeight w:val="57"/>
          <w:jc w:val="right"/>
        </w:trPr>
        <w:tc>
          <w:tcPr>
            <w:tcW w:w="7513" w:type="dxa"/>
            <w:tcBorders>
              <w:top w:val="single" w:sz="4" w:space="0" w:color="000000"/>
              <w:left w:val="nil"/>
              <w:bottom w:val="single" w:sz="4" w:space="0" w:color="000000"/>
              <w:right w:val="nil"/>
            </w:tcBorders>
            <w:hideMark/>
          </w:tcPr>
          <w:p w14:paraId="7B36BB97" w14:textId="77777777" w:rsidR="00992A45" w:rsidRPr="00BD7721" w:rsidRDefault="00992A45" w:rsidP="008F194E">
            <w:pPr>
              <w:pStyle w:val="Normal-pool"/>
              <w:spacing w:before="40" w:after="40"/>
              <w:rPr>
                <w:b/>
                <w:sz w:val="18"/>
                <w:szCs w:val="18"/>
                <w:lang w:val="en-GB"/>
              </w:rPr>
            </w:pPr>
            <w:r w:rsidRPr="00BD7721">
              <w:rPr>
                <w:b/>
                <w:sz w:val="18"/>
                <w:szCs w:val="18"/>
                <w:lang w:val="en-GB"/>
              </w:rPr>
              <w:t>Subtotal 1.1, sessions of the Plenary</w:t>
            </w:r>
          </w:p>
        </w:tc>
        <w:tc>
          <w:tcPr>
            <w:tcW w:w="1984" w:type="dxa"/>
            <w:tcBorders>
              <w:top w:val="single" w:sz="4" w:space="0" w:color="000000"/>
              <w:left w:val="nil"/>
              <w:bottom w:val="single" w:sz="4" w:space="0" w:color="000000"/>
              <w:right w:val="nil"/>
            </w:tcBorders>
            <w:vAlign w:val="bottom"/>
            <w:hideMark/>
          </w:tcPr>
          <w:p w14:paraId="7DC780D8"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1 595 000</w:t>
            </w:r>
          </w:p>
        </w:tc>
      </w:tr>
      <w:tr w:rsidR="00992A45" w:rsidRPr="00BD7721" w14:paraId="395295EE" w14:textId="77777777" w:rsidTr="004D15D3">
        <w:trPr>
          <w:trHeight w:val="57"/>
          <w:jc w:val="right"/>
        </w:trPr>
        <w:tc>
          <w:tcPr>
            <w:tcW w:w="7513" w:type="dxa"/>
            <w:tcBorders>
              <w:top w:val="single" w:sz="4" w:space="0" w:color="000000"/>
              <w:left w:val="nil"/>
              <w:bottom w:val="nil"/>
              <w:right w:val="nil"/>
            </w:tcBorders>
            <w:hideMark/>
          </w:tcPr>
          <w:p w14:paraId="413AC3EC" w14:textId="77777777" w:rsidR="00992A45" w:rsidRPr="00BD7721" w:rsidRDefault="00992A45" w:rsidP="008F194E">
            <w:pPr>
              <w:pStyle w:val="Normal-pool"/>
              <w:tabs>
                <w:tab w:val="left" w:pos="322"/>
              </w:tabs>
              <w:spacing w:before="40" w:after="40"/>
              <w:rPr>
                <w:b/>
                <w:sz w:val="18"/>
                <w:szCs w:val="18"/>
                <w:lang w:val="en-GB"/>
              </w:rPr>
            </w:pPr>
            <w:r w:rsidRPr="00BD7721">
              <w:rPr>
                <w:b/>
                <w:sz w:val="18"/>
                <w:szCs w:val="18"/>
                <w:lang w:val="en-GB"/>
              </w:rPr>
              <w:t>1.2</w:t>
            </w:r>
            <w:r w:rsidRPr="00BD7721">
              <w:rPr>
                <w:b/>
                <w:sz w:val="18"/>
                <w:szCs w:val="18"/>
                <w:lang w:val="en-GB"/>
              </w:rPr>
              <w:tab/>
              <w:t>Bureau and Multidisciplinary Expert Panel sessions</w:t>
            </w:r>
          </w:p>
        </w:tc>
        <w:tc>
          <w:tcPr>
            <w:tcW w:w="1984" w:type="dxa"/>
            <w:tcBorders>
              <w:top w:val="single" w:sz="4" w:space="0" w:color="000000"/>
              <w:left w:val="nil"/>
              <w:bottom w:val="nil"/>
              <w:right w:val="nil"/>
            </w:tcBorders>
            <w:vAlign w:val="bottom"/>
          </w:tcPr>
          <w:p w14:paraId="067B0A9B" w14:textId="77777777" w:rsidR="00992A45" w:rsidRPr="00BD7721" w:rsidRDefault="00992A45" w:rsidP="008F194E">
            <w:pPr>
              <w:pStyle w:val="Normal-pool"/>
              <w:spacing w:before="40" w:after="40"/>
              <w:jc w:val="right"/>
              <w:rPr>
                <w:sz w:val="18"/>
                <w:szCs w:val="18"/>
                <w:lang w:val="en-GB"/>
              </w:rPr>
            </w:pPr>
          </w:p>
        </w:tc>
      </w:tr>
      <w:tr w:rsidR="00992A45" w:rsidRPr="00BD7721" w14:paraId="723BC326" w14:textId="77777777" w:rsidTr="004D15D3">
        <w:trPr>
          <w:trHeight w:val="57"/>
          <w:jc w:val="right"/>
        </w:trPr>
        <w:tc>
          <w:tcPr>
            <w:tcW w:w="7513" w:type="dxa"/>
            <w:tcBorders>
              <w:top w:val="nil"/>
              <w:left w:val="nil"/>
              <w:bottom w:val="nil"/>
              <w:right w:val="nil"/>
            </w:tcBorders>
            <w:hideMark/>
          </w:tcPr>
          <w:p w14:paraId="304E9917" w14:textId="77777777" w:rsidR="00992A45" w:rsidRPr="00BD7721" w:rsidRDefault="00992A45" w:rsidP="008F194E">
            <w:pPr>
              <w:pStyle w:val="Normal-pool"/>
              <w:spacing w:before="40" w:after="40"/>
              <w:ind w:left="319"/>
              <w:rPr>
                <w:sz w:val="18"/>
                <w:szCs w:val="18"/>
                <w:lang w:val="en-GB"/>
              </w:rPr>
            </w:pPr>
            <w:r w:rsidRPr="00BD7721">
              <w:rPr>
                <w:sz w:val="18"/>
                <w:szCs w:val="18"/>
                <w:lang w:val="en-GB"/>
              </w:rPr>
              <w:t>Travel and meeting costs for participants for one Bureau session</w:t>
            </w:r>
          </w:p>
        </w:tc>
        <w:tc>
          <w:tcPr>
            <w:tcW w:w="1984" w:type="dxa"/>
            <w:tcBorders>
              <w:top w:val="nil"/>
              <w:left w:val="nil"/>
              <w:bottom w:val="nil"/>
              <w:right w:val="nil"/>
            </w:tcBorders>
            <w:vAlign w:val="bottom"/>
            <w:hideMark/>
          </w:tcPr>
          <w:p w14:paraId="5253C1B9"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35 450</w:t>
            </w:r>
          </w:p>
        </w:tc>
      </w:tr>
      <w:tr w:rsidR="00992A45" w:rsidRPr="00BD7721" w14:paraId="25CBCF7D" w14:textId="77777777" w:rsidTr="004D15D3">
        <w:trPr>
          <w:trHeight w:val="57"/>
          <w:jc w:val="right"/>
        </w:trPr>
        <w:tc>
          <w:tcPr>
            <w:tcW w:w="7513" w:type="dxa"/>
            <w:tcBorders>
              <w:top w:val="nil"/>
              <w:left w:val="nil"/>
              <w:bottom w:val="single" w:sz="4" w:space="0" w:color="000000"/>
              <w:right w:val="nil"/>
            </w:tcBorders>
            <w:hideMark/>
          </w:tcPr>
          <w:p w14:paraId="79BA8D0D" w14:textId="77777777" w:rsidR="00992A45" w:rsidRPr="00BD7721" w:rsidRDefault="00992A45" w:rsidP="008F194E">
            <w:pPr>
              <w:pStyle w:val="Normal-pool"/>
              <w:spacing w:before="40" w:after="40"/>
              <w:ind w:left="319"/>
              <w:rPr>
                <w:sz w:val="18"/>
                <w:szCs w:val="18"/>
                <w:lang w:val="en-GB"/>
              </w:rPr>
            </w:pPr>
            <w:r w:rsidRPr="00BD7721">
              <w:rPr>
                <w:sz w:val="18"/>
                <w:szCs w:val="18"/>
                <w:lang w:val="en-GB"/>
              </w:rPr>
              <w:t>Travel and meeting costs for participants for one Panel session</w:t>
            </w:r>
          </w:p>
        </w:tc>
        <w:tc>
          <w:tcPr>
            <w:tcW w:w="1984" w:type="dxa"/>
            <w:tcBorders>
              <w:top w:val="nil"/>
              <w:left w:val="nil"/>
              <w:bottom w:val="single" w:sz="4" w:space="0" w:color="000000"/>
              <w:right w:val="nil"/>
            </w:tcBorders>
            <w:vAlign w:val="bottom"/>
            <w:hideMark/>
          </w:tcPr>
          <w:p w14:paraId="04C21C7E"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85 000</w:t>
            </w:r>
          </w:p>
        </w:tc>
      </w:tr>
      <w:tr w:rsidR="00992A45" w:rsidRPr="00BD7721" w14:paraId="7C85885F" w14:textId="77777777" w:rsidTr="004D15D3">
        <w:trPr>
          <w:trHeight w:val="57"/>
          <w:jc w:val="right"/>
        </w:trPr>
        <w:tc>
          <w:tcPr>
            <w:tcW w:w="7513" w:type="dxa"/>
            <w:tcBorders>
              <w:top w:val="single" w:sz="4" w:space="0" w:color="000000"/>
              <w:left w:val="nil"/>
              <w:bottom w:val="single" w:sz="4" w:space="0" w:color="000000"/>
              <w:right w:val="nil"/>
            </w:tcBorders>
            <w:hideMark/>
          </w:tcPr>
          <w:p w14:paraId="16E3AD5A" w14:textId="77777777" w:rsidR="00992A45" w:rsidRPr="00BD7721" w:rsidRDefault="00992A45" w:rsidP="008F194E">
            <w:pPr>
              <w:pStyle w:val="Normal-pool"/>
              <w:spacing w:before="40" w:after="40"/>
              <w:rPr>
                <w:b/>
                <w:sz w:val="18"/>
                <w:szCs w:val="18"/>
                <w:lang w:val="en-GB"/>
              </w:rPr>
            </w:pPr>
            <w:r w:rsidRPr="00BD7721">
              <w:rPr>
                <w:b/>
                <w:sz w:val="18"/>
                <w:szCs w:val="18"/>
                <w:lang w:val="en-GB"/>
              </w:rPr>
              <w:t>Subtotal 1.2, Bureau and Multidisciplinary Expert Panel sessions</w:t>
            </w:r>
          </w:p>
        </w:tc>
        <w:tc>
          <w:tcPr>
            <w:tcW w:w="1984" w:type="dxa"/>
            <w:tcBorders>
              <w:top w:val="single" w:sz="4" w:space="0" w:color="000000"/>
              <w:left w:val="nil"/>
              <w:bottom w:val="single" w:sz="4" w:space="0" w:color="000000"/>
              <w:right w:val="nil"/>
            </w:tcBorders>
            <w:vAlign w:val="bottom"/>
            <w:hideMark/>
          </w:tcPr>
          <w:p w14:paraId="377E1F5A"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120 450</w:t>
            </w:r>
          </w:p>
        </w:tc>
      </w:tr>
      <w:tr w:rsidR="00992A45" w:rsidRPr="00BD7721" w14:paraId="296664B7" w14:textId="77777777" w:rsidTr="004D15D3">
        <w:trPr>
          <w:trHeight w:val="57"/>
          <w:jc w:val="right"/>
        </w:trPr>
        <w:tc>
          <w:tcPr>
            <w:tcW w:w="7513" w:type="dxa"/>
            <w:tcBorders>
              <w:top w:val="single" w:sz="4" w:space="0" w:color="000000"/>
              <w:left w:val="nil"/>
              <w:bottom w:val="single" w:sz="4" w:space="0" w:color="000000"/>
              <w:right w:val="nil"/>
            </w:tcBorders>
            <w:hideMark/>
          </w:tcPr>
          <w:p w14:paraId="29CDAC0F" w14:textId="77777777" w:rsidR="00992A45" w:rsidRPr="00BD7721" w:rsidRDefault="00992A45" w:rsidP="008F194E">
            <w:pPr>
              <w:pStyle w:val="Normal-pool"/>
              <w:tabs>
                <w:tab w:val="left" w:pos="322"/>
              </w:tabs>
              <w:spacing w:before="40" w:after="40"/>
              <w:rPr>
                <w:b/>
                <w:sz w:val="18"/>
                <w:szCs w:val="18"/>
                <w:lang w:val="en-GB"/>
              </w:rPr>
            </w:pPr>
            <w:r w:rsidRPr="00BD7721">
              <w:rPr>
                <w:b/>
                <w:sz w:val="18"/>
                <w:szCs w:val="18"/>
                <w:lang w:val="en-GB"/>
              </w:rPr>
              <w:t>1.3</w:t>
            </w:r>
            <w:r w:rsidRPr="00BD7721">
              <w:rPr>
                <w:b/>
                <w:sz w:val="18"/>
                <w:szCs w:val="18"/>
                <w:lang w:val="en-GB"/>
              </w:rPr>
              <w:tab/>
              <w:t>Travel costs of the Chair to represent IPBES</w:t>
            </w:r>
          </w:p>
        </w:tc>
        <w:tc>
          <w:tcPr>
            <w:tcW w:w="1984" w:type="dxa"/>
            <w:tcBorders>
              <w:top w:val="single" w:sz="4" w:space="0" w:color="000000"/>
              <w:left w:val="nil"/>
              <w:bottom w:val="single" w:sz="4" w:space="0" w:color="000000"/>
              <w:right w:val="nil"/>
            </w:tcBorders>
            <w:vAlign w:val="bottom"/>
            <w:hideMark/>
          </w:tcPr>
          <w:p w14:paraId="524E858D"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25 000</w:t>
            </w:r>
          </w:p>
        </w:tc>
      </w:tr>
      <w:tr w:rsidR="00992A45" w:rsidRPr="00BD7721" w14:paraId="3EDC4AA0" w14:textId="77777777" w:rsidTr="004D15D3">
        <w:trPr>
          <w:trHeight w:val="57"/>
          <w:jc w:val="right"/>
        </w:trPr>
        <w:tc>
          <w:tcPr>
            <w:tcW w:w="7513" w:type="dxa"/>
            <w:tcBorders>
              <w:top w:val="single" w:sz="4" w:space="0" w:color="000000"/>
              <w:left w:val="nil"/>
              <w:bottom w:val="single" w:sz="4" w:space="0" w:color="000000"/>
              <w:right w:val="nil"/>
            </w:tcBorders>
            <w:hideMark/>
          </w:tcPr>
          <w:p w14:paraId="583288EF" w14:textId="77777777" w:rsidR="00992A45" w:rsidRPr="00BD7721" w:rsidRDefault="00992A45" w:rsidP="008F194E">
            <w:pPr>
              <w:pStyle w:val="Normal-pool"/>
              <w:spacing w:before="40" w:after="40"/>
              <w:rPr>
                <w:b/>
                <w:sz w:val="18"/>
                <w:szCs w:val="18"/>
                <w:lang w:val="en-GB"/>
              </w:rPr>
            </w:pPr>
            <w:r w:rsidRPr="00BD7721">
              <w:rPr>
                <w:b/>
                <w:sz w:val="18"/>
                <w:szCs w:val="18"/>
                <w:lang w:val="en-GB"/>
              </w:rPr>
              <w:t>Subtotal 1, meetings of the IPBES bodies</w:t>
            </w:r>
          </w:p>
        </w:tc>
        <w:tc>
          <w:tcPr>
            <w:tcW w:w="1984" w:type="dxa"/>
            <w:tcBorders>
              <w:top w:val="single" w:sz="4" w:space="0" w:color="000000"/>
              <w:left w:val="nil"/>
              <w:bottom w:val="single" w:sz="4" w:space="0" w:color="000000"/>
              <w:right w:val="nil"/>
            </w:tcBorders>
            <w:vAlign w:val="bottom"/>
            <w:hideMark/>
          </w:tcPr>
          <w:p w14:paraId="25BC2B77"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1 740 450</w:t>
            </w:r>
          </w:p>
        </w:tc>
      </w:tr>
      <w:tr w:rsidR="00992A45" w:rsidRPr="00BD7721" w14:paraId="469868A0" w14:textId="77777777" w:rsidTr="004D15D3">
        <w:trPr>
          <w:trHeight w:val="57"/>
          <w:jc w:val="right"/>
        </w:trPr>
        <w:tc>
          <w:tcPr>
            <w:tcW w:w="7513" w:type="dxa"/>
            <w:tcBorders>
              <w:top w:val="single" w:sz="4" w:space="0" w:color="000000"/>
              <w:left w:val="nil"/>
              <w:bottom w:val="nil"/>
              <w:right w:val="nil"/>
            </w:tcBorders>
            <w:hideMark/>
          </w:tcPr>
          <w:p w14:paraId="2427A029" w14:textId="77777777" w:rsidR="00992A45" w:rsidRPr="00BD7721" w:rsidRDefault="00992A45" w:rsidP="008F194E">
            <w:pPr>
              <w:pStyle w:val="Normal-pool"/>
              <w:tabs>
                <w:tab w:val="left" w:pos="322"/>
              </w:tabs>
              <w:spacing w:before="40" w:after="40"/>
              <w:rPr>
                <w:b/>
                <w:sz w:val="18"/>
                <w:szCs w:val="18"/>
                <w:lang w:val="en-GB"/>
              </w:rPr>
            </w:pPr>
            <w:r w:rsidRPr="00BD7721">
              <w:rPr>
                <w:b/>
                <w:sz w:val="18"/>
                <w:szCs w:val="18"/>
                <w:lang w:val="en-GB"/>
              </w:rPr>
              <w:t>2.</w:t>
            </w:r>
            <w:r w:rsidRPr="00BD7721">
              <w:rPr>
                <w:b/>
                <w:sz w:val="18"/>
                <w:szCs w:val="18"/>
                <w:lang w:val="en-GB"/>
              </w:rPr>
              <w:tab/>
              <w:t>Implementation of the work programme</w:t>
            </w:r>
          </w:p>
        </w:tc>
        <w:tc>
          <w:tcPr>
            <w:tcW w:w="1984" w:type="dxa"/>
            <w:tcBorders>
              <w:top w:val="single" w:sz="4" w:space="0" w:color="000000"/>
              <w:left w:val="nil"/>
              <w:bottom w:val="nil"/>
              <w:right w:val="nil"/>
            </w:tcBorders>
            <w:vAlign w:val="bottom"/>
          </w:tcPr>
          <w:p w14:paraId="1F381C0A" w14:textId="77777777" w:rsidR="00992A45" w:rsidRPr="00BD7721" w:rsidRDefault="00992A45" w:rsidP="008F194E">
            <w:pPr>
              <w:pStyle w:val="Normal-pool"/>
              <w:spacing w:before="40" w:after="40"/>
              <w:jc w:val="right"/>
              <w:rPr>
                <w:b/>
                <w:sz w:val="18"/>
                <w:szCs w:val="18"/>
                <w:lang w:val="en-GB"/>
              </w:rPr>
            </w:pPr>
          </w:p>
        </w:tc>
      </w:tr>
      <w:tr w:rsidR="00992A45" w:rsidRPr="00BD7721" w14:paraId="1864C0E7" w14:textId="77777777" w:rsidTr="004D15D3">
        <w:trPr>
          <w:trHeight w:val="57"/>
          <w:jc w:val="right"/>
        </w:trPr>
        <w:tc>
          <w:tcPr>
            <w:tcW w:w="7513" w:type="dxa"/>
            <w:tcBorders>
              <w:top w:val="nil"/>
              <w:left w:val="nil"/>
              <w:bottom w:val="single" w:sz="4" w:space="0" w:color="auto"/>
              <w:right w:val="nil"/>
            </w:tcBorders>
            <w:hideMark/>
          </w:tcPr>
          <w:p w14:paraId="5FF2966B" w14:textId="77777777" w:rsidR="00992A45" w:rsidRPr="00BD7721" w:rsidRDefault="00992A45" w:rsidP="008F194E">
            <w:pPr>
              <w:pStyle w:val="Normal-pool"/>
              <w:spacing w:before="40" w:after="40"/>
              <w:rPr>
                <w:b/>
                <w:sz w:val="18"/>
                <w:szCs w:val="18"/>
                <w:lang w:val="en-GB"/>
              </w:rPr>
            </w:pPr>
            <w:r w:rsidRPr="00BD7721">
              <w:rPr>
                <w:b/>
                <w:sz w:val="18"/>
                <w:szCs w:val="18"/>
                <w:lang w:val="en-GB"/>
              </w:rPr>
              <w:t>Rolling work programme up to 2030</w:t>
            </w:r>
          </w:p>
        </w:tc>
        <w:tc>
          <w:tcPr>
            <w:tcW w:w="1984" w:type="dxa"/>
            <w:tcBorders>
              <w:top w:val="nil"/>
              <w:left w:val="nil"/>
              <w:bottom w:val="single" w:sz="4" w:space="0" w:color="auto"/>
              <w:right w:val="nil"/>
            </w:tcBorders>
            <w:vAlign w:val="bottom"/>
          </w:tcPr>
          <w:p w14:paraId="78816DF8" w14:textId="77777777" w:rsidR="00992A45" w:rsidRPr="00BD7721" w:rsidRDefault="00992A45" w:rsidP="008F194E">
            <w:pPr>
              <w:pStyle w:val="Normal-pool"/>
              <w:spacing w:before="40" w:after="40"/>
              <w:jc w:val="right"/>
              <w:rPr>
                <w:sz w:val="18"/>
                <w:szCs w:val="18"/>
                <w:lang w:val="en-GB"/>
              </w:rPr>
            </w:pPr>
          </w:p>
        </w:tc>
      </w:tr>
      <w:tr w:rsidR="00992A45" w:rsidRPr="00BD7721" w14:paraId="1518CFA4" w14:textId="77777777" w:rsidTr="004D15D3">
        <w:trPr>
          <w:trHeight w:val="57"/>
          <w:jc w:val="right"/>
        </w:trPr>
        <w:tc>
          <w:tcPr>
            <w:tcW w:w="7513" w:type="dxa"/>
            <w:tcBorders>
              <w:top w:val="single" w:sz="4" w:space="0" w:color="auto"/>
              <w:left w:val="nil"/>
              <w:bottom w:val="single" w:sz="4" w:space="0" w:color="auto"/>
              <w:right w:val="nil"/>
            </w:tcBorders>
            <w:hideMark/>
          </w:tcPr>
          <w:p w14:paraId="6C49107E" w14:textId="77777777" w:rsidR="00992A45" w:rsidRPr="00BD7721" w:rsidRDefault="00992A45" w:rsidP="008F194E">
            <w:pPr>
              <w:pStyle w:val="Normal-pool"/>
              <w:spacing w:before="40" w:after="40"/>
              <w:rPr>
                <w:b/>
                <w:sz w:val="18"/>
                <w:szCs w:val="18"/>
                <w:lang w:val="en-GB"/>
              </w:rPr>
            </w:pPr>
            <w:r w:rsidRPr="00BD7721">
              <w:rPr>
                <w:b/>
                <w:sz w:val="18"/>
                <w:szCs w:val="18"/>
                <w:lang w:val="en-GB"/>
              </w:rPr>
              <w:t>Objective 1: assessing knowledge</w:t>
            </w:r>
          </w:p>
        </w:tc>
        <w:tc>
          <w:tcPr>
            <w:tcW w:w="1984" w:type="dxa"/>
            <w:tcBorders>
              <w:top w:val="single" w:sz="4" w:space="0" w:color="auto"/>
              <w:left w:val="nil"/>
              <w:bottom w:val="single" w:sz="4" w:space="0" w:color="auto"/>
              <w:right w:val="nil"/>
            </w:tcBorders>
            <w:vAlign w:val="bottom"/>
            <w:hideMark/>
          </w:tcPr>
          <w:p w14:paraId="4A0AA2EA"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1 860 650</w:t>
            </w:r>
          </w:p>
        </w:tc>
      </w:tr>
      <w:tr w:rsidR="00992A45" w:rsidRPr="00BD7721" w14:paraId="5F3AB91C" w14:textId="77777777" w:rsidTr="004D15D3">
        <w:trPr>
          <w:trHeight w:val="57"/>
          <w:jc w:val="right"/>
        </w:trPr>
        <w:tc>
          <w:tcPr>
            <w:tcW w:w="7513" w:type="dxa"/>
            <w:tcBorders>
              <w:top w:val="single" w:sz="4" w:space="0" w:color="auto"/>
              <w:left w:val="nil"/>
              <w:bottom w:val="nil"/>
              <w:right w:val="nil"/>
            </w:tcBorders>
            <w:hideMark/>
          </w:tcPr>
          <w:p w14:paraId="73E277E1" w14:textId="77777777" w:rsidR="00992A45" w:rsidRPr="00BD7721" w:rsidRDefault="00992A45" w:rsidP="008F194E">
            <w:pPr>
              <w:pStyle w:val="Normal-pool"/>
              <w:spacing w:before="40" w:after="40"/>
              <w:rPr>
                <w:sz w:val="18"/>
                <w:szCs w:val="18"/>
                <w:lang w:val="en-GB"/>
              </w:rPr>
            </w:pPr>
            <w:r w:rsidRPr="00BD7721">
              <w:rPr>
                <w:sz w:val="18"/>
                <w:szCs w:val="18"/>
                <w:lang w:val="en-GB"/>
              </w:rPr>
              <w:t xml:space="preserve">Deliverable 1 (a): a thematic assessment of the interlinkages among biodiversity, water, food and health (nexus assessment) </w:t>
            </w:r>
          </w:p>
        </w:tc>
        <w:tc>
          <w:tcPr>
            <w:tcW w:w="1984" w:type="dxa"/>
            <w:tcBorders>
              <w:top w:val="single" w:sz="4" w:space="0" w:color="auto"/>
              <w:left w:val="nil"/>
              <w:bottom w:val="nil"/>
              <w:right w:val="nil"/>
            </w:tcBorders>
            <w:vAlign w:val="bottom"/>
            <w:hideMark/>
          </w:tcPr>
          <w:p w14:paraId="521DE082"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185 950</w:t>
            </w:r>
          </w:p>
        </w:tc>
      </w:tr>
      <w:tr w:rsidR="00992A45" w:rsidRPr="00BD7721" w14:paraId="4AE3F7F5" w14:textId="77777777" w:rsidTr="004D15D3">
        <w:trPr>
          <w:trHeight w:val="57"/>
          <w:jc w:val="right"/>
        </w:trPr>
        <w:tc>
          <w:tcPr>
            <w:tcW w:w="7513" w:type="dxa"/>
            <w:tcBorders>
              <w:top w:val="nil"/>
              <w:left w:val="nil"/>
              <w:bottom w:val="nil"/>
              <w:right w:val="nil"/>
            </w:tcBorders>
            <w:hideMark/>
          </w:tcPr>
          <w:p w14:paraId="6ADC57DD" w14:textId="77777777" w:rsidR="00992A45" w:rsidRPr="00BD7721" w:rsidRDefault="00992A45" w:rsidP="008F194E">
            <w:pPr>
              <w:pStyle w:val="Normal-pool"/>
              <w:spacing w:before="40" w:after="40"/>
              <w:rPr>
                <w:sz w:val="18"/>
                <w:szCs w:val="18"/>
                <w:lang w:val="en-GB"/>
              </w:rPr>
            </w:pPr>
            <w:r w:rsidRPr="00BD7721">
              <w:rPr>
                <w:sz w:val="18"/>
                <w:szCs w:val="18"/>
                <w:lang w:val="en-GB"/>
              </w:rPr>
              <w:t xml:space="preserve">Deliverable 1 (c): a thematic assessment of the underlying causes of biodiversity loss and determinants of transformative change and options for achieving the 2050 Vision for Biodiversity (transformative change assessment) </w:t>
            </w:r>
          </w:p>
        </w:tc>
        <w:tc>
          <w:tcPr>
            <w:tcW w:w="1984" w:type="dxa"/>
            <w:tcBorders>
              <w:top w:val="nil"/>
              <w:left w:val="nil"/>
              <w:bottom w:val="nil"/>
              <w:right w:val="nil"/>
            </w:tcBorders>
            <w:vAlign w:val="bottom"/>
            <w:hideMark/>
          </w:tcPr>
          <w:p w14:paraId="22239A52"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80 000</w:t>
            </w:r>
          </w:p>
        </w:tc>
      </w:tr>
      <w:tr w:rsidR="00992A45" w:rsidRPr="00BD7721" w14:paraId="432E5F73" w14:textId="77777777" w:rsidTr="004D15D3">
        <w:trPr>
          <w:trHeight w:val="57"/>
          <w:jc w:val="right"/>
        </w:trPr>
        <w:tc>
          <w:tcPr>
            <w:tcW w:w="7513" w:type="dxa"/>
            <w:tcBorders>
              <w:top w:val="nil"/>
              <w:left w:val="nil"/>
              <w:bottom w:val="nil"/>
              <w:right w:val="nil"/>
            </w:tcBorders>
            <w:hideMark/>
          </w:tcPr>
          <w:p w14:paraId="26AC4660" w14:textId="77777777" w:rsidR="00992A45" w:rsidRPr="00BD7721" w:rsidRDefault="00992A45" w:rsidP="008F194E">
            <w:pPr>
              <w:pStyle w:val="Normal-pool"/>
              <w:spacing w:before="40" w:after="40"/>
              <w:rPr>
                <w:sz w:val="18"/>
                <w:szCs w:val="18"/>
                <w:lang w:val="en-GB"/>
              </w:rPr>
            </w:pPr>
            <w:r w:rsidRPr="00BD7721">
              <w:rPr>
                <w:sz w:val="18"/>
                <w:szCs w:val="18"/>
                <w:lang w:val="en-GB"/>
              </w:rPr>
              <w:t>Deliverable 1 (d): a methodological assessment of the impact and dependence of business on biodiversity and nature’s contributions to people (business and biodiversity assessment)</w:t>
            </w:r>
          </w:p>
        </w:tc>
        <w:tc>
          <w:tcPr>
            <w:tcW w:w="1984" w:type="dxa"/>
            <w:tcBorders>
              <w:top w:val="nil"/>
              <w:left w:val="nil"/>
              <w:bottom w:val="nil"/>
              <w:right w:val="nil"/>
            </w:tcBorders>
            <w:vAlign w:val="bottom"/>
            <w:hideMark/>
          </w:tcPr>
          <w:p w14:paraId="3A149895"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262 500</w:t>
            </w:r>
          </w:p>
        </w:tc>
      </w:tr>
      <w:tr w:rsidR="00992A45" w:rsidRPr="00BD7721" w14:paraId="7237B7CD" w14:textId="77777777" w:rsidTr="004D15D3">
        <w:trPr>
          <w:trHeight w:val="57"/>
          <w:jc w:val="right"/>
        </w:trPr>
        <w:tc>
          <w:tcPr>
            <w:tcW w:w="7513" w:type="dxa"/>
            <w:tcBorders>
              <w:top w:val="nil"/>
              <w:left w:val="nil"/>
              <w:bottom w:val="nil"/>
              <w:right w:val="nil"/>
            </w:tcBorders>
            <w:hideMark/>
          </w:tcPr>
          <w:p w14:paraId="65109804" w14:textId="77777777" w:rsidR="00992A45" w:rsidRPr="00BD7721" w:rsidRDefault="00992A45" w:rsidP="008F194E">
            <w:pPr>
              <w:pStyle w:val="Normal-pool"/>
              <w:spacing w:before="40" w:after="40"/>
              <w:rPr>
                <w:sz w:val="18"/>
                <w:szCs w:val="18"/>
                <w:lang w:val="en-GB"/>
              </w:rPr>
            </w:pPr>
            <w:r w:rsidRPr="00BD7721">
              <w:rPr>
                <w:sz w:val="18"/>
                <w:szCs w:val="18"/>
                <w:lang w:val="en-GB"/>
              </w:rPr>
              <w:t>Deliverable 1 (e): second global assessment of biodiversity and ecosystem services</w:t>
            </w:r>
          </w:p>
        </w:tc>
        <w:tc>
          <w:tcPr>
            <w:tcW w:w="1984" w:type="dxa"/>
            <w:tcBorders>
              <w:top w:val="nil"/>
              <w:left w:val="nil"/>
              <w:bottom w:val="nil"/>
              <w:right w:val="nil"/>
            </w:tcBorders>
            <w:vAlign w:val="bottom"/>
            <w:hideMark/>
          </w:tcPr>
          <w:p w14:paraId="48A4B81B"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515 950</w:t>
            </w:r>
          </w:p>
        </w:tc>
      </w:tr>
      <w:tr w:rsidR="00992A45" w:rsidRPr="00BD7721" w14:paraId="33FF3007" w14:textId="77777777" w:rsidTr="004D15D3">
        <w:trPr>
          <w:trHeight w:val="57"/>
          <w:jc w:val="right"/>
        </w:trPr>
        <w:tc>
          <w:tcPr>
            <w:tcW w:w="7513" w:type="dxa"/>
            <w:tcBorders>
              <w:top w:val="nil"/>
              <w:left w:val="nil"/>
              <w:bottom w:val="nil"/>
              <w:right w:val="nil"/>
            </w:tcBorders>
            <w:hideMark/>
          </w:tcPr>
          <w:p w14:paraId="5E932510" w14:textId="77777777" w:rsidR="00992A45" w:rsidRPr="00BD7721" w:rsidRDefault="00992A45" w:rsidP="008F194E">
            <w:pPr>
              <w:pStyle w:val="Normal-pool"/>
              <w:spacing w:before="40" w:after="40"/>
              <w:rPr>
                <w:sz w:val="18"/>
                <w:szCs w:val="18"/>
                <w:lang w:val="en-GB"/>
              </w:rPr>
            </w:pPr>
            <w:r w:rsidRPr="00BD7721">
              <w:rPr>
                <w:sz w:val="18"/>
                <w:szCs w:val="18"/>
                <w:lang w:val="en-GB"/>
              </w:rPr>
              <w:t>Deliverable 1 (f): first fast-track assessment (fast-track assessment (1))</w:t>
            </w:r>
          </w:p>
        </w:tc>
        <w:tc>
          <w:tcPr>
            <w:tcW w:w="1984" w:type="dxa"/>
            <w:tcBorders>
              <w:top w:val="nil"/>
              <w:left w:val="nil"/>
              <w:bottom w:val="nil"/>
              <w:right w:val="nil"/>
            </w:tcBorders>
            <w:vAlign w:val="bottom"/>
            <w:hideMark/>
          </w:tcPr>
          <w:p w14:paraId="4E01BEBD"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488 750</w:t>
            </w:r>
          </w:p>
        </w:tc>
      </w:tr>
      <w:tr w:rsidR="00992A45" w:rsidRPr="00BD7721" w14:paraId="6C46E168" w14:textId="77777777" w:rsidTr="004D15D3">
        <w:trPr>
          <w:trHeight w:val="57"/>
          <w:jc w:val="right"/>
        </w:trPr>
        <w:tc>
          <w:tcPr>
            <w:tcW w:w="7513" w:type="dxa"/>
            <w:tcBorders>
              <w:top w:val="nil"/>
              <w:left w:val="nil"/>
              <w:bottom w:val="single" w:sz="4" w:space="0" w:color="auto"/>
              <w:right w:val="nil"/>
            </w:tcBorders>
            <w:hideMark/>
          </w:tcPr>
          <w:p w14:paraId="5FE24E70" w14:textId="77777777" w:rsidR="00992A45" w:rsidRPr="00BD7721" w:rsidRDefault="00992A45" w:rsidP="008F194E">
            <w:pPr>
              <w:pStyle w:val="Normal-pool"/>
              <w:spacing w:before="40" w:after="40"/>
              <w:rPr>
                <w:sz w:val="18"/>
                <w:szCs w:val="18"/>
                <w:lang w:val="en-GB"/>
              </w:rPr>
            </w:pPr>
            <w:r w:rsidRPr="00BD7721">
              <w:rPr>
                <w:sz w:val="18"/>
                <w:szCs w:val="18"/>
                <w:lang w:val="en-GB"/>
              </w:rPr>
              <w:t xml:space="preserve">Deliverable 1 (g): second fast-track assessment (fast-track assessment (2)) </w:t>
            </w:r>
          </w:p>
        </w:tc>
        <w:tc>
          <w:tcPr>
            <w:tcW w:w="1984" w:type="dxa"/>
            <w:tcBorders>
              <w:top w:val="nil"/>
              <w:left w:val="nil"/>
              <w:bottom w:val="single" w:sz="4" w:space="0" w:color="auto"/>
              <w:right w:val="nil"/>
            </w:tcBorders>
            <w:vAlign w:val="bottom"/>
            <w:hideMark/>
          </w:tcPr>
          <w:p w14:paraId="07E80CFC"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327 500</w:t>
            </w:r>
          </w:p>
        </w:tc>
      </w:tr>
      <w:tr w:rsidR="00992A45" w:rsidRPr="00BD7721" w14:paraId="779FF176" w14:textId="77777777" w:rsidTr="004D15D3">
        <w:trPr>
          <w:trHeight w:val="57"/>
          <w:jc w:val="right"/>
        </w:trPr>
        <w:tc>
          <w:tcPr>
            <w:tcW w:w="7513" w:type="dxa"/>
            <w:tcBorders>
              <w:top w:val="single" w:sz="4" w:space="0" w:color="auto"/>
              <w:left w:val="nil"/>
              <w:bottom w:val="single" w:sz="4" w:space="0" w:color="auto"/>
              <w:right w:val="nil"/>
            </w:tcBorders>
            <w:hideMark/>
          </w:tcPr>
          <w:p w14:paraId="76424605" w14:textId="77777777" w:rsidR="00992A45" w:rsidRPr="00BD7721" w:rsidRDefault="00992A45" w:rsidP="008F194E">
            <w:pPr>
              <w:pStyle w:val="Normal-pool"/>
              <w:spacing w:before="40" w:after="40"/>
              <w:rPr>
                <w:b/>
                <w:sz w:val="18"/>
                <w:szCs w:val="18"/>
                <w:lang w:val="en-GB"/>
              </w:rPr>
            </w:pPr>
            <w:r w:rsidRPr="00BD7721">
              <w:rPr>
                <w:b/>
                <w:sz w:val="18"/>
                <w:szCs w:val="18"/>
                <w:lang w:val="en-GB"/>
              </w:rPr>
              <w:t>Objective 2: building capacity</w:t>
            </w:r>
          </w:p>
        </w:tc>
        <w:tc>
          <w:tcPr>
            <w:tcW w:w="1984" w:type="dxa"/>
            <w:tcBorders>
              <w:top w:val="single" w:sz="4" w:space="0" w:color="auto"/>
              <w:left w:val="nil"/>
              <w:bottom w:val="single" w:sz="4" w:space="0" w:color="auto"/>
              <w:right w:val="nil"/>
            </w:tcBorders>
            <w:vAlign w:val="bottom"/>
            <w:hideMark/>
          </w:tcPr>
          <w:p w14:paraId="678515BD"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652 000</w:t>
            </w:r>
          </w:p>
        </w:tc>
      </w:tr>
      <w:tr w:rsidR="00992A45" w:rsidRPr="00BD7721" w14:paraId="1474602C" w14:textId="77777777" w:rsidTr="004D15D3">
        <w:trPr>
          <w:trHeight w:val="57"/>
          <w:jc w:val="right"/>
        </w:trPr>
        <w:tc>
          <w:tcPr>
            <w:tcW w:w="7513" w:type="dxa"/>
            <w:tcBorders>
              <w:top w:val="single" w:sz="4" w:space="0" w:color="auto"/>
              <w:left w:val="nil"/>
              <w:bottom w:val="single" w:sz="4" w:space="0" w:color="auto"/>
              <w:right w:val="nil"/>
            </w:tcBorders>
            <w:hideMark/>
          </w:tcPr>
          <w:p w14:paraId="4DFF3B18" w14:textId="77777777" w:rsidR="00992A45" w:rsidRPr="00BD7721" w:rsidRDefault="00992A45" w:rsidP="008F194E">
            <w:pPr>
              <w:pStyle w:val="Normal-pool"/>
              <w:spacing w:before="40" w:after="40"/>
              <w:rPr>
                <w:sz w:val="18"/>
                <w:szCs w:val="18"/>
                <w:lang w:val="en-GB"/>
              </w:rPr>
            </w:pPr>
            <w:r w:rsidRPr="00BD7721">
              <w:rPr>
                <w:sz w:val="18"/>
                <w:szCs w:val="18"/>
                <w:lang w:val="en-GB"/>
              </w:rPr>
              <w:t>Objective 2 (a): enhanced learning and engagement; objective 2 (b): facilitated access to expertise and information; and objective 2 (c): strengthened national and regional capacities</w:t>
            </w:r>
          </w:p>
        </w:tc>
        <w:tc>
          <w:tcPr>
            <w:tcW w:w="1984" w:type="dxa"/>
            <w:tcBorders>
              <w:top w:val="single" w:sz="4" w:space="0" w:color="auto"/>
              <w:left w:val="nil"/>
              <w:bottom w:val="single" w:sz="4" w:space="0" w:color="auto"/>
              <w:right w:val="nil"/>
            </w:tcBorders>
            <w:vAlign w:val="bottom"/>
            <w:hideMark/>
          </w:tcPr>
          <w:p w14:paraId="538AF20B"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652 000</w:t>
            </w:r>
          </w:p>
        </w:tc>
      </w:tr>
      <w:tr w:rsidR="00992A45" w:rsidRPr="00BD7721" w14:paraId="4910129F" w14:textId="77777777" w:rsidTr="004D15D3">
        <w:trPr>
          <w:trHeight w:val="57"/>
          <w:jc w:val="right"/>
        </w:trPr>
        <w:tc>
          <w:tcPr>
            <w:tcW w:w="7513" w:type="dxa"/>
            <w:tcBorders>
              <w:top w:val="single" w:sz="4" w:space="0" w:color="auto"/>
              <w:left w:val="nil"/>
              <w:bottom w:val="single" w:sz="4" w:space="0" w:color="auto"/>
              <w:right w:val="nil"/>
            </w:tcBorders>
            <w:hideMark/>
          </w:tcPr>
          <w:p w14:paraId="4F9A3919" w14:textId="77777777" w:rsidR="00992A45" w:rsidRPr="00BD7721" w:rsidRDefault="00992A45" w:rsidP="008F194E">
            <w:pPr>
              <w:pStyle w:val="Normal-pool"/>
              <w:spacing w:before="40" w:after="40"/>
              <w:rPr>
                <w:b/>
                <w:sz w:val="18"/>
                <w:szCs w:val="18"/>
                <w:lang w:val="en-GB"/>
              </w:rPr>
            </w:pPr>
            <w:r w:rsidRPr="00BD7721">
              <w:rPr>
                <w:b/>
                <w:sz w:val="18"/>
                <w:szCs w:val="18"/>
                <w:lang w:val="en-GB"/>
              </w:rPr>
              <w:t>Objective 3: strengthening the knowledge foundations</w:t>
            </w:r>
          </w:p>
        </w:tc>
        <w:tc>
          <w:tcPr>
            <w:tcW w:w="1984" w:type="dxa"/>
            <w:tcBorders>
              <w:top w:val="single" w:sz="4" w:space="0" w:color="auto"/>
              <w:left w:val="nil"/>
              <w:bottom w:val="single" w:sz="4" w:space="0" w:color="auto"/>
              <w:right w:val="nil"/>
            </w:tcBorders>
            <w:vAlign w:val="bottom"/>
            <w:hideMark/>
          </w:tcPr>
          <w:p w14:paraId="6A8D4800"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615 000</w:t>
            </w:r>
          </w:p>
        </w:tc>
      </w:tr>
      <w:tr w:rsidR="00992A45" w:rsidRPr="00BD7721" w14:paraId="3FE86A38" w14:textId="77777777" w:rsidTr="004D15D3">
        <w:trPr>
          <w:trHeight w:val="57"/>
          <w:jc w:val="right"/>
        </w:trPr>
        <w:tc>
          <w:tcPr>
            <w:tcW w:w="7513" w:type="dxa"/>
            <w:tcBorders>
              <w:top w:val="single" w:sz="4" w:space="0" w:color="auto"/>
              <w:left w:val="nil"/>
              <w:bottom w:val="nil"/>
              <w:right w:val="nil"/>
            </w:tcBorders>
            <w:hideMark/>
          </w:tcPr>
          <w:p w14:paraId="08A749D0" w14:textId="77777777" w:rsidR="00992A45" w:rsidRPr="00BD7721" w:rsidRDefault="00992A45" w:rsidP="008F194E">
            <w:pPr>
              <w:pStyle w:val="Normal-pool"/>
              <w:spacing w:before="40" w:after="40"/>
              <w:rPr>
                <w:sz w:val="18"/>
                <w:szCs w:val="18"/>
                <w:lang w:val="en-GB"/>
              </w:rPr>
            </w:pPr>
            <w:r w:rsidRPr="00BD7721">
              <w:rPr>
                <w:sz w:val="18"/>
                <w:szCs w:val="18"/>
                <w:lang w:val="en-GB"/>
              </w:rPr>
              <w:t>Objective 3 (a): advanced work on knowledge and data</w:t>
            </w:r>
          </w:p>
        </w:tc>
        <w:tc>
          <w:tcPr>
            <w:tcW w:w="1984" w:type="dxa"/>
            <w:tcBorders>
              <w:top w:val="single" w:sz="4" w:space="0" w:color="auto"/>
              <w:left w:val="nil"/>
              <w:bottom w:val="nil"/>
              <w:right w:val="nil"/>
            </w:tcBorders>
            <w:vAlign w:val="bottom"/>
            <w:hideMark/>
          </w:tcPr>
          <w:p w14:paraId="14C76132"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321 000</w:t>
            </w:r>
          </w:p>
        </w:tc>
      </w:tr>
      <w:tr w:rsidR="00992A45" w:rsidRPr="00BD7721" w14:paraId="4ABD08D7" w14:textId="77777777" w:rsidTr="004D15D3">
        <w:trPr>
          <w:trHeight w:val="57"/>
          <w:jc w:val="right"/>
        </w:trPr>
        <w:tc>
          <w:tcPr>
            <w:tcW w:w="7513" w:type="dxa"/>
            <w:tcBorders>
              <w:top w:val="nil"/>
              <w:left w:val="nil"/>
              <w:bottom w:val="single" w:sz="4" w:space="0" w:color="auto"/>
              <w:right w:val="nil"/>
            </w:tcBorders>
            <w:hideMark/>
          </w:tcPr>
          <w:p w14:paraId="523FC2E1" w14:textId="77777777" w:rsidR="00992A45" w:rsidRPr="00BD7721" w:rsidRDefault="00992A45" w:rsidP="008F194E">
            <w:pPr>
              <w:pStyle w:val="Normal-pool"/>
              <w:spacing w:before="40" w:after="40"/>
              <w:rPr>
                <w:sz w:val="18"/>
                <w:szCs w:val="18"/>
                <w:lang w:val="en-GB"/>
              </w:rPr>
            </w:pPr>
            <w:r w:rsidRPr="00BD7721">
              <w:rPr>
                <w:sz w:val="18"/>
                <w:szCs w:val="18"/>
                <w:lang w:val="en-GB"/>
              </w:rPr>
              <w:t>Objective 3 (b): enhanced recognition of and work with Indigenous and local knowledge systems</w:t>
            </w:r>
          </w:p>
        </w:tc>
        <w:tc>
          <w:tcPr>
            <w:tcW w:w="1984" w:type="dxa"/>
            <w:tcBorders>
              <w:top w:val="nil"/>
              <w:left w:val="nil"/>
              <w:bottom w:val="single" w:sz="4" w:space="0" w:color="auto"/>
              <w:right w:val="nil"/>
            </w:tcBorders>
            <w:vAlign w:val="bottom"/>
            <w:hideMark/>
          </w:tcPr>
          <w:p w14:paraId="73241816"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294 000</w:t>
            </w:r>
          </w:p>
        </w:tc>
      </w:tr>
      <w:tr w:rsidR="00992A45" w:rsidRPr="00BD7721" w14:paraId="7F1D3709" w14:textId="77777777" w:rsidTr="004D15D3">
        <w:trPr>
          <w:trHeight w:val="57"/>
          <w:jc w:val="right"/>
        </w:trPr>
        <w:tc>
          <w:tcPr>
            <w:tcW w:w="7513" w:type="dxa"/>
            <w:tcBorders>
              <w:top w:val="single" w:sz="4" w:space="0" w:color="auto"/>
              <w:left w:val="nil"/>
              <w:bottom w:val="single" w:sz="4" w:space="0" w:color="auto"/>
              <w:right w:val="nil"/>
            </w:tcBorders>
            <w:hideMark/>
          </w:tcPr>
          <w:p w14:paraId="5108FBE4" w14:textId="77777777" w:rsidR="00992A45" w:rsidRPr="00BD7721" w:rsidRDefault="00992A45" w:rsidP="008F194E">
            <w:pPr>
              <w:pStyle w:val="Normal-pool"/>
              <w:spacing w:before="40" w:after="40"/>
              <w:rPr>
                <w:b/>
                <w:sz w:val="18"/>
                <w:szCs w:val="18"/>
                <w:lang w:val="en-GB"/>
              </w:rPr>
            </w:pPr>
            <w:r w:rsidRPr="00BD7721">
              <w:rPr>
                <w:b/>
                <w:sz w:val="18"/>
                <w:szCs w:val="18"/>
                <w:lang w:val="en-GB"/>
              </w:rPr>
              <w:t>Objective 4: supporting policy</w:t>
            </w:r>
          </w:p>
        </w:tc>
        <w:tc>
          <w:tcPr>
            <w:tcW w:w="1984" w:type="dxa"/>
            <w:tcBorders>
              <w:top w:val="single" w:sz="4" w:space="0" w:color="auto"/>
              <w:left w:val="nil"/>
              <w:bottom w:val="single" w:sz="4" w:space="0" w:color="auto"/>
              <w:right w:val="nil"/>
            </w:tcBorders>
            <w:vAlign w:val="bottom"/>
            <w:hideMark/>
          </w:tcPr>
          <w:p w14:paraId="60B44739"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437 000</w:t>
            </w:r>
          </w:p>
        </w:tc>
      </w:tr>
      <w:tr w:rsidR="002F68D9" w:rsidRPr="00BD7721" w14:paraId="5B3CF273" w14:textId="77777777" w:rsidTr="004D15D3">
        <w:trPr>
          <w:trHeight w:val="57"/>
          <w:jc w:val="right"/>
        </w:trPr>
        <w:tc>
          <w:tcPr>
            <w:tcW w:w="7513" w:type="dxa"/>
            <w:tcBorders>
              <w:top w:val="single" w:sz="4" w:space="0" w:color="auto"/>
              <w:left w:val="nil"/>
              <w:bottom w:val="single" w:sz="4" w:space="0" w:color="auto"/>
              <w:right w:val="nil"/>
            </w:tcBorders>
          </w:tcPr>
          <w:p w14:paraId="385AE324" w14:textId="32CBACD5" w:rsidR="002F68D9" w:rsidRPr="00BD7721" w:rsidRDefault="002F68D9" w:rsidP="008F194E">
            <w:pPr>
              <w:pStyle w:val="Normal-pool"/>
              <w:spacing w:before="40" w:after="40"/>
              <w:rPr>
                <w:bCs/>
                <w:sz w:val="18"/>
                <w:szCs w:val="18"/>
                <w:lang w:val="en-GB"/>
              </w:rPr>
            </w:pPr>
            <w:r w:rsidRPr="00BD7721">
              <w:rPr>
                <w:bCs/>
                <w:sz w:val="18"/>
                <w:szCs w:val="18"/>
                <w:lang w:val="en-GB"/>
              </w:rPr>
              <w:t>Objective 4 (a): advanced work on policy instruments, policy support tools and methodologies</w:t>
            </w:r>
          </w:p>
        </w:tc>
        <w:tc>
          <w:tcPr>
            <w:tcW w:w="1984" w:type="dxa"/>
            <w:tcBorders>
              <w:top w:val="single" w:sz="4" w:space="0" w:color="auto"/>
              <w:left w:val="nil"/>
              <w:bottom w:val="single" w:sz="4" w:space="0" w:color="auto"/>
              <w:right w:val="nil"/>
            </w:tcBorders>
            <w:vAlign w:val="bottom"/>
          </w:tcPr>
          <w:p w14:paraId="11C8B10D" w14:textId="4411102F" w:rsidR="002F68D9" w:rsidRPr="00BD7721" w:rsidRDefault="002F68D9" w:rsidP="008F194E">
            <w:pPr>
              <w:pStyle w:val="Normal-pool"/>
              <w:spacing w:before="40" w:after="40"/>
              <w:jc w:val="right"/>
              <w:rPr>
                <w:sz w:val="18"/>
                <w:szCs w:val="18"/>
                <w:lang w:val="en-GB"/>
              </w:rPr>
            </w:pPr>
            <w:r w:rsidRPr="00BD7721">
              <w:rPr>
                <w:sz w:val="18"/>
                <w:szCs w:val="18"/>
                <w:lang w:val="en-GB"/>
              </w:rPr>
              <w:t>217 000</w:t>
            </w:r>
          </w:p>
        </w:tc>
      </w:tr>
      <w:tr w:rsidR="00992A45" w:rsidRPr="00BD7721" w14:paraId="26044C68" w14:textId="77777777" w:rsidTr="004D15D3">
        <w:trPr>
          <w:trHeight w:val="57"/>
          <w:jc w:val="right"/>
        </w:trPr>
        <w:tc>
          <w:tcPr>
            <w:tcW w:w="7513" w:type="dxa"/>
            <w:tcBorders>
              <w:top w:val="single" w:sz="4" w:space="0" w:color="auto"/>
              <w:left w:val="nil"/>
              <w:bottom w:val="single" w:sz="4" w:space="0" w:color="auto"/>
              <w:right w:val="nil"/>
            </w:tcBorders>
            <w:hideMark/>
          </w:tcPr>
          <w:p w14:paraId="78CE9B02" w14:textId="77777777" w:rsidR="00992A45" w:rsidRPr="00BD7721" w:rsidRDefault="00992A45" w:rsidP="008F194E">
            <w:pPr>
              <w:pStyle w:val="Normal-pool"/>
              <w:spacing w:before="40" w:after="40"/>
              <w:rPr>
                <w:sz w:val="18"/>
                <w:szCs w:val="18"/>
                <w:lang w:val="en-GB"/>
              </w:rPr>
            </w:pPr>
            <w:r w:rsidRPr="00BD7721">
              <w:rPr>
                <w:sz w:val="18"/>
                <w:szCs w:val="18"/>
                <w:lang w:val="en-GB"/>
              </w:rPr>
              <w:t xml:space="preserve">Objective 4 (b): advanced work on scenarios and models of biodiversity and ecosystem functions and services </w:t>
            </w:r>
          </w:p>
        </w:tc>
        <w:tc>
          <w:tcPr>
            <w:tcW w:w="1984" w:type="dxa"/>
            <w:tcBorders>
              <w:top w:val="single" w:sz="4" w:space="0" w:color="auto"/>
              <w:left w:val="nil"/>
              <w:bottom w:val="single" w:sz="4" w:space="0" w:color="auto"/>
              <w:right w:val="nil"/>
            </w:tcBorders>
            <w:vAlign w:val="bottom"/>
            <w:hideMark/>
          </w:tcPr>
          <w:p w14:paraId="702A68D3"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220 000</w:t>
            </w:r>
          </w:p>
        </w:tc>
      </w:tr>
      <w:tr w:rsidR="00992A45" w:rsidRPr="00BD7721" w14:paraId="5F719215" w14:textId="77777777" w:rsidTr="004D15D3">
        <w:trPr>
          <w:trHeight w:val="57"/>
          <w:jc w:val="right"/>
        </w:trPr>
        <w:tc>
          <w:tcPr>
            <w:tcW w:w="7513" w:type="dxa"/>
            <w:tcBorders>
              <w:top w:val="single" w:sz="4" w:space="0" w:color="auto"/>
              <w:left w:val="nil"/>
              <w:bottom w:val="single" w:sz="4" w:space="0" w:color="auto"/>
              <w:right w:val="nil"/>
            </w:tcBorders>
            <w:hideMark/>
          </w:tcPr>
          <w:p w14:paraId="0DF3FF09" w14:textId="77777777" w:rsidR="00992A45" w:rsidRPr="00BD7721" w:rsidRDefault="00992A45" w:rsidP="008F194E">
            <w:pPr>
              <w:pStyle w:val="Normal-pool"/>
              <w:spacing w:before="40" w:after="40"/>
              <w:rPr>
                <w:b/>
                <w:sz w:val="18"/>
                <w:szCs w:val="18"/>
                <w:lang w:val="en-GB"/>
              </w:rPr>
            </w:pPr>
            <w:r w:rsidRPr="00BD7721">
              <w:rPr>
                <w:b/>
                <w:sz w:val="18"/>
                <w:szCs w:val="18"/>
                <w:lang w:val="en-GB"/>
              </w:rPr>
              <w:t>Objective 5: communicating and engaging</w:t>
            </w:r>
          </w:p>
        </w:tc>
        <w:tc>
          <w:tcPr>
            <w:tcW w:w="1984" w:type="dxa"/>
            <w:tcBorders>
              <w:top w:val="single" w:sz="4" w:space="0" w:color="auto"/>
              <w:left w:val="nil"/>
              <w:bottom w:val="single" w:sz="4" w:space="0" w:color="auto"/>
              <w:right w:val="nil"/>
            </w:tcBorders>
            <w:vAlign w:val="bottom"/>
            <w:hideMark/>
          </w:tcPr>
          <w:p w14:paraId="648BBA29"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280 000</w:t>
            </w:r>
          </w:p>
        </w:tc>
      </w:tr>
      <w:tr w:rsidR="00992A45" w:rsidRPr="00BD7721" w14:paraId="42C992EC" w14:textId="77777777" w:rsidTr="004D15D3">
        <w:trPr>
          <w:trHeight w:val="57"/>
          <w:jc w:val="right"/>
        </w:trPr>
        <w:tc>
          <w:tcPr>
            <w:tcW w:w="7513" w:type="dxa"/>
            <w:tcBorders>
              <w:top w:val="single" w:sz="4" w:space="0" w:color="auto"/>
              <w:left w:val="nil"/>
              <w:bottom w:val="nil"/>
              <w:right w:val="nil"/>
            </w:tcBorders>
            <w:hideMark/>
          </w:tcPr>
          <w:p w14:paraId="22FE0BA5" w14:textId="77777777" w:rsidR="00992A45" w:rsidRPr="00BD7721" w:rsidRDefault="00992A45" w:rsidP="008F194E">
            <w:pPr>
              <w:pStyle w:val="Normal-pool"/>
              <w:spacing w:before="40" w:after="40"/>
              <w:rPr>
                <w:sz w:val="18"/>
                <w:szCs w:val="18"/>
                <w:lang w:val="en-GB"/>
              </w:rPr>
            </w:pPr>
            <w:r w:rsidRPr="00BD7721">
              <w:rPr>
                <w:sz w:val="18"/>
                <w:szCs w:val="18"/>
                <w:lang w:val="en-GB"/>
              </w:rPr>
              <w:t>Objective 5 (a): strengthened communication</w:t>
            </w:r>
          </w:p>
        </w:tc>
        <w:tc>
          <w:tcPr>
            <w:tcW w:w="1984" w:type="dxa"/>
            <w:tcBorders>
              <w:top w:val="single" w:sz="4" w:space="0" w:color="auto"/>
              <w:left w:val="nil"/>
              <w:bottom w:val="nil"/>
              <w:right w:val="nil"/>
            </w:tcBorders>
            <w:vAlign w:val="bottom"/>
            <w:hideMark/>
          </w:tcPr>
          <w:p w14:paraId="07116E85"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250 000</w:t>
            </w:r>
          </w:p>
        </w:tc>
      </w:tr>
      <w:tr w:rsidR="00992A45" w:rsidRPr="00BD7721" w14:paraId="6CA46D62" w14:textId="77777777" w:rsidTr="004D15D3">
        <w:trPr>
          <w:trHeight w:val="57"/>
          <w:jc w:val="right"/>
        </w:trPr>
        <w:tc>
          <w:tcPr>
            <w:tcW w:w="7513" w:type="dxa"/>
            <w:tcBorders>
              <w:top w:val="nil"/>
              <w:left w:val="nil"/>
              <w:bottom w:val="single" w:sz="4" w:space="0" w:color="auto"/>
              <w:right w:val="nil"/>
            </w:tcBorders>
            <w:hideMark/>
          </w:tcPr>
          <w:p w14:paraId="4A1640D3" w14:textId="77777777" w:rsidR="00992A45" w:rsidRPr="00BD7721" w:rsidRDefault="00992A45" w:rsidP="008F194E">
            <w:pPr>
              <w:pStyle w:val="Normal-pool"/>
              <w:spacing w:before="40" w:after="40"/>
              <w:rPr>
                <w:sz w:val="18"/>
                <w:szCs w:val="18"/>
                <w:lang w:val="en-GB"/>
              </w:rPr>
            </w:pPr>
            <w:r w:rsidRPr="00BD7721">
              <w:rPr>
                <w:sz w:val="18"/>
                <w:szCs w:val="18"/>
                <w:lang w:val="en-GB"/>
              </w:rPr>
              <w:t>Objective 5 (c): strengthened engagement of stakeholders</w:t>
            </w:r>
          </w:p>
        </w:tc>
        <w:tc>
          <w:tcPr>
            <w:tcW w:w="1984" w:type="dxa"/>
            <w:tcBorders>
              <w:top w:val="nil"/>
              <w:left w:val="nil"/>
              <w:bottom w:val="single" w:sz="4" w:space="0" w:color="auto"/>
              <w:right w:val="nil"/>
            </w:tcBorders>
            <w:vAlign w:val="bottom"/>
            <w:hideMark/>
          </w:tcPr>
          <w:p w14:paraId="52C1B75E"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30 000</w:t>
            </w:r>
          </w:p>
        </w:tc>
      </w:tr>
      <w:tr w:rsidR="00992A45" w:rsidRPr="00BD7721" w14:paraId="5D0FC0D8" w14:textId="77777777" w:rsidTr="004D15D3">
        <w:trPr>
          <w:trHeight w:val="57"/>
          <w:jc w:val="right"/>
        </w:trPr>
        <w:tc>
          <w:tcPr>
            <w:tcW w:w="7513" w:type="dxa"/>
            <w:tcBorders>
              <w:top w:val="single" w:sz="4" w:space="0" w:color="auto"/>
              <w:left w:val="nil"/>
              <w:bottom w:val="single" w:sz="4" w:space="0" w:color="auto"/>
              <w:right w:val="nil"/>
            </w:tcBorders>
            <w:hideMark/>
          </w:tcPr>
          <w:p w14:paraId="7B053971" w14:textId="77777777" w:rsidR="00992A45" w:rsidRPr="00BD7721" w:rsidRDefault="00992A45" w:rsidP="008F194E">
            <w:pPr>
              <w:pStyle w:val="Normal-pool"/>
              <w:spacing w:before="40" w:after="40"/>
              <w:rPr>
                <w:sz w:val="18"/>
                <w:szCs w:val="18"/>
                <w:lang w:val="en-GB"/>
              </w:rPr>
            </w:pPr>
            <w:r w:rsidRPr="00BD7721">
              <w:rPr>
                <w:b/>
                <w:sz w:val="18"/>
                <w:szCs w:val="18"/>
                <w:lang w:val="en-GB"/>
              </w:rPr>
              <w:t>Objective 6: improving the effectiveness of the Platform</w:t>
            </w:r>
          </w:p>
        </w:tc>
        <w:tc>
          <w:tcPr>
            <w:tcW w:w="1984" w:type="dxa"/>
            <w:tcBorders>
              <w:top w:val="single" w:sz="4" w:space="0" w:color="auto"/>
              <w:left w:val="nil"/>
              <w:bottom w:val="single" w:sz="4" w:space="0" w:color="auto"/>
              <w:right w:val="nil"/>
            </w:tcBorders>
            <w:vAlign w:val="bottom"/>
            <w:hideMark/>
          </w:tcPr>
          <w:p w14:paraId="1279932C"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91 550</w:t>
            </w:r>
          </w:p>
        </w:tc>
      </w:tr>
      <w:tr w:rsidR="00992A45" w:rsidRPr="00BD7721" w14:paraId="03660ED7" w14:textId="77777777" w:rsidTr="004D15D3">
        <w:trPr>
          <w:trHeight w:val="57"/>
          <w:jc w:val="right"/>
        </w:trPr>
        <w:tc>
          <w:tcPr>
            <w:tcW w:w="7513" w:type="dxa"/>
            <w:tcBorders>
              <w:top w:val="single" w:sz="4" w:space="0" w:color="auto"/>
              <w:left w:val="nil"/>
              <w:bottom w:val="single" w:sz="4" w:space="0" w:color="000000"/>
              <w:right w:val="nil"/>
            </w:tcBorders>
            <w:hideMark/>
          </w:tcPr>
          <w:p w14:paraId="406611B5" w14:textId="77777777" w:rsidR="00992A45" w:rsidRPr="00BD7721" w:rsidRDefault="00992A45" w:rsidP="008F194E">
            <w:pPr>
              <w:pStyle w:val="Normal-pool"/>
              <w:spacing w:before="40" w:after="40"/>
              <w:rPr>
                <w:sz w:val="18"/>
                <w:szCs w:val="18"/>
                <w:lang w:val="en-GB"/>
              </w:rPr>
            </w:pPr>
            <w:r w:rsidRPr="00BD7721">
              <w:rPr>
                <w:sz w:val="18"/>
                <w:szCs w:val="18"/>
                <w:lang w:val="en-GB"/>
              </w:rPr>
              <w:t>Objective 6 (a): periodic review of the effectiveness of IPBES</w:t>
            </w:r>
          </w:p>
        </w:tc>
        <w:tc>
          <w:tcPr>
            <w:tcW w:w="1984" w:type="dxa"/>
            <w:tcBorders>
              <w:top w:val="single" w:sz="4" w:space="0" w:color="auto"/>
              <w:left w:val="nil"/>
              <w:bottom w:val="single" w:sz="4" w:space="0" w:color="000000"/>
              <w:right w:val="nil"/>
            </w:tcBorders>
            <w:vAlign w:val="bottom"/>
            <w:hideMark/>
          </w:tcPr>
          <w:p w14:paraId="26C23488"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91 550</w:t>
            </w:r>
          </w:p>
        </w:tc>
      </w:tr>
      <w:tr w:rsidR="00992A45" w:rsidRPr="00BD7721" w14:paraId="12397394" w14:textId="77777777" w:rsidTr="004D15D3">
        <w:trPr>
          <w:trHeight w:val="57"/>
          <w:jc w:val="right"/>
        </w:trPr>
        <w:tc>
          <w:tcPr>
            <w:tcW w:w="7513" w:type="dxa"/>
            <w:tcBorders>
              <w:top w:val="single" w:sz="4" w:space="0" w:color="000000"/>
              <w:left w:val="nil"/>
              <w:bottom w:val="single" w:sz="4" w:space="0" w:color="000000"/>
              <w:right w:val="nil"/>
            </w:tcBorders>
            <w:hideMark/>
          </w:tcPr>
          <w:p w14:paraId="7D5401E1" w14:textId="77777777" w:rsidR="00992A45" w:rsidRPr="00BD7721" w:rsidRDefault="00992A45" w:rsidP="008F194E">
            <w:pPr>
              <w:pStyle w:val="Normal-pool"/>
              <w:spacing w:before="40" w:after="40"/>
              <w:rPr>
                <w:b/>
                <w:sz w:val="18"/>
                <w:szCs w:val="18"/>
                <w:lang w:val="en-GB"/>
              </w:rPr>
            </w:pPr>
            <w:r w:rsidRPr="00BD7721">
              <w:rPr>
                <w:b/>
                <w:sz w:val="18"/>
                <w:szCs w:val="18"/>
                <w:lang w:val="en-GB"/>
              </w:rPr>
              <w:t>Subtotal 2, implementation of the work programme</w:t>
            </w:r>
          </w:p>
        </w:tc>
        <w:tc>
          <w:tcPr>
            <w:tcW w:w="1984" w:type="dxa"/>
            <w:tcBorders>
              <w:top w:val="single" w:sz="4" w:space="0" w:color="000000"/>
              <w:left w:val="nil"/>
              <w:bottom w:val="single" w:sz="4" w:space="0" w:color="000000"/>
              <w:right w:val="nil"/>
            </w:tcBorders>
            <w:vAlign w:val="bottom"/>
            <w:hideMark/>
          </w:tcPr>
          <w:p w14:paraId="1AD90249" w14:textId="77777777" w:rsidR="00992A45" w:rsidRPr="00BD7721" w:rsidRDefault="00992A45" w:rsidP="008F194E">
            <w:pPr>
              <w:pStyle w:val="Normal-pool"/>
              <w:spacing w:before="40" w:after="40"/>
              <w:jc w:val="right"/>
              <w:rPr>
                <w:b/>
                <w:sz w:val="18"/>
                <w:szCs w:val="18"/>
                <w:lang w:val="en-GB"/>
              </w:rPr>
            </w:pPr>
            <w:r w:rsidRPr="00BD7721">
              <w:rPr>
                <w:rFonts w:eastAsia="Calibri"/>
                <w:b/>
                <w:color w:val="FFFFFF"/>
                <w:sz w:val="18"/>
                <w:szCs w:val="18"/>
                <w:lang w:val="en-GB"/>
              </w:rPr>
              <w:t xml:space="preserve"> </w:t>
            </w:r>
            <w:r w:rsidRPr="00BD7721">
              <w:rPr>
                <w:b/>
                <w:sz w:val="18"/>
                <w:szCs w:val="18"/>
                <w:lang w:val="en-GB"/>
              </w:rPr>
              <w:t>3 936 200</w:t>
            </w:r>
          </w:p>
        </w:tc>
      </w:tr>
      <w:tr w:rsidR="00992A45" w:rsidRPr="00BD7721" w14:paraId="25C283FB" w14:textId="77777777" w:rsidTr="004D15D3">
        <w:trPr>
          <w:trHeight w:val="57"/>
          <w:jc w:val="right"/>
        </w:trPr>
        <w:tc>
          <w:tcPr>
            <w:tcW w:w="7513" w:type="dxa"/>
            <w:tcBorders>
              <w:top w:val="single" w:sz="4" w:space="0" w:color="000000"/>
              <w:left w:val="nil"/>
              <w:bottom w:val="nil"/>
              <w:right w:val="nil"/>
            </w:tcBorders>
            <w:hideMark/>
          </w:tcPr>
          <w:p w14:paraId="4113AC10" w14:textId="77777777" w:rsidR="00992A45" w:rsidRPr="00BD7721" w:rsidRDefault="00992A45" w:rsidP="008F194E">
            <w:pPr>
              <w:pStyle w:val="Normal-pool"/>
              <w:tabs>
                <w:tab w:val="left" w:pos="322"/>
              </w:tabs>
              <w:spacing w:before="40" w:after="40"/>
              <w:rPr>
                <w:b/>
                <w:sz w:val="18"/>
                <w:szCs w:val="18"/>
                <w:lang w:val="en-GB"/>
              </w:rPr>
            </w:pPr>
            <w:r w:rsidRPr="00BD7721">
              <w:rPr>
                <w:b/>
                <w:sz w:val="18"/>
                <w:szCs w:val="18"/>
                <w:lang w:val="en-GB"/>
              </w:rPr>
              <w:t>3.</w:t>
            </w:r>
            <w:r w:rsidRPr="00BD7721">
              <w:rPr>
                <w:b/>
                <w:sz w:val="18"/>
                <w:szCs w:val="18"/>
                <w:lang w:val="en-GB"/>
              </w:rPr>
              <w:tab/>
              <w:t>Secretariat</w:t>
            </w:r>
          </w:p>
        </w:tc>
        <w:tc>
          <w:tcPr>
            <w:tcW w:w="1984" w:type="dxa"/>
            <w:tcBorders>
              <w:top w:val="single" w:sz="4" w:space="0" w:color="000000"/>
              <w:left w:val="nil"/>
              <w:bottom w:val="nil"/>
              <w:right w:val="nil"/>
            </w:tcBorders>
            <w:vAlign w:val="bottom"/>
            <w:hideMark/>
          </w:tcPr>
          <w:p w14:paraId="2ABCBD9A" w14:textId="4A047D95" w:rsidR="00992A45" w:rsidRPr="00BD7721" w:rsidRDefault="004212A9" w:rsidP="008F194E">
            <w:pPr>
              <w:pStyle w:val="Normal-pool"/>
              <w:spacing w:before="40" w:after="40"/>
              <w:jc w:val="right"/>
              <w:rPr>
                <w:sz w:val="18"/>
                <w:szCs w:val="18"/>
                <w:lang w:val="en-GB"/>
              </w:rPr>
            </w:pPr>
            <w:r w:rsidRPr="00BD7721">
              <w:rPr>
                <w:sz w:val="18"/>
                <w:szCs w:val="18"/>
                <w:lang w:val="en-GB"/>
              </w:rPr>
              <w:t xml:space="preserve"> </w:t>
            </w:r>
          </w:p>
        </w:tc>
      </w:tr>
      <w:tr w:rsidR="00992A45" w:rsidRPr="00BD7721" w14:paraId="109F92A3" w14:textId="77777777" w:rsidTr="004D15D3">
        <w:trPr>
          <w:trHeight w:val="57"/>
          <w:jc w:val="right"/>
        </w:trPr>
        <w:tc>
          <w:tcPr>
            <w:tcW w:w="7513" w:type="dxa"/>
            <w:tcBorders>
              <w:top w:val="nil"/>
              <w:left w:val="nil"/>
              <w:bottom w:val="nil"/>
              <w:right w:val="nil"/>
            </w:tcBorders>
            <w:hideMark/>
          </w:tcPr>
          <w:p w14:paraId="324DEF27" w14:textId="77777777" w:rsidR="00992A45" w:rsidRPr="00BD7721" w:rsidRDefault="00992A45" w:rsidP="008F194E">
            <w:pPr>
              <w:pStyle w:val="Normal-pool"/>
              <w:tabs>
                <w:tab w:val="left" w:pos="322"/>
              </w:tabs>
              <w:spacing w:before="40" w:after="40"/>
              <w:rPr>
                <w:sz w:val="18"/>
                <w:szCs w:val="18"/>
                <w:lang w:val="en-GB"/>
              </w:rPr>
            </w:pPr>
            <w:r w:rsidRPr="00BD7721">
              <w:rPr>
                <w:sz w:val="18"/>
                <w:szCs w:val="18"/>
                <w:lang w:val="en-GB"/>
              </w:rPr>
              <w:t>3.1</w:t>
            </w:r>
            <w:r w:rsidRPr="00BD7721">
              <w:rPr>
                <w:sz w:val="18"/>
                <w:szCs w:val="18"/>
                <w:lang w:val="en-GB"/>
              </w:rPr>
              <w:tab/>
              <w:t>Secretariat personnel</w:t>
            </w:r>
          </w:p>
        </w:tc>
        <w:tc>
          <w:tcPr>
            <w:tcW w:w="1984" w:type="dxa"/>
            <w:tcBorders>
              <w:top w:val="nil"/>
              <w:left w:val="nil"/>
              <w:bottom w:val="nil"/>
              <w:right w:val="nil"/>
            </w:tcBorders>
            <w:vAlign w:val="bottom"/>
            <w:hideMark/>
          </w:tcPr>
          <w:p w14:paraId="72DC8322"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3 418 065</w:t>
            </w:r>
          </w:p>
        </w:tc>
      </w:tr>
      <w:tr w:rsidR="00992A45" w:rsidRPr="00BD7721" w14:paraId="39B214FF" w14:textId="77777777" w:rsidTr="004D15D3">
        <w:trPr>
          <w:trHeight w:val="57"/>
          <w:jc w:val="right"/>
        </w:trPr>
        <w:tc>
          <w:tcPr>
            <w:tcW w:w="7513" w:type="dxa"/>
            <w:tcBorders>
              <w:top w:val="nil"/>
              <w:left w:val="nil"/>
              <w:bottom w:val="single" w:sz="4" w:space="0" w:color="000000"/>
              <w:right w:val="nil"/>
            </w:tcBorders>
            <w:hideMark/>
          </w:tcPr>
          <w:p w14:paraId="54C91E40" w14:textId="77777777" w:rsidR="00992A45" w:rsidRPr="00BD7721" w:rsidRDefault="00992A45" w:rsidP="008F194E">
            <w:pPr>
              <w:pStyle w:val="Normal-pool"/>
              <w:tabs>
                <w:tab w:val="left" w:pos="322"/>
              </w:tabs>
              <w:spacing w:before="40" w:after="40"/>
              <w:rPr>
                <w:sz w:val="18"/>
                <w:szCs w:val="18"/>
                <w:lang w:val="en-GB"/>
              </w:rPr>
            </w:pPr>
            <w:r w:rsidRPr="00BD7721">
              <w:rPr>
                <w:sz w:val="18"/>
                <w:szCs w:val="18"/>
                <w:lang w:val="en-GB"/>
              </w:rPr>
              <w:t>3.2</w:t>
            </w:r>
            <w:r w:rsidRPr="00BD7721">
              <w:rPr>
                <w:sz w:val="18"/>
                <w:szCs w:val="18"/>
                <w:lang w:val="en-GB"/>
              </w:rPr>
              <w:tab/>
              <w:t>Operating costs (non-personnel)</w:t>
            </w:r>
          </w:p>
        </w:tc>
        <w:tc>
          <w:tcPr>
            <w:tcW w:w="1984" w:type="dxa"/>
            <w:tcBorders>
              <w:top w:val="nil"/>
              <w:left w:val="nil"/>
              <w:bottom w:val="single" w:sz="4" w:space="0" w:color="000000"/>
              <w:right w:val="nil"/>
            </w:tcBorders>
            <w:vAlign w:val="bottom"/>
            <w:hideMark/>
          </w:tcPr>
          <w:p w14:paraId="429A6F71"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 xml:space="preserve"> 352 500</w:t>
            </w:r>
          </w:p>
        </w:tc>
      </w:tr>
      <w:tr w:rsidR="00992A45" w:rsidRPr="00BD7721" w14:paraId="19F1147A" w14:textId="77777777" w:rsidTr="004D15D3">
        <w:trPr>
          <w:trHeight w:val="57"/>
          <w:jc w:val="right"/>
        </w:trPr>
        <w:tc>
          <w:tcPr>
            <w:tcW w:w="7513" w:type="dxa"/>
            <w:tcBorders>
              <w:top w:val="single" w:sz="4" w:space="0" w:color="000000"/>
              <w:left w:val="nil"/>
              <w:bottom w:val="single" w:sz="4" w:space="0" w:color="000000"/>
              <w:right w:val="nil"/>
            </w:tcBorders>
            <w:hideMark/>
          </w:tcPr>
          <w:p w14:paraId="7FDC5765" w14:textId="77777777" w:rsidR="00992A45" w:rsidRPr="00BD7721" w:rsidRDefault="00992A45" w:rsidP="008F194E">
            <w:pPr>
              <w:pStyle w:val="Normal-pool"/>
              <w:spacing w:before="40" w:after="40"/>
              <w:rPr>
                <w:b/>
                <w:sz w:val="18"/>
                <w:szCs w:val="18"/>
                <w:lang w:val="en-GB"/>
              </w:rPr>
            </w:pPr>
            <w:r w:rsidRPr="00BD7721">
              <w:rPr>
                <w:b/>
                <w:sz w:val="18"/>
                <w:szCs w:val="18"/>
                <w:lang w:val="en-GB"/>
              </w:rPr>
              <w:t>Subtotal 3, secretariat (personnel + operating)</w:t>
            </w:r>
          </w:p>
        </w:tc>
        <w:tc>
          <w:tcPr>
            <w:tcW w:w="1984" w:type="dxa"/>
            <w:tcBorders>
              <w:top w:val="single" w:sz="4" w:space="0" w:color="000000"/>
              <w:left w:val="nil"/>
              <w:bottom w:val="single" w:sz="4" w:space="0" w:color="000000"/>
              <w:right w:val="nil"/>
            </w:tcBorders>
            <w:vAlign w:val="bottom"/>
            <w:hideMark/>
          </w:tcPr>
          <w:p w14:paraId="4311B8F3"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3 770 565</w:t>
            </w:r>
          </w:p>
        </w:tc>
      </w:tr>
      <w:tr w:rsidR="00992A45" w:rsidRPr="00BD7721" w14:paraId="7A2C4380" w14:textId="77777777" w:rsidTr="004D15D3">
        <w:trPr>
          <w:trHeight w:val="57"/>
          <w:jc w:val="right"/>
        </w:trPr>
        <w:tc>
          <w:tcPr>
            <w:tcW w:w="7513" w:type="dxa"/>
            <w:tcBorders>
              <w:top w:val="single" w:sz="4" w:space="0" w:color="000000"/>
              <w:left w:val="nil"/>
              <w:bottom w:val="single" w:sz="4" w:space="0" w:color="000000"/>
              <w:right w:val="nil"/>
            </w:tcBorders>
            <w:hideMark/>
          </w:tcPr>
          <w:p w14:paraId="50AB49C3" w14:textId="5042B54A" w:rsidR="00992A45" w:rsidRPr="00BD7721" w:rsidRDefault="00992A45" w:rsidP="008F194E">
            <w:pPr>
              <w:pStyle w:val="Normal-pool"/>
              <w:spacing w:before="40" w:after="40"/>
              <w:rPr>
                <w:b/>
                <w:sz w:val="18"/>
                <w:szCs w:val="18"/>
                <w:lang w:val="en-GB"/>
              </w:rPr>
            </w:pPr>
            <w:r w:rsidRPr="00BD7721">
              <w:rPr>
                <w:b/>
                <w:sz w:val="18"/>
                <w:szCs w:val="18"/>
                <w:lang w:val="en-GB"/>
              </w:rPr>
              <w:t>Subtotal (1</w:t>
            </w:r>
            <w:r w:rsidR="004212A9" w:rsidRPr="00BD7721">
              <w:rPr>
                <w:b/>
                <w:sz w:val="18"/>
                <w:szCs w:val="18"/>
                <w:lang w:val="en-GB"/>
              </w:rPr>
              <w:t xml:space="preserve"> </w:t>
            </w:r>
            <w:r w:rsidRPr="00BD7721">
              <w:rPr>
                <w:b/>
                <w:sz w:val="18"/>
                <w:szCs w:val="18"/>
                <w:lang w:val="en-GB"/>
              </w:rPr>
              <w:t>+</w:t>
            </w:r>
            <w:r w:rsidR="004212A9" w:rsidRPr="00BD7721">
              <w:rPr>
                <w:b/>
                <w:sz w:val="18"/>
                <w:szCs w:val="18"/>
                <w:lang w:val="en-GB"/>
              </w:rPr>
              <w:t xml:space="preserve"> </w:t>
            </w:r>
            <w:r w:rsidRPr="00BD7721">
              <w:rPr>
                <w:b/>
                <w:sz w:val="18"/>
                <w:szCs w:val="18"/>
                <w:lang w:val="en-GB"/>
              </w:rPr>
              <w:t>2</w:t>
            </w:r>
            <w:r w:rsidR="004212A9" w:rsidRPr="00BD7721">
              <w:rPr>
                <w:b/>
                <w:sz w:val="18"/>
                <w:szCs w:val="18"/>
                <w:lang w:val="en-GB"/>
              </w:rPr>
              <w:t xml:space="preserve"> </w:t>
            </w:r>
            <w:r w:rsidRPr="00BD7721">
              <w:rPr>
                <w:b/>
                <w:sz w:val="18"/>
                <w:szCs w:val="18"/>
                <w:lang w:val="en-GB"/>
              </w:rPr>
              <w:t>+</w:t>
            </w:r>
            <w:r w:rsidR="004212A9" w:rsidRPr="00BD7721">
              <w:rPr>
                <w:b/>
                <w:sz w:val="18"/>
                <w:szCs w:val="18"/>
                <w:lang w:val="en-GB"/>
              </w:rPr>
              <w:t xml:space="preserve"> </w:t>
            </w:r>
            <w:r w:rsidRPr="00BD7721">
              <w:rPr>
                <w:b/>
                <w:sz w:val="18"/>
                <w:szCs w:val="18"/>
                <w:lang w:val="en-GB"/>
              </w:rPr>
              <w:t>3)</w:t>
            </w:r>
          </w:p>
        </w:tc>
        <w:tc>
          <w:tcPr>
            <w:tcW w:w="1984" w:type="dxa"/>
            <w:tcBorders>
              <w:top w:val="single" w:sz="4" w:space="0" w:color="000000"/>
              <w:left w:val="nil"/>
              <w:bottom w:val="single" w:sz="4" w:space="0" w:color="000000"/>
              <w:right w:val="nil"/>
            </w:tcBorders>
            <w:vAlign w:val="bottom"/>
            <w:hideMark/>
          </w:tcPr>
          <w:p w14:paraId="56399594"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9 447 215</w:t>
            </w:r>
          </w:p>
        </w:tc>
      </w:tr>
      <w:tr w:rsidR="00992A45" w:rsidRPr="00BD7721" w14:paraId="148B774B" w14:textId="77777777" w:rsidTr="004D15D3">
        <w:trPr>
          <w:trHeight w:val="57"/>
          <w:jc w:val="right"/>
        </w:trPr>
        <w:tc>
          <w:tcPr>
            <w:tcW w:w="7513" w:type="dxa"/>
            <w:tcBorders>
              <w:top w:val="single" w:sz="4" w:space="0" w:color="000000"/>
              <w:left w:val="nil"/>
              <w:bottom w:val="single" w:sz="4" w:space="0" w:color="000000"/>
              <w:right w:val="nil"/>
            </w:tcBorders>
            <w:hideMark/>
          </w:tcPr>
          <w:p w14:paraId="0F26858E" w14:textId="77777777" w:rsidR="00992A45" w:rsidRPr="00BD7721" w:rsidRDefault="00992A45" w:rsidP="008F194E">
            <w:pPr>
              <w:pStyle w:val="Normal-pool"/>
              <w:spacing w:before="40" w:after="40"/>
              <w:rPr>
                <w:sz w:val="18"/>
                <w:szCs w:val="18"/>
                <w:lang w:val="en-GB"/>
              </w:rPr>
            </w:pPr>
            <w:r w:rsidRPr="00BD7721">
              <w:rPr>
                <w:sz w:val="18"/>
                <w:szCs w:val="18"/>
                <w:lang w:val="en-GB"/>
              </w:rPr>
              <w:t>Programme support costs</w:t>
            </w:r>
          </w:p>
        </w:tc>
        <w:tc>
          <w:tcPr>
            <w:tcW w:w="1984" w:type="dxa"/>
            <w:tcBorders>
              <w:top w:val="single" w:sz="4" w:space="0" w:color="000000"/>
              <w:left w:val="nil"/>
              <w:bottom w:val="single" w:sz="4" w:space="0" w:color="000000"/>
              <w:right w:val="nil"/>
            </w:tcBorders>
            <w:vAlign w:val="bottom"/>
            <w:hideMark/>
          </w:tcPr>
          <w:p w14:paraId="53DE5C65" w14:textId="77777777" w:rsidR="00992A45" w:rsidRPr="00BD7721" w:rsidRDefault="00992A45" w:rsidP="008F194E">
            <w:pPr>
              <w:pStyle w:val="Normal-pool"/>
              <w:spacing w:before="40" w:after="40"/>
              <w:jc w:val="right"/>
              <w:rPr>
                <w:sz w:val="18"/>
                <w:szCs w:val="18"/>
                <w:lang w:val="en-GB"/>
              </w:rPr>
            </w:pPr>
            <w:r w:rsidRPr="00BD7721">
              <w:rPr>
                <w:sz w:val="18"/>
                <w:szCs w:val="18"/>
                <w:lang w:val="en-GB"/>
              </w:rPr>
              <w:t>755 777</w:t>
            </w:r>
          </w:p>
        </w:tc>
      </w:tr>
      <w:tr w:rsidR="00992A45" w:rsidRPr="00BD7721" w14:paraId="38623E34" w14:textId="77777777" w:rsidTr="004D15D3">
        <w:trPr>
          <w:trHeight w:val="57"/>
          <w:jc w:val="right"/>
        </w:trPr>
        <w:tc>
          <w:tcPr>
            <w:tcW w:w="7513" w:type="dxa"/>
            <w:tcBorders>
              <w:top w:val="single" w:sz="4" w:space="0" w:color="000000"/>
              <w:left w:val="nil"/>
              <w:bottom w:val="single" w:sz="12" w:space="0" w:color="000000"/>
              <w:right w:val="nil"/>
            </w:tcBorders>
            <w:hideMark/>
          </w:tcPr>
          <w:p w14:paraId="456C419A" w14:textId="77777777" w:rsidR="00992A45" w:rsidRPr="00BD7721" w:rsidRDefault="00992A45" w:rsidP="008F194E">
            <w:pPr>
              <w:pStyle w:val="Normal-pool"/>
              <w:spacing w:before="40" w:after="40"/>
              <w:rPr>
                <w:b/>
                <w:sz w:val="18"/>
                <w:szCs w:val="18"/>
                <w:lang w:val="en-GB"/>
              </w:rPr>
            </w:pPr>
            <w:r w:rsidRPr="00BD7721">
              <w:rPr>
                <w:b/>
                <w:sz w:val="18"/>
                <w:szCs w:val="18"/>
                <w:lang w:val="en-GB"/>
              </w:rPr>
              <w:t>Total</w:t>
            </w:r>
          </w:p>
        </w:tc>
        <w:tc>
          <w:tcPr>
            <w:tcW w:w="1984" w:type="dxa"/>
            <w:tcBorders>
              <w:top w:val="single" w:sz="4" w:space="0" w:color="000000"/>
              <w:left w:val="nil"/>
              <w:bottom w:val="single" w:sz="12" w:space="0" w:color="000000"/>
              <w:right w:val="nil"/>
            </w:tcBorders>
            <w:vAlign w:val="bottom"/>
            <w:hideMark/>
          </w:tcPr>
          <w:p w14:paraId="651D841D" w14:textId="77777777" w:rsidR="00992A45" w:rsidRPr="00BD7721" w:rsidRDefault="00992A45" w:rsidP="008F194E">
            <w:pPr>
              <w:pStyle w:val="Normal-pool"/>
              <w:spacing w:before="40" w:after="40"/>
              <w:jc w:val="right"/>
              <w:rPr>
                <w:b/>
                <w:sz w:val="18"/>
                <w:szCs w:val="18"/>
                <w:lang w:val="en-GB"/>
              </w:rPr>
            </w:pPr>
            <w:r w:rsidRPr="00BD7721">
              <w:rPr>
                <w:b/>
                <w:sz w:val="18"/>
                <w:szCs w:val="18"/>
                <w:lang w:val="en-GB"/>
              </w:rPr>
              <w:t>10 202 992</w:t>
            </w:r>
          </w:p>
        </w:tc>
      </w:tr>
    </w:tbl>
    <w:p w14:paraId="2BF9196C" w14:textId="77777777" w:rsidR="00992A45" w:rsidRPr="00BD7721" w:rsidRDefault="00992A45" w:rsidP="00992A45">
      <w:pPr>
        <w:pStyle w:val="Normal-pool"/>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992A45" w:rsidRPr="00BD7721" w14:paraId="114DC0D5" w14:textId="77777777" w:rsidTr="004E48D5">
        <w:tc>
          <w:tcPr>
            <w:tcW w:w="1897" w:type="dxa"/>
          </w:tcPr>
          <w:p w14:paraId="0E51177C" w14:textId="77777777" w:rsidR="00992A45" w:rsidRPr="00BD7721" w:rsidRDefault="00992A45" w:rsidP="004E48D5">
            <w:pPr>
              <w:pStyle w:val="Normal-pool"/>
              <w:spacing w:before="520"/>
              <w:rPr>
                <w:lang w:val="en-GB"/>
              </w:rPr>
            </w:pPr>
          </w:p>
        </w:tc>
        <w:tc>
          <w:tcPr>
            <w:tcW w:w="1897" w:type="dxa"/>
          </w:tcPr>
          <w:p w14:paraId="57FE9BF4" w14:textId="77777777" w:rsidR="00992A45" w:rsidRPr="00BD7721" w:rsidRDefault="00992A45" w:rsidP="004E48D5">
            <w:pPr>
              <w:pStyle w:val="Normal-pool"/>
              <w:spacing w:before="520"/>
              <w:rPr>
                <w:lang w:val="en-GB"/>
              </w:rPr>
            </w:pPr>
          </w:p>
        </w:tc>
        <w:tc>
          <w:tcPr>
            <w:tcW w:w="1897" w:type="dxa"/>
            <w:tcBorders>
              <w:top w:val="nil"/>
              <w:left w:val="nil"/>
              <w:bottom w:val="single" w:sz="4" w:space="0" w:color="auto"/>
              <w:right w:val="nil"/>
            </w:tcBorders>
          </w:tcPr>
          <w:p w14:paraId="5DB1CA69" w14:textId="77777777" w:rsidR="00992A45" w:rsidRPr="00BD7721" w:rsidRDefault="00992A45" w:rsidP="004E48D5">
            <w:pPr>
              <w:pStyle w:val="Normal-pool"/>
              <w:spacing w:before="520"/>
              <w:rPr>
                <w:lang w:val="en-GB"/>
              </w:rPr>
            </w:pPr>
          </w:p>
        </w:tc>
        <w:tc>
          <w:tcPr>
            <w:tcW w:w="1898" w:type="dxa"/>
          </w:tcPr>
          <w:p w14:paraId="08AF1822" w14:textId="77777777" w:rsidR="00992A45" w:rsidRPr="00BD7721" w:rsidRDefault="00992A45" w:rsidP="004E48D5">
            <w:pPr>
              <w:pStyle w:val="Normal-pool"/>
              <w:spacing w:before="520"/>
              <w:rPr>
                <w:lang w:val="en-GB"/>
              </w:rPr>
            </w:pPr>
          </w:p>
        </w:tc>
        <w:tc>
          <w:tcPr>
            <w:tcW w:w="1898" w:type="dxa"/>
          </w:tcPr>
          <w:p w14:paraId="403D78BD" w14:textId="77777777" w:rsidR="00992A45" w:rsidRPr="00BD7721" w:rsidRDefault="00992A45" w:rsidP="004E48D5">
            <w:pPr>
              <w:pStyle w:val="Normal-pool"/>
              <w:spacing w:before="520"/>
              <w:rPr>
                <w:lang w:val="en-GB"/>
              </w:rPr>
            </w:pPr>
          </w:p>
        </w:tc>
      </w:tr>
    </w:tbl>
    <w:p w14:paraId="17D1919A" w14:textId="77777777" w:rsidR="007843C0" w:rsidRPr="00BD7721" w:rsidRDefault="007843C0" w:rsidP="005265B4">
      <w:pPr>
        <w:pStyle w:val="Normal-pool"/>
        <w:rPr>
          <w:lang w:val="en-GB"/>
        </w:rPr>
      </w:pPr>
    </w:p>
    <w:sectPr w:rsidR="007843C0" w:rsidRPr="00BD7721" w:rsidSect="00D70826">
      <w:headerReference w:type="even" r:id="rId33"/>
      <w:headerReference w:type="default" r:id="rId34"/>
      <w:headerReference w:type="first" r:id="rId35"/>
      <w:footerReference w:type="first" r:id="rId36"/>
      <w:footnotePr>
        <w:numRestart w:val="eachSect"/>
      </w:footnotePr>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4D87" w14:textId="77777777" w:rsidR="00E62013" w:rsidRPr="007843C0" w:rsidRDefault="00E62013">
      <w:r w:rsidRPr="007843C0">
        <w:separator/>
      </w:r>
    </w:p>
  </w:endnote>
  <w:endnote w:type="continuationSeparator" w:id="0">
    <w:p w14:paraId="758D987A" w14:textId="77777777" w:rsidR="00E62013" w:rsidRPr="007843C0" w:rsidRDefault="00E62013">
      <w:r w:rsidRPr="007843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Quattrocento Sans">
    <w:charset w:val="00"/>
    <w:family w:val="swiss"/>
    <w:pitch w:val="variable"/>
    <w:sig w:usb0="800000BF" w:usb1="4000005B" w:usb2="00000000" w:usb3="00000000" w:csb0="00000001"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39D4" w14:textId="3BB3AB87" w:rsidR="002F7662" w:rsidRPr="00D70826" w:rsidRDefault="00D70826" w:rsidP="00D70826">
    <w:pPr>
      <w:pStyle w:val="Footer"/>
    </w:pPr>
    <w:r>
      <w:rPr>
        <w:b/>
      </w:rPr>
      <w:fldChar w:fldCharType="begin"/>
    </w:r>
    <w:r>
      <w:rPr>
        <w:b/>
      </w:rPr>
      <w:instrText xml:space="preserve"> PAGE </w:instrText>
    </w:r>
    <w:r>
      <w:rPr>
        <w:b/>
      </w:rPr>
      <w:fldChar w:fldCharType="separate"/>
    </w:r>
    <w:r>
      <w:rPr>
        <w:b/>
        <w:noProof/>
      </w:rPr>
      <w:t>28</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8139" w14:textId="5D869339" w:rsidR="00A25B4A" w:rsidRPr="00D70826" w:rsidRDefault="00D70826" w:rsidP="00D70826">
    <w:pPr>
      <w:pStyle w:val="Footer-pool"/>
      <w:jc w:val="right"/>
    </w:pPr>
    <w:r>
      <w:fldChar w:fldCharType="begin"/>
    </w:r>
    <w:r>
      <w:instrText xml:space="preserve"> PAGE \* MERGEFORMAT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A84A" w14:textId="32559616" w:rsidR="002F7662" w:rsidRDefault="00922C85" w:rsidP="00D70826">
    <w:pPr>
      <w:pStyle w:val="Normal-pool"/>
    </w:pPr>
    <w:bookmarkStart w:id="9" w:name="FooterJobDate"/>
    <w:proofErr w:type="spellStart"/>
    <w:r>
      <w:t>K2317083</w:t>
    </w:r>
    <w:proofErr w:type="spellEnd"/>
    <w:r>
      <w:t>[E]</w:t>
    </w:r>
    <w:r>
      <w:tab/>
    </w:r>
    <w:r w:rsidR="00D44EA6">
      <w:t>0811</w:t>
    </w:r>
    <w:r>
      <w:t>23</w:t>
    </w:r>
    <w:bookmarkEnd w:id="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5E2D" w14:textId="4ED6C072" w:rsidR="002F7662" w:rsidRPr="002F7662" w:rsidRDefault="002F7662" w:rsidP="002F7662">
    <w:pPr>
      <w:pStyle w:val="Footer"/>
      <w:rPr>
        <w:b/>
        <w:bCs/>
      </w:rPr>
    </w:pPr>
    <w:r w:rsidRPr="002F7662">
      <w:rPr>
        <w:b/>
        <w:bCs/>
      </w:rPr>
      <w:fldChar w:fldCharType="begin"/>
    </w:r>
    <w:r w:rsidRPr="002F7662">
      <w:rPr>
        <w:b/>
        <w:bCs/>
      </w:rPr>
      <w:instrText xml:space="preserve"> PAGE   \* MERGEFORMAT </w:instrText>
    </w:r>
    <w:r w:rsidRPr="002F7662">
      <w:rPr>
        <w:b/>
        <w:bCs/>
      </w:rPr>
      <w:fldChar w:fldCharType="separate"/>
    </w:r>
    <w:r w:rsidRPr="002F7662">
      <w:rPr>
        <w:b/>
        <w:bCs/>
        <w:noProof/>
      </w:rPr>
      <w:t>1</w:t>
    </w:r>
    <w:r w:rsidRPr="002F7662">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B017" w14:textId="77777777" w:rsidR="00207105" w:rsidRPr="002F7662" w:rsidRDefault="00207105" w:rsidP="00207105">
    <w:pPr>
      <w:pStyle w:val="Footer"/>
      <w:rPr>
        <w:b/>
        <w:bCs/>
      </w:rPr>
    </w:pPr>
    <w:r w:rsidRPr="002F7662">
      <w:rPr>
        <w:b/>
        <w:bCs/>
      </w:rPr>
      <w:fldChar w:fldCharType="begin"/>
    </w:r>
    <w:r w:rsidRPr="002F7662">
      <w:rPr>
        <w:b/>
        <w:bCs/>
      </w:rPr>
      <w:instrText xml:space="preserve"> PAGE   \* MERGEFORMAT </w:instrText>
    </w:r>
    <w:r w:rsidRPr="002F7662">
      <w:rPr>
        <w:b/>
        <w:bCs/>
      </w:rPr>
      <w:fldChar w:fldCharType="separate"/>
    </w:r>
    <w:r w:rsidRPr="002F7662">
      <w:rPr>
        <w:b/>
        <w:bCs/>
        <w:noProof/>
      </w:rPr>
      <w:t>1</w:t>
    </w:r>
    <w:r w:rsidRPr="002F7662">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CCCB" w14:textId="77777777" w:rsidR="00207105" w:rsidRPr="002F7662" w:rsidRDefault="00207105" w:rsidP="00207105">
    <w:pPr>
      <w:pStyle w:val="Footer"/>
      <w:jc w:val="right"/>
      <w:rPr>
        <w:b/>
        <w:bCs/>
      </w:rPr>
    </w:pPr>
    <w:r w:rsidRPr="002F7662">
      <w:rPr>
        <w:b/>
        <w:bCs/>
      </w:rPr>
      <w:fldChar w:fldCharType="begin"/>
    </w:r>
    <w:r w:rsidRPr="002F7662">
      <w:rPr>
        <w:b/>
        <w:bCs/>
      </w:rPr>
      <w:instrText xml:space="preserve"> PAGE   \* MERGEFORMAT </w:instrText>
    </w:r>
    <w:r w:rsidRPr="002F7662">
      <w:rPr>
        <w:b/>
        <w:bCs/>
      </w:rPr>
      <w:fldChar w:fldCharType="separate"/>
    </w:r>
    <w:r w:rsidRPr="002F7662">
      <w:rPr>
        <w:b/>
        <w:bCs/>
        <w:noProof/>
      </w:rPr>
      <w:t>1</w:t>
    </w:r>
    <w:r w:rsidRPr="002F7662">
      <w:rPr>
        <w:b/>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0181" w14:textId="2467B193" w:rsidR="007843C0" w:rsidRPr="007843C0" w:rsidRDefault="005265B4" w:rsidP="007843C0">
    <w:pPr>
      <w:pStyle w:val="Normal-pool"/>
    </w:pPr>
    <w:proofErr w:type="spellStart"/>
    <w:r>
      <w:t>Kxxxxxx</w:t>
    </w:r>
    <w:proofErr w:type="spellEnd"/>
    <w:r>
      <w:t>[E]</w:t>
    </w:r>
    <w:r>
      <w:tab/>
    </w:r>
    <w:proofErr w:type="spellStart"/>
    <w:r>
      <w:t>xx0823</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F630" w14:textId="77777777" w:rsidR="00E62013" w:rsidRPr="00564376" w:rsidRDefault="00E62013" w:rsidP="00564376">
      <w:pPr>
        <w:pStyle w:val="Normal-pool"/>
        <w:tabs>
          <w:tab w:val="clear" w:pos="1247"/>
          <w:tab w:val="clear" w:pos="1871"/>
          <w:tab w:val="clear" w:pos="2495"/>
          <w:tab w:val="clear" w:pos="3119"/>
          <w:tab w:val="clear" w:pos="3742"/>
          <w:tab w:val="clear" w:pos="4366"/>
        </w:tabs>
        <w:spacing w:before="60"/>
        <w:ind w:left="624"/>
        <w:rPr>
          <w:sz w:val="18"/>
          <w:szCs w:val="18"/>
        </w:rPr>
      </w:pPr>
      <w:r w:rsidRPr="00564376">
        <w:rPr>
          <w:sz w:val="18"/>
          <w:szCs w:val="18"/>
        </w:rPr>
        <w:separator/>
      </w:r>
    </w:p>
  </w:footnote>
  <w:footnote w:type="continuationSeparator" w:id="0">
    <w:p w14:paraId="6000DCBC" w14:textId="77777777" w:rsidR="00E62013" w:rsidRPr="007843C0" w:rsidRDefault="00E62013" w:rsidP="006A4A78">
      <w:pPr>
        <w:pStyle w:val="Normal-pool"/>
      </w:pPr>
      <w:r w:rsidRPr="007843C0">
        <w:continuationSeparator/>
      </w:r>
    </w:p>
  </w:footnote>
  <w:footnote w:type="continuationNotice" w:id="1">
    <w:p w14:paraId="3993BC41" w14:textId="77777777" w:rsidR="00E62013" w:rsidRPr="007843C0" w:rsidRDefault="00E62013" w:rsidP="006A4A78">
      <w:pPr>
        <w:pStyle w:val="ASpacer"/>
      </w:pPr>
    </w:p>
  </w:footnote>
  <w:footnote w:id="2">
    <w:p w14:paraId="0FF0F274" w14:textId="520A5332" w:rsidR="00992A45" w:rsidRPr="00564376" w:rsidRDefault="006A4A78" w:rsidP="00564376">
      <w:pPr>
        <w:pStyle w:val="Footnote-Text"/>
        <w:rPr>
          <w:szCs w:val="18"/>
        </w:rPr>
      </w:pPr>
      <w:r w:rsidRPr="00564376">
        <w:rPr>
          <w:rStyle w:val="FootnoteReference"/>
          <w:sz w:val="18"/>
          <w:lang w:val="en-GB"/>
        </w:rPr>
        <w:footnoteRef/>
      </w:r>
      <w:r w:rsidR="00992A45" w:rsidRPr="00564376">
        <w:rPr>
          <w:szCs w:val="18"/>
        </w:rPr>
        <w:t xml:space="preserve"> IPBES/10/4.</w:t>
      </w:r>
    </w:p>
  </w:footnote>
  <w:footnote w:id="3">
    <w:p w14:paraId="2991F414" w14:textId="2C3DDB3D" w:rsidR="00992A45" w:rsidRPr="00564376" w:rsidRDefault="006A4A78" w:rsidP="00564376">
      <w:pPr>
        <w:pStyle w:val="Footnote-Text"/>
        <w:rPr>
          <w:szCs w:val="18"/>
        </w:rPr>
      </w:pPr>
      <w:r w:rsidRPr="00564376">
        <w:rPr>
          <w:rStyle w:val="FootnoteReference"/>
          <w:sz w:val="18"/>
          <w:lang w:val="en-GB"/>
        </w:rPr>
        <w:footnoteRef/>
      </w:r>
      <w:r w:rsidR="00992A45" w:rsidRPr="00564376">
        <w:rPr>
          <w:szCs w:val="18"/>
        </w:rPr>
        <w:t xml:space="preserve"> IPBES/10/12/Add.1</w:t>
      </w:r>
      <w:r w:rsidR="007F40B9" w:rsidRPr="00564376">
        <w:rPr>
          <w:szCs w:val="18"/>
        </w:rPr>
        <w:t>.</w:t>
      </w:r>
    </w:p>
  </w:footnote>
  <w:footnote w:id="4">
    <w:p w14:paraId="5F4D75FC" w14:textId="2451E604" w:rsidR="00992A45" w:rsidRPr="00564376" w:rsidRDefault="006A4A78" w:rsidP="00564376">
      <w:pPr>
        <w:pStyle w:val="Footnote-Text"/>
        <w:rPr>
          <w:szCs w:val="18"/>
        </w:rPr>
      </w:pPr>
      <w:r w:rsidRPr="00564376">
        <w:rPr>
          <w:rStyle w:val="FootnoteReference"/>
          <w:sz w:val="18"/>
          <w:lang w:val="en-GB"/>
        </w:rPr>
        <w:footnoteRef/>
      </w:r>
      <w:r w:rsidR="00992A45" w:rsidRPr="00564376">
        <w:rPr>
          <w:szCs w:val="18"/>
        </w:rPr>
        <w:t xml:space="preserve"> See decision IPBES-3/3, annex I, sect. 3.4.</w:t>
      </w:r>
    </w:p>
  </w:footnote>
  <w:footnote w:id="5">
    <w:p w14:paraId="39B432C4" w14:textId="24162971" w:rsidR="00992A45" w:rsidRPr="00564376" w:rsidRDefault="006A4A78" w:rsidP="00564376">
      <w:pPr>
        <w:pStyle w:val="Footnote-Text"/>
        <w:rPr>
          <w:szCs w:val="18"/>
        </w:rPr>
      </w:pPr>
      <w:r w:rsidRPr="00564376">
        <w:rPr>
          <w:rStyle w:val="FootnoteReference"/>
          <w:sz w:val="18"/>
          <w:lang w:val="en-GB"/>
        </w:rPr>
        <w:footnoteRef/>
      </w:r>
      <w:r w:rsidR="00992A45" w:rsidRPr="00564376">
        <w:rPr>
          <w:szCs w:val="18"/>
        </w:rPr>
        <w:t xml:space="preserve"> IPBES/10/10, annex II.</w:t>
      </w:r>
    </w:p>
  </w:footnote>
  <w:footnote w:id="6">
    <w:p w14:paraId="510C6A76" w14:textId="01239481" w:rsidR="00992A45" w:rsidRPr="00564376" w:rsidRDefault="006A4A78" w:rsidP="00564376">
      <w:pPr>
        <w:pStyle w:val="Footnote-Text"/>
        <w:rPr>
          <w:szCs w:val="18"/>
        </w:rPr>
      </w:pPr>
      <w:r w:rsidRPr="00564376">
        <w:rPr>
          <w:rStyle w:val="FootnoteReference"/>
          <w:sz w:val="18"/>
          <w:lang w:val="en-GB"/>
        </w:rPr>
        <w:footnoteRef/>
      </w:r>
      <w:r w:rsidR="00992A45" w:rsidRPr="00564376">
        <w:rPr>
          <w:szCs w:val="18"/>
        </w:rPr>
        <w:t xml:space="preserve"> See decision IPBES-3/3, annex I.</w:t>
      </w:r>
    </w:p>
  </w:footnote>
  <w:footnote w:id="7">
    <w:p w14:paraId="645D01DD" w14:textId="779B28F4" w:rsidR="00992A45" w:rsidRPr="00564376" w:rsidRDefault="006A4A78" w:rsidP="00564376">
      <w:pPr>
        <w:pStyle w:val="Footnote-Text"/>
        <w:rPr>
          <w:szCs w:val="18"/>
        </w:rPr>
      </w:pPr>
      <w:r w:rsidRPr="00564376">
        <w:rPr>
          <w:rStyle w:val="FootnoteReference"/>
          <w:sz w:val="18"/>
          <w:lang w:val="en-GB"/>
        </w:rPr>
        <w:footnoteRef/>
      </w:r>
      <w:r w:rsidR="00992A45" w:rsidRPr="00564376">
        <w:rPr>
          <w:szCs w:val="18"/>
        </w:rPr>
        <w:t xml:space="preserve"> IPBES/10/7.</w:t>
      </w:r>
    </w:p>
  </w:footnote>
  <w:footnote w:id="8">
    <w:p w14:paraId="5F1D62AF" w14:textId="41F80EDD" w:rsidR="00992A45" w:rsidRPr="00564376" w:rsidRDefault="006A4A78" w:rsidP="00564376">
      <w:pPr>
        <w:pStyle w:val="Footnote-Text"/>
        <w:rPr>
          <w:szCs w:val="18"/>
        </w:rPr>
      </w:pPr>
      <w:r w:rsidRPr="00564376">
        <w:rPr>
          <w:rStyle w:val="FootnoteReference"/>
          <w:sz w:val="18"/>
          <w:lang w:val="en-GB"/>
        </w:rPr>
        <w:footnoteRef/>
      </w:r>
      <w:r w:rsidR="00992A45" w:rsidRPr="00564376">
        <w:rPr>
          <w:szCs w:val="18"/>
        </w:rPr>
        <w:t xml:space="preserve"> IPBES/10/INF/20</w:t>
      </w:r>
      <w:r w:rsidR="002B1192" w:rsidRPr="00564376">
        <w:rPr>
          <w:szCs w:val="18"/>
        </w:rPr>
        <w:t>, annex</w:t>
      </w:r>
      <w:r w:rsidR="00992A45" w:rsidRPr="00564376">
        <w:rPr>
          <w:szCs w:val="18"/>
        </w:rPr>
        <w:t>.</w:t>
      </w:r>
    </w:p>
  </w:footnote>
  <w:footnote w:id="9">
    <w:p w14:paraId="055FC6E5" w14:textId="7E73878F" w:rsidR="00992A45" w:rsidRPr="00564376" w:rsidRDefault="006A4A78" w:rsidP="00564376">
      <w:pPr>
        <w:pStyle w:val="Footnote-Text"/>
        <w:rPr>
          <w:szCs w:val="18"/>
        </w:rPr>
      </w:pPr>
      <w:r w:rsidRPr="00564376">
        <w:rPr>
          <w:rStyle w:val="FootnoteReference"/>
          <w:sz w:val="18"/>
          <w:lang w:val="en-GB"/>
        </w:rPr>
        <w:footnoteRef/>
      </w:r>
      <w:r w:rsidR="00992A45" w:rsidRPr="00564376">
        <w:rPr>
          <w:szCs w:val="18"/>
        </w:rPr>
        <w:t xml:space="preserve"> This may include an exchange of views, or collaboration, if applicable and as appropriate, in the external reviews of relevant draft scoping reports, assessments and summaries for policymakers, in full compliance with their respective mandates and rules of procedure that guide the Platform and the </w:t>
      </w:r>
      <w:r w:rsidR="00992A45" w:rsidRPr="00564376">
        <w:rPr>
          <w:color w:val="000000"/>
          <w:szCs w:val="18"/>
        </w:rPr>
        <w:t>Intergovernmental Panel on Climate Change</w:t>
      </w:r>
      <w:r w:rsidR="00992A45" w:rsidRPr="00564376">
        <w:rPr>
          <w:szCs w:val="18"/>
        </w:rPr>
        <w:t>.</w:t>
      </w:r>
    </w:p>
  </w:footnote>
  <w:footnote w:id="10">
    <w:p w14:paraId="05EA3309" w14:textId="601C6B08" w:rsidR="004C155C" w:rsidRPr="00564376" w:rsidRDefault="006A4A78" w:rsidP="00564376">
      <w:pPr>
        <w:pStyle w:val="Footnote-Text"/>
        <w:rPr>
          <w:szCs w:val="18"/>
        </w:rPr>
      </w:pPr>
      <w:r w:rsidRPr="00564376">
        <w:rPr>
          <w:rStyle w:val="FootnoteReference"/>
          <w:sz w:val="18"/>
        </w:rPr>
        <w:footnoteRef/>
      </w:r>
      <w:r w:rsidR="004C155C" w:rsidRPr="00564376">
        <w:rPr>
          <w:szCs w:val="18"/>
        </w:rPr>
        <w:t xml:space="preserve"> IPBES/9/INF/26 and IPBES/10/INF/20.</w:t>
      </w:r>
    </w:p>
  </w:footnote>
  <w:footnote w:id="11">
    <w:p w14:paraId="465DE135" w14:textId="7BFFDCE8" w:rsidR="00992A45" w:rsidRPr="00564376" w:rsidRDefault="006A4A78" w:rsidP="00564376">
      <w:pPr>
        <w:pStyle w:val="Footnote-Text"/>
        <w:rPr>
          <w:szCs w:val="18"/>
          <w:lang w:val="fr-FR"/>
        </w:rPr>
      </w:pPr>
      <w:r w:rsidRPr="00564376">
        <w:rPr>
          <w:rStyle w:val="FootnoteReference"/>
          <w:sz w:val="18"/>
          <w:lang w:val="en-GB"/>
        </w:rPr>
        <w:footnoteRef/>
      </w:r>
      <w:r w:rsidR="00992A45" w:rsidRPr="00564376">
        <w:rPr>
          <w:szCs w:val="18"/>
          <w:lang w:val="fr-FR"/>
        </w:rPr>
        <w:t xml:space="preserve"> IPBES/8/6.</w:t>
      </w:r>
    </w:p>
  </w:footnote>
  <w:footnote w:id="12">
    <w:p w14:paraId="1A9599EE" w14:textId="61D274B4" w:rsidR="00992A45" w:rsidRPr="00564376" w:rsidRDefault="006A4A78" w:rsidP="00564376">
      <w:pPr>
        <w:pStyle w:val="Footnote-Text"/>
        <w:rPr>
          <w:szCs w:val="18"/>
          <w:lang w:val="fr-FR"/>
        </w:rPr>
      </w:pPr>
      <w:r w:rsidRPr="00564376">
        <w:rPr>
          <w:rStyle w:val="FootnoteReference"/>
          <w:sz w:val="18"/>
          <w:lang w:val="en-GB"/>
        </w:rPr>
        <w:footnoteRef/>
      </w:r>
      <w:r w:rsidR="00992A45" w:rsidRPr="00564376">
        <w:rPr>
          <w:szCs w:val="18"/>
          <w:lang w:val="fr-FR"/>
        </w:rPr>
        <w:t xml:space="preserve"> </w:t>
      </w:r>
      <w:proofErr w:type="spellStart"/>
      <w:r w:rsidR="00992A45" w:rsidRPr="00564376">
        <w:rPr>
          <w:szCs w:val="18"/>
          <w:lang w:val="fr-FR"/>
        </w:rPr>
        <w:t>Decision</w:t>
      </w:r>
      <w:proofErr w:type="spellEnd"/>
      <w:r w:rsidR="00992A45" w:rsidRPr="00564376">
        <w:rPr>
          <w:szCs w:val="18"/>
          <w:lang w:val="fr-FR"/>
        </w:rPr>
        <w:t xml:space="preserve"> </w:t>
      </w:r>
      <w:proofErr w:type="spellStart"/>
      <w:r w:rsidR="00992A45" w:rsidRPr="00564376">
        <w:rPr>
          <w:szCs w:val="18"/>
          <w:lang w:val="fr-FR"/>
        </w:rPr>
        <w:t>IPBES-3</w:t>
      </w:r>
      <w:proofErr w:type="spellEnd"/>
      <w:r w:rsidR="00992A45" w:rsidRPr="00564376">
        <w:rPr>
          <w:szCs w:val="18"/>
          <w:lang w:val="fr-FR"/>
        </w:rPr>
        <w:t xml:space="preserve">/3, </w:t>
      </w:r>
      <w:proofErr w:type="spellStart"/>
      <w:r w:rsidR="00992A45" w:rsidRPr="00564376">
        <w:rPr>
          <w:szCs w:val="18"/>
          <w:lang w:val="fr-FR"/>
        </w:rPr>
        <w:t>annex</w:t>
      </w:r>
      <w:proofErr w:type="spellEnd"/>
      <w:r w:rsidR="00992A45" w:rsidRPr="00564376">
        <w:rPr>
          <w:szCs w:val="18"/>
          <w:lang w:val="fr-FR"/>
        </w:rPr>
        <w:t xml:space="preserve"> I. </w:t>
      </w:r>
    </w:p>
  </w:footnote>
  <w:footnote w:id="13">
    <w:p w14:paraId="783EF39C" w14:textId="63CD96D0" w:rsidR="00992A45" w:rsidRPr="00564376" w:rsidRDefault="006A4A78" w:rsidP="00564376">
      <w:pPr>
        <w:pStyle w:val="Footnote-Text"/>
        <w:rPr>
          <w:szCs w:val="18"/>
          <w:lang w:val="fr-FR"/>
        </w:rPr>
      </w:pPr>
      <w:r w:rsidRPr="00564376">
        <w:rPr>
          <w:rStyle w:val="FootnoteReference"/>
          <w:sz w:val="18"/>
          <w:lang w:val="en-GB"/>
        </w:rPr>
        <w:footnoteRef/>
      </w:r>
      <w:r w:rsidR="00992A45" w:rsidRPr="00564376">
        <w:rPr>
          <w:szCs w:val="18"/>
          <w:lang w:val="fr-FR"/>
        </w:rPr>
        <w:t xml:space="preserve"> IPBES/10/9.</w:t>
      </w:r>
    </w:p>
  </w:footnote>
  <w:footnote w:id="14">
    <w:p w14:paraId="221491B3" w14:textId="0A29BD56" w:rsidR="00992A45" w:rsidRPr="00564376" w:rsidRDefault="006A4A78" w:rsidP="00564376">
      <w:pPr>
        <w:pStyle w:val="Footnote-Text"/>
        <w:rPr>
          <w:szCs w:val="18"/>
        </w:rPr>
      </w:pPr>
      <w:r w:rsidRPr="00564376">
        <w:rPr>
          <w:rStyle w:val="FootnoteReference"/>
          <w:sz w:val="18"/>
          <w:lang w:val="en-GB"/>
        </w:rPr>
        <w:footnoteRef/>
      </w:r>
      <w:r w:rsidR="00992A45" w:rsidRPr="00564376">
        <w:rPr>
          <w:szCs w:val="18"/>
        </w:rPr>
        <w:t xml:space="preserve"> </w:t>
      </w:r>
      <w:r w:rsidR="00992A45" w:rsidRPr="00564376">
        <w:rPr>
          <w:rFonts w:eastAsia="Quattrocento Sans"/>
          <w:szCs w:val="18"/>
        </w:rPr>
        <w:t>IPBES/7/5.</w:t>
      </w:r>
    </w:p>
  </w:footnote>
  <w:footnote w:id="15">
    <w:p w14:paraId="0A263468" w14:textId="5C86D97E" w:rsidR="00992A45" w:rsidRPr="00564376" w:rsidRDefault="006A4A78" w:rsidP="00564376">
      <w:pPr>
        <w:pStyle w:val="Footnote-Text"/>
        <w:rPr>
          <w:szCs w:val="18"/>
        </w:rPr>
      </w:pPr>
      <w:r w:rsidRPr="00564376">
        <w:rPr>
          <w:rStyle w:val="FootnoteReference"/>
          <w:sz w:val="18"/>
          <w:lang w:val="en-GB"/>
        </w:rPr>
        <w:footnoteRef/>
      </w:r>
      <w:r w:rsidR="00992A45" w:rsidRPr="00564376">
        <w:rPr>
          <w:szCs w:val="18"/>
        </w:rPr>
        <w:t xml:space="preserve"> Decision 15/4 of the </w:t>
      </w:r>
      <w:r w:rsidR="00505AE5" w:rsidRPr="00564376">
        <w:rPr>
          <w:szCs w:val="18"/>
        </w:rPr>
        <w:t xml:space="preserve">Conference of the Parties to the </w:t>
      </w:r>
      <w:r w:rsidR="00992A45" w:rsidRPr="00564376">
        <w:rPr>
          <w:szCs w:val="18"/>
        </w:rPr>
        <w:t>Convention on Biological Diversity, annex.</w:t>
      </w:r>
    </w:p>
  </w:footnote>
  <w:footnote w:id="16">
    <w:p w14:paraId="76B52BFB" w14:textId="4444A19E" w:rsidR="00992A45" w:rsidRPr="00564376" w:rsidRDefault="006A4A78" w:rsidP="00564376">
      <w:pPr>
        <w:pStyle w:val="Footnote-Text"/>
        <w:rPr>
          <w:szCs w:val="18"/>
          <w:lang w:val="en-GB"/>
        </w:rPr>
      </w:pPr>
      <w:r w:rsidRPr="00564376">
        <w:rPr>
          <w:rStyle w:val="FootnoteReference"/>
          <w:sz w:val="18"/>
          <w:lang w:val="en-GB"/>
        </w:rPr>
        <w:footnoteRef/>
      </w:r>
      <w:r w:rsidR="00992A45" w:rsidRPr="00564376">
        <w:rPr>
          <w:szCs w:val="18"/>
          <w:lang w:val="en-GB"/>
        </w:rPr>
        <w:t xml:space="preserve"> Decision IPBES 2/4, annex, </w:t>
      </w:r>
      <w:r w:rsidR="00992A45" w:rsidRPr="00564376">
        <w:rPr>
          <w:szCs w:val="18"/>
        </w:rPr>
        <w:t>and decision IPBES-5/1, sect. III, paras. 8 and 9</w:t>
      </w:r>
      <w:r w:rsidR="00992A45" w:rsidRPr="00564376">
        <w:rPr>
          <w:szCs w:val="18"/>
          <w:lang w:val="en-GB"/>
        </w:rPr>
        <w:t>.</w:t>
      </w:r>
    </w:p>
  </w:footnote>
  <w:footnote w:id="17">
    <w:p w14:paraId="1F6530D9" w14:textId="1024F723" w:rsidR="00992A45" w:rsidRPr="00564376" w:rsidRDefault="006A4A78" w:rsidP="00564376">
      <w:pPr>
        <w:pStyle w:val="Footnote-Text"/>
        <w:rPr>
          <w:szCs w:val="18"/>
        </w:rPr>
      </w:pPr>
      <w:r w:rsidRPr="00564376">
        <w:rPr>
          <w:rStyle w:val="FootnoteReference"/>
          <w:sz w:val="18"/>
          <w:lang w:val="en-GB"/>
        </w:rPr>
        <w:footnoteRef/>
      </w:r>
      <w:r w:rsidR="00992A45" w:rsidRPr="00564376">
        <w:rPr>
          <w:szCs w:val="18"/>
        </w:rPr>
        <w:t xml:space="preserve"> Decision IPBES-7/1, annex I.</w:t>
      </w:r>
    </w:p>
  </w:footnote>
  <w:footnote w:id="18">
    <w:p w14:paraId="080FC7A2" w14:textId="6102382C"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See decision IPBES-3/3, annex I.</w:t>
      </w:r>
    </w:p>
  </w:footnote>
  <w:footnote w:id="19">
    <w:p w14:paraId="606A3A50" w14:textId="6A42EC93" w:rsidR="00992A45" w:rsidRPr="00564376" w:rsidRDefault="006A4A78" w:rsidP="00564376">
      <w:pPr>
        <w:pStyle w:val="Footnote-Text"/>
        <w:rPr>
          <w:szCs w:val="18"/>
          <w:highlight w:val="yellow"/>
        </w:rPr>
      </w:pPr>
      <w:r w:rsidRPr="00564376">
        <w:rPr>
          <w:rStyle w:val="FootnoteReference"/>
          <w:sz w:val="18"/>
        </w:rPr>
        <w:footnoteRef/>
      </w:r>
      <w:r w:rsidR="00992A45" w:rsidRPr="00564376">
        <w:rPr>
          <w:szCs w:val="18"/>
        </w:rPr>
        <w:t xml:space="preserve"> G. </w:t>
      </w:r>
      <w:proofErr w:type="spellStart"/>
      <w:r w:rsidR="00992A45" w:rsidRPr="00564376">
        <w:rPr>
          <w:szCs w:val="18"/>
        </w:rPr>
        <w:t>Metternicht</w:t>
      </w:r>
      <w:proofErr w:type="spellEnd"/>
      <w:r w:rsidR="00992A45" w:rsidRPr="00564376">
        <w:rPr>
          <w:szCs w:val="18"/>
        </w:rPr>
        <w:t xml:space="preserve"> (2017), Land Use and Spatial Planning: Enabling Sustainable Management of Land Resources, Springer Briefs in Earth Sciences.</w:t>
      </w:r>
    </w:p>
  </w:footnote>
  <w:footnote w:id="20">
    <w:p w14:paraId="664BEC32" w14:textId="731BCEDC"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The assessment will be conducted following the IPBES Data and Knowledge Management Policy. Documentation of workflows as well as the data underlying the analysis in the report drafts will be made accessible during the review process.</w:t>
      </w:r>
    </w:p>
  </w:footnote>
  <w:footnote w:id="21">
    <w:p w14:paraId="09B131E7" w14:textId="630D23BD"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See decision IPBES-3/3, annex I.</w:t>
      </w:r>
    </w:p>
  </w:footnote>
  <w:footnote w:id="22">
    <w:p w14:paraId="6DD4286E" w14:textId="55644E56"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See decision IPBES-2/4, annex, and decision IPBES-5/1, sect. III, paras. 8 and 9.</w:t>
      </w:r>
    </w:p>
  </w:footnote>
  <w:footnote w:id="23">
    <w:p w14:paraId="7F200908" w14:textId="04581194"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Considering the baseline included in decision 15/5 of the Conference of the Parties to the Convention on Biological Diversity.</w:t>
      </w:r>
    </w:p>
  </w:footnote>
  <w:footnote w:id="24">
    <w:p w14:paraId="0B076887" w14:textId="288721BE"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“The integrity, connectivity and resilience of all ecosystems are maintained, enhanced, or restored…” </w:t>
      </w:r>
    </w:p>
  </w:footnote>
  <w:footnote w:id="25">
    <w:p w14:paraId="3641B6D2" w14:textId="62380319"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“…effectively conserved and managed through ecologically representative, well-connected […] systems of protected areas and other effective area-based conservation measures…”</w:t>
      </w:r>
    </w:p>
  </w:footnote>
  <w:footnote w:id="26">
    <w:p w14:paraId="120F5D79" w14:textId="43733D88"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“Significantly increase the area and quality and connectivity of, access to, and benefits from green and blue spaces in urban and densely populated areas sustainably…”</w:t>
      </w:r>
    </w:p>
  </w:footnote>
  <w:footnote w:id="27">
    <w:p w14:paraId="65363C6B" w14:textId="77777777" w:rsidR="004779C1" w:rsidRPr="00564376" w:rsidRDefault="004779C1" w:rsidP="00564376">
      <w:pPr>
        <w:pStyle w:val="Footnote-Text"/>
        <w:rPr>
          <w:szCs w:val="18"/>
        </w:rPr>
      </w:pPr>
      <w:r w:rsidRPr="00564376">
        <w:rPr>
          <w:rStyle w:val="FootnoteReference"/>
          <w:sz w:val="18"/>
        </w:rPr>
        <w:footnoteRef/>
      </w:r>
      <w:r w:rsidRPr="00564376">
        <w:rPr>
          <w:szCs w:val="18"/>
        </w:rPr>
        <w:t xml:space="preserve"> The workshop will target individuals representing youth organizations from different United Nations regions that have an active voice in their community. An open call will be issued, including selection criteria.</w:t>
      </w:r>
    </w:p>
  </w:footnote>
  <w:footnote w:id="28">
    <w:p w14:paraId="4F3AA5D5" w14:textId="357CFE8A"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As is noted in annex II to decision IPBES-9/1, communities of practice are understood, in the context of IPBES, to be groups of experts, policymakers and/or practitioners who work to increase access to expertise and information on a specific topic or focus area, both for supporting implementation of the IPBES work programme and for increasing the reach and impact of work programme deliverables. These communities of practice are self</w:t>
      </w:r>
      <w:r w:rsidR="009C3F45" w:rsidRPr="00564376">
        <w:rPr>
          <w:szCs w:val="18"/>
        </w:rPr>
        <w:noBreakHyphen/>
      </w:r>
      <w:r w:rsidR="00992A45" w:rsidRPr="00564376">
        <w:rPr>
          <w:szCs w:val="18"/>
        </w:rPr>
        <w:t>organizing groups and can have different modalities and working arrangements.</w:t>
      </w:r>
    </w:p>
  </w:footnote>
  <w:footnote w:id="29">
    <w:p w14:paraId="17F8CBBA" w14:textId="4D04D22F"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IPBES/10/INF/</w:t>
      </w:r>
      <w:r w:rsidR="004C1335" w:rsidRPr="00564376">
        <w:rPr>
          <w:szCs w:val="18"/>
        </w:rPr>
        <w:t>10</w:t>
      </w:r>
      <w:r w:rsidR="00992A45" w:rsidRPr="00564376">
        <w:rPr>
          <w:szCs w:val="18"/>
        </w:rPr>
        <w:t>, appendix.</w:t>
      </w:r>
    </w:p>
  </w:footnote>
  <w:footnote w:id="30">
    <w:p w14:paraId="3EAC65E7" w14:textId="5E882625"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An Indigenous and local knowledge liaison group is a group of authors working on Indigenous and local knowledge within an assessment.</w:t>
      </w:r>
    </w:p>
  </w:footnote>
  <w:footnote w:id="31">
    <w:p w14:paraId="76CE25C2" w14:textId="19966D55"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IPBES/10/INF/1</w:t>
      </w:r>
      <w:r w:rsidR="001C7C9C" w:rsidRPr="00564376">
        <w:rPr>
          <w:szCs w:val="18"/>
        </w:rPr>
        <w:t>0</w:t>
      </w:r>
      <w:r w:rsidR="00992A45" w:rsidRPr="00564376">
        <w:rPr>
          <w:szCs w:val="18"/>
        </w:rPr>
        <w:t xml:space="preserve">, appendix. </w:t>
      </w:r>
    </w:p>
  </w:footnote>
  <w:footnote w:id="32">
    <w:p w14:paraId="5D8B7152" w14:textId="6F6B6888" w:rsidR="00992A45" w:rsidRPr="00564376" w:rsidRDefault="006A4A78" w:rsidP="00564376">
      <w:pPr>
        <w:pStyle w:val="Footnote-Text"/>
        <w:rPr>
          <w:szCs w:val="18"/>
          <w:highlight w:val="white"/>
        </w:rPr>
      </w:pPr>
      <w:r w:rsidRPr="00564376">
        <w:rPr>
          <w:rStyle w:val="FootnoteReference"/>
          <w:sz w:val="18"/>
        </w:rPr>
        <w:footnoteRef/>
      </w:r>
      <w:r w:rsidR="00992A45" w:rsidRPr="00564376">
        <w:rPr>
          <w:szCs w:val="18"/>
          <w:highlight w:val="white"/>
        </w:rPr>
        <w:t xml:space="preserve"> Available at </w:t>
      </w:r>
      <w:hyperlink r:id="rId1" w:history="1">
        <w:r w:rsidR="00906E11" w:rsidRPr="00564376">
          <w:rPr>
            <w:rStyle w:val="Hyperlink"/>
            <w:sz w:val="18"/>
            <w:szCs w:val="18"/>
            <w:highlight w:val="white"/>
          </w:rPr>
          <w:t>www.ipbes.net/impact-tracking-view</w:t>
        </w:r>
      </w:hyperlink>
      <w:r w:rsidR="00906E11" w:rsidRPr="00564376">
        <w:rPr>
          <w:szCs w:val="18"/>
          <w:highlight w:val="white"/>
        </w:rPr>
        <w:t>.</w:t>
      </w:r>
    </w:p>
  </w:footnote>
  <w:footnote w:id="33">
    <w:p w14:paraId="49873BB8" w14:textId="03FA6419"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Although the subtitle is not repeated after every mention of the Nature Futures Framework in the present document, it is understood that any mention of the framework implicitly includes this subtitle.</w:t>
      </w:r>
    </w:p>
  </w:footnote>
  <w:footnote w:id="34">
    <w:p w14:paraId="640ACF05" w14:textId="0AB48032" w:rsidR="00992A45" w:rsidRPr="00564376" w:rsidRDefault="006A4A78" w:rsidP="00564376">
      <w:pPr>
        <w:pStyle w:val="Footnote-Text"/>
        <w:rPr>
          <w:szCs w:val="18"/>
          <w:shd w:val="clear" w:color="auto" w:fill="D9D9D9"/>
        </w:rPr>
      </w:pPr>
      <w:r w:rsidRPr="00564376">
        <w:rPr>
          <w:rStyle w:val="FootnoteReference"/>
          <w:sz w:val="18"/>
        </w:rPr>
        <w:footnoteRef/>
      </w:r>
      <w:r w:rsidR="00992A45" w:rsidRPr="00564376">
        <w:rPr>
          <w:szCs w:val="18"/>
        </w:rPr>
        <w:t xml:space="preserve"> Communities of practice are understood in the context of IPBES as groups of experts, policymakers and/or practitioners who work to increase access to expertise and information on a specific topic or focus area, both for supporting implementation of the IPBES work programme and for increasing the reach and impact of work programme deliverables. These communities of practice are self-organizing groups and can have different modalities and working arrangements.</w:t>
      </w:r>
    </w:p>
  </w:footnote>
  <w:footnote w:id="35">
    <w:p w14:paraId="0DB4D01B" w14:textId="117DE333"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Through a systematic search of existing literature.</w:t>
      </w:r>
    </w:p>
  </w:footnote>
  <w:footnote w:id="36">
    <w:p w14:paraId="5DE04BC0" w14:textId="6B5866D6"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Decision IPBES-7/1, annex I.</w:t>
      </w:r>
    </w:p>
  </w:footnote>
  <w:footnote w:id="37">
    <w:p w14:paraId="00C6E44A" w14:textId="45F5B2F6"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Decision IPBES-2/5, annex I.</w:t>
      </w:r>
    </w:p>
  </w:footnote>
  <w:footnote w:id="38">
    <w:p w14:paraId="69308EB2" w14:textId="52742062"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Decision IPBES-5/1, annex I.</w:t>
      </w:r>
    </w:p>
  </w:footnote>
  <w:footnote w:id="39">
    <w:p w14:paraId="06DF3C21" w14:textId="3D9246A9" w:rsidR="00992A45" w:rsidRPr="00564376" w:rsidRDefault="006A4A78" w:rsidP="00564376">
      <w:pPr>
        <w:pStyle w:val="Footnote-Text"/>
        <w:rPr>
          <w:szCs w:val="18"/>
        </w:rPr>
      </w:pPr>
      <w:r w:rsidRPr="00564376">
        <w:rPr>
          <w:rStyle w:val="FootnoteReference"/>
          <w:sz w:val="18"/>
        </w:rPr>
        <w:footnoteRef/>
      </w:r>
      <w:r w:rsidR="00992A45" w:rsidRPr="00564376">
        <w:rPr>
          <w:szCs w:val="18"/>
          <w:vertAlign w:val="superscript"/>
        </w:rPr>
        <w:t xml:space="preserve"> </w:t>
      </w:r>
      <w:r w:rsidR="00992A45" w:rsidRPr="00564376">
        <w:rPr>
          <w:szCs w:val="18"/>
        </w:rPr>
        <w:t xml:space="preserve">Within the IPBES approach to recognizing and working with Indigenous and local knowledge, “experts on Indigenous and local knowledge” are understood to be persons who have knowledge about Indigenous and local knowledge and associated issues, but are not necessarily from Indigenous Peoples and local communities. </w:t>
      </w:r>
    </w:p>
  </w:footnote>
  <w:footnote w:id="40">
    <w:p w14:paraId="3D12676D" w14:textId="6C4E4836"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See decision IPBES-3/3, annex I, sect. 7. </w:t>
      </w:r>
    </w:p>
  </w:footnote>
  <w:footnote w:id="41">
    <w:p w14:paraId="0616853C" w14:textId="3624C07E"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Decision IPBES-7/1, annex I.</w:t>
      </w:r>
    </w:p>
  </w:footnote>
  <w:footnote w:id="42">
    <w:p w14:paraId="290210F6" w14:textId="103C6C74"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Decision IPBES-2/5, annex I.</w:t>
      </w:r>
    </w:p>
  </w:footnote>
  <w:footnote w:id="43">
    <w:p w14:paraId="4F516FC1" w14:textId="5EAEB6BF"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Within the IPBES approach to recognizing and working with Indigenous and local knowledge, “experts on Indigenous and local knowledge” are understood to be persons who have knowledge about Indigenous and local knowledge and associated issues but are not necessarily from Indigenous Peoples and local communities. </w:t>
      </w:r>
    </w:p>
  </w:footnote>
  <w:footnote w:id="44">
    <w:p w14:paraId="02391669" w14:textId="45F52023"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See decision IPBES-3/3, annex I, sect. 7.</w:t>
      </w:r>
    </w:p>
  </w:footnote>
  <w:footnote w:id="45">
    <w:p w14:paraId="631D5EB5" w14:textId="194FD503"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Decision IPBES-7/1, annex I.</w:t>
      </w:r>
    </w:p>
  </w:footnote>
  <w:footnote w:id="46">
    <w:p w14:paraId="78C7382B" w14:textId="0F3E7F5F"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Decision IPBES-2/5, annex I.</w:t>
      </w:r>
    </w:p>
  </w:footnote>
  <w:footnote w:id="47">
    <w:p w14:paraId="0DC2C87A" w14:textId="74A1B8D8"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Decision IPBES-5/1, annex II. </w:t>
      </w:r>
    </w:p>
  </w:footnote>
  <w:footnote w:id="48">
    <w:p w14:paraId="0491B7BB" w14:textId="0E30668A"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Within the IPBES approach to recognizing and working with Indigenous and local knowledge, “experts on Indigenous and local knowledge” are understood to be persons who have knowledge about Indigenous and local knowledge and associated issues but are not necessarily from Indigenous Peoples and local communities. </w:t>
      </w:r>
    </w:p>
  </w:footnote>
  <w:footnote w:id="49">
    <w:p w14:paraId="65423861" w14:textId="40AA2473"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See decision IPBES-3/3, annex I, sect. 7.</w:t>
      </w:r>
    </w:p>
  </w:footnote>
  <w:footnote w:id="50">
    <w:p w14:paraId="3879CAF6" w14:textId="6B0E5CE6"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Decision IPBES-7/1, annex I.</w:t>
      </w:r>
    </w:p>
  </w:footnote>
  <w:footnote w:id="51">
    <w:p w14:paraId="336C2485" w14:textId="6DB17133"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Decision IPBES-2/5, annex I.</w:t>
      </w:r>
    </w:p>
  </w:footnote>
  <w:footnote w:id="52">
    <w:p w14:paraId="56C1E465" w14:textId="6ECAED2F"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Decision IPBES-4/1, annex V.</w:t>
      </w:r>
    </w:p>
  </w:footnote>
  <w:footnote w:id="53">
    <w:p w14:paraId="6763EDFA" w14:textId="5C2D7815"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Within the IPBES approach to recognizing and working with Indigenous and local knowledge, “experts on Indigenous and local knowledge” are understood to be persons who have knowledge about Indigenous and local knowledge and associated issues but are not necessarily from Indigenous Peoples and local communities. </w:t>
      </w:r>
    </w:p>
  </w:footnote>
  <w:footnote w:id="54">
    <w:p w14:paraId="7FAD7040" w14:textId="092E2684"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See decision IPBES-3/3, annex I, sect. 7.</w:t>
      </w:r>
    </w:p>
  </w:footnote>
  <w:footnote w:id="55">
    <w:p w14:paraId="3BB83EB0" w14:textId="3FC5AFCD" w:rsidR="00992A45" w:rsidRPr="00564376" w:rsidRDefault="006A4A78" w:rsidP="00564376">
      <w:pPr>
        <w:pStyle w:val="Footnote-Text"/>
        <w:rPr>
          <w:szCs w:val="18"/>
        </w:rPr>
      </w:pPr>
      <w:r w:rsidRPr="00564376">
        <w:rPr>
          <w:rStyle w:val="FootnoteReference"/>
          <w:sz w:val="18"/>
        </w:rPr>
        <w:footnoteRef/>
      </w:r>
      <w:r w:rsidR="00992A45" w:rsidRPr="00564376">
        <w:rPr>
          <w:szCs w:val="18"/>
        </w:rPr>
        <w:t xml:space="preserve"> ST/AI/342.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8E0F" w14:textId="1C20CCB5" w:rsidR="002F7662" w:rsidRPr="00D70826" w:rsidRDefault="00D70826" w:rsidP="00D70826">
    <w:pPr>
      <w:pStyle w:val="Header-pool"/>
    </w:pPr>
    <w:r>
      <w:fldChar w:fldCharType="begin"/>
    </w:r>
    <w:r>
      <w:instrText xml:space="preserve"> StyleRef A_Symbol </w:instrText>
    </w:r>
    <w:r>
      <w:fldChar w:fldCharType="separate"/>
    </w:r>
    <w:r w:rsidR="0043436C">
      <w:rPr>
        <w:noProof/>
      </w:rPr>
      <w:t>IPBES/10/12</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2565" w14:textId="12DB7DDE" w:rsidR="00F55494" w:rsidRDefault="00CB20B5" w:rsidP="00CB20B5">
    <w:pPr>
      <w:pStyle w:val="Header-pool"/>
      <w:jc w:val="right"/>
    </w:pPr>
    <w:r>
      <w:t>IPBES/10/1</w:t>
    </w:r>
    <w:r w:rsidR="00F87840">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68F8" w14:textId="6CBC8EB7" w:rsidR="00207105" w:rsidRDefault="00207105" w:rsidP="00207105">
    <w:pPr>
      <w:pStyle w:val="Header-pool"/>
    </w:pPr>
    <w:r>
      <w:fldChar w:fldCharType="begin"/>
    </w:r>
    <w:r>
      <w:instrText xml:space="preserve"> StyleRef A_Symbol </w:instrText>
    </w:r>
    <w:r>
      <w:fldChar w:fldCharType="separate"/>
    </w:r>
    <w:r w:rsidR="0043436C">
      <w:rPr>
        <w:noProof/>
      </w:rPr>
      <w:t>IPBES/10/12</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837E" w14:textId="09787B6D" w:rsidR="00F55494" w:rsidRDefault="004316D0" w:rsidP="004316D0">
    <w:pPr>
      <w:pStyle w:val="Header-pool"/>
    </w:pPr>
    <w:r>
      <w:t>IPBES/10/1</w:t>
    </w:r>
    <w:r w:rsidR="00B95C19">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B38" w14:textId="6E23CCE7" w:rsidR="00F55494" w:rsidRDefault="004316D0" w:rsidP="004316D0">
    <w:pPr>
      <w:pStyle w:val="Header-pool"/>
      <w:jc w:val="right"/>
    </w:pPr>
    <w:r>
      <w:t>IPBES/10/1</w:t>
    </w:r>
    <w:r w:rsidR="00B95C19">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26B3" w14:textId="7DB1BCE9" w:rsidR="00207105" w:rsidRDefault="00207105" w:rsidP="00207105">
    <w:pPr>
      <w:pStyle w:val="Header-pool"/>
      <w:jc w:val="right"/>
    </w:pPr>
    <w:r>
      <w:fldChar w:fldCharType="begin"/>
    </w:r>
    <w:r>
      <w:instrText xml:space="preserve"> StyleRef A_Symbol </w:instrText>
    </w:r>
    <w:r>
      <w:fldChar w:fldCharType="separate"/>
    </w:r>
    <w:r w:rsidR="0043436C">
      <w:rPr>
        <w:noProof/>
      </w:rPr>
      <w:t>IPBES/10/12</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E3FB" w14:textId="6E789E9E" w:rsidR="00F55494" w:rsidRDefault="004316D0" w:rsidP="004316D0">
    <w:pPr>
      <w:pStyle w:val="Header-pool"/>
    </w:pPr>
    <w:r>
      <w:t>IPBES/10/1</w:t>
    </w:r>
    <w:r w:rsidR="00B104DB">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F041" w14:textId="246A1866" w:rsidR="00F55494" w:rsidRDefault="004316D0" w:rsidP="004316D0">
    <w:pPr>
      <w:pStyle w:val="Header-pool"/>
      <w:jc w:val="right"/>
    </w:pPr>
    <w:r>
      <w:t>IPBES/10/1</w:t>
    </w:r>
    <w:r w:rsidR="00B104DB">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5F5D" w14:textId="5CA377B9" w:rsidR="00F55494" w:rsidRDefault="00F55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E510" w14:textId="66C1E7FC" w:rsidR="002F7662" w:rsidRPr="00D70826" w:rsidRDefault="00D70826" w:rsidP="00D70826">
    <w:pPr>
      <w:pStyle w:val="Header-pool"/>
      <w:jc w:val="right"/>
    </w:pPr>
    <w:r>
      <w:fldChar w:fldCharType="begin"/>
    </w:r>
    <w:r>
      <w:instrText xml:space="preserve"> StyleRef A_Symbol </w:instrText>
    </w:r>
    <w:r>
      <w:fldChar w:fldCharType="separate"/>
    </w:r>
    <w:r w:rsidR="0043436C">
      <w:rPr>
        <w:noProof/>
      </w:rPr>
      <w:t>IPBES/10/12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4EA" w14:textId="186BA927" w:rsidR="00F55494" w:rsidRDefault="004316D0" w:rsidP="004316D0">
    <w:pPr>
      <w:pStyle w:val="Header-pool"/>
    </w:pPr>
    <w:r>
      <w:t>IPBES/10/1</w:t>
    </w:r>
    <w:r w:rsidR="00DB0A76">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AA70" w14:textId="210C629F" w:rsidR="00F55494" w:rsidRDefault="00F554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A5EA" w14:textId="3C57B864" w:rsidR="002F7662" w:rsidRDefault="002F7662" w:rsidP="00AC4F26">
    <w:pPr>
      <w:pStyle w:val="Header-pool"/>
    </w:pPr>
    <w:r>
      <w:fldChar w:fldCharType="begin"/>
    </w:r>
    <w:r>
      <w:instrText xml:space="preserve"> StyleRef A_Symbol </w:instrText>
    </w:r>
    <w:r>
      <w:fldChar w:fldCharType="separate"/>
    </w:r>
    <w:r w:rsidR="0043436C">
      <w:rPr>
        <w:noProof/>
      </w:rPr>
      <w:t>IPBES/10/12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5BEA" w14:textId="75450ADE" w:rsidR="00F55494" w:rsidRDefault="004316D0" w:rsidP="004316D0">
    <w:pPr>
      <w:pStyle w:val="Header-pool"/>
    </w:pPr>
    <w:r>
      <w:t>IPBES/10/1</w:t>
    </w:r>
    <w:r w:rsidR="0084360C">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94B6" w14:textId="74BECE59" w:rsidR="00F55494" w:rsidRDefault="004316D0" w:rsidP="00EB6ACF">
    <w:pPr>
      <w:pStyle w:val="Header-pool"/>
      <w:jc w:val="right"/>
    </w:pPr>
    <w:r>
      <w:t>IPBES/10/1</w:t>
    </w:r>
    <w:r w:rsidR="0084360C">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8077" w14:textId="7F3E9539" w:rsidR="00AC4F26" w:rsidRDefault="00AC4F26" w:rsidP="00AC4F26">
    <w:pPr>
      <w:pStyle w:val="Header-pool"/>
      <w:jc w:val="right"/>
    </w:pPr>
    <w:r>
      <w:fldChar w:fldCharType="begin"/>
    </w:r>
    <w:r>
      <w:instrText xml:space="preserve"> StyleRef A_Symbol </w:instrText>
    </w:r>
    <w:r>
      <w:fldChar w:fldCharType="separate"/>
    </w:r>
    <w:r w:rsidR="0043436C">
      <w:rPr>
        <w:noProof/>
      </w:rPr>
      <w:t>IPBES/10/12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5D5" w14:textId="56FF1528" w:rsidR="00F55494" w:rsidRDefault="006445CC" w:rsidP="00CB20B5">
    <w:pPr>
      <w:pStyle w:val="Header-pool"/>
    </w:pPr>
    <w:r>
      <w:t>IPBES/10/1</w:t>
    </w:r>
    <w:r w:rsidR="00F878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0AC2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47D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107D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12CA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4427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4E0E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CD3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6E98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A69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E8BB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B1F6E"/>
    <w:multiLevelType w:val="hybridMultilevel"/>
    <w:tmpl w:val="053E582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02581833"/>
    <w:multiLevelType w:val="hybridMultilevel"/>
    <w:tmpl w:val="0A7A425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2" w15:restartNumberingAfterBreak="0">
    <w:nsid w:val="029114E9"/>
    <w:multiLevelType w:val="multilevel"/>
    <w:tmpl w:val="D8E8DE06"/>
    <w:lvl w:ilvl="0">
      <w:start w:val="1"/>
      <w:numFmt w:val="decimal"/>
      <w:lvlText w:val="%1."/>
      <w:lvlJc w:val="left"/>
      <w:pPr>
        <w:ind w:left="3215" w:hanging="360"/>
      </w:pPr>
    </w:lvl>
    <w:lvl w:ilvl="1">
      <w:start w:val="1"/>
      <w:numFmt w:val="lowerLetter"/>
      <w:lvlText w:val="%2."/>
      <w:lvlJc w:val="left"/>
      <w:pPr>
        <w:ind w:left="3935" w:hanging="360"/>
      </w:pPr>
    </w:lvl>
    <w:lvl w:ilvl="2">
      <w:start w:val="1"/>
      <w:numFmt w:val="lowerRoman"/>
      <w:lvlText w:val="%3."/>
      <w:lvlJc w:val="right"/>
      <w:pPr>
        <w:ind w:left="4655" w:hanging="180"/>
      </w:pPr>
    </w:lvl>
    <w:lvl w:ilvl="3">
      <w:start w:val="1"/>
      <w:numFmt w:val="decimal"/>
      <w:lvlText w:val="%4."/>
      <w:lvlJc w:val="left"/>
      <w:pPr>
        <w:ind w:left="5375" w:hanging="360"/>
      </w:pPr>
    </w:lvl>
    <w:lvl w:ilvl="4">
      <w:start w:val="1"/>
      <w:numFmt w:val="lowerLetter"/>
      <w:lvlText w:val="%5."/>
      <w:lvlJc w:val="left"/>
      <w:pPr>
        <w:ind w:left="6095" w:hanging="360"/>
      </w:pPr>
    </w:lvl>
    <w:lvl w:ilvl="5">
      <w:start w:val="1"/>
      <w:numFmt w:val="lowerRoman"/>
      <w:lvlText w:val="%6."/>
      <w:lvlJc w:val="right"/>
      <w:pPr>
        <w:ind w:left="6815" w:hanging="180"/>
      </w:pPr>
    </w:lvl>
    <w:lvl w:ilvl="6">
      <w:start w:val="1"/>
      <w:numFmt w:val="decimal"/>
      <w:lvlText w:val="%7."/>
      <w:lvlJc w:val="left"/>
      <w:pPr>
        <w:ind w:left="7535" w:hanging="360"/>
      </w:pPr>
    </w:lvl>
    <w:lvl w:ilvl="7">
      <w:start w:val="1"/>
      <w:numFmt w:val="lowerLetter"/>
      <w:lvlText w:val="(%8)"/>
      <w:lvlJc w:val="left"/>
      <w:pPr>
        <w:ind w:left="8255" w:hanging="360"/>
      </w:pPr>
    </w:lvl>
    <w:lvl w:ilvl="8">
      <w:start w:val="1"/>
      <w:numFmt w:val="lowerRoman"/>
      <w:lvlText w:val="%9."/>
      <w:lvlJc w:val="right"/>
      <w:pPr>
        <w:ind w:left="8975" w:hanging="180"/>
      </w:pPr>
    </w:lvl>
  </w:abstractNum>
  <w:abstractNum w:abstractNumId="13" w15:restartNumberingAfterBreak="0">
    <w:nsid w:val="07E879F7"/>
    <w:multiLevelType w:val="hybridMultilevel"/>
    <w:tmpl w:val="7FE2788A"/>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4" w15:restartNumberingAfterBreak="0">
    <w:nsid w:val="14AF3ACF"/>
    <w:multiLevelType w:val="hybridMultilevel"/>
    <w:tmpl w:val="C27CBEC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5" w15:restartNumberingAfterBreak="0">
    <w:nsid w:val="1A3057E7"/>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7" w15:restartNumberingAfterBreak="0">
    <w:nsid w:val="38C47E1A"/>
    <w:multiLevelType w:val="multilevel"/>
    <w:tmpl w:val="279252A2"/>
    <w:numStyleLink w:val="Normallist"/>
  </w:abstractNum>
  <w:abstractNum w:abstractNumId="18" w15:restartNumberingAfterBreak="0">
    <w:nsid w:val="3E200A94"/>
    <w:multiLevelType w:val="hybridMultilevel"/>
    <w:tmpl w:val="7422D1D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044863"/>
    <w:multiLevelType w:val="hybridMultilevel"/>
    <w:tmpl w:val="CC06A260"/>
    <w:lvl w:ilvl="0" w:tplc="ED9619C8">
      <w:start w:val="1"/>
      <w:numFmt w:val="decimal"/>
      <w:lvlText w:val="%1."/>
      <w:lvlJc w:val="left"/>
      <w:pPr>
        <w:ind w:left="720" w:hanging="360"/>
      </w:pPr>
    </w:lvl>
    <w:lvl w:ilvl="1" w:tplc="DAC201BC">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F74EF8"/>
    <w:multiLevelType w:val="hybridMultilevel"/>
    <w:tmpl w:val="CBB8F9E0"/>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21" w15:restartNumberingAfterBreak="0">
    <w:nsid w:val="4FE4262C"/>
    <w:multiLevelType w:val="hybridMultilevel"/>
    <w:tmpl w:val="9388529A"/>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22"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3" w15:restartNumberingAfterBreak="0">
    <w:nsid w:val="540877FC"/>
    <w:multiLevelType w:val="hybridMultilevel"/>
    <w:tmpl w:val="9BE4E51C"/>
    <w:lvl w:ilvl="0" w:tplc="0B82E3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63D34D1"/>
    <w:multiLevelType w:val="hybridMultilevel"/>
    <w:tmpl w:val="35C6393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25" w15:restartNumberingAfterBreak="0">
    <w:nsid w:val="5C1D0565"/>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EC32B01"/>
    <w:multiLevelType w:val="hybridMultilevel"/>
    <w:tmpl w:val="03680FD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27"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28" w15:restartNumberingAfterBreak="0">
    <w:nsid w:val="6CE42423"/>
    <w:multiLevelType w:val="hybridMultilevel"/>
    <w:tmpl w:val="9C1699D4"/>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CE2C29AE">
      <w:start w:val="1"/>
      <w:numFmt w:val="decimal"/>
      <w:lvlText w:val="%7."/>
      <w:lvlJc w:val="left"/>
      <w:pPr>
        <w:ind w:left="7535" w:hanging="360"/>
      </w:pPr>
      <w:rPr>
        <w:i w:val="0"/>
        <w:iCs/>
        <w:strike w:val="0"/>
      </w:r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29"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16cid:durableId="560672902">
    <w:abstractNumId w:val="22"/>
  </w:num>
  <w:num w:numId="2" w16cid:durableId="1072390599">
    <w:abstractNumId w:val="29"/>
  </w:num>
  <w:num w:numId="3" w16cid:durableId="728265868">
    <w:abstractNumId w:val="9"/>
  </w:num>
  <w:num w:numId="4" w16cid:durableId="995306638">
    <w:abstractNumId w:val="7"/>
  </w:num>
  <w:num w:numId="5" w16cid:durableId="1086223934">
    <w:abstractNumId w:val="6"/>
  </w:num>
  <w:num w:numId="6" w16cid:durableId="911502882">
    <w:abstractNumId w:val="5"/>
  </w:num>
  <w:num w:numId="7" w16cid:durableId="1470978857">
    <w:abstractNumId w:val="4"/>
  </w:num>
  <w:num w:numId="8" w16cid:durableId="552039967">
    <w:abstractNumId w:val="8"/>
  </w:num>
  <w:num w:numId="9" w16cid:durableId="1073163711">
    <w:abstractNumId w:val="3"/>
  </w:num>
  <w:num w:numId="10" w16cid:durableId="821121584">
    <w:abstractNumId w:val="2"/>
  </w:num>
  <w:num w:numId="11" w16cid:durableId="789589986">
    <w:abstractNumId w:val="1"/>
  </w:num>
  <w:num w:numId="12" w16cid:durableId="1519419302">
    <w:abstractNumId w:val="0"/>
  </w:num>
  <w:num w:numId="13" w16cid:durableId="1382943744">
    <w:abstractNumId w:val="17"/>
  </w:num>
  <w:num w:numId="14" w16cid:durableId="696125376">
    <w:abstractNumId w:val="22"/>
    <w:lvlOverride w:ilvl="0">
      <w:lvl w:ilvl="0">
        <w:start w:val="1"/>
        <w:numFmt w:val="decimal"/>
        <w:pStyle w:val="Normalnumber"/>
        <w:lvlText w:val="%1."/>
        <w:lvlJc w:val="left"/>
        <w:pPr>
          <w:tabs>
            <w:tab w:val="num" w:pos="1390"/>
          </w:tabs>
          <w:ind w:left="2070" w:firstLine="0"/>
        </w:pPr>
        <w:rPr>
          <w:rFonts w:hint="default"/>
        </w:rPr>
      </w:lvl>
    </w:lvlOverride>
    <w:lvlOverride w:ilvl="1">
      <w:lvl w:ilvl="1">
        <w:start w:val="1"/>
        <w:numFmt w:val="lowerLetter"/>
        <w:lvlText w:val="(%2)"/>
        <w:lvlJc w:val="left"/>
        <w:pPr>
          <w:tabs>
            <w:tab w:val="num" w:pos="1390"/>
          </w:tabs>
          <w:ind w:left="2070" w:firstLine="567"/>
        </w:pPr>
        <w:rPr>
          <w:rFonts w:hint="default"/>
        </w:rPr>
      </w:lvl>
    </w:lvlOverride>
    <w:lvlOverride w:ilvl="2">
      <w:lvl w:ilvl="2">
        <w:start w:val="1"/>
        <w:numFmt w:val="lowerRoman"/>
        <w:lvlText w:val="(%3)"/>
        <w:lvlJc w:val="left"/>
        <w:pPr>
          <w:tabs>
            <w:tab w:val="num" w:pos="1390"/>
          </w:tabs>
          <w:ind w:left="3771" w:hanging="567"/>
        </w:pPr>
        <w:rPr>
          <w:rFonts w:hint="default"/>
        </w:rPr>
      </w:lvl>
    </w:lvlOverride>
    <w:lvlOverride w:ilvl="3">
      <w:lvl w:ilvl="3">
        <w:start w:val="1"/>
        <w:numFmt w:val="lowerLetter"/>
        <w:lvlText w:val="%4."/>
        <w:lvlJc w:val="left"/>
        <w:pPr>
          <w:tabs>
            <w:tab w:val="num" w:pos="1390"/>
          </w:tabs>
          <w:ind w:left="4338" w:hanging="567"/>
        </w:pPr>
        <w:rPr>
          <w:rFonts w:hint="default"/>
        </w:rPr>
      </w:lvl>
    </w:lvlOverride>
    <w:lvlOverride w:ilvl="4">
      <w:lvl w:ilvl="4">
        <w:start w:val="1"/>
        <w:numFmt w:val="lowerRoman"/>
        <w:lvlText w:val="%5."/>
        <w:lvlJc w:val="left"/>
        <w:pPr>
          <w:tabs>
            <w:tab w:val="num" w:pos="1390"/>
          </w:tabs>
          <w:ind w:left="4905" w:hanging="567"/>
        </w:pPr>
        <w:rPr>
          <w:rFonts w:hint="default"/>
        </w:rPr>
      </w:lvl>
    </w:lvlOverride>
    <w:lvlOverride w:ilvl="5">
      <w:lvl w:ilvl="5">
        <w:start w:val="1"/>
        <w:numFmt w:val="lowerRoman"/>
        <w:lvlText w:val="%6."/>
        <w:lvlJc w:val="right"/>
        <w:pPr>
          <w:tabs>
            <w:tab w:val="num" w:pos="8658"/>
          </w:tabs>
          <w:ind w:left="8658" w:hanging="180"/>
        </w:pPr>
        <w:rPr>
          <w:rFonts w:hint="default"/>
        </w:rPr>
      </w:lvl>
    </w:lvlOverride>
    <w:lvlOverride w:ilvl="6">
      <w:lvl w:ilvl="6">
        <w:start w:val="1"/>
        <w:numFmt w:val="decimal"/>
        <w:lvlText w:val="%7."/>
        <w:lvlJc w:val="left"/>
        <w:pPr>
          <w:tabs>
            <w:tab w:val="num" w:pos="9378"/>
          </w:tabs>
          <w:ind w:left="9378" w:hanging="360"/>
        </w:pPr>
        <w:rPr>
          <w:rFonts w:hint="default"/>
        </w:rPr>
      </w:lvl>
    </w:lvlOverride>
    <w:lvlOverride w:ilvl="7">
      <w:lvl w:ilvl="7">
        <w:start w:val="1"/>
        <w:numFmt w:val="lowerLetter"/>
        <w:lvlText w:val="%8."/>
        <w:lvlJc w:val="left"/>
        <w:pPr>
          <w:tabs>
            <w:tab w:val="num" w:pos="10098"/>
          </w:tabs>
          <w:ind w:left="10098" w:hanging="360"/>
        </w:pPr>
        <w:rPr>
          <w:rFonts w:hint="default"/>
        </w:rPr>
      </w:lvl>
    </w:lvlOverride>
    <w:lvlOverride w:ilvl="8">
      <w:lvl w:ilvl="8">
        <w:start w:val="1"/>
        <w:numFmt w:val="lowerRoman"/>
        <w:lvlText w:val="%9."/>
        <w:lvlJc w:val="right"/>
        <w:pPr>
          <w:tabs>
            <w:tab w:val="num" w:pos="10818"/>
          </w:tabs>
          <w:ind w:left="10818" w:hanging="180"/>
        </w:pPr>
        <w:rPr>
          <w:rFonts w:hint="default"/>
        </w:rPr>
      </w:lvl>
    </w:lvlOverride>
  </w:num>
  <w:num w:numId="15" w16cid:durableId="1722049676">
    <w:abstractNumId w:val="22"/>
  </w:num>
  <w:num w:numId="16" w16cid:durableId="2071608298">
    <w:abstractNumId w:val="22"/>
  </w:num>
  <w:num w:numId="17" w16cid:durableId="216942229">
    <w:abstractNumId w:val="22"/>
  </w:num>
  <w:num w:numId="18" w16cid:durableId="1499922980">
    <w:abstractNumId w:val="22"/>
  </w:num>
  <w:num w:numId="19" w16cid:durableId="1141193751">
    <w:abstractNumId w:val="22"/>
  </w:num>
  <w:num w:numId="20" w16cid:durableId="1334258174">
    <w:abstractNumId w:val="22"/>
  </w:num>
  <w:num w:numId="21" w16cid:durableId="492985870">
    <w:abstractNumId w:val="22"/>
  </w:num>
  <w:num w:numId="22" w16cid:durableId="1539273920">
    <w:abstractNumId w:val="22"/>
  </w:num>
  <w:num w:numId="23" w16cid:durableId="1275290777">
    <w:abstractNumId w:val="22"/>
  </w:num>
  <w:num w:numId="24" w16cid:durableId="14791076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558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55277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00035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6485695">
    <w:abstractNumId w:val="22"/>
  </w:num>
  <w:num w:numId="29" w16cid:durableId="854615389">
    <w:abstractNumId w:val="22"/>
  </w:num>
  <w:num w:numId="30" w16cid:durableId="1338388755">
    <w:abstractNumId w:val="22"/>
  </w:num>
  <w:num w:numId="31" w16cid:durableId="1609000164">
    <w:abstractNumId w:val="22"/>
  </w:num>
  <w:num w:numId="32" w16cid:durableId="62726893">
    <w:abstractNumId w:val="22"/>
  </w:num>
  <w:num w:numId="33" w16cid:durableId="166291178">
    <w:abstractNumId w:val="22"/>
  </w:num>
  <w:num w:numId="34" w16cid:durableId="1835875449">
    <w:abstractNumId w:val="22"/>
  </w:num>
  <w:num w:numId="35" w16cid:durableId="428896668">
    <w:abstractNumId w:val="22"/>
  </w:num>
  <w:num w:numId="36" w16cid:durableId="1131904144">
    <w:abstractNumId w:val="22"/>
  </w:num>
  <w:num w:numId="37" w16cid:durableId="1739935643">
    <w:abstractNumId w:val="22"/>
  </w:num>
  <w:num w:numId="38" w16cid:durableId="64766440">
    <w:abstractNumId w:val="22"/>
  </w:num>
  <w:num w:numId="39" w16cid:durableId="1839534294">
    <w:abstractNumId w:val="22"/>
  </w:num>
  <w:num w:numId="40" w16cid:durableId="1582251366">
    <w:abstractNumId w:val="22"/>
  </w:num>
  <w:num w:numId="41" w16cid:durableId="1072847328">
    <w:abstractNumId w:val="22"/>
  </w:num>
  <w:num w:numId="42" w16cid:durableId="1443301894">
    <w:abstractNumId w:val="22"/>
  </w:num>
  <w:num w:numId="43" w16cid:durableId="899902477">
    <w:abstractNumId w:val="22"/>
  </w:num>
  <w:num w:numId="44" w16cid:durableId="1289701660">
    <w:abstractNumId w:val="22"/>
  </w:num>
  <w:num w:numId="45" w16cid:durableId="18129880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93342633">
    <w:abstractNumId w:val="22"/>
  </w:num>
  <w:num w:numId="47" w16cid:durableId="1315178495">
    <w:abstractNumId w:val="22"/>
  </w:num>
  <w:num w:numId="48" w16cid:durableId="691953164">
    <w:abstractNumId w:val="28"/>
  </w:num>
  <w:num w:numId="49" w16cid:durableId="819463086">
    <w:abstractNumId w:val="12"/>
  </w:num>
  <w:num w:numId="50" w16cid:durableId="1359745401">
    <w:abstractNumId w:val="30"/>
  </w:num>
  <w:num w:numId="51" w16cid:durableId="552891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84634598">
    <w:abstractNumId w:val="16"/>
  </w:num>
  <w:num w:numId="53" w16cid:durableId="1723016508">
    <w:abstractNumId w:val="18"/>
  </w:num>
  <w:num w:numId="54" w16cid:durableId="699863460">
    <w:abstractNumId w:val="23"/>
  </w:num>
  <w:num w:numId="55" w16cid:durableId="1713260297">
    <w:abstractNumId w:val="27"/>
  </w:num>
  <w:num w:numId="56" w16cid:durableId="1491409064">
    <w:abstractNumId w:val="15"/>
  </w:num>
  <w:num w:numId="57" w16cid:durableId="428241484">
    <w:abstractNumId w:val="25"/>
  </w:num>
  <w:num w:numId="58" w16cid:durableId="19986071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49161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04670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9209485">
    <w:abstractNumId w:val="22"/>
  </w:num>
  <w:num w:numId="62" w16cid:durableId="126240084">
    <w:abstractNumId w:val="22"/>
  </w:num>
  <w:num w:numId="63" w16cid:durableId="753477114">
    <w:abstractNumId w:val="22"/>
  </w:num>
  <w:num w:numId="64" w16cid:durableId="1253663915">
    <w:abstractNumId w:val="22"/>
  </w:num>
  <w:num w:numId="65" w16cid:durableId="1393623770">
    <w:abstractNumId w:val="22"/>
  </w:num>
  <w:num w:numId="66" w16cid:durableId="1500927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328919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69991927">
    <w:abstractNumId w:val="22"/>
  </w:num>
  <w:num w:numId="69" w16cid:durableId="590092198">
    <w:abstractNumId w:val="22"/>
  </w:num>
  <w:num w:numId="70" w16cid:durableId="387071733">
    <w:abstractNumId w:val="22"/>
  </w:num>
  <w:num w:numId="71" w16cid:durableId="754008801">
    <w:abstractNumId w:val="22"/>
  </w:num>
  <w:num w:numId="72" w16cid:durableId="2146510747">
    <w:abstractNumId w:val="22"/>
  </w:num>
  <w:num w:numId="73" w16cid:durableId="1428383332">
    <w:abstractNumId w:val="22"/>
  </w:num>
  <w:num w:numId="74" w16cid:durableId="1085229339">
    <w:abstractNumId w:val="22"/>
  </w:num>
  <w:num w:numId="75" w16cid:durableId="2060665390">
    <w:abstractNumId w:val="22"/>
  </w:num>
  <w:num w:numId="76" w16cid:durableId="1995336578">
    <w:abstractNumId w:val="22"/>
  </w:num>
  <w:num w:numId="77" w16cid:durableId="1364332578">
    <w:abstractNumId w:val="22"/>
  </w:num>
  <w:num w:numId="78" w16cid:durableId="1175653408">
    <w:abstractNumId w:val="22"/>
  </w:num>
  <w:num w:numId="79" w16cid:durableId="1063066297">
    <w:abstractNumId w:val="22"/>
  </w:num>
  <w:num w:numId="80" w16cid:durableId="2016300662">
    <w:abstractNumId w:val="22"/>
  </w:num>
  <w:num w:numId="81" w16cid:durableId="2085100909">
    <w:abstractNumId w:val="22"/>
  </w:num>
  <w:num w:numId="82" w16cid:durableId="1424646746">
    <w:abstractNumId w:val="22"/>
  </w:num>
  <w:num w:numId="83" w16cid:durableId="266470467">
    <w:abstractNumId w:val="22"/>
  </w:num>
  <w:num w:numId="84" w16cid:durableId="1755079726">
    <w:abstractNumId w:val="22"/>
  </w:num>
  <w:num w:numId="85" w16cid:durableId="375980598">
    <w:abstractNumId w:val="22"/>
  </w:num>
  <w:num w:numId="86" w16cid:durableId="616446773">
    <w:abstractNumId w:val="22"/>
  </w:num>
  <w:num w:numId="87" w16cid:durableId="2108034338">
    <w:abstractNumId w:val="22"/>
  </w:num>
  <w:num w:numId="88" w16cid:durableId="793597138">
    <w:abstractNumId w:val="22"/>
  </w:num>
  <w:num w:numId="89" w16cid:durableId="1473215142">
    <w:abstractNumId w:val="22"/>
  </w:num>
  <w:num w:numId="90" w16cid:durableId="1641113952">
    <w:abstractNumId w:val="22"/>
  </w:num>
  <w:num w:numId="91" w16cid:durableId="540165792">
    <w:abstractNumId w:val="22"/>
  </w:num>
  <w:num w:numId="92" w16cid:durableId="295375466">
    <w:abstractNumId w:val="22"/>
  </w:num>
  <w:num w:numId="93" w16cid:durableId="179317601">
    <w:abstractNumId w:val="22"/>
  </w:num>
  <w:num w:numId="94" w16cid:durableId="1630086236">
    <w:abstractNumId w:val="22"/>
  </w:num>
  <w:num w:numId="95" w16cid:durableId="20713009">
    <w:abstractNumId w:val="22"/>
  </w:num>
  <w:num w:numId="96" w16cid:durableId="1293436304">
    <w:abstractNumId w:val="22"/>
  </w:num>
  <w:num w:numId="97" w16cid:durableId="115565403">
    <w:abstractNumId w:val="22"/>
  </w:num>
  <w:num w:numId="98" w16cid:durableId="855390389">
    <w:abstractNumId w:val="22"/>
  </w:num>
  <w:num w:numId="99" w16cid:durableId="1740976837">
    <w:abstractNumId w:val="22"/>
  </w:num>
  <w:num w:numId="100" w16cid:durableId="1531647563">
    <w:abstractNumId w:val="22"/>
  </w:num>
  <w:num w:numId="101" w16cid:durableId="1494684369">
    <w:abstractNumId w:val="22"/>
  </w:num>
  <w:num w:numId="102" w16cid:durableId="1521622660">
    <w:abstractNumId w:val="22"/>
  </w:num>
  <w:num w:numId="103" w16cid:durableId="1669626930">
    <w:abstractNumId w:val="22"/>
  </w:num>
  <w:num w:numId="104" w16cid:durableId="327827195">
    <w:abstractNumId w:val="22"/>
  </w:num>
  <w:num w:numId="105" w16cid:durableId="1962807779">
    <w:abstractNumId w:val="22"/>
  </w:num>
  <w:num w:numId="106" w16cid:durableId="419527647">
    <w:abstractNumId w:val="22"/>
  </w:num>
  <w:num w:numId="107" w16cid:durableId="378406755">
    <w:abstractNumId w:val="22"/>
  </w:num>
  <w:num w:numId="108" w16cid:durableId="746659111">
    <w:abstractNumId w:val="22"/>
  </w:num>
  <w:num w:numId="109" w16cid:durableId="1167936715">
    <w:abstractNumId w:val="22"/>
  </w:num>
  <w:num w:numId="110" w16cid:durableId="1084036778">
    <w:abstractNumId w:val="22"/>
  </w:num>
  <w:num w:numId="111" w16cid:durableId="1498426507">
    <w:abstractNumId w:val="22"/>
  </w:num>
  <w:num w:numId="112" w16cid:durableId="1890336227">
    <w:abstractNumId w:val="22"/>
  </w:num>
  <w:num w:numId="113" w16cid:durableId="2114930383">
    <w:abstractNumId w:val="22"/>
  </w:num>
  <w:num w:numId="114" w16cid:durableId="538010541">
    <w:abstractNumId w:val="22"/>
  </w:num>
  <w:num w:numId="115" w16cid:durableId="1575626304">
    <w:abstractNumId w:val="22"/>
  </w:num>
  <w:num w:numId="116" w16cid:durableId="761419230">
    <w:abstractNumId w:val="22"/>
  </w:num>
  <w:num w:numId="117" w16cid:durableId="1251282032">
    <w:abstractNumId w:val="22"/>
  </w:num>
  <w:num w:numId="118" w16cid:durableId="1720205155">
    <w:abstractNumId w:val="22"/>
  </w:num>
  <w:num w:numId="119" w16cid:durableId="427779201">
    <w:abstractNumId w:val="22"/>
  </w:num>
  <w:num w:numId="120" w16cid:durableId="879168507">
    <w:abstractNumId w:val="22"/>
  </w:num>
  <w:num w:numId="121" w16cid:durableId="1896161567">
    <w:abstractNumId w:val="22"/>
  </w:num>
  <w:num w:numId="122" w16cid:durableId="351758902">
    <w:abstractNumId w:val="22"/>
  </w:num>
  <w:num w:numId="123" w16cid:durableId="1274440504">
    <w:abstractNumId w:val="22"/>
  </w:num>
  <w:num w:numId="124" w16cid:durableId="540633808">
    <w:abstractNumId w:val="22"/>
  </w:num>
  <w:num w:numId="125" w16cid:durableId="822745196">
    <w:abstractNumId w:val="22"/>
  </w:num>
  <w:num w:numId="126" w16cid:durableId="930897870">
    <w:abstractNumId w:val="22"/>
  </w:num>
  <w:num w:numId="127" w16cid:durableId="1756440732">
    <w:abstractNumId w:val="22"/>
  </w:num>
  <w:num w:numId="128" w16cid:durableId="1243953497">
    <w:abstractNumId w:val="22"/>
  </w:num>
  <w:num w:numId="129" w16cid:durableId="1740833388">
    <w:abstractNumId w:val="22"/>
  </w:num>
  <w:num w:numId="130" w16cid:durableId="510143233">
    <w:abstractNumId w:val="22"/>
  </w:num>
  <w:num w:numId="131" w16cid:durableId="1344628692">
    <w:abstractNumId w:val="22"/>
  </w:num>
  <w:num w:numId="132" w16cid:durableId="1003360407">
    <w:abstractNumId w:val="22"/>
  </w:num>
  <w:num w:numId="133" w16cid:durableId="1231845005">
    <w:abstractNumId w:val="22"/>
  </w:num>
  <w:num w:numId="134" w16cid:durableId="1798404914">
    <w:abstractNumId w:val="22"/>
  </w:num>
  <w:num w:numId="135" w16cid:durableId="224533668">
    <w:abstractNumId w:val="22"/>
  </w:num>
  <w:num w:numId="136" w16cid:durableId="602154317">
    <w:abstractNumId w:val="22"/>
  </w:num>
  <w:num w:numId="137" w16cid:durableId="425810893">
    <w:abstractNumId w:val="22"/>
  </w:num>
  <w:num w:numId="138" w16cid:durableId="775564977">
    <w:abstractNumId w:val="22"/>
  </w:num>
  <w:num w:numId="139" w16cid:durableId="1850868695">
    <w:abstractNumId w:val="22"/>
  </w:num>
  <w:num w:numId="140" w16cid:durableId="1118722246">
    <w:abstractNumId w:val="22"/>
  </w:num>
  <w:num w:numId="141" w16cid:durableId="937643406">
    <w:abstractNumId w:val="22"/>
  </w:num>
  <w:num w:numId="142" w16cid:durableId="1885868970">
    <w:abstractNumId w:val="22"/>
  </w:num>
  <w:num w:numId="143" w16cid:durableId="1222909764">
    <w:abstractNumId w:val="22"/>
  </w:num>
  <w:num w:numId="144" w16cid:durableId="2136410687">
    <w:abstractNumId w:val="22"/>
  </w:num>
  <w:num w:numId="145" w16cid:durableId="337540664">
    <w:abstractNumId w:val="22"/>
  </w:num>
  <w:num w:numId="146" w16cid:durableId="1766808364">
    <w:abstractNumId w:val="22"/>
  </w:num>
  <w:num w:numId="147" w16cid:durableId="875238742">
    <w:abstractNumId w:val="22"/>
  </w:num>
  <w:num w:numId="148" w16cid:durableId="124584488">
    <w:abstractNumId w:val="22"/>
  </w:num>
  <w:num w:numId="149" w16cid:durableId="1336762742">
    <w:abstractNumId w:val="22"/>
  </w:num>
  <w:num w:numId="150" w16cid:durableId="2102025299">
    <w:abstractNumId w:val="22"/>
  </w:num>
  <w:num w:numId="151" w16cid:durableId="2085642593">
    <w:abstractNumId w:val="22"/>
  </w:num>
  <w:num w:numId="152" w16cid:durableId="840434966">
    <w:abstractNumId w:val="22"/>
  </w:num>
  <w:num w:numId="153" w16cid:durableId="530725180">
    <w:abstractNumId w:val="22"/>
  </w:num>
  <w:num w:numId="154" w16cid:durableId="620915699">
    <w:abstractNumId w:val="22"/>
  </w:num>
  <w:num w:numId="155" w16cid:durableId="2057193099">
    <w:abstractNumId w:val="22"/>
  </w:num>
  <w:num w:numId="156" w16cid:durableId="1646623402">
    <w:abstractNumId w:val="22"/>
  </w:num>
  <w:num w:numId="157" w16cid:durableId="1740905069">
    <w:abstractNumId w:val="22"/>
  </w:num>
  <w:num w:numId="158" w16cid:durableId="813256460">
    <w:abstractNumId w:val="22"/>
  </w:num>
  <w:num w:numId="159" w16cid:durableId="1566866680">
    <w:abstractNumId w:val="22"/>
  </w:num>
  <w:num w:numId="160" w16cid:durableId="1643999250">
    <w:abstractNumId w:val="22"/>
  </w:num>
  <w:num w:numId="161" w16cid:durableId="814299101">
    <w:abstractNumId w:val="22"/>
  </w:num>
  <w:num w:numId="162" w16cid:durableId="1952933132">
    <w:abstractNumId w:val="22"/>
  </w:num>
  <w:num w:numId="163" w16cid:durableId="141624988">
    <w:abstractNumId w:val="22"/>
  </w:num>
  <w:num w:numId="164" w16cid:durableId="284820722">
    <w:abstractNumId w:val="22"/>
  </w:num>
  <w:num w:numId="165" w16cid:durableId="1426002728">
    <w:abstractNumId w:val="22"/>
  </w:num>
  <w:num w:numId="166" w16cid:durableId="1186360715">
    <w:abstractNumId w:val="22"/>
  </w:num>
  <w:num w:numId="167" w16cid:durableId="1842620138">
    <w:abstractNumId w:val="22"/>
  </w:num>
  <w:num w:numId="168" w16cid:durableId="1717195357">
    <w:abstractNumId w:val="22"/>
  </w:num>
  <w:num w:numId="169" w16cid:durableId="977220385">
    <w:abstractNumId w:val="22"/>
  </w:num>
  <w:num w:numId="170" w16cid:durableId="1909067775">
    <w:abstractNumId w:val="22"/>
  </w:num>
  <w:num w:numId="171" w16cid:durableId="1727952108">
    <w:abstractNumId w:val="22"/>
  </w:num>
  <w:num w:numId="172" w16cid:durableId="2049253969">
    <w:abstractNumId w:val="22"/>
  </w:num>
  <w:num w:numId="173" w16cid:durableId="1312178578">
    <w:abstractNumId w:val="22"/>
  </w:num>
  <w:num w:numId="174" w16cid:durableId="527374582">
    <w:abstractNumId w:val="22"/>
  </w:num>
  <w:num w:numId="175" w16cid:durableId="524559339">
    <w:abstractNumId w:val="22"/>
  </w:num>
  <w:num w:numId="176" w16cid:durableId="230039968">
    <w:abstractNumId w:val="22"/>
  </w:num>
  <w:num w:numId="177" w16cid:durableId="1307392975">
    <w:abstractNumId w:val="22"/>
  </w:num>
  <w:num w:numId="178" w16cid:durableId="376858517">
    <w:abstractNumId w:val="22"/>
  </w:num>
  <w:num w:numId="179" w16cid:durableId="1687290664">
    <w:abstractNumId w:val="22"/>
  </w:num>
  <w:num w:numId="180" w16cid:durableId="1078208292">
    <w:abstractNumId w:val="22"/>
  </w:num>
  <w:num w:numId="181" w16cid:durableId="2060125364">
    <w:abstractNumId w:val="22"/>
  </w:num>
  <w:num w:numId="182" w16cid:durableId="1217200561">
    <w:abstractNumId w:val="22"/>
  </w:num>
  <w:num w:numId="183" w16cid:durableId="1146094370">
    <w:abstractNumId w:val="22"/>
  </w:num>
  <w:num w:numId="184" w16cid:durableId="2144810808">
    <w:abstractNumId w:val="22"/>
  </w:num>
  <w:num w:numId="185" w16cid:durableId="1158958455">
    <w:abstractNumId w:val="22"/>
  </w:num>
  <w:num w:numId="186" w16cid:durableId="1254896344">
    <w:abstractNumId w:val="22"/>
  </w:num>
  <w:num w:numId="187" w16cid:durableId="1242176542">
    <w:abstractNumId w:val="22"/>
  </w:num>
  <w:num w:numId="188" w16cid:durableId="1512909304">
    <w:abstractNumId w:val="22"/>
  </w:num>
  <w:num w:numId="189" w16cid:durableId="916205848">
    <w:abstractNumId w:val="22"/>
  </w:num>
  <w:num w:numId="190" w16cid:durableId="1893341828">
    <w:abstractNumId w:val="22"/>
  </w:num>
  <w:num w:numId="191" w16cid:durableId="1863785663">
    <w:abstractNumId w:val="22"/>
  </w:num>
  <w:num w:numId="192" w16cid:durableId="1499923926">
    <w:abstractNumId w:val="22"/>
  </w:num>
  <w:num w:numId="193" w16cid:durableId="1135951948">
    <w:abstractNumId w:val="22"/>
  </w:num>
  <w:num w:numId="194" w16cid:durableId="1204831000">
    <w:abstractNumId w:val="22"/>
  </w:num>
  <w:num w:numId="195" w16cid:durableId="1142042868">
    <w:abstractNumId w:val="22"/>
  </w:num>
  <w:num w:numId="196" w16cid:durableId="938759771">
    <w:abstractNumId w:val="22"/>
  </w:num>
  <w:num w:numId="197" w16cid:durableId="168182326">
    <w:abstractNumId w:val="22"/>
  </w:num>
  <w:num w:numId="198" w16cid:durableId="943877253">
    <w:abstractNumId w:val="10"/>
  </w:num>
  <w:num w:numId="199" w16cid:durableId="545214744">
    <w:abstractNumId w:val="26"/>
  </w:num>
  <w:num w:numId="200" w16cid:durableId="1077358240">
    <w:abstractNumId w:val="20"/>
  </w:num>
  <w:num w:numId="201" w16cid:durableId="1326781540">
    <w:abstractNumId w:val="11"/>
  </w:num>
  <w:num w:numId="202" w16cid:durableId="399518981">
    <w:abstractNumId w:val="21"/>
  </w:num>
  <w:num w:numId="203" w16cid:durableId="368652766">
    <w:abstractNumId w:val="24"/>
  </w:num>
  <w:num w:numId="204" w16cid:durableId="1559977803">
    <w:abstractNumId w:val="13"/>
  </w:num>
  <w:num w:numId="205" w16cid:durableId="455951061">
    <w:abstractNumId w:val="14"/>
  </w:num>
  <w:num w:numId="206" w16cid:durableId="11554935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438600744">
    <w:abstractNumId w:val="22"/>
  </w:num>
  <w:num w:numId="208" w16cid:durableId="1530801737">
    <w:abstractNumId w:val="22"/>
  </w:num>
  <w:num w:numId="209" w16cid:durableId="11770350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es-ES" w:vendorID="64" w:dllVersion="0" w:nlCheck="1" w:checkStyle="0"/>
  <w:activeWritingStyle w:appName="MSWord" w:lang="nl-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savePreviewPicture/>
  <w:hdrShapeDefaults>
    <o:shapedefaults v:ext="edit" spidmax="2050"/>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C0"/>
    <w:rsid w:val="00003E8C"/>
    <w:rsid w:val="000047D3"/>
    <w:rsid w:val="00004BB0"/>
    <w:rsid w:val="000149E6"/>
    <w:rsid w:val="000208C8"/>
    <w:rsid w:val="000247B0"/>
    <w:rsid w:val="00026997"/>
    <w:rsid w:val="00033E0B"/>
    <w:rsid w:val="00035EDE"/>
    <w:rsid w:val="00046423"/>
    <w:rsid w:val="000509B4"/>
    <w:rsid w:val="00056B2C"/>
    <w:rsid w:val="0005782D"/>
    <w:rsid w:val="0006035B"/>
    <w:rsid w:val="0007166E"/>
    <w:rsid w:val="00071886"/>
    <w:rsid w:val="00073F34"/>
    <w:rsid w:val="000742BC"/>
    <w:rsid w:val="0008041D"/>
    <w:rsid w:val="00082A0C"/>
    <w:rsid w:val="00082DCD"/>
    <w:rsid w:val="00083504"/>
    <w:rsid w:val="0008710B"/>
    <w:rsid w:val="0009640C"/>
    <w:rsid w:val="000A15D0"/>
    <w:rsid w:val="000A1903"/>
    <w:rsid w:val="000B1FF7"/>
    <w:rsid w:val="000B21D5"/>
    <w:rsid w:val="000B22A2"/>
    <w:rsid w:val="000B4E23"/>
    <w:rsid w:val="000C2A52"/>
    <w:rsid w:val="000C375E"/>
    <w:rsid w:val="000C46A9"/>
    <w:rsid w:val="000D33C0"/>
    <w:rsid w:val="000D33D5"/>
    <w:rsid w:val="000D5884"/>
    <w:rsid w:val="000D6941"/>
    <w:rsid w:val="000E0405"/>
    <w:rsid w:val="000F264A"/>
    <w:rsid w:val="000F6CFF"/>
    <w:rsid w:val="000F71FD"/>
    <w:rsid w:val="0010281C"/>
    <w:rsid w:val="00105D1D"/>
    <w:rsid w:val="00115F73"/>
    <w:rsid w:val="001202E3"/>
    <w:rsid w:val="00123699"/>
    <w:rsid w:val="00126162"/>
    <w:rsid w:val="001265DF"/>
    <w:rsid w:val="00127DB9"/>
    <w:rsid w:val="00127FEA"/>
    <w:rsid w:val="0013059D"/>
    <w:rsid w:val="00133121"/>
    <w:rsid w:val="001339EE"/>
    <w:rsid w:val="0014072D"/>
    <w:rsid w:val="0014083A"/>
    <w:rsid w:val="00141A55"/>
    <w:rsid w:val="001446A3"/>
    <w:rsid w:val="00144977"/>
    <w:rsid w:val="00151C2A"/>
    <w:rsid w:val="00155395"/>
    <w:rsid w:val="00156F26"/>
    <w:rsid w:val="00161C2F"/>
    <w:rsid w:val="00162E98"/>
    <w:rsid w:val="00166696"/>
    <w:rsid w:val="00172E6C"/>
    <w:rsid w:val="00173D27"/>
    <w:rsid w:val="00174739"/>
    <w:rsid w:val="0018127C"/>
    <w:rsid w:val="00181EC8"/>
    <w:rsid w:val="00184349"/>
    <w:rsid w:val="00190500"/>
    <w:rsid w:val="00195F33"/>
    <w:rsid w:val="001968BB"/>
    <w:rsid w:val="001A251B"/>
    <w:rsid w:val="001A31D4"/>
    <w:rsid w:val="001A5EE1"/>
    <w:rsid w:val="001A7FF9"/>
    <w:rsid w:val="001B1617"/>
    <w:rsid w:val="001B504B"/>
    <w:rsid w:val="001C113A"/>
    <w:rsid w:val="001C29FC"/>
    <w:rsid w:val="001C4F12"/>
    <w:rsid w:val="001C7C9C"/>
    <w:rsid w:val="001D3874"/>
    <w:rsid w:val="001D5344"/>
    <w:rsid w:val="001D717C"/>
    <w:rsid w:val="001D7E75"/>
    <w:rsid w:val="001E22D1"/>
    <w:rsid w:val="001E56D2"/>
    <w:rsid w:val="001E7D56"/>
    <w:rsid w:val="001F4B74"/>
    <w:rsid w:val="001F75DE"/>
    <w:rsid w:val="001F7892"/>
    <w:rsid w:val="00200D58"/>
    <w:rsid w:val="002013BE"/>
    <w:rsid w:val="00205974"/>
    <w:rsid w:val="002062D9"/>
    <w:rsid w:val="002063A4"/>
    <w:rsid w:val="00206F97"/>
    <w:rsid w:val="00207105"/>
    <w:rsid w:val="0021145B"/>
    <w:rsid w:val="00212CBC"/>
    <w:rsid w:val="00214277"/>
    <w:rsid w:val="00216A91"/>
    <w:rsid w:val="0022762D"/>
    <w:rsid w:val="00234806"/>
    <w:rsid w:val="002378D6"/>
    <w:rsid w:val="00241902"/>
    <w:rsid w:val="00243D36"/>
    <w:rsid w:val="00247707"/>
    <w:rsid w:val="002606A8"/>
    <w:rsid w:val="00264984"/>
    <w:rsid w:val="002722A8"/>
    <w:rsid w:val="00277919"/>
    <w:rsid w:val="00286740"/>
    <w:rsid w:val="00287B42"/>
    <w:rsid w:val="002929D8"/>
    <w:rsid w:val="002935C2"/>
    <w:rsid w:val="002A0A91"/>
    <w:rsid w:val="002A237D"/>
    <w:rsid w:val="002A373F"/>
    <w:rsid w:val="002A4C53"/>
    <w:rsid w:val="002B0672"/>
    <w:rsid w:val="002B1192"/>
    <w:rsid w:val="002B1B4C"/>
    <w:rsid w:val="002B1CDF"/>
    <w:rsid w:val="002B247F"/>
    <w:rsid w:val="002C09E9"/>
    <w:rsid w:val="002C145D"/>
    <w:rsid w:val="002C2C3E"/>
    <w:rsid w:val="002C3750"/>
    <w:rsid w:val="002C533E"/>
    <w:rsid w:val="002D027F"/>
    <w:rsid w:val="002D0DDE"/>
    <w:rsid w:val="002D400A"/>
    <w:rsid w:val="002D5538"/>
    <w:rsid w:val="002D7A85"/>
    <w:rsid w:val="002D7B60"/>
    <w:rsid w:val="002E19D4"/>
    <w:rsid w:val="002E1DF2"/>
    <w:rsid w:val="002F0097"/>
    <w:rsid w:val="002F4761"/>
    <w:rsid w:val="002F5C79"/>
    <w:rsid w:val="002F68D9"/>
    <w:rsid w:val="002F7662"/>
    <w:rsid w:val="003019E2"/>
    <w:rsid w:val="003023FA"/>
    <w:rsid w:val="003036F0"/>
    <w:rsid w:val="00311A92"/>
    <w:rsid w:val="0031413F"/>
    <w:rsid w:val="003148BB"/>
    <w:rsid w:val="00316CC9"/>
    <w:rsid w:val="00317976"/>
    <w:rsid w:val="0032238B"/>
    <w:rsid w:val="00323885"/>
    <w:rsid w:val="00327658"/>
    <w:rsid w:val="00331475"/>
    <w:rsid w:val="00355EA9"/>
    <w:rsid w:val="00356BC1"/>
    <w:rsid w:val="003578DE"/>
    <w:rsid w:val="00365F6B"/>
    <w:rsid w:val="00371340"/>
    <w:rsid w:val="003759E2"/>
    <w:rsid w:val="00384F23"/>
    <w:rsid w:val="00386999"/>
    <w:rsid w:val="00392B16"/>
    <w:rsid w:val="00392B63"/>
    <w:rsid w:val="00394414"/>
    <w:rsid w:val="00396257"/>
    <w:rsid w:val="00397EB8"/>
    <w:rsid w:val="003A07AB"/>
    <w:rsid w:val="003A086E"/>
    <w:rsid w:val="003A21D4"/>
    <w:rsid w:val="003A3302"/>
    <w:rsid w:val="003A37B8"/>
    <w:rsid w:val="003A46FC"/>
    <w:rsid w:val="003A4FD0"/>
    <w:rsid w:val="003A69D1"/>
    <w:rsid w:val="003A7705"/>
    <w:rsid w:val="003B1545"/>
    <w:rsid w:val="003C035E"/>
    <w:rsid w:val="003C1236"/>
    <w:rsid w:val="003C3267"/>
    <w:rsid w:val="003C3BF5"/>
    <w:rsid w:val="003C409D"/>
    <w:rsid w:val="003C5BA6"/>
    <w:rsid w:val="003C65C4"/>
    <w:rsid w:val="003D270B"/>
    <w:rsid w:val="003F0E85"/>
    <w:rsid w:val="00401ADC"/>
    <w:rsid w:val="0040469E"/>
    <w:rsid w:val="00404CB5"/>
    <w:rsid w:val="00405251"/>
    <w:rsid w:val="00410A4D"/>
    <w:rsid w:val="00410C55"/>
    <w:rsid w:val="0041604D"/>
    <w:rsid w:val="00416690"/>
    <w:rsid w:val="00416854"/>
    <w:rsid w:val="00417725"/>
    <w:rsid w:val="0041779A"/>
    <w:rsid w:val="00417DDE"/>
    <w:rsid w:val="00420825"/>
    <w:rsid w:val="004212A9"/>
    <w:rsid w:val="004243EA"/>
    <w:rsid w:val="00430FB3"/>
    <w:rsid w:val="004316D0"/>
    <w:rsid w:val="0043436C"/>
    <w:rsid w:val="00436D5C"/>
    <w:rsid w:val="00437F26"/>
    <w:rsid w:val="00444097"/>
    <w:rsid w:val="00445487"/>
    <w:rsid w:val="00447E37"/>
    <w:rsid w:val="00454769"/>
    <w:rsid w:val="00456D58"/>
    <w:rsid w:val="00456E2E"/>
    <w:rsid w:val="0046445C"/>
    <w:rsid w:val="00466991"/>
    <w:rsid w:val="0047064C"/>
    <w:rsid w:val="0047198B"/>
    <w:rsid w:val="00473341"/>
    <w:rsid w:val="00474D90"/>
    <w:rsid w:val="004779C1"/>
    <w:rsid w:val="00482A26"/>
    <w:rsid w:val="00495BFE"/>
    <w:rsid w:val="004A42E1"/>
    <w:rsid w:val="004B162C"/>
    <w:rsid w:val="004C1335"/>
    <w:rsid w:val="004C155C"/>
    <w:rsid w:val="004C3DBE"/>
    <w:rsid w:val="004C5C96"/>
    <w:rsid w:val="004D06A4"/>
    <w:rsid w:val="004D15D3"/>
    <w:rsid w:val="004E48D5"/>
    <w:rsid w:val="004E51F2"/>
    <w:rsid w:val="004E59D4"/>
    <w:rsid w:val="004E79AC"/>
    <w:rsid w:val="004F1A81"/>
    <w:rsid w:val="004F2070"/>
    <w:rsid w:val="004F2A21"/>
    <w:rsid w:val="00505AE5"/>
    <w:rsid w:val="00506D31"/>
    <w:rsid w:val="005218D9"/>
    <w:rsid w:val="00525DE8"/>
    <w:rsid w:val="005265B4"/>
    <w:rsid w:val="00532E47"/>
    <w:rsid w:val="00536186"/>
    <w:rsid w:val="00536F17"/>
    <w:rsid w:val="00544CBB"/>
    <w:rsid w:val="00547D6F"/>
    <w:rsid w:val="00550518"/>
    <w:rsid w:val="00552CD6"/>
    <w:rsid w:val="005554A2"/>
    <w:rsid w:val="00564376"/>
    <w:rsid w:val="0057315F"/>
    <w:rsid w:val="0057432A"/>
    <w:rsid w:val="00576104"/>
    <w:rsid w:val="005839F5"/>
    <w:rsid w:val="005855DC"/>
    <w:rsid w:val="005861DF"/>
    <w:rsid w:val="0058695A"/>
    <w:rsid w:val="00593671"/>
    <w:rsid w:val="00594BA0"/>
    <w:rsid w:val="00596CA0"/>
    <w:rsid w:val="005A1FB2"/>
    <w:rsid w:val="005A4922"/>
    <w:rsid w:val="005A51EE"/>
    <w:rsid w:val="005A7C7D"/>
    <w:rsid w:val="005B23A7"/>
    <w:rsid w:val="005B67CA"/>
    <w:rsid w:val="005B696F"/>
    <w:rsid w:val="005B6E76"/>
    <w:rsid w:val="005C1273"/>
    <w:rsid w:val="005C67C8"/>
    <w:rsid w:val="005D0249"/>
    <w:rsid w:val="005D2598"/>
    <w:rsid w:val="005D6E8C"/>
    <w:rsid w:val="005F100C"/>
    <w:rsid w:val="005F3A21"/>
    <w:rsid w:val="005F68DA"/>
    <w:rsid w:val="005F75E6"/>
    <w:rsid w:val="005F7821"/>
    <w:rsid w:val="006014DD"/>
    <w:rsid w:val="00604E02"/>
    <w:rsid w:val="00605997"/>
    <w:rsid w:val="0060773B"/>
    <w:rsid w:val="006132B0"/>
    <w:rsid w:val="006157B5"/>
    <w:rsid w:val="00626FC6"/>
    <w:rsid w:val="006303B4"/>
    <w:rsid w:val="00633CEB"/>
    <w:rsid w:val="00633D3D"/>
    <w:rsid w:val="00641703"/>
    <w:rsid w:val="006431A6"/>
    <w:rsid w:val="0064411D"/>
    <w:rsid w:val="006445CC"/>
    <w:rsid w:val="006459F6"/>
    <w:rsid w:val="006501AD"/>
    <w:rsid w:val="00651BFA"/>
    <w:rsid w:val="00655C18"/>
    <w:rsid w:val="00663A80"/>
    <w:rsid w:val="00665A4B"/>
    <w:rsid w:val="006729D6"/>
    <w:rsid w:val="00692E2A"/>
    <w:rsid w:val="00692EA8"/>
    <w:rsid w:val="00696F24"/>
    <w:rsid w:val="006A4A78"/>
    <w:rsid w:val="006A76F2"/>
    <w:rsid w:val="006B1939"/>
    <w:rsid w:val="006B46D3"/>
    <w:rsid w:val="006B7D92"/>
    <w:rsid w:val="006C3DDA"/>
    <w:rsid w:val="006D3277"/>
    <w:rsid w:val="006D7EFB"/>
    <w:rsid w:val="006E0261"/>
    <w:rsid w:val="006E26A0"/>
    <w:rsid w:val="006E26B4"/>
    <w:rsid w:val="006E6672"/>
    <w:rsid w:val="006E6722"/>
    <w:rsid w:val="006F10F1"/>
    <w:rsid w:val="00700E67"/>
    <w:rsid w:val="007027B9"/>
    <w:rsid w:val="00703625"/>
    <w:rsid w:val="007117E5"/>
    <w:rsid w:val="00712056"/>
    <w:rsid w:val="00713D8F"/>
    <w:rsid w:val="00715E88"/>
    <w:rsid w:val="0073366C"/>
    <w:rsid w:val="00734CAA"/>
    <w:rsid w:val="00751E01"/>
    <w:rsid w:val="00755106"/>
    <w:rsid w:val="0075533C"/>
    <w:rsid w:val="00757581"/>
    <w:rsid w:val="0075787F"/>
    <w:rsid w:val="007611A0"/>
    <w:rsid w:val="007620D3"/>
    <w:rsid w:val="007658A0"/>
    <w:rsid w:val="00773AB5"/>
    <w:rsid w:val="00775AEE"/>
    <w:rsid w:val="007843C0"/>
    <w:rsid w:val="00796D3F"/>
    <w:rsid w:val="007A01CC"/>
    <w:rsid w:val="007A1683"/>
    <w:rsid w:val="007A36F8"/>
    <w:rsid w:val="007A4597"/>
    <w:rsid w:val="007A5C12"/>
    <w:rsid w:val="007A5DE0"/>
    <w:rsid w:val="007A7CB0"/>
    <w:rsid w:val="007B3612"/>
    <w:rsid w:val="007B5D2E"/>
    <w:rsid w:val="007B616C"/>
    <w:rsid w:val="007B68A3"/>
    <w:rsid w:val="007B7901"/>
    <w:rsid w:val="007C2541"/>
    <w:rsid w:val="007D66A8"/>
    <w:rsid w:val="007E003F"/>
    <w:rsid w:val="007E2398"/>
    <w:rsid w:val="007E4266"/>
    <w:rsid w:val="007F40B9"/>
    <w:rsid w:val="008021E3"/>
    <w:rsid w:val="00802E72"/>
    <w:rsid w:val="008164F2"/>
    <w:rsid w:val="00820641"/>
    <w:rsid w:val="00820F4B"/>
    <w:rsid w:val="00821395"/>
    <w:rsid w:val="008214C9"/>
    <w:rsid w:val="00830E26"/>
    <w:rsid w:val="008326DA"/>
    <w:rsid w:val="00837969"/>
    <w:rsid w:val="008434F6"/>
    <w:rsid w:val="00843576"/>
    <w:rsid w:val="0084360C"/>
    <w:rsid w:val="00843B64"/>
    <w:rsid w:val="008478FC"/>
    <w:rsid w:val="008540C5"/>
    <w:rsid w:val="00856D78"/>
    <w:rsid w:val="00865576"/>
    <w:rsid w:val="008670BA"/>
    <w:rsid w:val="00867BFF"/>
    <w:rsid w:val="0088480A"/>
    <w:rsid w:val="00886E06"/>
    <w:rsid w:val="0088757A"/>
    <w:rsid w:val="00891BFE"/>
    <w:rsid w:val="008957DD"/>
    <w:rsid w:val="00897D98"/>
    <w:rsid w:val="008A26B4"/>
    <w:rsid w:val="008A335A"/>
    <w:rsid w:val="008A3CAD"/>
    <w:rsid w:val="008A5D9E"/>
    <w:rsid w:val="008A6DF2"/>
    <w:rsid w:val="008A7807"/>
    <w:rsid w:val="008B0CC0"/>
    <w:rsid w:val="008B4CC9"/>
    <w:rsid w:val="008B730F"/>
    <w:rsid w:val="008C0BD4"/>
    <w:rsid w:val="008C10A9"/>
    <w:rsid w:val="008C1B8B"/>
    <w:rsid w:val="008C3AAF"/>
    <w:rsid w:val="008D3AE0"/>
    <w:rsid w:val="008D7C99"/>
    <w:rsid w:val="008E0FCB"/>
    <w:rsid w:val="008F194E"/>
    <w:rsid w:val="008F3AE1"/>
    <w:rsid w:val="00906E11"/>
    <w:rsid w:val="00907D78"/>
    <w:rsid w:val="00912F9E"/>
    <w:rsid w:val="0092178C"/>
    <w:rsid w:val="00922C85"/>
    <w:rsid w:val="00923DD3"/>
    <w:rsid w:val="00923F50"/>
    <w:rsid w:val="00930B88"/>
    <w:rsid w:val="009378DC"/>
    <w:rsid w:val="00940DCC"/>
    <w:rsid w:val="0094179A"/>
    <w:rsid w:val="00942630"/>
    <w:rsid w:val="0094459E"/>
    <w:rsid w:val="00944DBC"/>
    <w:rsid w:val="00946438"/>
    <w:rsid w:val="00950977"/>
    <w:rsid w:val="00950C62"/>
    <w:rsid w:val="00951665"/>
    <w:rsid w:val="00951A7B"/>
    <w:rsid w:val="009564A6"/>
    <w:rsid w:val="00961A33"/>
    <w:rsid w:val="009629D3"/>
    <w:rsid w:val="00967621"/>
    <w:rsid w:val="00967E6A"/>
    <w:rsid w:val="009721E8"/>
    <w:rsid w:val="00980797"/>
    <w:rsid w:val="00980AA9"/>
    <w:rsid w:val="00981F73"/>
    <w:rsid w:val="009830B6"/>
    <w:rsid w:val="00992A45"/>
    <w:rsid w:val="009935AC"/>
    <w:rsid w:val="0099796C"/>
    <w:rsid w:val="009A4AFD"/>
    <w:rsid w:val="009A6054"/>
    <w:rsid w:val="009B4A0F"/>
    <w:rsid w:val="009C0366"/>
    <w:rsid w:val="009C11D2"/>
    <w:rsid w:val="009C3F45"/>
    <w:rsid w:val="009C6C70"/>
    <w:rsid w:val="009D022D"/>
    <w:rsid w:val="009D0922"/>
    <w:rsid w:val="009D0B63"/>
    <w:rsid w:val="009D0F1B"/>
    <w:rsid w:val="009E0204"/>
    <w:rsid w:val="009E307E"/>
    <w:rsid w:val="009E3678"/>
    <w:rsid w:val="009E4281"/>
    <w:rsid w:val="009F0991"/>
    <w:rsid w:val="009F12CE"/>
    <w:rsid w:val="009F656F"/>
    <w:rsid w:val="00A02704"/>
    <w:rsid w:val="00A03A4A"/>
    <w:rsid w:val="00A0596F"/>
    <w:rsid w:val="00A07870"/>
    <w:rsid w:val="00A07F19"/>
    <w:rsid w:val="00A1348D"/>
    <w:rsid w:val="00A1489E"/>
    <w:rsid w:val="00A16692"/>
    <w:rsid w:val="00A232EE"/>
    <w:rsid w:val="00A25B4A"/>
    <w:rsid w:val="00A4175F"/>
    <w:rsid w:val="00A44411"/>
    <w:rsid w:val="00A469FA"/>
    <w:rsid w:val="00A47205"/>
    <w:rsid w:val="00A50E94"/>
    <w:rsid w:val="00A546EE"/>
    <w:rsid w:val="00A55B01"/>
    <w:rsid w:val="00A56B5B"/>
    <w:rsid w:val="00A5728A"/>
    <w:rsid w:val="00A603FF"/>
    <w:rsid w:val="00A610CC"/>
    <w:rsid w:val="00A657DD"/>
    <w:rsid w:val="00A666A6"/>
    <w:rsid w:val="00A675FD"/>
    <w:rsid w:val="00A721F4"/>
    <w:rsid w:val="00A72437"/>
    <w:rsid w:val="00A80611"/>
    <w:rsid w:val="00A81A93"/>
    <w:rsid w:val="00A84B15"/>
    <w:rsid w:val="00A86067"/>
    <w:rsid w:val="00A87016"/>
    <w:rsid w:val="00A920A1"/>
    <w:rsid w:val="00A972DE"/>
    <w:rsid w:val="00AA404A"/>
    <w:rsid w:val="00AA6E1F"/>
    <w:rsid w:val="00AB0B26"/>
    <w:rsid w:val="00AB5340"/>
    <w:rsid w:val="00AB64C2"/>
    <w:rsid w:val="00AC010E"/>
    <w:rsid w:val="00AC01CC"/>
    <w:rsid w:val="00AC16B8"/>
    <w:rsid w:val="00AC4F26"/>
    <w:rsid w:val="00AC7C96"/>
    <w:rsid w:val="00AD12BA"/>
    <w:rsid w:val="00AD2085"/>
    <w:rsid w:val="00AE05C4"/>
    <w:rsid w:val="00AE237D"/>
    <w:rsid w:val="00AE2A3D"/>
    <w:rsid w:val="00AE502A"/>
    <w:rsid w:val="00AF7C07"/>
    <w:rsid w:val="00B104DB"/>
    <w:rsid w:val="00B22C93"/>
    <w:rsid w:val="00B2431F"/>
    <w:rsid w:val="00B27589"/>
    <w:rsid w:val="00B37EF9"/>
    <w:rsid w:val="00B405B7"/>
    <w:rsid w:val="00B43926"/>
    <w:rsid w:val="00B45E6D"/>
    <w:rsid w:val="00B46E6B"/>
    <w:rsid w:val="00B52222"/>
    <w:rsid w:val="00B54FE7"/>
    <w:rsid w:val="00B57C47"/>
    <w:rsid w:val="00B61213"/>
    <w:rsid w:val="00B650EA"/>
    <w:rsid w:val="00B66901"/>
    <w:rsid w:val="00B71E6D"/>
    <w:rsid w:val="00B72070"/>
    <w:rsid w:val="00B7775A"/>
    <w:rsid w:val="00B779E1"/>
    <w:rsid w:val="00B83540"/>
    <w:rsid w:val="00B859A3"/>
    <w:rsid w:val="00B91EE1"/>
    <w:rsid w:val="00B945B3"/>
    <w:rsid w:val="00B95C19"/>
    <w:rsid w:val="00BA0090"/>
    <w:rsid w:val="00BA1A67"/>
    <w:rsid w:val="00BB2B8D"/>
    <w:rsid w:val="00BB49DE"/>
    <w:rsid w:val="00BB77BF"/>
    <w:rsid w:val="00BC07FE"/>
    <w:rsid w:val="00BC336E"/>
    <w:rsid w:val="00BC4277"/>
    <w:rsid w:val="00BD0163"/>
    <w:rsid w:val="00BD159E"/>
    <w:rsid w:val="00BD7721"/>
    <w:rsid w:val="00BE5B5F"/>
    <w:rsid w:val="00C019EA"/>
    <w:rsid w:val="00C028A6"/>
    <w:rsid w:val="00C147A5"/>
    <w:rsid w:val="00C15378"/>
    <w:rsid w:val="00C16A89"/>
    <w:rsid w:val="00C176E4"/>
    <w:rsid w:val="00C220BE"/>
    <w:rsid w:val="00C26F55"/>
    <w:rsid w:val="00C30C63"/>
    <w:rsid w:val="00C32B37"/>
    <w:rsid w:val="00C36B8B"/>
    <w:rsid w:val="00C43F39"/>
    <w:rsid w:val="00C43F80"/>
    <w:rsid w:val="00C47DBF"/>
    <w:rsid w:val="00C53666"/>
    <w:rsid w:val="00C552FF"/>
    <w:rsid w:val="00C5578F"/>
    <w:rsid w:val="00C558DA"/>
    <w:rsid w:val="00C55AF3"/>
    <w:rsid w:val="00C60FBB"/>
    <w:rsid w:val="00C75C7C"/>
    <w:rsid w:val="00C84759"/>
    <w:rsid w:val="00C87772"/>
    <w:rsid w:val="00C926C7"/>
    <w:rsid w:val="00C975FA"/>
    <w:rsid w:val="00CA6C7F"/>
    <w:rsid w:val="00CB13C4"/>
    <w:rsid w:val="00CB20B5"/>
    <w:rsid w:val="00CB6C0B"/>
    <w:rsid w:val="00CB6F8C"/>
    <w:rsid w:val="00CC0260"/>
    <w:rsid w:val="00CC10A6"/>
    <w:rsid w:val="00CC1305"/>
    <w:rsid w:val="00CC2860"/>
    <w:rsid w:val="00CD5EB8"/>
    <w:rsid w:val="00CD7044"/>
    <w:rsid w:val="00CD7667"/>
    <w:rsid w:val="00CE08B9"/>
    <w:rsid w:val="00CE0AFF"/>
    <w:rsid w:val="00CE4257"/>
    <w:rsid w:val="00CE4EC2"/>
    <w:rsid w:val="00CE524C"/>
    <w:rsid w:val="00CE60D0"/>
    <w:rsid w:val="00CF141F"/>
    <w:rsid w:val="00CF4777"/>
    <w:rsid w:val="00CF5AF8"/>
    <w:rsid w:val="00D06244"/>
    <w:rsid w:val="00D067BB"/>
    <w:rsid w:val="00D10C65"/>
    <w:rsid w:val="00D1352A"/>
    <w:rsid w:val="00D13EDE"/>
    <w:rsid w:val="00D169AF"/>
    <w:rsid w:val="00D25249"/>
    <w:rsid w:val="00D255A7"/>
    <w:rsid w:val="00D32A9A"/>
    <w:rsid w:val="00D32B16"/>
    <w:rsid w:val="00D3344A"/>
    <w:rsid w:val="00D44172"/>
    <w:rsid w:val="00D44EA6"/>
    <w:rsid w:val="00D60939"/>
    <w:rsid w:val="00D63B8C"/>
    <w:rsid w:val="00D70826"/>
    <w:rsid w:val="00D722D4"/>
    <w:rsid w:val="00D72A8C"/>
    <w:rsid w:val="00D72CB6"/>
    <w:rsid w:val="00D739CC"/>
    <w:rsid w:val="00D7582F"/>
    <w:rsid w:val="00D8093D"/>
    <w:rsid w:val="00D80AD0"/>
    <w:rsid w:val="00D8108C"/>
    <w:rsid w:val="00D842AE"/>
    <w:rsid w:val="00D86B68"/>
    <w:rsid w:val="00D9211C"/>
    <w:rsid w:val="00D92DE0"/>
    <w:rsid w:val="00D92FEF"/>
    <w:rsid w:val="00D93A0F"/>
    <w:rsid w:val="00D957D6"/>
    <w:rsid w:val="00D9600D"/>
    <w:rsid w:val="00DA0964"/>
    <w:rsid w:val="00DA1BCA"/>
    <w:rsid w:val="00DA1EF3"/>
    <w:rsid w:val="00DA3FFA"/>
    <w:rsid w:val="00DA7299"/>
    <w:rsid w:val="00DA788B"/>
    <w:rsid w:val="00DB0A76"/>
    <w:rsid w:val="00DB36B7"/>
    <w:rsid w:val="00DB3E23"/>
    <w:rsid w:val="00DB406B"/>
    <w:rsid w:val="00DB7A0F"/>
    <w:rsid w:val="00DC0B71"/>
    <w:rsid w:val="00DC46FF"/>
    <w:rsid w:val="00DC5254"/>
    <w:rsid w:val="00DD0E17"/>
    <w:rsid w:val="00DD1A4F"/>
    <w:rsid w:val="00DD3107"/>
    <w:rsid w:val="00DD5EFF"/>
    <w:rsid w:val="00DD7917"/>
    <w:rsid w:val="00DD7C2C"/>
    <w:rsid w:val="00DE23B2"/>
    <w:rsid w:val="00DE2ECD"/>
    <w:rsid w:val="00DE6E55"/>
    <w:rsid w:val="00DF5660"/>
    <w:rsid w:val="00E02520"/>
    <w:rsid w:val="00E03AD9"/>
    <w:rsid w:val="00E06797"/>
    <w:rsid w:val="00E122BC"/>
    <w:rsid w:val="00E1265B"/>
    <w:rsid w:val="00E13B48"/>
    <w:rsid w:val="00E1404F"/>
    <w:rsid w:val="00E16B9D"/>
    <w:rsid w:val="00E212EF"/>
    <w:rsid w:val="00E21C83"/>
    <w:rsid w:val="00E24ADA"/>
    <w:rsid w:val="00E256F6"/>
    <w:rsid w:val="00E32F59"/>
    <w:rsid w:val="00E404B9"/>
    <w:rsid w:val="00E431E7"/>
    <w:rsid w:val="00E46D9A"/>
    <w:rsid w:val="00E509D1"/>
    <w:rsid w:val="00E51E80"/>
    <w:rsid w:val="00E52961"/>
    <w:rsid w:val="00E564DF"/>
    <w:rsid w:val="00E565FF"/>
    <w:rsid w:val="00E600D6"/>
    <w:rsid w:val="00E62013"/>
    <w:rsid w:val="00E6452B"/>
    <w:rsid w:val="00E65388"/>
    <w:rsid w:val="00E67833"/>
    <w:rsid w:val="00E67D89"/>
    <w:rsid w:val="00E72993"/>
    <w:rsid w:val="00E81703"/>
    <w:rsid w:val="00E83DAF"/>
    <w:rsid w:val="00E85B7D"/>
    <w:rsid w:val="00E9121B"/>
    <w:rsid w:val="00E94B48"/>
    <w:rsid w:val="00E95083"/>
    <w:rsid w:val="00EA0AE2"/>
    <w:rsid w:val="00EA292F"/>
    <w:rsid w:val="00EA2A97"/>
    <w:rsid w:val="00EA39E5"/>
    <w:rsid w:val="00EB031A"/>
    <w:rsid w:val="00EB3106"/>
    <w:rsid w:val="00EB6ACF"/>
    <w:rsid w:val="00EC4E7A"/>
    <w:rsid w:val="00EC5A46"/>
    <w:rsid w:val="00EC63E2"/>
    <w:rsid w:val="00EC70CA"/>
    <w:rsid w:val="00ED0087"/>
    <w:rsid w:val="00ED1F3E"/>
    <w:rsid w:val="00ED3673"/>
    <w:rsid w:val="00EE1BA8"/>
    <w:rsid w:val="00EE1E98"/>
    <w:rsid w:val="00EE3531"/>
    <w:rsid w:val="00EE397B"/>
    <w:rsid w:val="00EE5261"/>
    <w:rsid w:val="00EF12CA"/>
    <w:rsid w:val="00EF22B3"/>
    <w:rsid w:val="00EF469A"/>
    <w:rsid w:val="00F03B69"/>
    <w:rsid w:val="00F04140"/>
    <w:rsid w:val="00F07A50"/>
    <w:rsid w:val="00F113DA"/>
    <w:rsid w:val="00F23184"/>
    <w:rsid w:val="00F37B57"/>
    <w:rsid w:val="00F37DC8"/>
    <w:rsid w:val="00F42DFE"/>
    <w:rsid w:val="00F439B3"/>
    <w:rsid w:val="00F45721"/>
    <w:rsid w:val="00F47AF3"/>
    <w:rsid w:val="00F502DD"/>
    <w:rsid w:val="00F511D5"/>
    <w:rsid w:val="00F55494"/>
    <w:rsid w:val="00F567D1"/>
    <w:rsid w:val="00F638FC"/>
    <w:rsid w:val="00F650C3"/>
    <w:rsid w:val="00F65D85"/>
    <w:rsid w:val="00F7203C"/>
    <w:rsid w:val="00F733B7"/>
    <w:rsid w:val="00F75453"/>
    <w:rsid w:val="00F77FE9"/>
    <w:rsid w:val="00F8091E"/>
    <w:rsid w:val="00F85824"/>
    <w:rsid w:val="00F8615C"/>
    <w:rsid w:val="00F86E63"/>
    <w:rsid w:val="00F87840"/>
    <w:rsid w:val="00F969E5"/>
    <w:rsid w:val="00F96A1D"/>
    <w:rsid w:val="00F96CA7"/>
    <w:rsid w:val="00F96DD5"/>
    <w:rsid w:val="00F97AEE"/>
    <w:rsid w:val="00FA1C95"/>
    <w:rsid w:val="00FA2526"/>
    <w:rsid w:val="00FA6BB0"/>
    <w:rsid w:val="00FB3488"/>
    <w:rsid w:val="00FB7BB1"/>
    <w:rsid w:val="00FD0081"/>
    <w:rsid w:val="00FD2D77"/>
    <w:rsid w:val="00FD5860"/>
    <w:rsid w:val="00FE352D"/>
    <w:rsid w:val="00FE3DBE"/>
    <w:rsid w:val="00FE40EB"/>
    <w:rsid w:val="00FE4D02"/>
    <w:rsid w:val="00FE51C9"/>
    <w:rsid w:val="00FE7B2F"/>
    <w:rsid w:val="00FE7D62"/>
    <w:rsid w:val="00FF3819"/>
    <w:rsid w:val="00FF6C4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3072C"/>
  <w15:docId w15:val="{35315875-7D34-6440-A0E2-43364B9C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891BFE"/>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qFormat/>
    <w:rsid w:val="007843C0"/>
    <w:pPr>
      <w:keepNext/>
      <w:numPr>
        <w:numId w:val="2"/>
      </w:numPr>
      <w:spacing w:before="240" w:after="120"/>
      <w:outlineLvl w:val="0"/>
    </w:pPr>
    <w:rPr>
      <w:b/>
      <w:sz w:val="28"/>
      <w:lang w:val="en-US"/>
    </w:rPr>
  </w:style>
  <w:style w:type="paragraph" w:styleId="Heading2">
    <w:name w:val="heading 2"/>
    <w:basedOn w:val="Normal"/>
    <w:next w:val="Normalnumber"/>
    <w:link w:val="Heading2Char"/>
    <w:semiHidden/>
    <w:qFormat/>
    <w:rsid w:val="007843C0"/>
    <w:pPr>
      <w:keepNext/>
      <w:numPr>
        <w:ilvl w:val="1"/>
        <w:numId w:val="2"/>
      </w:numPr>
      <w:spacing w:before="240" w:after="120"/>
      <w:outlineLvl w:val="1"/>
    </w:pPr>
    <w:rPr>
      <w:b/>
    </w:rPr>
  </w:style>
  <w:style w:type="paragraph" w:styleId="Heading3">
    <w:name w:val="heading 3"/>
    <w:basedOn w:val="Normal"/>
    <w:next w:val="Normalnumber"/>
    <w:link w:val="Heading3Char"/>
    <w:semiHidden/>
    <w:qFormat/>
    <w:rsid w:val="007843C0"/>
    <w:pPr>
      <w:numPr>
        <w:ilvl w:val="2"/>
        <w:numId w:val="2"/>
      </w:numPr>
      <w:spacing w:after="120"/>
      <w:outlineLvl w:val="2"/>
    </w:pPr>
    <w:rPr>
      <w:b/>
    </w:rPr>
  </w:style>
  <w:style w:type="paragraph" w:styleId="Heading4">
    <w:name w:val="heading 4"/>
    <w:basedOn w:val="Heading3"/>
    <w:next w:val="Normalnumber"/>
    <w:link w:val="Heading4Char"/>
    <w:semiHidden/>
    <w:qFormat/>
    <w:rsid w:val="007843C0"/>
    <w:pPr>
      <w:keepNext/>
      <w:numPr>
        <w:ilvl w:val="3"/>
      </w:numPr>
      <w:outlineLvl w:val="3"/>
    </w:pPr>
  </w:style>
  <w:style w:type="paragraph" w:styleId="Heading5">
    <w:name w:val="heading 5"/>
    <w:basedOn w:val="Normal"/>
    <w:next w:val="Normal"/>
    <w:link w:val="Heading5Char"/>
    <w:semiHidden/>
    <w:qFormat/>
    <w:rsid w:val="007843C0"/>
    <w:pPr>
      <w:keepNext/>
      <w:numPr>
        <w:ilvl w:val="4"/>
        <w:numId w:val="2"/>
      </w:numPr>
      <w:outlineLvl w:val="4"/>
    </w:pPr>
    <w:rPr>
      <w:rFonts w:ascii="Univers" w:hAnsi="Univers"/>
      <w:b/>
    </w:rPr>
  </w:style>
  <w:style w:type="paragraph" w:styleId="Heading6">
    <w:name w:val="heading 6"/>
    <w:basedOn w:val="Normal"/>
    <w:next w:val="Normal"/>
    <w:link w:val="Heading6Char"/>
    <w:semiHidden/>
    <w:qFormat/>
    <w:rsid w:val="007843C0"/>
    <w:pPr>
      <w:keepNext/>
      <w:numPr>
        <w:ilvl w:val="5"/>
        <w:numId w:val="2"/>
      </w:numPr>
      <w:outlineLvl w:val="5"/>
    </w:pPr>
    <w:rPr>
      <w:b/>
      <w:bCs/>
    </w:rPr>
  </w:style>
  <w:style w:type="paragraph" w:styleId="Heading7">
    <w:name w:val="heading 7"/>
    <w:basedOn w:val="Normal"/>
    <w:next w:val="Normal"/>
    <w:link w:val="Heading7Char"/>
    <w:uiPriority w:val="99"/>
    <w:semiHidden/>
    <w:qFormat/>
    <w:rsid w:val="007843C0"/>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uiPriority w:val="99"/>
    <w:semiHidden/>
    <w:qFormat/>
    <w:rsid w:val="007843C0"/>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uiPriority w:val="99"/>
    <w:semiHidden/>
    <w:qFormat/>
    <w:rsid w:val="007843C0"/>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843C0"/>
    <w:rPr>
      <w:rFonts w:ascii="Times New Roman" w:hAnsi="Times New Roman"/>
      <w:b/>
      <w:sz w:val="18"/>
      <w:lang w:val="en-US"/>
    </w:rPr>
  </w:style>
  <w:style w:type="table" w:customStyle="1" w:styleId="Tabledocright">
    <w:name w:val="Table_doc_right"/>
    <w:basedOn w:val="TableNormal"/>
    <w:rsid w:val="007843C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uiPriority w:val="99"/>
    <w:semiHidden/>
    <w:rsid w:val="007843C0"/>
    <w:pPr>
      <w:ind w:left="1000"/>
    </w:pPr>
    <w:rPr>
      <w:sz w:val="18"/>
      <w:szCs w:val="18"/>
    </w:rPr>
  </w:style>
  <w:style w:type="paragraph" w:styleId="TOC7">
    <w:name w:val="toc 7"/>
    <w:basedOn w:val="Normal"/>
    <w:next w:val="Normal"/>
    <w:autoRedefine/>
    <w:uiPriority w:val="99"/>
    <w:semiHidden/>
    <w:rsid w:val="007843C0"/>
    <w:pPr>
      <w:ind w:left="1200"/>
    </w:pPr>
    <w:rPr>
      <w:sz w:val="18"/>
      <w:szCs w:val="18"/>
    </w:rPr>
  </w:style>
  <w:style w:type="paragraph" w:styleId="TOC8">
    <w:name w:val="toc 8"/>
    <w:basedOn w:val="Normal"/>
    <w:next w:val="Normal"/>
    <w:autoRedefine/>
    <w:uiPriority w:val="99"/>
    <w:semiHidden/>
    <w:rsid w:val="007843C0"/>
    <w:pPr>
      <w:ind w:left="1400"/>
    </w:pPr>
    <w:rPr>
      <w:sz w:val="18"/>
      <w:szCs w:val="18"/>
    </w:rPr>
  </w:style>
  <w:style w:type="paragraph" w:styleId="TOC9">
    <w:name w:val="toc 9"/>
    <w:basedOn w:val="Normal"/>
    <w:next w:val="Normal"/>
    <w:autoRedefine/>
    <w:uiPriority w:val="99"/>
    <w:semiHidden/>
    <w:rsid w:val="007843C0"/>
    <w:pPr>
      <w:ind w:left="1600"/>
    </w:pPr>
    <w:rPr>
      <w:sz w:val="18"/>
      <w:szCs w:val="18"/>
    </w:rPr>
  </w:style>
  <w:style w:type="paragraph" w:customStyle="1" w:styleId="Titlefigure">
    <w:name w:val="Title_figure"/>
    <w:basedOn w:val="Titletable"/>
    <w:next w:val="NormalNonumber"/>
    <w:uiPriority w:val="99"/>
    <w:rsid w:val="007843C0"/>
    <w:rPr>
      <w:bCs w:val="0"/>
    </w:rPr>
  </w:style>
  <w:style w:type="paragraph" w:styleId="TableofFigures">
    <w:name w:val="table of figures"/>
    <w:basedOn w:val="Normal"/>
    <w:next w:val="Normal"/>
    <w:autoRedefine/>
    <w:uiPriority w:val="99"/>
    <w:semiHidden/>
    <w:rsid w:val="007843C0"/>
    <w:pPr>
      <w:ind w:left="1814" w:hanging="567"/>
    </w:pPr>
  </w:style>
  <w:style w:type="paragraph" w:customStyle="1" w:styleId="CH1">
    <w:name w:val="CH1"/>
    <w:basedOn w:val="Normal-pool"/>
    <w:next w:val="CH2"/>
    <w:qFormat/>
    <w:rsid w:val="007843C0"/>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843C0"/>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843C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843C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7843C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iPriority w:val="99"/>
    <w:unhideWhenUsed/>
    <w:rsid w:val="007843C0"/>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Normal"/>
    <w:next w:val="Normal"/>
    <w:uiPriority w:val="99"/>
    <w:semiHidden/>
    <w:rsid w:val="007843C0"/>
    <w:pPr>
      <w:tabs>
        <w:tab w:val="left" w:pos="4321"/>
        <w:tab w:val="right" w:pos="8641"/>
      </w:tabs>
      <w:spacing w:before="60" w:after="120"/>
    </w:pPr>
    <w:rPr>
      <w:b/>
      <w:sz w:val="18"/>
    </w:rPr>
  </w:style>
  <w:style w:type="paragraph" w:customStyle="1" w:styleId="Footer-pool">
    <w:name w:val="Footer-pool"/>
    <w:basedOn w:val="Normal"/>
    <w:next w:val="Normal"/>
    <w:rsid w:val="00D70826"/>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D70826"/>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D70826"/>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link w:val="BVIfnrChar"/>
    <w:qFormat/>
    <w:rsid w:val="007843C0"/>
    <w:rPr>
      <w:rFonts w:ascii="Times New Roman" w:hAnsi="Times New Roman"/>
      <w:color w:val="auto"/>
      <w:sz w:val="20"/>
      <w:szCs w:val="18"/>
      <w:vertAlign w:val="superscript"/>
      <w:lang w:val="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semiHidden/>
    <w:qFormat/>
    <w:rsid w:val="007843C0"/>
    <w:pPr>
      <w:tabs>
        <w:tab w:val="left" w:pos="4082"/>
      </w:tabs>
      <w:spacing w:before="20" w:after="40"/>
      <w:ind w:left="1247"/>
    </w:pPr>
    <w:rPr>
      <w:sz w:val="18"/>
      <w:lang w:val="en-US"/>
    </w:rPr>
  </w:style>
  <w:style w:type="table" w:customStyle="1" w:styleId="AATable">
    <w:name w:val="AA_Table"/>
    <w:basedOn w:val="TableNormal"/>
    <w:semiHidden/>
    <w:rsid w:val="007843C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qFormat/>
    <w:rsid w:val="007843C0"/>
    <w:pPr>
      <w:keepNext/>
      <w:keepLines/>
      <w:suppressAutoHyphens/>
    </w:pPr>
    <w:rPr>
      <w:b/>
    </w:rPr>
  </w:style>
  <w:style w:type="paragraph" w:customStyle="1" w:styleId="AATitle2">
    <w:name w:val="AA_Title2"/>
    <w:basedOn w:val="AATitle"/>
    <w:uiPriority w:val="99"/>
    <w:qFormat/>
    <w:rsid w:val="007843C0"/>
    <w:pPr>
      <w:keepNext w:val="0"/>
      <w:keepLines w:val="0"/>
      <w:spacing w:before="120" w:after="120"/>
    </w:pPr>
  </w:style>
  <w:style w:type="paragraph" w:customStyle="1" w:styleId="BBTitle">
    <w:name w:val="BB_Title"/>
    <w:basedOn w:val="Normal-pool"/>
    <w:qFormat/>
    <w:rsid w:val="007843C0"/>
    <w:pPr>
      <w:keepNext/>
      <w:keepLines/>
      <w:suppressAutoHyphens/>
      <w:spacing w:before="320" w:after="240"/>
      <w:ind w:left="1247" w:right="567"/>
    </w:pPr>
    <w:rPr>
      <w:b/>
      <w:sz w:val="28"/>
      <w:szCs w:val="28"/>
    </w:rPr>
  </w:style>
  <w:style w:type="paragraph" w:styleId="Footer">
    <w:name w:val="footer"/>
    <w:basedOn w:val="Normal"/>
    <w:link w:val="FooterChar"/>
    <w:uiPriority w:val="99"/>
    <w:rsid w:val="007843C0"/>
    <w:pPr>
      <w:tabs>
        <w:tab w:val="center" w:pos="4320"/>
        <w:tab w:val="right" w:pos="8640"/>
      </w:tabs>
      <w:spacing w:before="60" w:after="120"/>
    </w:pPr>
    <w:rPr>
      <w:sz w:val="18"/>
      <w:lang w:val="en-US"/>
    </w:rPr>
  </w:style>
  <w:style w:type="paragraph" w:styleId="Header">
    <w:name w:val="header"/>
    <w:basedOn w:val="Normal"/>
    <w:link w:val="HeaderChar"/>
    <w:semiHidden/>
    <w:rsid w:val="007843C0"/>
    <w:pPr>
      <w:tabs>
        <w:tab w:val="center" w:pos="4536"/>
        <w:tab w:val="right" w:pos="9072"/>
      </w:tabs>
    </w:pPr>
    <w:rPr>
      <w:b/>
      <w:sz w:val="18"/>
      <w:lang w:val="en-US"/>
    </w:rPr>
  </w:style>
  <w:style w:type="character" w:styleId="Hyperlink">
    <w:name w:val="Hyperlink"/>
    <w:uiPriority w:val="99"/>
    <w:unhideWhenUsed/>
    <w:rsid w:val="007843C0"/>
    <w:rPr>
      <w:rFonts w:ascii="Times New Roman" w:hAnsi="Times New Roman"/>
      <w:color w:val="0000FF"/>
      <w:sz w:val="20"/>
      <w:szCs w:val="20"/>
      <w:u w:val="none"/>
      <w:lang w:val="en-US"/>
    </w:rPr>
  </w:style>
  <w:style w:type="numbering" w:customStyle="1" w:styleId="Normallist">
    <w:name w:val="Normal_list"/>
    <w:basedOn w:val="NoList"/>
    <w:rsid w:val="007843C0"/>
    <w:pPr>
      <w:numPr>
        <w:numId w:val="1"/>
      </w:numPr>
    </w:pPr>
  </w:style>
  <w:style w:type="paragraph" w:customStyle="1" w:styleId="NormalNonumber">
    <w:name w:val="Normal_No_number"/>
    <w:basedOn w:val="Normal-pool"/>
    <w:qFormat/>
    <w:rsid w:val="007843C0"/>
    <w:pPr>
      <w:spacing w:after="120"/>
      <w:ind w:left="1247"/>
    </w:pPr>
  </w:style>
  <w:style w:type="paragraph" w:customStyle="1" w:styleId="Normalnumber">
    <w:name w:val="Normal_number"/>
    <w:basedOn w:val="Normal"/>
    <w:link w:val="NormalnumberChar"/>
    <w:qFormat/>
    <w:rsid w:val="00F96DD5"/>
    <w:pPr>
      <w:numPr>
        <w:numId w:val="68"/>
      </w:numPr>
      <w:tabs>
        <w:tab w:val="clear" w:pos="1247"/>
        <w:tab w:val="clear" w:pos="1814"/>
        <w:tab w:val="clear" w:pos="2381"/>
        <w:tab w:val="clear" w:pos="2948"/>
        <w:tab w:val="clear" w:pos="3515"/>
        <w:tab w:val="left" w:pos="624"/>
      </w:tabs>
      <w:spacing w:after="120"/>
      <w:ind w:left="1247"/>
    </w:pPr>
    <w:rPr>
      <w:lang w:val="en-US"/>
    </w:rPr>
  </w:style>
  <w:style w:type="paragraph" w:customStyle="1" w:styleId="Titletable">
    <w:name w:val="Title_table"/>
    <w:basedOn w:val="Normal-pool"/>
    <w:next w:val="NormalNonumber"/>
    <w:uiPriority w:val="99"/>
    <w:rsid w:val="007843C0"/>
    <w:pPr>
      <w:keepNext/>
      <w:keepLines/>
      <w:suppressAutoHyphens/>
      <w:spacing w:after="60"/>
      <w:ind w:left="1247"/>
    </w:pPr>
    <w:rPr>
      <w:b/>
      <w:bCs/>
    </w:rPr>
  </w:style>
  <w:style w:type="paragraph" w:styleId="TOC1">
    <w:name w:val="toc 1"/>
    <w:basedOn w:val="Normal-pool"/>
    <w:next w:val="Normal-pool"/>
    <w:uiPriority w:val="39"/>
    <w:unhideWhenUsed/>
    <w:rsid w:val="007843C0"/>
    <w:pPr>
      <w:tabs>
        <w:tab w:val="right" w:leader="dot" w:pos="9486"/>
      </w:tabs>
      <w:spacing w:before="240"/>
      <w:ind w:left="1814" w:hanging="567"/>
    </w:pPr>
    <w:rPr>
      <w:bCs/>
    </w:rPr>
  </w:style>
  <w:style w:type="paragraph" w:styleId="TOC2">
    <w:name w:val="toc 2"/>
    <w:basedOn w:val="Normal-pool"/>
    <w:next w:val="Normal-pool"/>
    <w:uiPriority w:val="39"/>
    <w:unhideWhenUsed/>
    <w:rsid w:val="007843C0"/>
    <w:pPr>
      <w:tabs>
        <w:tab w:val="right" w:leader="dot" w:pos="9486"/>
      </w:tabs>
      <w:ind w:left="2381" w:hanging="567"/>
    </w:pPr>
  </w:style>
  <w:style w:type="paragraph" w:styleId="TOC3">
    <w:name w:val="toc 3"/>
    <w:basedOn w:val="Normal-pool"/>
    <w:next w:val="Normal-pool"/>
    <w:semiHidden/>
    <w:rsid w:val="007843C0"/>
    <w:pPr>
      <w:tabs>
        <w:tab w:val="right" w:leader="dot" w:pos="9486"/>
      </w:tabs>
      <w:ind w:left="2948" w:hanging="567"/>
    </w:pPr>
    <w:rPr>
      <w:iCs/>
    </w:rPr>
  </w:style>
  <w:style w:type="paragraph" w:styleId="TOC4">
    <w:name w:val="toc 4"/>
    <w:basedOn w:val="Normal-pool"/>
    <w:next w:val="Normal-pool"/>
    <w:semiHidden/>
    <w:rsid w:val="007843C0"/>
    <w:pPr>
      <w:tabs>
        <w:tab w:val="left" w:pos="1000"/>
        <w:tab w:val="right" w:leader="dot" w:pos="9486"/>
      </w:tabs>
      <w:ind w:left="3515" w:hanging="567"/>
    </w:pPr>
    <w:rPr>
      <w:szCs w:val="18"/>
    </w:rPr>
  </w:style>
  <w:style w:type="paragraph" w:styleId="TOC5">
    <w:name w:val="toc 5"/>
    <w:basedOn w:val="Normal-pool"/>
    <w:next w:val="Normal-pool"/>
    <w:semiHidden/>
    <w:rsid w:val="007843C0"/>
    <w:pPr>
      <w:ind w:left="800"/>
    </w:pPr>
    <w:rPr>
      <w:sz w:val="18"/>
      <w:szCs w:val="18"/>
    </w:rPr>
  </w:style>
  <w:style w:type="paragraph" w:customStyle="1" w:styleId="ZZAnxheader">
    <w:name w:val="ZZ_Anx_header"/>
    <w:basedOn w:val="Normal-pool"/>
    <w:qFormat/>
    <w:rsid w:val="007843C0"/>
    <w:rPr>
      <w:b/>
      <w:bCs/>
      <w:sz w:val="28"/>
      <w:szCs w:val="22"/>
    </w:rPr>
  </w:style>
  <w:style w:type="paragraph" w:customStyle="1" w:styleId="ZZAnxtitle">
    <w:name w:val="ZZ_Anx_title"/>
    <w:basedOn w:val="Normal-pool"/>
    <w:rsid w:val="007843C0"/>
    <w:pPr>
      <w:spacing w:before="360" w:after="120"/>
      <w:ind w:left="1247"/>
    </w:pPr>
    <w:rPr>
      <w:b/>
      <w:bCs/>
      <w:sz w:val="28"/>
      <w:szCs w:val="26"/>
    </w:rPr>
  </w:style>
  <w:style w:type="paragraph" w:styleId="NormalWeb">
    <w:name w:val="Normal (Web)"/>
    <w:basedOn w:val="Normal"/>
    <w:uiPriority w:val="99"/>
    <w:semiHidden/>
    <w:unhideWhenUsed/>
    <w:rsid w:val="007843C0"/>
    <w:pPr>
      <w:spacing w:before="100" w:beforeAutospacing="1" w:after="100" w:afterAutospacing="1"/>
    </w:pPr>
    <w:rPr>
      <w:rFonts w:eastAsiaTheme="minorEastAsia"/>
    </w:rPr>
  </w:style>
  <w:style w:type="paragraph" w:customStyle="1" w:styleId="Normal-pool-Table">
    <w:name w:val="Normal-pool-Table"/>
    <w:basedOn w:val="Normal-pool"/>
    <w:rsid w:val="007843C0"/>
    <w:pPr>
      <w:spacing w:before="40" w:after="40"/>
    </w:pPr>
    <w:rPr>
      <w:sz w:val="18"/>
    </w:rPr>
  </w:style>
  <w:style w:type="paragraph" w:customStyle="1" w:styleId="Footnote-Text">
    <w:name w:val="Footnote-Text"/>
    <w:basedOn w:val="Normal-pool"/>
    <w:uiPriority w:val="99"/>
    <w:rsid w:val="007843C0"/>
    <w:pPr>
      <w:spacing w:before="20" w:after="40"/>
      <w:ind w:left="1247"/>
    </w:pPr>
    <w:rPr>
      <w:sz w:val="18"/>
    </w:rPr>
  </w:style>
  <w:style w:type="character" w:customStyle="1" w:styleId="Normal-poolChar">
    <w:name w:val="Normal-pool Char"/>
    <w:link w:val="Normal-pool"/>
    <w:locked/>
    <w:rsid w:val="00D70826"/>
    <w:rPr>
      <w:rFonts w:eastAsia="Times New Roman"/>
      <w:lang w:val="en-US" w:eastAsia="en-US"/>
    </w:rPr>
  </w:style>
  <w:style w:type="paragraph" w:customStyle="1" w:styleId="AConvName">
    <w:name w:val="A_ConvName"/>
    <w:basedOn w:val="Normal-pool"/>
    <w:next w:val="Normal-pool"/>
    <w:uiPriority w:val="99"/>
    <w:rsid w:val="007843C0"/>
    <w:pPr>
      <w:spacing w:before="120" w:after="240"/>
    </w:pPr>
    <w:rPr>
      <w:rFonts w:ascii="Arial" w:hAnsi="Arial"/>
      <w:b/>
      <w:sz w:val="28"/>
    </w:rPr>
  </w:style>
  <w:style w:type="paragraph" w:customStyle="1" w:styleId="ASymbol">
    <w:name w:val="A_Symbol"/>
    <w:basedOn w:val="Normal-pool"/>
    <w:rsid w:val="00D70826"/>
    <w:pPr>
      <w:tabs>
        <w:tab w:val="clear" w:pos="624"/>
        <w:tab w:val="clear" w:pos="1247"/>
        <w:tab w:val="right" w:pos="2920"/>
      </w:tabs>
    </w:pPr>
    <w:rPr>
      <w:rFonts w:eastAsia="SimSun"/>
      <w:lang w:val="en-GB"/>
    </w:rPr>
  </w:style>
  <w:style w:type="paragraph" w:customStyle="1" w:styleId="AText">
    <w:name w:val="A_Text"/>
    <w:basedOn w:val="Normal-pool"/>
    <w:uiPriority w:val="99"/>
    <w:rsid w:val="007843C0"/>
    <w:pPr>
      <w:spacing w:before="120"/>
    </w:pPr>
  </w:style>
  <w:style w:type="paragraph" w:customStyle="1" w:styleId="ATwoLetters">
    <w:name w:val="A_TwoLetters"/>
    <w:basedOn w:val="Normal-pool"/>
    <w:next w:val="Normal-pool"/>
    <w:uiPriority w:val="99"/>
    <w:rsid w:val="007843C0"/>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uiPriority w:val="99"/>
    <w:rsid w:val="007843C0"/>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iPriority w:val="99"/>
    <w:unhideWhenUsed/>
    <w:rsid w:val="007843C0"/>
    <w:rPr>
      <w:rFonts w:ascii="Tahoma" w:hAnsi="Tahoma" w:cs="Tahoma"/>
      <w:sz w:val="16"/>
      <w:szCs w:val="16"/>
      <w:lang w:val="en-US"/>
    </w:rPr>
  </w:style>
  <w:style w:type="character" w:customStyle="1" w:styleId="BalloonTextChar">
    <w:name w:val="Balloon Text Char"/>
    <w:basedOn w:val="DefaultParagraphFont"/>
    <w:link w:val="BalloonText"/>
    <w:uiPriority w:val="99"/>
    <w:rsid w:val="007843C0"/>
    <w:rPr>
      <w:rFonts w:ascii="Tahoma" w:eastAsia="Times New Roman" w:hAnsi="Tahoma" w:cs="Tahoma"/>
      <w:sz w:val="16"/>
      <w:szCs w:val="16"/>
      <w:lang w:val="en-US" w:eastAsia="en-US"/>
    </w:rPr>
  </w:style>
  <w:style w:type="character" w:styleId="CommentReference">
    <w:name w:val="annotation reference"/>
    <w:basedOn w:val="DefaultParagraphFont"/>
    <w:semiHidden/>
    <w:rsid w:val="007843C0"/>
    <w:rPr>
      <w:sz w:val="16"/>
      <w:szCs w:val="16"/>
      <w:lang w:val="en-US"/>
    </w:rPr>
  </w:style>
  <w:style w:type="paragraph" w:styleId="CommentText">
    <w:name w:val="annotation text"/>
    <w:basedOn w:val="Normal"/>
    <w:link w:val="CommentTextChar"/>
    <w:uiPriority w:val="99"/>
    <w:unhideWhenUsed/>
    <w:rsid w:val="007843C0"/>
    <w:rPr>
      <w:lang w:val="en-US"/>
    </w:rPr>
  </w:style>
  <w:style w:type="character" w:customStyle="1" w:styleId="CommentTextChar">
    <w:name w:val="Comment Text Char"/>
    <w:basedOn w:val="DefaultParagraphFont"/>
    <w:link w:val="CommentText"/>
    <w:uiPriority w:val="99"/>
    <w:rsid w:val="007843C0"/>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7843C0"/>
    <w:rPr>
      <w:b/>
      <w:bCs/>
    </w:rPr>
  </w:style>
  <w:style w:type="character" w:customStyle="1" w:styleId="CommentSubjectChar">
    <w:name w:val="Comment Subject Char"/>
    <w:basedOn w:val="CommentTextChar"/>
    <w:link w:val="CommentSubject"/>
    <w:uiPriority w:val="99"/>
    <w:semiHidden/>
    <w:rsid w:val="007843C0"/>
    <w:rPr>
      <w:rFonts w:eastAsia="Times New Roman"/>
      <w:b/>
      <w:bCs/>
      <w:lang w:val="en-US" w:eastAsia="en-US"/>
    </w:rPr>
  </w:style>
  <w:style w:type="character" w:styleId="FollowedHyperlink">
    <w:name w:val="FollowedHyperlink"/>
    <w:uiPriority w:val="99"/>
    <w:semiHidden/>
    <w:rsid w:val="007843C0"/>
    <w:rPr>
      <w:color w:val="0000FF"/>
      <w:u w:val="none"/>
      <w:lang w:val="en-US"/>
    </w:rPr>
  </w:style>
  <w:style w:type="character" w:customStyle="1" w:styleId="FooterChar">
    <w:name w:val="Footer Char"/>
    <w:basedOn w:val="DefaultParagraphFont"/>
    <w:link w:val="Footer"/>
    <w:uiPriority w:val="99"/>
    <w:rsid w:val="007843C0"/>
    <w:rPr>
      <w:rFonts w:eastAsia="Times New Roman"/>
      <w:sz w:val="18"/>
      <w:lang w:val="en-US"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semiHidden/>
    <w:rsid w:val="00A920A1"/>
    <w:rPr>
      <w:rFonts w:eastAsia="Times New Roman"/>
      <w:sz w:val="18"/>
      <w:lang w:val="en-US" w:eastAsia="en-US"/>
    </w:rPr>
  </w:style>
  <w:style w:type="character" w:customStyle="1" w:styleId="HeaderChar">
    <w:name w:val="Header Char"/>
    <w:basedOn w:val="DefaultParagraphFont"/>
    <w:link w:val="Header"/>
    <w:semiHidden/>
    <w:rsid w:val="00A920A1"/>
    <w:rPr>
      <w:rFonts w:eastAsia="Times New Roman"/>
      <w:b/>
      <w:sz w:val="18"/>
      <w:lang w:val="en-US" w:eastAsia="en-US"/>
    </w:rPr>
  </w:style>
  <w:style w:type="character" w:customStyle="1" w:styleId="Heading1Char">
    <w:name w:val="Heading 1 Char"/>
    <w:basedOn w:val="DefaultParagraphFont"/>
    <w:link w:val="Heading1"/>
    <w:semiHidden/>
    <w:rsid w:val="00A920A1"/>
    <w:rPr>
      <w:rFonts w:eastAsia="Times New Roman"/>
      <w:b/>
      <w:sz w:val="28"/>
      <w:lang w:val="en-US" w:eastAsia="en-US"/>
    </w:rPr>
  </w:style>
  <w:style w:type="character" w:customStyle="1" w:styleId="Heading2Char">
    <w:name w:val="Heading 2 Char"/>
    <w:basedOn w:val="DefaultParagraphFont"/>
    <w:link w:val="Heading2"/>
    <w:semiHidden/>
    <w:rsid w:val="007843C0"/>
    <w:rPr>
      <w:rFonts w:eastAsia="Times New Roman"/>
      <w:b/>
      <w:sz w:val="24"/>
      <w:szCs w:val="24"/>
      <w:lang w:val="en-US" w:eastAsia="en-US"/>
    </w:rPr>
  </w:style>
  <w:style w:type="character" w:customStyle="1" w:styleId="Heading3Char">
    <w:name w:val="Heading 3 Char"/>
    <w:basedOn w:val="DefaultParagraphFont"/>
    <w:link w:val="Heading3"/>
    <w:semiHidden/>
    <w:rsid w:val="007843C0"/>
    <w:rPr>
      <w:rFonts w:eastAsia="Times New Roman"/>
      <w:b/>
      <w:lang w:val="en-US" w:eastAsia="en-US"/>
    </w:rPr>
  </w:style>
  <w:style w:type="character" w:customStyle="1" w:styleId="Heading4Char">
    <w:name w:val="Heading 4 Char"/>
    <w:basedOn w:val="DefaultParagraphFont"/>
    <w:link w:val="Heading4"/>
    <w:semiHidden/>
    <w:rsid w:val="007843C0"/>
    <w:rPr>
      <w:rFonts w:eastAsia="Times New Roman"/>
      <w:b/>
      <w:lang w:val="en-US" w:eastAsia="en-US"/>
    </w:rPr>
  </w:style>
  <w:style w:type="character" w:customStyle="1" w:styleId="Heading5Char">
    <w:name w:val="Heading 5 Char"/>
    <w:basedOn w:val="DefaultParagraphFont"/>
    <w:link w:val="Heading5"/>
    <w:semiHidden/>
    <w:rsid w:val="007843C0"/>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7843C0"/>
    <w:rPr>
      <w:rFonts w:eastAsia="Times New Roman"/>
      <w:b/>
      <w:bCs/>
      <w:sz w:val="24"/>
      <w:lang w:val="en-US" w:eastAsia="en-US"/>
    </w:rPr>
  </w:style>
  <w:style w:type="character" w:customStyle="1" w:styleId="Heading7Char">
    <w:name w:val="Heading 7 Char"/>
    <w:basedOn w:val="DefaultParagraphFont"/>
    <w:link w:val="Heading7"/>
    <w:uiPriority w:val="99"/>
    <w:semiHidden/>
    <w:rsid w:val="007843C0"/>
    <w:rPr>
      <w:rFonts w:eastAsia="Times New Roman"/>
      <w:snapToGrid w:val="0"/>
      <w:u w:val="single"/>
      <w:lang w:val="en-US" w:eastAsia="en-US"/>
    </w:rPr>
  </w:style>
  <w:style w:type="character" w:customStyle="1" w:styleId="Heading8Char">
    <w:name w:val="Heading 8 Char"/>
    <w:basedOn w:val="DefaultParagraphFont"/>
    <w:link w:val="Heading8"/>
    <w:uiPriority w:val="99"/>
    <w:semiHidden/>
    <w:rsid w:val="007843C0"/>
    <w:rPr>
      <w:rFonts w:eastAsia="Times New Roman"/>
      <w:snapToGrid w:val="0"/>
      <w:u w:val="single"/>
      <w:lang w:val="en-US" w:eastAsia="en-US"/>
    </w:rPr>
  </w:style>
  <w:style w:type="character" w:customStyle="1" w:styleId="Heading9Char">
    <w:name w:val="Heading 9 Char"/>
    <w:basedOn w:val="DefaultParagraphFont"/>
    <w:link w:val="Heading9"/>
    <w:uiPriority w:val="99"/>
    <w:semiHidden/>
    <w:rsid w:val="007843C0"/>
    <w:rPr>
      <w:rFonts w:eastAsia="Times New Roman"/>
      <w:snapToGrid w:val="0"/>
      <w:u w:val="single"/>
      <w:lang w:val="en-US" w:eastAsia="en-US"/>
    </w:rPr>
  </w:style>
  <w:style w:type="paragraph" w:styleId="ListParagraph">
    <w:name w:val="List Paragraph"/>
    <w:basedOn w:val="Normal"/>
    <w:uiPriority w:val="34"/>
    <w:qFormat/>
    <w:rsid w:val="007843C0"/>
    <w:pPr>
      <w:ind w:left="720"/>
      <w:contextualSpacing/>
    </w:pPr>
    <w:rPr>
      <w:lang w:val="en-US"/>
    </w:rPr>
  </w:style>
  <w:style w:type="paragraph" w:styleId="NoSpacing">
    <w:name w:val="No Spacing"/>
    <w:uiPriority w:val="1"/>
    <w:qFormat/>
    <w:rsid w:val="007843C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F96DD5"/>
    <w:rPr>
      <w:rFonts w:eastAsia="Times New Roman"/>
      <w:lang w:val="en-US" w:eastAsia="en-US"/>
    </w:rPr>
  </w:style>
  <w:style w:type="character" w:styleId="PlaceholderText">
    <w:name w:val="Placeholder Text"/>
    <w:basedOn w:val="DefaultParagraphFont"/>
    <w:uiPriority w:val="99"/>
    <w:semiHidden/>
    <w:rsid w:val="007843C0"/>
    <w:rPr>
      <w:color w:val="808080"/>
      <w:lang w:val="en-US"/>
    </w:rPr>
  </w:style>
  <w:style w:type="table" w:styleId="TableGrid">
    <w:name w:val="Table Grid"/>
    <w:basedOn w:val="TableNormal"/>
    <w:rsid w:val="0078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843C0"/>
    <w:pPr>
      <w:spacing w:before="120" w:after="240"/>
    </w:pPr>
  </w:style>
  <w:style w:type="character" w:customStyle="1" w:styleId="ALogoChar">
    <w:name w:val="A_Logo Char"/>
    <w:basedOn w:val="Normal-poolChar"/>
    <w:link w:val="ALogo"/>
    <w:rsid w:val="007843C0"/>
    <w:rPr>
      <w:rFonts w:eastAsia="Times New Roman"/>
      <w:lang w:val="en-US" w:eastAsia="en-US"/>
    </w:rPr>
  </w:style>
  <w:style w:type="paragraph" w:customStyle="1" w:styleId="ASpacer">
    <w:name w:val="A_Spacer"/>
    <w:basedOn w:val="Normal-pool"/>
    <w:link w:val="ASpacerChar"/>
    <w:qFormat/>
    <w:rsid w:val="007843C0"/>
    <w:rPr>
      <w:sz w:val="2"/>
    </w:rPr>
  </w:style>
  <w:style w:type="character" w:customStyle="1" w:styleId="ASpacerChar">
    <w:name w:val="A_Spacer Char"/>
    <w:basedOn w:val="Normal-poolChar"/>
    <w:link w:val="ASpacer"/>
    <w:rsid w:val="007843C0"/>
    <w:rPr>
      <w:rFonts w:eastAsia="Times New Roman"/>
      <w:sz w:val="2"/>
      <w:lang w:val="en-US" w:eastAsia="en-US"/>
    </w:rPr>
  </w:style>
  <w:style w:type="paragraph" w:customStyle="1" w:styleId="AATitle1">
    <w:name w:val="AA_Title1"/>
    <w:basedOn w:val="Normal-pool"/>
    <w:uiPriority w:val="99"/>
    <w:qFormat/>
    <w:rsid w:val="007843C0"/>
  </w:style>
  <w:style w:type="character" w:styleId="UnresolvedMention">
    <w:name w:val="Unresolved Mention"/>
    <w:basedOn w:val="DefaultParagraphFont"/>
    <w:uiPriority w:val="99"/>
    <w:semiHidden/>
    <w:rsid w:val="007843C0"/>
    <w:rPr>
      <w:color w:val="605E5C"/>
      <w:shd w:val="clear" w:color="auto" w:fill="E1DFDD"/>
      <w:lang w:val="en-US"/>
    </w:rPr>
  </w:style>
  <w:style w:type="paragraph" w:customStyle="1" w:styleId="ANormal">
    <w:name w:val="A_Normal"/>
    <w:basedOn w:val="Normal-pool"/>
    <w:uiPriority w:val="99"/>
    <w:qFormat/>
    <w:rsid w:val="007843C0"/>
  </w:style>
  <w:style w:type="paragraph" w:customStyle="1" w:styleId="AText0">
    <w:name w:val="A_Text0"/>
    <w:basedOn w:val="AText"/>
    <w:next w:val="AText"/>
    <w:uiPriority w:val="99"/>
    <w:qFormat/>
    <w:rsid w:val="007843C0"/>
    <w:pPr>
      <w:spacing w:before="0" w:after="120"/>
    </w:pPr>
  </w:style>
  <w:style w:type="paragraph" w:styleId="Bibliography">
    <w:name w:val="Bibliography"/>
    <w:basedOn w:val="Normal"/>
    <w:next w:val="Normal"/>
    <w:uiPriority w:val="37"/>
    <w:semiHidden/>
    <w:rsid w:val="007843C0"/>
  </w:style>
  <w:style w:type="paragraph" w:styleId="BlockText">
    <w:name w:val="Block Text"/>
    <w:basedOn w:val="Normal"/>
    <w:uiPriority w:val="99"/>
    <w:semiHidden/>
    <w:unhideWhenUsed/>
    <w:rsid w:val="007843C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843C0"/>
    <w:pPr>
      <w:spacing w:after="120"/>
    </w:pPr>
    <w:rPr>
      <w:lang w:val="en-US"/>
    </w:rPr>
  </w:style>
  <w:style w:type="character" w:customStyle="1" w:styleId="BodyTextChar">
    <w:name w:val="Body Text Char"/>
    <w:basedOn w:val="DefaultParagraphFont"/>
    <w:link w:val="BodyText"/>
    <w:uiPriority w:val="99"/>
    <w:semiHidden/>
    <w:rsid w:val="007843C0"/>
    <w:rPr>
      <w:rFonts w:eastAsia="Times New Roman"/>
      <w:lang w:val="en-US" w:eastAsia="en-US"/>
    </w:rPr>
  </w:style>
  <w:style w:type="paragraph" w:styleId="BodyText2">
    <w:name w:val="Body Text 2"/>
    <w:basedOn w:val="Normal"/>
    <w:link w:val="BodyText2Char"/>
    <w:uiPriority w:val="99"/>
    <w:semiHidden/>
    <w:unhideWhenUsed/>
    <w:rsid w:val="007843C0"/>
    <w:pPr>
      <w:spacing w:after="120" w:line="480" w:lineRule="auto"/>
    </w:pPr>
  </w:style>
  <w:style w:type="character" w:customStyle="1" w:styleId="BodyText2Char">
    <w:name w:val="Body Text 2 Char"/>
    <w:basedOn w:val="DefaultParagraphFont"/>
    <w:link w:val="BodyText2"/>
    <w:uiPriority w:val="99"/>
    <w:semiHidden/>
    <w:rsid w:val="007843C0"/>
    <w:rPr>
      <w:rFonts w:eastAsia="Times New Roman"/>
      <w:lang w:val="en-US" w:eastAsia="en-US"/>
    </w:rPr>
  </w:style>
  <w:style w:type="paragraph" w:styleId="BodyText3">
    <w:name w:val="Body Text 3"/>
    <w:basedOn w:val="Normal"/>
    <w:link w:val="BodyText3Char"/>
    <w:uiPriority w:val="99"/>
    <w:semiHidden/>
    <w:unhideWhenUsed/>
    <w:rsid w:val="007843C0"/>
    <w:pPr>
      <w:spacing w:after="120"/>
    </w:pPr>
    <w:rPr>
      <w:sz w:val="16"/>
      <w:szCs w:val="16"/>
    </w:rPr>
  </w:style>
  <w:style w:type="character" w:customStyle="1" w:styleId="BodyText3Char">
    <w:name w:val="Body Text 3 Char"/>
    <w:basedOn w:val="DefaultParagraphFont"/>
    <w:link w:val="BodyText3"/>
    <w:uiPriority w:val="99"/>
    <w:semiHidden/>
    <w:rsid w:val="007843C0"/>
    <w:rPr>
      <w:rFonts w:eastAsia="Times New Roman"/>
      <w:sz w:val="16"/>
      <w:szCs w:val="16"/>
      <w:lang w:val="en-US" w:eastAsia="en-US"/>
    </w:rPr>
  </w:style>
  <w:style w:type="paragraph" w:styleId="BodyTextFirstIndent">
    <w:name w:val="Body Text First Indent"/>
    <w:basedOn w:val="BodyText"/>
    <w:link w:val="BodyTextFirstIndentChar"/>
    <w:uiPriority w:val="99"/>
    <w:semiHidden/>
    <w:unhideWhenUsed/>
    <w:rsid w:val="007843C0"/>
    <w:pPr>
      <w:spacing w:after="0"/>
      <w:ind w:firstLine="360"/>
    </w:pPr>
  </w:style>
  <w:style w:type="character" w:customStyle="1" w:styleId="BodyTextFirstIndentChar">
    <w:name w:val="Body Text First Indent Char"/>
    <w:basedOn w:val="BodyTextChar"/>
    <w:link w:val="BodyTextFirstIndent"/>
    <w:uiPriority w:val="99"/>
    <w:semiHidden/>
    <w:rsid w:val="007843C0"/>
    <w:rPr>
      <w:rFonts w:eastAsia="Times New Roman"/>
      <w:lang w:val="en-US" w:eastAsia="en-US"/>
    </w:rPr>
  </w:style>
  <w:style w:type="paragraph" w:styleId="BodyTextIndent">
    <w:name w:val="Body Text Indent"/>
    <w:basedOn w:val="Normal"/>
    <w:link w:val="BodyTextIndentChar"/>
    <w:uiPriority w:val="99"/>
    <w:semiHidden/>
    <w:unhideWhenUsed/>
    <w:rsid w:val="007843C0"/>
    <w:pPr>
      <w:spacing w:after="120"/>
      <w:ind w:left="283"/>
    </w:pPr>
  </w:style>
  <w:style w:type="character" w:customStyle="1" w:styleId="BodyTextIndentChar">
    <w:name w:val="Body Text Indent Char"/>
    <w:basedOn w:val="DefaultParagraphFont"/>
    <w:link w:val="BodyTextIndent"/>
    <w:uiPriority w:val="99"/>
    <w:semiHidden/>
    <w:rsid w:val="007843C0"/>
    <w:rPr>
      <w:rFonts w:eastAsia="Times New Roman"/>
      <w:lang w:val="en-US" w:eastAsia="en-US"/>
    </w:rPr>
  </w:style>
  <w:style w:type="paragraph" w:styleId="BodyTextFirstIndent2">
    <w:name w:val="Body Text First Indent 2"/>
    <w:basedOn w:val="BodyTextIndent"/>
    <w:link w:val="BodyTextFirstIndent2Char"/>
    <w:uiPriority w:val="99"/>
    <w:semiHidden/>
    <w:unhideWhenUsed/>
    <w:rsid w:val="007843C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843C0"/>
    <w:rPr>
      <w:rFonts w:eastAsia="Times New Roman"/>
      <w:lang w:val="en-US" w:eastAsia="en-US"/>
    </w:rPr>
  </w:style>
  <w:style w:type="paragraph" w:styleId="BodyTextIndent2">
    <w:name w:val="Body Text Indent 2"/>
    <w:basedOn w:val="Normal"/>
    <w:link w:val="BodyTextIndent2Char"/>
    <w:uiPriority w:val="99"/>
    <w:semiHidden/>
    <w:unhideWhenUsed/>
    <w:rsid w:val="007843C0"/>
    <w:pPr>
      <w:spacing w:after="120" w:line="480" w:lineRule="auto"/>
      <w:ind w:left="283"/>
    </w:pPr>
  </w:style>
  <w:style w:type="character" w:customStyle="1" w:styleId="BodyTextIndent2Char">
    <w:name w:val="Body Text Indent 2 Char"/>
    <w:basedOn w:val="DefaultParagraphFont"/>
    <w:link w:val="BodyTextIndent2"/>
    <w:uiPriority w:val="99"/>
    <w:semiHidden/>
    <w:rsid w:val="007843C0"/>
    <w:rPr>
      <w:rFonts w:eastAsia="Times New Roman"/>
      <w:lang w:val="en-US" w:eastAsia="en-US"/>
    </w:rPr>
  </w:style>
  <w:style w:type="paragraph" w:styleId="BodyTextIndent3">
    <w:name w:val="Body Text Indent 3"/>
    <w:basedOn w:val="Normal"/>
    <w:link w:val="BodyTextIndent3Char"/>
    <w:uiPriority w:val="99"/>
    <w:semiHidden/>
    <w:unhideWhenUsed/>
    <w:rsid w:val="0078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43C0"/>
    <w:rPr>
      <w:rFonts w:eastAsia="Times New Roman"/>
      <w:sz w:val="16"/>
      <w:szCs w:val="16"/>
      <w:lang w:val="en-US" w:eastAsia="en-US"/>
    </w:rPr>
  </w:style>
  <w:style w:type="character" w:styleId="BookTitle">
    <w:name w:val="Book Title"/>
    <w:basedOn w:val="DefaultParagraphFont"/>
    <w:uiPriority w:val="33"/>
    <w:qFormat/>
    <w:rsid w:val="007843C0"/>
    <w:rPr>
      <w:b/>
      <w:bCs/>
      <w:i/>
      <w:iCs/>
      <w:spacing w:val="5"/>
      <w:lang w:val="en-US"/>
    </w:rPr>
  </w:style>
  <w:style w:type="paragraph" w:styleId="Caption">
    <w:name w:val="caption"/>
    <w:basedOn w:val="Normal"/>
    <w:next w:val="Normal"/>
    <w:uiPriority w:val="99"/>
    <w:semiHidden/>
    <w:unhideWhenUsed/>
    <w:qFormat/>
    <w:rsid w:val="007843C0"/>
    <w:pPr>
      <w:spacing w:after="200"/>
    </w:pPr>
    <w:rPr>
      <w:i/>
      <w:iCs/>
      <w:color w:val="1F497D" w:themeColor="text2"/>
      <w:sz w:val="18"/>
      <w:szCs w:val="18"/>
    </w:rPr>
  </w:style>
  <w:style w:type="paragraph" w:styleId="Closing">
    <w:name w:val="Closing"/>
    <w:basedOn w:val="Normal"/>
    <w:link w:val="ClosingChar"/>
    <w:uiPriority w:val="99"/>
    <w:semiHidden/>
    <w:unhideWhenUsed/>
    <w:rsid w:val="007843C0"/>
    <w:pPr>
      <w:ind w:left="4252"/>
    </w:pPr>
  </w:style>
  <w:style w:type="character" w:customStyle="1" w:styleId="ClosingChar">
    <w:name w:val="Closing Char"/>
    <w:basedOn w:val="DefaultParagraphFont"/>
    <w:link w:val="Closing"/>
    <w:uiPriority w:val="99"/>
    <w:semiHidden/>
    <w:rsid w:val="007843C0"/>
    <w:rPr>
      <w:rFonts w:eastAsia="Times New Roman"/>
      <w:lang w:val="en-US" w:eastAsia="en-US"/>
    </w:rPr>
  </w:style>
  <w:style w:type="table" w:styleId="ColorfulGrid">
    <w:name w:val="Colorful Grid"/>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843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843C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843C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843C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843C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843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843C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843C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843C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843C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843C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843C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843C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843C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843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843C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843C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843C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843C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843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843C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843C0"/>
  </w:style>
  <w:style w:type="character" w:customStyle="1" w:styleId="DateChar">
    <w:name w:val="Date Char"/>
    <w:basedOn w:val="DefaultParagraphFont"/>
    <w:link w:val="Date"/>
    <w:uiPriority w:val="99"/>
    <w:semiHidden/>
    <w:rsid w:val="007843C0"/>
    <w:rPr>
      <w:rFonts w:eastAsia="Times New Roman"/>
      <w:lang w:val="en-US" w:eastAsia="en-US"/>
    </w:rPr>
  </w:style>
  <w:style w:type="paragraph" w:styleId="DocumentMap">
    <w:name w:val="Document Map"/>
    <w:basedOn w:val="Normal"/>
    <w:link w:val="DocumentMapChar"/>
    <w:uiPriority w:val="99"/>
    <w:semiHidden/>
    <w:unhideWhenUsed/>
    <w:rsid w:val="007843C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43C0"/>
    <w:rPr>
      <w:rFonts w:ascii="Segoe UI" w:eastAsia="Times New Roman" w:hAnsi="Segoe UI" w:cs="Segoe UI"/>
      <w:sz w:val="16"/>
      <w:szCs w:val="16"/>
      <w:lang w:val="en-US" w:eastAsia="en-US"/>
    </w:rPr>
  </w:style>
  <w:style w:type="paragraph" w:styleId="E-mailSignature">
    <w:name w:val="E-mail Signature"/>
    <w:basedOn w:val="Normal"/>
    <w:link w:val="E-mailSignatureChar"/>
    <w:uiPriority w:val="99"/>
    <w:semiHidden/>
    <w:unhideWhenUsed/>
    <w:rsid w:val="007843C0"/>
  </w:style>
  <w:style w:type="character" w:customStyle="1" w:styleId="E-mailSignatureChar">
    <w:name w:val="E-mail Signature Char"/>
    <w:basedOn w:val="DefaultParagraphFont"/>
    <w:link w:val="E-mailSignature"/>
    <w:uiPriority w:val="99"/>
    <w:semiHidden/>
    <w:rsid w:val="007843C0"/>
    <w:rPr>
      <w:rFonts w:eastAsia="Times New Roman"/>
      <w:lang w:val="en-US" w:eastAsia="en-US"/>
    </w:rPr>
  </w:style>
  <w:style w:type="character" w:styleId="Emphasis">
    <w:name w:val="Emphasis"/>
    <w:basedOn w:val="DefaultParagraphFont"/>
    <w:semiHidden/>
    <w:qFormat/>
    <w:rsid w:val="007843C0"/>
    <w:rPr>
      <w:i/>
      <w:iCs/>
      <w:lang w:val="en-US"/>
    </w:rPr>
  </w:style>
  <w:style w:type="character" w:styleId="EndnoteReference">
    <w:name w:val="endnote reference"/>
    <w:basedOn w:val="DefaultParagraphFont"/>
    <w:semiHidden/>
    <w:unhideWhenUsed/>
    <w:rsid w:val="007843C0"/>
    <w:rPr>
      <w:vertAlign w:val="superscript"/>
      <w:lang w:val="en-US"/>
    </w:rPr>
  </w:style>
  <w:style w:type="paragraph" w:styleId="EndnoteText">
    <w:name w:val="endnote text"/>
    <w:basedOn w:val="Normal"/>
    <w:link w:val="EndnoteTextChar"/>
    <w:uiPriority w:val="99"/>
    <w:semiHidden/>
    <w:unhideWhenUsed/>
    <w:rsid w:val="007843C0"/>
  </w:style>
  <w:style w:type="character" w:customStyle="1" w:styleId="EndnoteTextChar">
    <w:name w:val="Endnote Text Char"/>
    <w:basedOn w:val="DefaultParagraphFont"/>
    <w:link w:val="EndnoteText"/>
    <w:uiPriority w:val="99"/>
    <w:semiHidden/>
    <w:rsid w:val="007843C0"/>
    <w:rPr>
      <w:rFonts w:eastAsia="Times New Roman"/>
      <w:lang w:val="en-US" w:eastAsia="en-US"/>
    </w:rPr>
  </w:style>
  <w:style w:type="paragraph" w:styleId="EnvelopeAddress">
    <w:name w:val="envelope address"/>
    <w:basedOn w:val="Normal"/>
    <w:uiPriority w:val="99"/>
    <w:semiHidden/>
    <w:unhideWhenUsed/>
    <w:rsid w:val="007843C0"/>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semiHidden/>
    <w:unhideWhenUsed/>
    <w:rsid w:val="007843C0"/>
    <w:rPr>
      <w:rFonts w:asciiTheme="majorHAnsi" w:eastAsiaTheme="majorEastAsia" w:hAnsiTheme="majorHAnsi" w:cstheme="majorBidi"/>
    </w:rPr>
  </w:style>
  <w:style w:type="table" w:styleId="GridTable1Light">
    <w:name w:val="Grid Table 1 Light"/>
    <w:basedOn w:val="TableNormal"/>
    <w:uiPriority w:val="46"/>
    <w:rsid w:val="007843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843C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43C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843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843C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843C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843C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843C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843C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843C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843C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843C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843C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843C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84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84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84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84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84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84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84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84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84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84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84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84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84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84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843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843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843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843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843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843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843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843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843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843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843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843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843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843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7843C0"/>
    <w:rPr>
      <w:color w:val="2B579A"/>
      <w:shd w:val="clear" w:color="auto" w:fill="E1DFDD"/>
      <w:lang w:val="en-US"/>
    </w:rPr>
  </w:style>
  <w:style w:type="character" w:styleId="HTMLAcronym">
    <w:name w:val="HTML Acronym"/>
    <w:basedOn w:val="DefaultParagraphFont"/>
    <w:semiHidden/>
    <w:unhideWhenUsed/>
    <w:rsid w:val="007843C0"/>
    <w:rPr>
      <w:lang w:val="en-US"/>
    </w:rPr>
  </w:style>
  <w:style w:type="paragraph" w:styleId="HTMLAddress">
    <w:name w:val="HTML Address"/>
    <w:basedOn w:val="Normal"/>
    <w:link w:val="HTMLAddressChar"/>
    <w:semiHidden/>
    <w:unhideWhenUsed/>
    <w:rsid w:val="007843C0"/>
    <w:rPr>
      <w:i/>
      <w:iCs/>
    </w:rPr>
  </w:style>
  <w:style w:type="character" w:customStyle="1" w:styleId="HTMLAddressChar">
    <w:name w:val="HTML Address Char"/>
    <w:basedOn w:val="DefaultParagraphFont"/>
    <w:link w:val="HTMLAddress"/>
    <w:semiHidden/>
    <w:rsid w:val="007843C0"/>
    <w:rPr>
      <w:rFonts w:eastAsia="Times New Roman"/>
      <w:i/>
      <w:iCs/>
      <w:lang w:val="en-US" w:eastAsia="en-US"/>
    </w:rPr>
  </w:style>
  <w:style w:type="character" w:styleId="HTMLCite">
    <w:name w:val="HTML Cite"/>
    <w:basedOn w:val="DefaultParagraphFont"/>
    <w:semiHidden/>
    <w:unhideWhenUsed/>
    <w:rsid w:val="007843C0"/>
    <w:rPr>
      <w:i/>
      <w:iCs/>
      <w:lang w:val="en-US"/>
    </w:rPr>
  </w:style>
  <w:style w:type="character" w:styleId="HTMLCode">
    <w:name w:val="HTML Code"/>
    <w:basedOn w:val="DefaultParagraphFont"/>
    <w:semiHidden/>
    <w:unhideWhenUsed/>
    <w:rsid w:val="007843C0"/>
    <w:rPr>
      <w:rFonts w:ascii="Consolas" w:hAnsi="Consolas"/>
      <w:sz w:val="20"/>
      <w:szCs w:val="20"/>
      <w:lang w:val="en-US"/>
    </w:rPr>
  </w:style>
  <w:style w:type="character" w:styleId="HTMLDefinition">
    <w:name w:val="HTML Definition"/>
    <w:basedOn w:val="DefaultParagraphFont"/>
    <w:semiHidden/>
    <w:unhideWhenUsed/>
    <w:rsid w:val="007843C0"/>
    <w:rPr>
      <w:i/>
      <w:iCs/>
      <w:lang w:val="en-US"/>
    </w:rPr>
  </w:style>
  <w:style w:type="character" w:styleId="HTMLKeyboard">
    <w:name w:val="HTML Keyboard"/>
    <w:basedOn w:val="DefaultParagraphFont"/>
    <w:semiHidden/>
    <w:unhideWhenUsed/>
    <w:rsid w:val="007843C0"/>
    <w:rPr>
      <w:rFonts w:ascii="Consolas" w:hAnsi="Consolas"/>
      <w:sz w:val="20"/>
      <w:szCs w:val="20"/>
      <w:lang w:val="en-US"/>
    </w:rPr>
  </w:style>
  <w:style w:type="paragraph" w:styleId="HTMLPreformatted">
    <w:name w:val="HTML Preformatted"/>
    <w:basedOn w:val="Normal"/>
    <w:link w:val="HTMLPreformattedChar"/>
    <w:semiHidden/>
    <w:unhideWhenUsed/>
    <w:rsid w:val="007843C0"/>
    <w:rPr>
      <w:rFonts w:ascii="Consolas" w:hAnsi="Consolas"/>
    </w:rPr>
  </w:style>
  <w:style w:type="character" w:customStyle="1" w:styleId="HTMLPreformattedChar">
    <w:name w:val="HTML Preformatted Char"/>
    <w:basedOn w:val="DefaultParagraphFont"/>
    <w:link w:val="HTMLPreformatted"/>
    <w:semiHidden/>
    <w:rsid w:val="007843C0"/>
    <w:rPr>
      <w:rFonts w:ascii="Consolas" w:eastAsia="Times New Roman" w:hAnsi="Consolas"/>
      <w:lang w:val="en-US" w:eastAsia="en-US"/>
    </w:rPr>
  </w:style>
  <w:style w:type="character" w:styleId="HTMLSample">
    <w:name w:val="HTML Sample"/>
    <w:basedOn w:val="DefaultParagraphFont"/>
    <w:semiHidden/>
    <w:unhideWhenUsed/>
    <w:rsid w:val="007843C0"/>
    <w:rPr>
      <w:rFonts w:ascii="Consolas" w:hAnsi="Consolas"/>
      <w:sz w:val="24"/>
      <w:szCs w:val="24"/>
      <w:lang w:val="en-US"/>
    </w:rPr>
  </w:style>
  <w:style w:type="character" w:styleId="HTMLTypewriter">
    <w:name w:val="HTML Typewriter"/>
    <w:basedOn w:val="DefaultParagraphFont"/>
    <w:semiHidden/>
    <w:unhideWhenUsed/>
    <w:rsid w:val="007843C0"/>
    <w:rPr>
      <w:rFonts w:ascii="Consolas" w:hAnsi="Consolas"/>
      <w:sz w:val="20"/>
      <w:szCs w:val="20"/>
      <w:lang w:val="en-US"/>
    </w:rPr>
  </w:style>
  <w:style w:type="character" w:styleId="HTMLVariable">
    <w:name w:val="HTML Variable"/>
    <w:basedOn w:val="DefaultParagraphFont"/>
    <w:semiHidden/>
    <w:unhideWhenUsed/>
    <w:rsid w:val="007843C0"/>
    <w:rPr>
      <w:i/>
      <w:iCs/>
      <w:lang w:val="en-US"/>
    </w:rPr>
  </w:style>
  <w:style w:type="paragraph" w:styleId="Index1">
    <w:name w:val="index 1"/>
    <w:basedOn w:val="Normal"/>
    <w:next w:val="Normal"/>
    <w:autoRedefine/>
    <w:uiPriority w:val="99"/>
    <w:semiHidden/>
    <w:unhideWhenUsed/>
    <w:rsid w:val="007843C0"/>
    <w:pPr>
      <w:ind w:left="200" w:hanging="200"/>
    </w:pPr>
    <w:rPr>
      <w:lang w:val="en-US"/>
    </w:rPr>
  </w:style>
  <w:style w:type="paragraph" w:styleId="Index2">
    <w:name w:val="index 2"/>
    <w:basedOn w:val="Normal"/>
    <w:next w:val="Normal"/>
    <w:autoRedefine/>
    <w:uiPriority w:val="99"/>
    <w:semiHidden/>
    <w:unhideWhenUsed/>
    <w:rsid w:val="007843C0"/>
    <w:pPr>
      <w:ind w:left="400" w:hanging="200"/>
    </w:pPr>
  </w:style>
  <w:style w:type="paragraph" w:styleId="Index3">
    <w:name w:val="index 3"/>
    <w:basedOn w:val="Normal"/>
    <w:next w:val="Normal"/>
    <w:autoRedefine/>
    <w:uiPriority w:val="99"/>
    <w:semiHidden/>
    <w:unhideWhenUsed/>
    <w:rsid w:val="007843C0"/>
    <w:pPr>
      <w:ind w:left="600" w:hanging="200"/>
    </w:pPr>
  </w:style>
  <w:style w:type="paragraph" w:styleId="Index4">
    <w:name w:val="index 4"/>
    <w:basedOn w:val="Normal"/>
    <w:next w:val="Normal"/>
    <w:autoRedefine/>
    <w:uiPriority w:val="99"/>
    <w:semiHidden/>
    <w:unhideWhenUsed/>
    <w:rsid w:val="007843C0"/>
    <w:pPr>
      <w:ind w:left="800" w:hanging="200"/>
    </w:pPr>
  </w:style>
  <w:style w:type="paragraph" w:styleId="Index5">
    <w:name w:val="index 5"/>
    <w:basedOn w:val="Normal"/>
    <w:next w:val="Normal"/>
    <w:autoRedefine/>
    <w:uiPriority w:val="99"/>
    <w:semiHidden/>
    <w:unhideWhenUsed/>
    <w:rsid w:val="007843C0"/>
    <w:pPr>
      <w:ind w:left="1000" w:hanging="200"/>
    </w:pPr>
  </w:style>
  <w:style w:type="paragraph" w:styleId="Index6">
    <w:name w:val="index 6"/>
    <w:basedOn w:val="Normal"/>
    <w:next w:val="Normal"/>
    <w:autoRedefine/>
    <w:uiPriority w:val="99"/>
    <w:semiHidden/>
    <w:unhideWhenUsed/>
    <w:rsid w:val="007843C0"/>
    <w:pPr>
      <w:ind w:left="1200" w:hanging="200"/>
    </w:pPr>
  </w:style>
  <w:style w:type="paragraph" w:styleId="Index7">
    <w:name w:val="index 7"/>
    <w:basedOn w:val="Normal"/>
    <w:next w:val="Normal"/>
    <w:autoRedefine/>
    <w:uiPriority w:val="99"/>
    <w:semiHidden/>
    <w:unhideWhenUsed/>
    <w:rsid w:val="007843C0"/>
    <w:pPr>
      <w:ind w:left="1400" w:hanging="200"/>
    </w:pPr>
  </w:style>
  <w:style w:type="paragraph" w:styleId="Index8">
    <w:name w:val="index 8"/>
    <w:basedOn w:val="Normal"/>
    <w:next w:val="Normal"/>
    <w:autoRedefine/>
    <w:uiPriority w:val="99"/>
    <w:semiHidden/>
    <w:unhideWhenUsed/>
    <w:rsid w:val="007843C0"/>
    <w:pPr>
      <w:ind w:left="1600" w:hanging="200"/>
    </w:pPr>
  </w:style>
  <w:style w:type="paragraph" w:styleId="Index9">
    <w:name w:val="index 9"/>
    <w:basedOn w:val="Normal"/>
    <w:next w:val="Normal"/>
    <w:autoRedefine/>
    <w:uiPriority w:val="99"/>
    <w:semiHidden/>
    <w:unhideWhenUsed/>
    <w:rsid w:val="007843C0"/>
    <w:pPr>
      <w:ind w:left="1800" w:hanging="200"/>
    </w:pPr>
  </w:style>
  <w:style w:type="paragraph" w:styleId="IndexHeading">
    <w:name w:val="index heading"/>
    <w:basedOn w:val="Normal"/>
    <w:next w:val="Index1"/>
    <w:uiPriority w:val="99"/>
    <w:semiHidden/>
    <w:unhideWhenUsed/>
    <w:rsid w:val="007843C0"/>
    <w:rPr>
      <w:rFonts w:asciiTheme="majorHAnsi" w:eastAsiaTheme="majorEastAsia" w:hAnsiTheme="majorHAnsi" w:cstheme="majorBidi"/>
      <w:b/>
      <w:bCs/>
    </w:rPr>
  </w:style>
  <w:style w:type="character" w:styleId="IntenseEmphasis">
    <w:name w:val="Intense Emphasis"/>
    <w:basedOn w:val="DefaultParagraphFont"/>
    <w:uiPriority w:val="21"/>
    <w:qFormat/>
    <w:rsid w:val="007843C0"/>
    <w:rPr>
      <w:i/>
      <w:iCs/>
      <w:color w:val="4F81BD" w:themeColor="accent1"/>
      <w:lang w:val="en-US"/>
    </w:rPr>
  </w:style>
  <w:style w:type="paragraph" w:styleId="IntenseQuote">
    <w:name w:val="Intense Quote"/>
    <w:basedOn w:val="Normal"/>
    <w:next w:val="Normal"/>
    <w:link w:val="IntenseQuoteChar"/>
    <w:uiPriority w:val="30"/>
    <w:qFormat/>
    <w:rsid w:val="007843C0"/>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7843C0"/>
    <w:rPr>
      <w:rFonts w:eastAsia="Times New Roman"/>
      <w:i/>
      <w:iCs/>
      <w:color w:val="4F81BD" w:themeColor="accent1"/>
      <w:lang w:val="en-US" w:eastAsia="en-US"/>
    </w:rPr>
  </w:style>
  <w:style w:type="character" w:styleId="IntenseReference">
    <w:name w:val="Intense Reference"/>
    <w:basedOn w:val="DefaultParagraphFont"/>
    <w:uiPriority w:val="32"/>
    <w:qFormat/>
    <w:rsid w:val="007843C0"/>
    <w:rPr>
      <w:b/>
      <w:bCs/>
      <w:smallCaps/>
      <w:color w:val="4F81BD" w:themeColor="accent1"/>
      <w:spacing w:val="5"/>
      <w:lang w:val="en-US"/>
    </w:rPr>
  </w:style>
  <w:style w:type="table" w:styleId="LightGrid">
    <w:name w:val="Light Grid"/>
    <w:basedOn w:val="TableNormal"/>
    <w:uiPriority w:val="62"/>
    <w:semiHidden/>
    <w:unhideWhenUsed/>
    <w:rsid w:val="007843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843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843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843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843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843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843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843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843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843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843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843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843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843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843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843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843C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843C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843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843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843C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843C0"/>
    <w:rPr>
      <w:lang w:val="en-US"/>
    </w:rPr>
  </w:style>
  <w:style w:type="paragraph" w:styleId="List">
    <w:name w:val="List"/>
    <w:basedOn w:val="Normal"/>
    <w:uiPriority w:val="99"/>
    <w:semiHidden/>
    <w:unhideWhenUsed/>
    <w:rsid w:val="007843C0"/>
    <w:pPr>
      <w:ind w:left="283" w:hanging="283"/>
      <w:contextualSpacing/>
    </w:pPr>
    <w:rPr>
      <w:lang w:val="en-US"/>
    </w:rPr>
  </w:style>
  <w:style w:type="paragraph" w:styleId="List2">
    <w:name w:val="List 2"/>
    <w:basedOn w:val="Normal"/>
    <w:uiPriority w:val="99"/>
    <w:semiHidden/>
    <w:unhideWhenUsed/>
    <w:rsid w:val="007843C0"/>
    <w:pPr>
      <w:ind w:left="566" w:hanging="283"/>
      <w:contextualSpacing/>
    </w:pPr>
  </w:style>
  <w:style w:type="paragraph" w:styleId="List3">
    <w:name w:val="List 3"/>
    <w:basedOn w:val="Normal"/>
    <w:uiPriority w:val="99"/>
    <w:semiHidden/>
    <w:unhideWhenUsed/>
    <w:rsid w:val="007843C0"/>
    <w:pPr>
      <w:ind w:left="849" w:hanging="283"/>
      <w:contextualSpacing/>
    </w:pPr>
  </w:style>
  <w:style w:type="paragraph" w:styleId="List4">
    <w:name w:val="List 4"/>
    <w:basedOn w:val="Normal"/>
    <w:uiPriority w:val="99"/>
    <w:semiHidden/>
    <w:unhideWhenUsed/>
    <w:rsid w:val="007843C0"/>
    <w:pPr>
      <w:ind w:left="1132" w:hanging="283"/>
      <w:contextualSpacing/>
    </w:pPr>
  </w:style>
  <w:style w:type="paragraph" w:styleId="List5">
    <w:name w:val="List 5"/>
    <w:basedOn w:val="Normal"/>
    <w:uiPriority w:val="99"/>
    <w:semiHidden/>
    <w:unhideWhenUsed/>
    <w:rsid w:val="007843C0"/>
    <w:pPr>
      <w:ind w:left="1415" w:hanging="283"/>
      <w:contextualSpacing/>
    </w:pPr>
  </w:style>
  <w:style w:type="paragraph" w:styleId="ListBullet">
    <w:name w:val="List Bullet"/>
    <w:basedOn w:val="Normal"/>
    <w:uiPriority w:val="99"/>
    <w:semiHidden/>
    <w:rsid w:val="007843C0"/>
    <w:pPr>
      <w:numPr>
        <w:numId w:val="3"/>
      </w:numPr>
      <w:contextualSpacing/>
    </w:pPr>
    <w:rPr>
      <w:lang w:val="en-US"/>
    </w:rPr>
  </w:style>
  <w:style w:type="paragraph" w:styleId="ListBullet2">
    <w:name w:val="List Bullet 2"/>
    <w:basedOn w:val="Normal"/>
    <w:uiPriority w:val="99"/>
    <w:semiHidden/>
    <w:unhideWhenUsed/>
    <w:rsid w:val="007843C0"/>
    <w:pPr>
      <w:numPr>
        <w:numId w:val="4"/>
      </w:numPr>
      <w:contextualSpacing/>
    </w:pPr>
  </w:style>
  <w:style w:type="paragraph" w:styleId="ListBullet3">
    <w:name w:val="List Bullet 3"/>
    <w:basedOn w:val="Normal"/>
    <w:uiPriority w:val="99"/>
    <w:semiHidden/>
    <w:unhideWhenUsed/>
    <w:rsid w:val="007843C0"/>
    <w:pPr>
      <w:numPr>
        <w:numId w:val="5"/>
      </w:numPr>
      <w:contextualSpacing/>
    </w:pPr>
  </w:style>
  <w:style w:type="paragraph" w:styleId="ListBullet4">
    <w:name w:val="List Bullet 4"/>
    <w:basedOn w:val="Normal"/>
    <w:uiPriority w:val="99"/>
    <w:semiHidden/>
    <w:unhideWhenUsed/>
    <w:rsid w:val="007843C0"/>
    <w:pPr>
      <w:numPr>
        <w:numId w:val="6"/>
      </w:numPr>
      <w:contextualSpacing/>
    </w:pPr>
  </w:style>
  <w:style w:type="paragraph" w:styleId="ListBullet5">
    <w:name w:val="List Bullet 5"/>
    <w:basedOn w:val="Normal"/>
    <w:uiPriority w:val="99"/>
    <w:semiHidden/>
    <w:unhideWhenUsed/>
    <w:rsid w:val="007843C0"/>
    <w:pPr>
      <w:numPr>
        <w:numId w:val="7"/>
      </w:numPr>
      <w:contextualSpacing/>
    </w:pPr>
  </w:style>
  <w:style w:type="paragraph" w:styleId="ListContinue">
    <w:name w:val="List Continue"/>
    <w:basedOn w:val="Normal"/>
    <w:uiPriority w:val="99"/>
    <w:semiHidden/>
    <w:unhideWhenUsed/>
    <w:rsid w:val="007843C0"/>
    <w:pPr>
      <w:spacing w:after="120"/>
      <w:ind w:left="283"/>
      <w:contextualSpacing/>
    </w:pPr>
  </w:style>
  <w:style w:type="paragraph" w:styleId="ListContinue2">
    <w:name w:val="List Continue 2"/>
    <w:basedOn w:val="Normal"/>
    <w:uiPriority w:val="99"/>
    <w:semiHidden/>
    <w:unhideWhenUsed/>
    <w:rsid w:val="007843C0"/>
    <w:pPr>
      <w:spacing w:after="120"/>
      <w:ind w:left="566"/>
      <w:contextualSpacing/>
    </w:pPr>
  </w:style>
  <w:style w:type="paragraph" w:styleId="ListContinue3">
    <w:name w:val="List Continue 3"/>
    <w:basedOn w:val="Normal"/>
    <w:uiPriority w:val="99"/>
    <w:semiHidden/>
    <w:rsid w:val="007843C0"/>
    <w:pPr>
      <w:spacing w:after="120"/>
      <w:ind w:left="849"/>
      <w:contextualSpacing/>
    </w:pPr>
  </w:style>
  <w:style w:type="paragraph" w:styleId="ListContinue4">
    <w:name w:val="List Continue 4"/>
    <w:basedOn w:val="Normal"/>
    <w:uiPriority w:val="99"/>
    <w:semiHidden/>
    <w:rsid w:val="007843C0"/>
    <w:pPr>
      <w:spacing w:after="120"/>
      <w:ind w:left="1132"/>
      <w:contextualSpacing/>
    </w:pPr>
  </w:style>
  <w:style w:type="paragraph" w:styleId="ListContinue5">
    <w:name w:val="List Continue 5"/>
    <w:basedOn w:val="Normal"/>
    <w:uiPriority w:val="99"/>
    <w:semiHidden/>
    <w:rsid w:val="007843C0"/>
    <w:pPr>
      <w:spacing w:after="120"/>
      <w:ind w:left="1415"/>
      <w:contextualSpacing/>
    </w:pPr>
  </w:style>
  <w:style w:type="paragraph" w:styleId="ListNumber">
    <w:name w:val="List Number"/>
    <w:basedOn w:val="Normal"/>
    <w:uiPriority w:val="99"/>
    <w:semiHidden/>
    <w:rsid w:val="007843C0"/>
    <w:pPr>
      <w:numPr>
        <w:numId w:val="8"/>
      </w:numPr>
      <w:contextualSpacing/>
    </w:pPr>
  </w:style>
  <w:style w:type="paragraph" w:styleId="ListNumber2">
    <w:name w:val="List Number 2"/>
    <w:basedOn w:val="Normal"/>
    <w:uiPriority w:val="99"/>
    <w:semiHidden/>
    <w:unhideWhenUsed/>
    <w:rsid w:val="007843C0"/>
    <w:pPr>
      <w:numPr>
        <w:numId w:val="9"/>
      </w:numPr>
      <w:contextualSpacing/>
    </w:pPr>
  </w:style>
  <w:style w:type="paragraph" w:styleId="ListNumber3">
    <w:name w:val="List Number 3"/>
    <w:basedOn w:val="Normal"/>
    <w:uiPriority w:val="99"/>
    <w:semiHidden/>
    <w:unhideWhenUsed/>
    <w:rsid w:val="007843C0"/>
    <w:pPr>
      <w:numPr>
        <w:numId w:val="10"/>
      </w:numPr>
      <w:contextualSpacing/>
    </w:pPr>
  </w:style>
  <w:style w:type="paragraph" w:styleId="ListNumber4">
    <w:name w:val="List Number 4"/>
    <w:basedOn w:val="Normal"/>
    <w:uiPriority w:val="99"/>
    <w:semiHidden/>
    <w:unhideWhenUsed/>
    <w:rsid w:val="007843C0"/>
    <w:pPr>
      <w:numPr>
        <w:numId w:val="11"/>
      </w:numPr>
      <w:contextualSpacing/>
    </w:pPr>
  </w:style>
  <w:style w:type="paragraph" w:styleId="ListNumber5">
    <w:name w:val="List Number 5"/>
    <w:basedOn w:val="Normal"/>
    <w:uiPriority w:val="99"/>
    <w:semiHidden/>
    <w:unhideWhenUsed/>
    <w:rsid w:val="007843C0"/>
    <w:pPr>
      <w:numPr>
        <w:numId w:val="12"/>
      </w:numPr>
      <w:contextualSpacing/>
    </w:pPr>
  </w:style>
  <w:style w:type="table" w:styleId="ListTable1Light">
    <w:name w:val="List Table 1 Light"/>
    <w:basedOn w:val="TableNormal"/>
    <w:uiPriority w:val="46"/>
    <w:rsid w:val="007843C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843C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843C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843C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843C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843C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843C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843C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843C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843C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843C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843C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843C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843C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843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843C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843C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843C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843C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843C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843C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84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84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84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84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84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84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84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843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843C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843C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843C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843C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843C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843C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843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843C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843C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843C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843C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843C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843C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843C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843C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843C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843C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843C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843C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843C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843C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uiPriority w:val="99"/>
    <w:semiHidden/>
    <w:rsid w:val="007843C0"/>
    <w:rPr>
      <w:rFonts w:ascii="Consolas" w:eastAsia="Times New Roman" w:hAnsi="Consolas"/>
      <w:lang w:val="en-US" w:eastAsia="en-US"/>
    </w:rPr>
  </w:style>
  <w:style w:type="table" w:styleId="MediumGrid1">
    <w:name w:val="Medium Grid 1"/>
    <w:basedOn w:val="TableNormal"/>
    <w:uiPriority w:val="67"/>
    <w:semiHidden/>
    <w:unhideWhenUsed/>
    <w:rsid w:val="007843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843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843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843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843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843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843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843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843C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843C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843C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843C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843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843C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843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843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843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843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843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843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843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7843C0"/>
    <w:rPr>
      <w:color w:val="2B579A"/>
      <w:shd w:val="clear" w:color="auto" w:fill="E1DFDD"/>
      <w:lang w:val="en-US"/>
    </w:rPr>
  </w:style>
  <w:style w:type="paragraph" w:styleId="MessageHeader">
    <w:name w:val="Message Header"/>
    <w:basedOn w:val="Normal"/>
    <w:link w:val="MessageHeaderChar"/>
    <w:uiPriority w:val="99"/>
    <w:semiHidden/>
    <w:rsid w:val="007843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843C0"/>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unhideWhenUsed/>
    <w:rsid w:val="007843C0"/>
    <w:pPr>
      <w:ind w:left="720"/>
    </w:pPr>
    <w:rPr>
      <w:lang w:val="en-US"/>
    </w:rPr>
  </w:style>
  <w:style w:type="paragraph" w:styleId="NoteHeading">
    <w:name w:val="Note Heading"/>
    <w:basedOn w:val="Normal"/>
    <w:next w:val="Normal"/>
    <w:link w:val="NoteHeadingChar"/>
    <w:uiPriority w:val="99"/>
    <w:semiHidden/>
    <w:unhideWhenUsed/>
    <w:rsid w:val="007843C0"/>
  </w:style>
  <w:style w:type="character" w:customStyle="1" w:styleId="NoteHeadingChar">
    <w:name w:val="Note Heading Char"/>
    <w:basedOn w:val="DefaultParagraphFont"/>
    <w:link w:val="NoteHeading"/>
    <w:uiPriority w:val="99"/>
    <w:semiHidden/>
    <w:rsid w:val="007843C0"/>
    <w:rPr>
      <w:rFonts w:eastAsia="Times New Roman"/>
      <w:lang w:val="en-US" w:eastAsia="en-US"/>
    </w:rPr>
  </w:style>
  <w:style w:type="table" w:styleId="PlainTable1">
    <w:name w:val="Plain Table 1"/>
    <w:basedOn w:val="TableNormal"/>
    <w:uiPriority w:val="41"/>
    <w:rsid w:val="007843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843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843C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843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843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843C0"/>
    <w:rPr>
      <w:rFonts w:ascii="Consolas" w:hAnsi="Consolas"/>
      <w:sz w:val="21"/>
      <w:szCs w:val="21"/>
    </w:rPr>
  </w:style>
  <w:style w:type="character" w:customStyle="1" w:styleId="PlainTextChar">
    <w:name w:val="Plain Text Char"/>
    <w:basedOn w:val="DefaultParagraphFont"/>
    <w:link w:val="PlainText"/>
    <w:uiPriority w:val="99"/>
    <w:semiHidden/>
    <w:rsid w:val="007843C0"/>
    <w:rPr>
      <w:rFonts w:ascii="Consolas" w:eastAsia="Times New Roman" w:hAnsi="Consolas"/>
      <w:sz w:val="21"/>
      <w:szCs w:val="21"/>
      <w:lang w:val="en-US" w:eastAsia="en-US"/>
    </w:rPr>
  </w:style>
  <w:style w:type="paragraph" w:styleId="Quote">
    <w:name w:val="Quote"/>
    <w:basedOn w:val="Normal"/>
    <w:next w:val="Normal"/>
    <w:link w:val="QuoteChar"/>
    <w:uiPriority w:val="29"/>
    <w:qFormat/>
    <w:rsid w:val="007843C0"/>
    <w:pPr>
      <w:spacing w:before="200" w:after="16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7843C0"/>
    <w:rPr>
      <w:rFonts w:eastAsia="Times New Roman"/>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7843C0"/>
  </w:style>
  <w:style w:type="character" w:customStyle="1" w:styleId="SalutationChar">
    <w:name w:val="Salutation Char"/>
    <w:basedOn w:val="DefaultParagraphFont"/>
    <w:link w:val="Salutation"/>
    <w:uiPriority w:val="99"/>
    <w:semiHidden/>
    <w:rsid w:val="007843C0"/>
    <w:rPr>
      <w:rFonts w:eastAsia="Times New Roman"/>
      <w:lang w:val="en-US" w:eastAsia="en-US"/>
    </w:rPr>
  </w:style>
  <w:style w:type="paragraph" w:styleId="Signature">
    <w:name w:val="Signature"/>
    <w:basedOn w:val="Normal"/>
    <w:link w:val="SignatureChar"/>
    <w:uiPriority w:val="99"/>
    <w:semiHidden/>
    <w:unhideWhenUsed/>
    <w:rsid w:val="007843C0"/>
    <w:pPr>
      <w:ind w:left="4252"/>
    </w:pPr>
  </w:style>
  <w:style w:type="character" w:customStyle="1" w:styleId="SignatureChar">
    <w:name w:val="Signature Char"/>
    <w:basedOn w:val="DefaultParagraphFont"/>
    <w:link w:val="Signature"/>
    <w:uiPriority w:val="99"/>
    <w:semiHidden/>
    <w:rsid w:val="007843C0"/>
    <w:rPr>
      <w:rFonts w:eastAsia="Times New Roman"/>
      <w:lang w:val="en-US" w:eastAsia="en-US"/>
    </w:rPr>
  </w:style>
  <w:style w:type="character" w:styleId="SmartHyperlink">
    <w:name w:val="Smart Hyperlink"/>
    <w:basedOn w:val="DefaultParagraphFont"/>
    <w:uiPriority w:val="99"/>
    <w:semiHidden/>
    <w:rsid w:val="007843C0"/>
    <w:rPr>
      <w:u w:val="dotted"/>
      <w:lang w:val="en-US"/>
    </w:rPr>
  </w:style>
  <w:style w:type="character" w:styleId="SmartLink">
    <w:name w:val="Smart Link"/>
    <w:basedOn w:val="DefaultParagraphFont"/>
    <w:uiPriority w:val="99"/>
    <w:semiHidden/>
    <w:unhideWhenUsed/>
    <w:rsid w:val="007843C0"/>
    <w:rPr>
      <w:color w:val="0000FF"/>
      <w:u w:val="single"/>
      <w:shd w:val="clear" w:color="auto" w:fill="F3F2F1"/>
      <w:lang w:val="en-US"/>
    </w:rPr>
  </w:style>
  <w:style w:type="character" w:styleId="Strong">
    <w:name w:val="Strong"/>
    <w:basedOn w:val="DefaultParagraphFont"/>
    <w:semiHidden/>
    <w:qFormat/>
    <w:rsid w:val="007843C0"/>
    <w:rPr>
      <w:b/>
      <w:bCs/>
      <w:lang w:val="en-US"/>
    </w:rPr>
  </w:style>
  <w:style w:type="paragraph" w:styleId="Subtitle">
    <w:name w:val="Subtitle"/>
    <w:basedOn w:val="Normal"/>
    <w:next w:val="Normal"/>
    <w:link w:val="SubtitleChar"/>
    <w:uiPriority w:val="99"/>
    <w:qFormat/>
    <w:rsid w:val="007843C0"/>
    <w:pPr>
      <w:numPr>
        <w:ilvl w:val="1"/>
      </w:numPr>
      <w:spacing w:after="160"/>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99"/>
    <w:rsid w:val="007843C0"/>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7843C0"/>
    <w:rPr>
      <w:i/>
      <w:iCs/>
      <w:color w:val="404040" w:themeColor="text1" w:themeTint="BF"/>
      <w:lang w:val="en-US"/>
    </w:rPr>
  </w:style>
  <w:style w:type="character" w:styleId="SubtleReference">
    <w:name w:val="Subtle Reference"/>
    <w:basedOn w:val="DefaultParagraphFont"/>
    <w:uiPriority w:val="31"/>
    <w:qFormat/>
    <w:rsid w:val="007843C0"/>
    <w:rPr>
      <w:smallCaps/>
      <w:color w:val="5A5A5A" w:themeColor="text1" w:themeTint="A5"/>
      <w:lang w:val="en-US"/>
    </w:rPr>
  </w:style>
  <w:style w:type="table" w:styleId="Table3Deffects1">
    <w:name w:val="Table 3D effects 1"/>
    <w:basedOn w:val="TableNormal"/>
    <w:semiHidden/>
    <w:unhideWhenUsed/>
    <w:rsid w:val="007843C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843C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843C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843C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843C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843C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843C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843C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843C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843C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843C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843C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843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843C0"/>
    <w:pPr>
      <w:ind w:left="200" w:hanging="200"/>
    </w:pPr>
  </w:style>
  <w:style w:type="table" w:styleId="TableProfessional">
    <w:name w:val="Table Professional"/>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843C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843C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843C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843C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843C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7843C0"/>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99"/>
    <w:rsid w:val="007843C0"/>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uiPriority w:val="99"/>
    <w:semiHidden/>
    <w:unhideWhenUsed/>
    <w:rsid w:val="007843C0"/>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843C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paragraph" w:styleId="Revision">
    <w:name w:val="Revision"/>
    <w:hidden/>
    <w:uiPriority w:val="99"/>
    <w:semiHidden/>
    <w:rsid w:val="002E1DF2"/>
    <w:rPr>
      <w:rFonts w:eastAsia="Times New Roman"/>
      <w:lang w:val="en-US" w:eastAsia="en-US"/>
    </w:rPr>
  </w:style>
  <w:style w:type="character" w:customStyle="1" w:styleId="CH2Char">
    <w:name w:val="CH2 Char"/>
    <w:link w:val="CH2"/>
    <w:locked/>
    <w:rsid w:val="007A01CC"/>
    <w:rPr>
      <w:rFonts w:eastAsia="Times New Roman"/>
      <w:b/>
      <w:sz w:val="24"/>
      <w:szCs w:val="24"/>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7A01CC"/>
    <w:pPr>
      <w:spacing w:after="160" w:line="240" w:lineRule="exact"/>
    </w:pPr>
    <w:rPr>
      <w:rFonts w:eastAsia="SimSun"/>
      <w:szCs w:val="18"/>
      <w:vertAlign w:val="superscript"/>
      <w:lang w:eastAsia="zh-CN"/>
    </w:rPr>
  </w:style>
  <w:style w:type="paragraph" w:customStyle="1" w:styleId="msonormal0">
    <w:name w:val="msonormal"/>
    <w:basedOn w:val="Normal"/>
    <w:uiPriority w:val="99"/>
    <w:semiHidden/>
    <w:rsid w:val="007A01CC"/>
    <w:pPr>
      <w:spacing w:before="100" w:beforeAutospacing="1" w:after="100" w:afterAutospacing="1"/>
    </w:pPr>
    <w:rPr>
      <w:rFonts w:eastAsiaTheme="minorEastAsia"/>
    </w:rPr>
  </w:style>
  <w:style w:type="character" w:customStyle="1" w:styleId="SmartLink1">
    <w:name w:val="SmartLink1"/>
    <w:basedOn w:val="DefaultParagraphFont"/>
    <w:uiPriority w:val="99"/>
    <w:semiHidden/>
    <w:rsid w:val="007A01CC"/>
    <w:rPr>
      <w:color w:val="0000FF"/>
      <w:u w:val="single"/>
      <w:shd w:val="clear" w:color="auto" w:fill="F3F2F1"/>
      <w:lang w:val="en-US"/>
    </w:rPr>
  </w:style>
  <w:style w:type="character" w:customStyle="1" w:styleId="preferred">
    <w:name w:val="preferred"/>
    <w:basedOn w:val="DefaultParagraphFont"/>
    <w:semiHidden/>
    <w:rsid w:val="007A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7883862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240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impact-tracking-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2023-12-20T11:04:21+00:00</Uploadeddate>
  </documentManagement>
</p:properties>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683496C3-137B-4EBA-B035-C142C322ABA5}"/>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 ds:uri="44b29a07-ae0c-4297-aad9-2f7ae2e24b8e"/>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PlainPage_EN.dotm</Template>
  <TotalTime>8</TotalTime>
  <Pages>66</Pages>
  <Words>29014</Words>
  <Characters>162773</Characters>
  <Application>Microsoft Office Word</Application>
  <DocSecurity>0</DocSecurity>
  <PresentationFormat/>
  <Lines>4069</Lines>
  <Paragraphs>2179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Veronica  Gathu</cp:lastModifiedBy>
  <cp:revision>6</cp:revision>
  <cp:lastPrinted>2023-11-08T07:04:00Z</cp:lastPrinted>
  <dcterms:created xsi:type="dcterms:W3CDTF">2023-11-08T06:24:00Z</dcterms:created>
  <dcterms:modified xsi:type="dcterms:W3CDTF">2023-11-08T07:04:00Z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MediaServiceImageTags">
    <vt:lpwstr/>
  </property>
  <property fmtid="{D5CDD505-2E9C-101B-9397-08002B2CF9AE}" pid="10" name="ContentTypeId">
    <vt:lpwstr>0x010100A8527E0A0837F64083645E115EB57567</vt:lpwstr>
  </property>
  <property fmtid="{D5CDD505-2E9C-101B-9397-08002B2CF9AE}" pid="11" name="UNONDCSTES-Distr">
    <vt:lpwstr>Gen</vt:lpwstr>
  </property>
</Properties>
</file>