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012B58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37CB1C0D" w:rsidR="00A56462" w:rsidRPr="00936D3C" w:rsidRDefault="00A56462" w:rsidP="00012B58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936D3C">
              <w:rPr>
                <w:lang w:val="en-US"/>
              </w:rPr>
              <w:t>9</w:t>
            </w:r>
          </w:p>
        </w:tc>
      </w:tr>
    </w:tbl>
    <w:p w14:paraId="1078FF35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936D3C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62A384EB" w:rsidR="00A56462" w:rsidRPr="00A56462" w:rsidRDefault="00A56462" w:rsidP="00012B58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 xml:space="preserve">научно-политическая </w:t>
            </w:r>
            <w:r w:rsidRPr="00A56462">
              <w:br/>
              <w:t xml:space="preserve">платформа по </w:t>
            </w:r>
            <w:r w:rsidRPr="00A56462">
              <w:br/>
              <w:t xml:space="preserve">биоразнообразию и </w:t>
            </w:r>
            <w:r w:rsidRPr="00A56462">
              <w:br/>
              <w:t>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A201E4">
              <w:rPr>
                <w:lang w:val="en-GB"/>
              </w:rPr>
              <w:t xml:space="preserve">Distr.: </w:t>
            </w:r>
            <w:r w:rsidR="0060263E">
              <w:rPr>
                <w:lang w:val="es-ES"/>
              </w:rPr>
              <w:t>General</w:t>
            </w:r>
            <w:r w:rsidRPr="00A201E4">
              <w:rPr>
                <w:lang w:val="en-GB"/>
              </w:rPr>
              <w:t xml:space="preserve"> </w:t>
            </w:r>
          </w:p>
          <w:p w14:paraId="00A1914E" w14:textId="374A83D6" w:rsidR="00A56462" w:rsidRPr="00A201E4" w:rsidRDefault="00A201E4" w:rsidP="00012B58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bookmarkStart w:id="2" w:name="DistributionDate"/>
            <w:r w:rsidRPr="00FC7A88">
              <w:rPr>
                <w:lang w:val="en-GB"/>
              </w:rPr>
              <w:t>1</w:t>
            </w:r>
            <w:r w:rsidR="00BA46CB">
              <w:rPr>
                <w:lang w:val="en-GB"/>
              </w:rPr>
              <w:t>8</w:t>
            </w:r>
            <w:r w:rsidRPr="00FC7A88">
              <w:rPr>
                <w:lang w:val="en-GB"/>
              </w:rPr>
              <w:t xml:space="preserve"> May 2023</w:t>
            </w:r>
            <w:bookmarkEnd w:id="2"/>
          </w:p>
          <w:p w14:paraId="5CD84FB9" w14:textId="77777777" w:rsidR="0060263E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3" w:name="DistributionLang"/>
            <w:r w:rsidRPr="00A201E4">
              <w:rPr>
                <w:lang w:val="en-GB"/>
              </w:rPr>
              <w:t xml:space="preserve">Russian </w:t>
            </w:r>
          </w:p>
          <w:p w14:paraId="673E2DFF" w14:textId="325E0AFD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A201E4">
              <w:rPr>
                <w:lang w:val="en-GB"/>
              </w:rPr>
              <w:t>Original: English</w:t>
            </w:r>
            <w:bookmarkEnd w:id="3"/>
          </w:p>
        </w:tc>
      </w:tr>
    </w:tbl>
    <w:p w14:paraId="27D1F908" w14:textId="77777777" w:rsidR="00A56462" w:rsidRPr="00A201E4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56462" w:rsidRPr="00A56462" w14:paraId="4CEC0E8F" w14:textId="77777777" w:rsidTr="005D4931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7FC4FA71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012B58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4"/>
            <w:r w:rsidRPr="00A56462">
              <w:t xml:space="preserve"> </w:t>
            </w:r>
          </w:p>
          <w:p w14:paraId="03C71D56" w14:textId="22CCA60B" w:rsidR="00A56462" w:rsidRPr="00A56462" w:rsidRDefault="00A56462" w:rsidP="00012B58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VenueDate"/>
            <w:r w:rsidRPr="00A56462">
              <w:t>Бонн, Германия, 28 августа – 2 сентября 2023 года</w:t>
            </w:r>
            <w:bookmarkEnd w:id="5"/>
          </w:p>
          <w:p w14:paraId="38E909B8" w14:textId="68F53A43" w:rsidR="00A6279E" w:rsidRPr="00D76D36" w:rsidRDefault="00A56462" w:rsidP="00A6279E">
            <w:pPr>
              <w:pStyle w:val="AATitle1"/>
            </w:pPr>
            <w:bookmarkStart w:id="6" w:name="CorNot1AgItem"/>
            <w:r w:rsidRPr="00A56462">
              <w:t xml:space="preserve">Пункт </w:t>
            </w:r>
            <w:r w:rsidR="00BA46CB" w:rsidRPr="00656D2C">
              <w:t>9</w:t>
            </w:r>
            <w:r w:rsidRPr="00A56462">
              <w:t xml:space="preserve"> предварительной повестки дня</w:t>
            </w:r>
            <w:bookmarkEnd w:id="6"/>
            <w:r w:rsidR="00943F1C" w:rsidRPr="00656D2C">
              <w:rPr>
                <w:szCs w:val="18"/>
              </w:rPr>
              <w:footnoteReference w:customMarkFollows="1" w:id="1"/>
              <w:t>*</w:t>
            </w:r>
          </w:p>
          <w:p w14:paraId="3C9A55C9" w14:textId="7068FFE9" w:rsidR="00A56462" w:rsidRPr="00A56462" w:rsidRDefault="00656D2C" w:rsidP="00012B58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>
              <w:rPr>
                <w:bCs/>
              </w:rPr>
              <w:t>Повышение эффективности Платформы</w:t>
            </w:r>
            <w:bookmarkEnd w:id="7"/>
          </w:p>
        </w:tc>
        <w:tc>
          <w:tcPr>
            <w:tcW w:w="4109" w:type="dxa"/>
            <w:shd w:val="clear" w:color="auto" w:fill="auto"/>
          </w:tcPr>
          <w:p w14:paraId="07D9E327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7E7E869F" w14:textId="77777777" w:rsidR="00656D2C" w:rsidRPr="00656D2C" w:rsidRDefault="00656D2C" w:rsidP="0055394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</w:rPr>
      </w:pPr>
      <w:r w:rsidRPr="00656D2C">
        <w:rPr>
          <w:b/>
          <w:bCs/>
          <w:sz w:val="28"/>
          <w:szCs w:val="28"/>
        </w:rPr>
        <w:t>Повышение эффективности Платформы</w:t>
      </w:r>
    </w:p>
    <w:p w14:paraId="56FF6ACF" w14:textId="0BF45B55" w:rsidR="00656D2C" w:rsidRPr="00656D2C" w:rsidRDefault="00656D2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</w:rPr>
      </w:pPr>
      <w:r w:rsidRPr="00656D2C">
        <w:rPr>
          <w:b/>
          <w:bCs/>
          <w:sz w:val="24"/>
          <w:szCs w:val="24"/>
        </w:rPr>
        <w:tab/>
        <w:t>Записка секретариата</w:t>
      </w:r>
    </w:p>
    <w:p w14:paraId="1FB17A84" w14:textId="57FE2C74" w:rsidR="00656D2C" w:rsidRPr="00656D2C" w:rsidRDefault="00656D2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656D2C">
        <w:rPr>
          <w:b/>
          <w:bCs/>
          <w:sz w:val="28"/>
          <w:szCs w:val="28"/>
        </w:rPr>
        <w:tab/>
        <w:t>Введение</w:t>
      </w:r>
    </w:p>
    <w:p w14:paraId="76B5E255" w14:textId="0C0113A7" w:rsidR="00656D2C" w:rsidRPr="00656D2C" w:rsidRDefault="00553947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553947">
        <w:t>1.</w:t>
      </w:r>
      <w:r>
        <w:tab/>
      </w:r>
      <w:r w:rsidR="00656D2C" w:rsidRPr="00656D2C">
        <w:t>В решении МПБЭУ-7/1 Пленум Межправительственной научно-политической платформы по биоразнообразию и экосистемным услугам (МПБЭУ) принял скользящую программу работы МПБЭУ на период до 2030 года, включающую шесть целей. Цель 6 «Повышение эффективности Платформы» заключается в обеспечении проведения регулярных внутреннего и внешнего обзоров эффективности МПБЭУ посредством следующего:</w:t>
      </w:r>
    </w:p>
    <w:p w14:paraId="3AB8C28D" w14:textId="536A70C7" w:rsidR="00656D2C" w:rsidRPr="00656D2C" w:rsidRDefault="00111587" w:rsidP="001115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111587">
        <w:t>)</w:t>
      </w:r>
      <w:r>
        <w:tab/>
      </w:r>
      <w:r w:rsidRPr="00656D2C">
        <w:rPr>
          <w:i/>
          <w:iCs/>
        </w:rPr>
        <w:t xml:space="preserve">периодический </w:t>
      </w:r>
      <w:r w:rsidR="00656D2C" w:rsidRPr="00656D2C">
        <w:rPr>
          <w:i/>
          <w:iCs/>
        </w:rPr>
        <w:t>обзор эффективности МПБЭУ</w:t>
      </w:r>
      <w:r w:rsidRPr="00111587">
        <w:t>.</w:t>
      </w:r>
      <w:r w:rsidR="00656D2C" w:rsidRPr="00656D2C">
        <w:t xml:space="preserve"> Эта цель направлена на то, чтобы скользящая программа работы на период до 2030 года осуществлялась с учетом результатов обзора первой программы работы, а также на разработку процедуры для проведения промежуточного и окончательного обзор</w:t>
      </w:r>
      <w:r w:rsidR="00BE34B2">
        <w:t>ов</w:t>
      </w:r>
      <w:r w:rsidR="00656D2C" w:rsidRPr="00656D2C">
        <w:t xml:space="preserve"> скользящей программы работы на период до 2030</w:t>
      </w:r>
      <w:r>
        <w:rPr>
          <w:lang w:val="en-US"/>
        </w:rPr>
        <w:t> </w:t>
      </w:r>
      <w:r w:rsidR="00656D2C" w:rsidRPr="00656D2C">
        <w:t>года;</w:t>
      </w:r>
    </w:p>
    <w:p w14:paraId="5D0C75CF" w14:textId="670FDE62" w:rsidR="00656D2C" w:rsidRPr="00656D2C" w:rsidRDefault="00111587" w:rsidP="001115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111587">
        <w:t>)</w:t>
      </w:r>
      <w:r>
        <w:tab/>
      </w:r>
      <w:r w:rsidRPr="00111587">
        <w:rPr>
          <w:i/>
          <w:iCs/>
        </w:rPr>
        <w:t xml:space="preserve">обзор </w:t>
      </w:r>
      <w:r w:rsidR="00656D2C" w:rsidRPr="00656D2C">
        <w:rPr>
          <w:i/>
          <w:iCs/>
        </w:rPr>
        <w:t>концептуальных рамок МПБЭУ</w:t>
      </w:r>
      <w:r w:rsidRPr="00111587">
        <w:rPr>
          <w:i/>
          <w:iCs/>
        </w:rPr>
        <w:t>.</w:t>
      </w:r>
      <w:r w:rsidR="00656D2C" w:rsidRPr="00656D2C">
        <w:t xml:space="preserve"> Эта цель направлена на обеспечение обзора использования и воздействия концептуальных рамок МПБЭУ с учетом эволюции скользящей программы работы;</w:t>
      </w:r>
    </w:p>
    <w:p w14:paraId="42107731" w14:textId="5E2A5D21" w:rsidR="00656D2C" w:rsidRPr="00656D2C" w:rsidRDefault="00111587" w:rsidP="001115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111587">
        <w:t>)</w:t>
      </w:r>
      <w:r>
        <w:tab/>
      </w:r>
      <w:r w:rsidRPr="00111587">
        <w:rPr>
          <w:i/>
          <w:iCs/>
        </w:rPr>
        <w:t xml:space="preserve">повышение </w:t>
      </w:r>
      <w:r w:rsidR="00656D2C" w:rsidRPr="00656D2C">
        <w:rPr>
          <w:i/>
          <w:iCs/>
        </w:rPr>
        <w:t>эффективности процесса оценки</w:t>
      </w:r>
      <w:r w:rsidRPr="00111587">
        <w:t>.</w:t>
      </w:r>
      <w:r w:rsidR="00656D2C" w:rsidRPr="00656D2C">
        <w:t xml:space="preserve"> Эта цель направлена на то, чтобы авторы и другие участники завершенных оценок делились опытом с теми, кто будет проводить оценки в будущем, и оказывали им консультативную поддержку.</w:t>
      </w:r>
    </w:p>
    <w:p w14:paraId="0CB96959" w14:textId="6A8175C9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C79A4">
        <w:t>2.</w:t>
      </w:r>
      <w:r>
        <w:tab/>
      </w:r>
      <w:r w:rsidR="00656D2C" w:rsidRPr="00656D2C">
        <w:t>В разделах I и II настоящей записки представлены действия, предпринятые для достижения целей 6 a) и 6 c), изложенных выше, а также решения, принятые на седьмой, восьмой и девятой сессиях Пленума, которые касаются этих целей. В приложении содержится пересмотренный проект положения о проведении среднесрочного обзора скользящей программы работы МПБЭУ на период до 2030 года. Проект решения по этому пункту изложен в документе IPBES/10/1/Add.2.</w:t>
      </w:r>
    </w:p>
    <w:p w14:paraId="400B26F1" w14:textId="2425499F" w:rsidR="00656D2C" w:rsidRPr="00656D2C" w:rsidRDefault="008C79A4" w:rsidP="008C79A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8C79A4">
        <w:t>3.</w:t>
      </w:r>
      <w:r>
        <w:tab/>
      </w:r>
      <w:r w:rsidR="00656D2C" w:rsidRPr="00656D2C">
        <w:t>Что касается цели 6 b), обзора концептуальных рамок МПБЭУ, то Пленум с удовлетворением отметил в решении МПБЭУ-9/1 записку Бюро и Многодисциплинарной группы экспертов об использовании и воздействии концептуальных рамок Платформы</w:t>
      </w:r>
      <w:r w:rsidR="00656D2C" w:rsidRPr="00656D2C">
        <w:rPr>
          <w:vertAlign w:val="superscript"/>
        </w:rPr>
        <w:footnoteReference w:id="2"/>
      </w:r>
      <w:r w:rsidR="00656D2C" w:rsidRPr="00656D2C">
        <w:t xml:space="preserve"> предложил Многодисциплинарной группе экспертов и Бюро учитывать выводы, </w:t>
      </w:r>
      <w:r w:rsidR="00656D2C" w:rsidRPr="00656D2C">
        <w:lastRenderedPageBreak/>
        <w:t>представленные в этой записке, при поддержке применения концептуальных рамок экспертами МПБЭУ и другими лицами и обеспечении рекомендаций в их отношении.</w:t>
      </w:r>
    </w:p>
    <w:p w14:paraId="06E1BA74" w14:textId="4749371D" w:rsidR="00656D2C" w:rsidRPr="00656D2C" w:rsidRDefault="008C79A4" w:rsidP="008C79A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I.</w:t>
      </w:r>
      <w:r w:rsidR="00656D2C" w:rsidRPr="00656D2C">
        <w:rPr>
          <w:b/>
          <w:bCs/>
          <w:sz w:val="28"/>
          <w:szCs w:val="28"/>
        </w:rPr>
        <w:tab/>
        <w:t>Периодический обзор эффективности</w:t>
      </w:r>
    </w:p>
    <w:p w14:paraId="1CBAB1E2" w14:textId="60A7EE6C" w:rsidR="00656D2C" w:rsidRPr="00656D2C" w:rsidRDefault="008C79A4" w:rsidP="008C79A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bookmarkStart w:id="8" w:name="_Hlk98343749"/>
      <w:r>
        <w:rPr>
          <w:b/>
          <w:bCs/>
          <w:sz w:val="24"/>
          <w:szCs w:val="24"/>
        </w:rPr>
        <w:tab/>
      </w:r>
      <w:r w:rsidR="00656D2C" w:rsidRPr="00656D2C">
        <w:rPr>
          <w:b/>
          <w:bCs/>
          <w:sz w:val="24"/>
          <w:szCs w:val="24"/>
        </w:rPr>
        <w:t>A.</w:t>
      </w:r>
      <w:r w:rsidR="00656D2C" w:rsidRPr="00656D2C">
        <w:rPr>
          <w:b/>
          <w:bCs/>
          <w:sz w:val="24"/>
          <w:szCs w:val="24"/>
        </w:rPr>
        <w:tab/>
        <w:t>Итоги обзора Межправительственной научно-политической платформы по биоразнообразию и экосистемным услугам по завершении ее первой программы работы</w:t>
      </w:r>
    </w:p>
    <w:p w14:paraId="4146F85A" w14:textId="47BA39C8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C79A4">
        <w:t>4.</w:t>
      </w:r>
      <w:r>
        <w:tab/>
      </w:r>
      <w:r w:rsidR="00656D2C" w:rsidRPr="00656D2C">
        <w:t>В рамках первой программы работы МПБЭУ Пленум в разделе IX решения МПБЭУ-2/5 поручил провести обзор эффективности административных и научных функций МПБЭУ. Внутренний обзор был проведен под руководством Многодисциплинарной группы экспертов и Бюро в межсессионный период между пятой и шестой сессиями Пленума. Внешний обзор, выполненный группой по проведению обзора в составе 10 членов, был завершен до начала седьмой сессии Пленума.</w:t>
      </w:r>
    </w:p>
    <w:p w14:paraId="5AB278F3" w14:textId="35700A40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C79A4">
        <w:t>5.</w:t>
      </w:r>
      <w:r>
        <w:tab/>
      </w:r>
      <w:r w:rsidR="00656D2C" w:rsidRPr="00656D2C">
        <w:t>В своем решении МПБЭУ-7/2 Пленум принял к сведению мероприятия, проведенные с целью выполнения рекомендаций, изложенных в докладе, подготовленном группой по внутреннему обзору</w:t>
      </w:r>
      <w:r w:rsidRPr="00656D2C">
        <w:rPr>
          <w:vertAlign w:val="superscript"/>
        </w:rPr>
        <w:footnoteReference w:id="3"/>
      </w:r>
      <w:r w:rsidR="00656D2C" w:rsidRPr="00656D2C">
        <w:t>, и с удовлетворением отметил доклад об обзоре МПБЭУ по завершении ее первой программы работы, подготовленный группой по проведению обзора</w:t>
      </w:r>
      <w:r w:rsidRPr="00656D2C">
        <w:rPr>
          <w:vertAlign w:val="superscript"/>
        </w:rPr>
        <w:footnoteReference w:id="4"/>
      </w:r>
      <w:r w:rsidR="00656D2C" w:rsidRPr="00656D2C">
        <w:t>, а также отклики на этот доклад Многодисциплинарной группы экспертов, Бюро</w:t>
      </w:r>
      <w:r w:rsidR="00656D2C" w:rsidRPr="00656D2C">
        <w:rPr>
          <w:vertAlign w:val="superscript"/>
        </w:rPr>
        <w:footnoteReference w:id="5"/>
      </w:r>
      <w:r w:rsidR="00656D2C" w:rsidRPr="00656D2C">
        <w:t xml:space="preserve"> и Исполнительного секретаря</w:t>
      </w:r>
      <w:r w:rsidRPr="00656D2C">
        <w:rPr>
          <w:vertAlign w:val="superscript"/>
        </w:rPr>
        <w:footnoteReference w:id="6"/>
      </w:r>
      <w:r w:rsidR="00656D2C" w:rsidRPr="00656D2C">
        <w:t xml:space="preserve">. В том же решении Пленум поручил Бюро, Многодисциплинарной группе экспертов и Исполнительному секретарю, действуя в рамках </w:t>
      </w:r>
      <w:r w:rsidR="00247CBC">
        <w:t>их</w:t>
      </w:r>
      <w:r w:rsidR="00656D2C" w:rsidRPr="00656D2C">
        <w:t xml:space="preserve"> соответствующих мандатов, принять во внимание вынесенные группой по обзору рекомендации при осуществлении скользящей программы работы МПБЭУ на период до 2030 года и выявить решения и (или) вопросы для рассмотрения Пленумом на его восьмой сессии.</w:t>
      </w:r>
    </w:p>
    <w:p w14:paraId="0BD6DD78" w14:textId="39214F88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C79A4">
        <w:t>6.</w:t>
      </w:r>
      <w:r>
        <w:tab/>
      </w:r>
      <w:r w:rsidR="00656D2C" w:rsidRPr="00656D2C">
        <w:t>В разделе VI решения МПБЭУ-8/1 Пленум с удовлетворением отметил доклад Бюро, Многодисциплинарной группы экспертов и Исполнительного секретаря о ходе выполнения рекомендаций, изложенных в докладе об обзоре МПБЭУ по завершении ее первой программы работы</w:t>
      </w:r>
      <w:r w:rsidRPr="00656D2C">
        <w:rPr>
          <w:vertAlign w:val="superscript"/>
        </w:rPr>
        <w:footnoteReference w:id="7"/>
      </w:r>
      <w:r w:rsidR="00656D2C" w:rsidRPr="00656D2C">
        <w:t>. Он также с удовлетворением отметил записку Бюро и Многодисциплинарной группы экспертов о практическом выполнении их соответствующих обязанностей</w:t>
      </w:r>
      <w:r w:rsidRPr="00656D2C">
        <w:rPr>
          <w:rFonts w:eastAsia="MS Mincho"/>
          <w:vertAlign w:val="superscript"/>
        </w:rPr>
        <w:footnoteReference w:id="8"/>
      </w:r>
      <w:r w:rsidR="00656D2C" w:rsidRPr="00656D2C">
        <w:t>. На его восьмой сессии Пленуму также была представлена обзорная таблица с информацией в отношении выполнения каждой рекомендации группы по проведению обзора</w:t>
      </w:r>
      <w:r w:rsidRPr="00656D2C">
        <w:rPr>
          <w:rFonts w:eastAsia="MS Mincho"/>
          <w:vertAlign w:val="superscript"/>
        </w:rPr>
        <w:footnoteReference w:id="9"/>
      </w:r>
      <w:r w:rsidR="00656D2C" w:rsidRPr="00656D2C">
        <w:t>. Кроме того, была завершена работа над текстовым вариантом руководства для национальных координаторов, который был предоставлен в распоряжение Пленума; с тех пор он был заменен на оригинал-макет и выпущен на шести официальных языках О</w:t>
      </w:r>
      <w:r w:rsidR="00C03AF0">
        <w:t>рганизации Объединенных Наций</w:t>
      </w:r>
      <w:r w:rsidRPr="00656D2C">
        <w:rPr>
          <w:rFonts w:eastAsia="MS Mincho"/>
          <w:vertAlign w:val="superscript"/>
        </w:rPr>
        <w:footnoteReference w:id="10"/>
      </w:r>
      <w:r w:rsidR="00656D2C" w:rsidRPr="00656D2C">
        <w:t>.</w:t>
      </w:r>
    </w:p>
    <w:p w14:paraId="4CFAFA3E" w14:textId="12FEA7E6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C79A4">
        <w:t>7.</w:t>
      </w:r>
      <w:r>
        <w:tab/>
      </w:r>
      <w:r w:rsidR="00656D2C" w:rsidRPr="00656D2C">
        <w:t xml:space="preserve">Также в разделе VI решения МПБЭУ-8/1 Пленум поручил Бюро, Многодисциплинарной группе экспертов и Исполнительному секретарю в рамках их соответствующих мандатов продолжать принимать во внимание вынесенные группой по проведению обзора рекомендации при осуществлении скользящей программы работы МПБЭУ на период до 2030 года и представить Пленуму на его девятой сессии, а также на будущих сессиях Пленума, в соответствующих случаях, доклад об осуществлении, в том числе о дополнительных решениях и вопросах. </w:t>
      </w:r>
    </w:p>
    <w:p w14:paraId="535EF876" w14:textId="45E971B2" w:rsidR="00656D2C" w:rsidRPr="00656D2C" w:rsidRDefault="008C79A4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</w:rPr>
      </w:pPr>
      <w:r w:rsidRPr="008C79A4">
        <w:t>8.</w:t>
      </w:r>
      <w:r>
        <w:tab/>
      </w:r>
      <w:r w:rsidR="00656D2C" w:rsidRPr="00656D2C">
        <w:t>В разделе VI решения МПБЭУ-9/1 Пленум принял к сведению записку секретариата о повышении эффективности Платформы</w:t>
      </w:r>
      <w:r w:rsidR="00656D2C" w:rsidRPr="00656D2C">
        <w:rPr>
          <w:vertAlign w:val="superscript"/>
        </w:rPr>
        <w:footnoteReference w:id="11"/>
      </w:r>
      <w:r w:rsidR="00656D2C" w:rsidRPr="00656D2C">
        <w:t xml:space="preserve"> и поручил Бюро, Многодисциплинарной группе экспертов и Исполнительному секретарю в рамках их соответствующих мандатов продолжать принимать во внимание рекомендации, изложенные в докладе об обзоре МПБЭУ по завершении ее первой программы работы, в ходе осуществления скользящей программы работы Платформы на период до 2030 года и представить Пленуму на его десятой сессии доклад о дальнейшем ходе работы, в том числе о дополнительных вопросах и решениях. На </w:t>
      </w:r>
      <w:r w:rsidR="00656D2C" w:rsidRPr="00656D2C">
        <w:lastRenderedPageBreak/>
        <w:t>девятой сессии Пленуму также была представлена обзорная таблица с информацией в отношении выполнения каждой рекомендации группы по проведению обзора</w:t>
      </w:r>
      <w:r w:rsidR="00C9183C" w:rsidRPr="00656D2C">
        <w:rPr>
          <w:rFonts w:eastAsia="MS Mincho"/>
          <w:vertAlign w:val="superscript"/>
        </w:rPr>
        <w:footnoteReference w:id="12"/>
      </w:r>
      <w:r w:rsidR="00656D2C" w:rsidRPr="00656D2C">
        <w:t>.</w:t>
      </w:r>
      <w:bookmarkStart w:id="9" w:name="_Hlk43996126"/>
      <w:bookmarkEnd w:id="9"/>
    </w:p>
    <w:p w14:paraId="7D6E9BD5" w14:textId="200C366A" w:rsidR="00656D2C" w:rsidRPr="00656D2C" w:rsidRDefault="00C9183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9183C">
        <w:t>9.</w:t>
      </w:r>
      <w:r>
        <w:tab/>
      </w:r>
      <w:r w:rsidR="00656D2C" w:rsidRPr="00656D2C">
        <w:t>Обновленная таблица, описывающая ход выполнения каждой рекомендации, содержащейся в докладе об обзоре МПБЭУ по завершении ее первой программы работы, имеется в документе IPBES/10/INF/16. Информация о повышении эффективности процесса оценки также изложена в разделе II ниже.</w:t>
      </w:r>
    </w:p>
    <w:p w14:paraId="175D39D6" w14:textId="0971AE86" w:rsidR="00656D2C" w:rsidRPr="00656D2C" w:rsidRDefault="00C9183C" w:rsidP="008C79A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56D2C" w:rsidRPr="00656D2C">
        <w:rPr>
          <w:b/>
          <w:bCs/>
          <w:sz w:val="24"/>
          <w:szCs w:val="24"/>
        </w:rPr>
        <w:t>B.</w:t>
      </w:r>
      <w:r w:rsidR="00656D2C" w:rsidRPr="00656D2C">
        <w:rPr>
          <w:b/>
          <w:bCs/>
          <w:sz w:val="24"/>
          <w:szCs w:val="24"/>
        </w:rPr>
        <w:tab/>
        <w:t>Среднесрочный обзор программы работы на период до 2030 года</w:t>
      </w:r>
    </w:p>
    <w:p w14:paraId="6E80792B" w14:textId="59D0AF2E" w:rsidR="00656D2C" w:rsidRPr="00656D2C" w:rsidRDefault="00C9183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9183C">
        <w:t>10.</w:t>
      </w:r>
      <w:r w:rsidRPr="00C9183C">
        <w:tab/>
      </w:r>
      <w:r w:rsidR="00656D2C" w:rsidRPr="00656D2C">
        <w:t>В разделе VI решения МПБЭУ-7/1 Пленум поручил Исполнительному секретарю запросить мнения членов МПБЭУ и заинтересованных сторон о процессе обзора МПБЭУ по завершении ее первой программы работы и поручил Бюро и Многодисциплинарной группе экспертов рассмотреть этот процесс с учетом мнений, выраженных членами и заинтересованными сторонами МПБЭУ, а также подготовить проект Положения о проведении среднесрочного обзора МПБЭУ для рассмотрения Пленумом на его девятой сессии.</w:t>
      </w:r>
    </w:p>
    <w:bookmarkEnd w:id="8"/>
    <w:p w14:paraId="51B549D3" w14:textId="7F528F97" w:rsidR="00656D2C" w:rsidRPr="00656D2C" w:rsidRDefault="00C9183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9183C">
        <w:t>11.</w:t>
      </w:r>
      <w:r w:rsidRPr="00C9183C">
        <w:tab/>
      </w:r>
      <w:r w:rsidR="00656D2C" w:rsidRPr="00656D2C">
        <w:t>Во исполнение этого поручения Исполнительный секретарь опубликовала уведомление</w:t>
      </w:r>
      <w:r w:rsidR="007E5200">
        <w:t> </w:t>
      </w:r>
      <w:r w:rsidR="00656D2C" w:rsidRPr="00656D2C">
        <w:t>EM/2022/02 от 12 января 2022 года, в котором содержалась анкета для отражения мнений членов МПБЭУ и заинтересованных сторон относительно процесса обзора МПБЭУ по завершении е</w:t>
      </w:r>
      <w:r w:rsidR="0057040B">
        <w:t>е</w:t>
      </w:r>
      <w:r w:rsidR="00656D2C" w:rsidRPr="00656D2C">
        <w:t xml:space="preserve"> первой программы работы. Всего к установленному сроку было получено 130</w:t>
      </w:r>
      <w:r>
        <w:rPr>
          <w:lang w:val="en-US"/>
        </w:rPr>
        <w:t> </w:t>
      </w:r>
      <w:r w:rsidR="00656D2C" w:rsidRPr="00656D2C">
        <w:t>заполненных анкет. Резюме полученных ответов было представлено Пленуму на его девятой сессии</w:t>
      </w:r>
      <w:r w:rsidRPr="00656D2C">
        <w:rPr>
          <w:vertAlign w:val="superscript"/>
        </w:rPr>
        <w:footnoteReference w:id="13"/>
      </w:r>
      <w:r w:rsidR="00656D2C" w:rsidRPr="00656D2C">
        <w:t>. На основе этих ответов Бюро и Многодисциплинарная группа экспертов подготовили проект Положения о проведении среднесрочного обзора Платформы</w:t>
      </w:r>
      <w:r w:rsidR="001B37DC" w:rsidRPr="00656D2C">
        <w:rPr>
          <w:vertAlign w:val="superscript"/>
        </w:rPr>
        <w:footnoteReference w:id="14"/>
      </w:r>
      <w:r w:rsidR="00656D2C" w:rsidRPr="00656D2C">
        <w:t xml:space="preserve">, который был представлен Пленуму на его девятой сессии. </w:t>
      </w:r>
    </w:p>
    <w:p w14:paraId="32DE1060" w14:textId="32902E95" w:rsidR="00656D2C" w:rsidRPr="00656D2C" w:rsidRDefault="00C9183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9183C">
        <w:t>12.</w:t>
      </w:r>
      <w:r w:rsidRPr="00C9183C">
        <w:tab/>
      </w:r>
      <w:r w:rsidR="00656D2C" w:rsidRPr="00656D2C">
        <w:t>В разделе VI решения МПБЭУ-9/1 Пленум с удовлетворением отметил прогресс, достигнутый Бюро и Многодисциплинарной группой экспертов в подготовке проекта положения о проведении среднесрочного обзора скользящей программы работы МПБЭУ на период до 2030 года, который планировалось провести в период между десятой и двенадцатой сессиями Пленума, и предложил членам, наблюдателям и другим заинтересованным сторонам представить в секретариат их замечания в отношении проекта этого положения не позднее 31 августа 2022 года.</w:t>
      </w:r>
    </w:p>
    <w:p w14:paraId="0C26FBDC" w14:textId="039BA03F" w:rsidR="00656D2C" w:rsidRPr="00656D2C" w:rsidRDefault="00C9183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C9183C">
        <w:t>13.</w:t>
      </w:r>
      <w:r w:rsidRPr="00C9183C">
        <w:tab/>
      </w:r>
      <w:r w:rsidR="00656D2C" w:rsidRPr="00656D2C">
        <w:t xml:space="preserve">Замечания были получены от 11 правительств и </w:t>
      </w:r>
      <w:r w:rsidR="003B3F09">
        <w:t>3</w:t>
      </w:r>
      <w:r w:rsidR="00656D2C" w:rsidRPr="00656D2C">
        <w:t xml:space="preserve"> отдельных заинтересованных сторон. Они включали предложения о дальнейшем уточнении сроков проведения обзора и его внутренней и внешней частях, несколько предложений о дополнительных элементах, подлежащих оценке в рамках обзора, предложения по дополнению методологии, используемой при проведении обзора, а также рекомендацию о том, что внешняя часть обзора не должна проводиться при содействии секретариат</w:t>
      </w:r>
      <w:r w:rsidR="00C2149C">
        <w:t>а</w:t>
      </w:r>
      <w:r w:rsidR="00656D2C" w:rsidRPr="00656D2C">
        <w:t xml:space="preserve"> МПБЭУ. </w:t>
      </w:r>
    </w:p>
    <w:p w14:paraId="4E98D740" w14:textId="43668A84" w:rsidR="00656D2C" w:rsidRPr="00656D2C" w:rsidRDefault="001B37DC" w:rsidP="001B37D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B37DC">
        <w:t>14.</w:t>
      </w:r>
      <w:r w:rsidRPr="001B37DC">
        <w:tab/>
      </w:r>
      <w:r w:rsidR="00656D2C" w:rsidRPr="00656D2C">
        <w:t>Многодисциплинарная группа экспертов и Бюро рассмотрели полученные замечания и подготовили пересмотренное положение, приведенное в приложении к настоящему документу, для рассмотрения Пленумом с целью утверждения документа на десятой сессии.</w:t>
      </w:r>
    </w:p>
    <w:p w14:paraId="58869228" w14:textId="1062CE73" w:rsidR="00656D2C" w:rsidRPr="00656D2C" w:rsidRDefault="001B37DC" w:rsidP="008C79A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II.</w:t>
      </w:r>
      <w:r w:rsidR="00656D2C" w:rsidRPr="00656D2C">
        <w:rPr>
          <w:b/>
          <w:bCs/>
          <w:sz w:val="28"/>
          <w:szCs w:val="28"/>
        </w:rPr>
        <w:tab/>
        <w:t xml:space="preserve">Повышение эффективности процесса оценки </w:t>
      </w:r>
    </w:p>
    <w:p w14:paraId="3DA1F58D" w14:textId="6A6CCBF3" w:rsidR="00656D2C" w:rsidRPr="00656D2C" w:rsidRDefault="001B37D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B37DC">
        <w:t>15.</w:t>
      </w:r>
      <w:r w:rsidRPr="001B37DC">
        <w:tab/>
      </w:r>
      <w:r w:rsidR="00656D2C" w:rsidRPr="00656D2C">
        <w:t>Цель 6 с) «Повышение эффективности процесса оценки» скользящей программы работы на период до 2030 года направлена на то, чтобы авторы и другие участники завершенных оценок делились приобретенным опытом с теми, кто будет проводить оценки в будущем, и оказывали им консультативную поддержку. В этой связи Пленум в решении МПБЭУ-7/1 поручил Исполнительному секретарю содействовать такому обмену накопленным опытом и проведению консультаций. В рекомендации 17 доклада о внешнем обзоре</w:t>
      </w:r>
      <w:r w:rsidR="00656D2C" w:rsidRPr="00656D2C">
        <w:rPr>
          <w:vertAlign w:val="superscript"/>
        </w:rPr>
        <w:footnoteReference w:id="15"/>
      </w:r>
      <w:r w:rsidR="00656D2C" w:rsidRPr="00656D2C">
        <w:t xml:space="preserve"> предлагается изучить весь спектр имеющихся способов модернизации процесса оценки, включая способы направления конструктивного участия и создания условий для него, и рассмотреть новые условия и методы работы, в том числе с использованием цифровых средств.</w:t>
      </w:r>
    </w:p>
    <w:p w14:paraId="09560714" w14:textId="7568FF0C" w:rsidR="00656D2C" w:rsidRPr="00656D2C" w:rsidRDefault="001B37D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B37DC">
        <w:t>16.</w:t>
      </w:r>
      <w:r w:rsidRPr="001B37DC">
        <w:tab/>
      </w:r>
      <w:r w:rsidR="00656D2C" w:rsidRPr="00656D2C">
        <w:t xml:space="preserve">Многодисциплинарная группа экспертов и Бюро продолжают содействовать экспериментальному использованию новых и инновационных методов и инструментов в текущих оценках МПБЭУ, а Целевая группа по вопросам знаний и данных продолжает играть </w:t>
      </w:r>
      <w:r w:rsidR="00656D2C" w:rsidRPr="00656D2C">
        <w:lastRenderedPageBreak/>
        <w:t xml:space="preserve">ведущую роль в соответствующих усилиях. Последние сведения о результатах этих усилий имеются в документе IPBES/9/INF/11. </w:t>
      </w:r>
    </w:p>
    <w:p w14:paraId="445A5079" w14:textId="44131EB0" w:rsidR="00656D2C" w:rsidRPr="00656D2C" w:rsidRDefault="001B37D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</w:rPr>
      </w:pPr>
      <w:r w:rsidRPr="001B37DC">
        <w:t>17.</w:t>
      </w:r>
      <w:r w:rsidRPr="001B37DC">
        <w:tab/>
      </w:r>
      <w:r w:rsidR="00656D2C" w:rsidRPr="00656D2C">
        <w:t>Во исполнение решения МПБЭУ-7/1 Многодисциплинарная группа экспертов и Бюро рассмотрели отклики и соображения, касающиеся процесса оценки МПБЭУ. На основе их рекомендации Пленум в разделе II решения МПБЭУ-8/1 постановил, несмотря на раздел 3.1 и связанные с ним положения о процедурах подготовки итоговых материалов Платформы</w:t>
      </w:r>
      <w:r w:rsidRPr="00656D2C">
        <w:rPr>
          <w:vertAlign w:val="superscript"/>
        </w:rPr>
        <w:footnoteReference w:id="16"/>
      </w:r>
      <w:r w:rsidR="00656D2C" w:rsidRPr="00656D2C">
        <w:t>, предоставить правительствам возможность провести дополнительный обзор резюме для директивных органов «Методологического доклада об оценке по вопросам разнообразных ценностей и оценки природы» в октябре 2021 года и дополнительный обзор резюме для директивных органов «Тематического доклада об оценке по вопросам устойчивого использования диких видов» позднее в 2021 году, если Многодисциплинарная группа экспертов и сопредседатели оценки сочтут это необходимым и целесообразным после рассмотрения замечаний, полученных в ходе второго внешнего обзора оценки.</w:t>
      </w:r>
    </w:p>
    <w:p w14:paraId="57CE135D" w14:textId="5DC955FE" w:rsidR="00656D2C" w:rsidRPr="00656D2C" w:rsidRDefault="0014311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4311C">
        <w:t>18.</w:t>
      </w:r>
      <w:r w:rsidRPr="0014311C">
        <w:tab/>
      </w:r>
      <w:r w:rsidR="00656D2C" w:rsidRPr="00656D2C">
        <w:t xml:space="preserve">Хотя проведение дополнительного обзора резюме для директивных органов «Тематического доклада об оценке по вопросам устойчивого использования диких видов» было признано нецелесообразным, в октябре 2021 года был проведен дополнительный обзор резюме для директивных органов «Методологического доклада об оценке по вопросам разнообразных ценностей и оценки природы», который авторы оценки сочли крайне полезным. Поэтому в решении МПБЭУ-9/1 Пленум постановил предоставить правительствам возможность провести дополнительный обзор резюме для директивных органов доклада по вопросам оценки инвазивных чужеродных видов в августе 2022 года. Ориентировочные сроки проведения оценки по вопросам хозяйственной деятельности и биоразнообразия, представленные в рамках доклада об аналитическом исследовании, изложенного в приложении I к решению МПБЭУ-9/1, также предусматривают дополнительный обзор резюме для директивных органов со стороны правительств. </w:t>
      </w:r>
    </w:p>
    <w:p w14:paraId="17C9B5B9" w14:textId="0852DB81" w:rsidR="00656D2C" w:rsidRPr="00656D2C" w:rsidRDefault="0014311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4311C">
        <w:t>19.</w:t>
      </w:r>
      <w:r w:rsidRPr="0014311C">
        <w:tab/>
      </w:r>
      <w:r w:rsidR="00656D2C" w:rsidRPr="00656D2C">
        <w:t xml:space="preserve">Возможность проведения дополнительного обзора такого рода будет рассматриваться и для будущих оценок, как указано, например, в докладе Бюро и Многодисциплинарной группы экспертов о </w:t>
      </w:r>
      <w:proofErr w:type="spellStart"/>
      <w:r w:rsidR="00656D2C" w:rsidRPr="00656D2C">
        <w:t>приоритизации</w:t>
      </w:r>
      <w:proofErr w:type="spellEnd"/>
      <w:r w:rsidR="00656D2C" w:rsidRPr="00656D2C">
        <w:t xml:space="preserve"> запросов, материалов и предложений в отношении дополнительных элементов скользящей программы работы Платформы на период до 2030 года</w:t>
      </w:r>
      <w:r w:rsidRPr="00656D2C">
        <w:rPr>
          <w:vertAlign w:val="superscript"/>
        </w:rPr>
        <w:footnoteReference w:id="17"/>
      </w:r>
      <w:r w:rsidR="00656D2C" w:rsidRPr="00656D2C">
        <w:t>.</w:t>
      </w:r>
    </w:p>
    <w:p w14:paraId="304D3301" w14:textId="77777777" w:rsidR="00656D2C" w:rsidRPr="00656D2C" w:rsidRDefault="00656D2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56D2C">
        <w:br w:type="page"/>
      </w:r>
    </w:p>
    <w:p w14:paraId="1CAA7B11" w14:textId="77777777" w:rsidR="00656D2C" w:rsidRPr="00656D2C" w:rsidRDefault="00656D2C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</w:rPr>
      </w:pPr>
      <w:r w:rsidRPr="00656D2C">
        <w:rPr>
          <w:b/>
          <w:bCs/>
          <w:sz w:val="28"/>
          <w:szCs w:val="28"/>
        </w:rPr>
        <w:lastRenderedPageBreak/>
        <w:t>Приложение</w:t>
      </w:r>
    </w:p>
    <w:p w14:paraId="533FFC83" w14:textId="77777777" w:rsidR="00656D2C" w:rsidRPr="00656D2C" w:rsidRDefault="00656D2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</w:rPr>
      </w:pPr>
      <w:r w:rsidRPr="00656D2C">
        <w:rPr>
          <w:b/>
          <w:bCs/>
          <w:sz w:val="28"/>
          <w:szCs w:val="28"/>
        </w:rPr>
        <w:t>Пересмотренный проект положения о проведении среднесрочного обзора скользящей программы работы МПБЭУ на период до 2030 года</w:t>
      </w:r>
    </w:p>
    <w:p w14:paraId="58C7166A" w14:textId="0B93F111" w:rsidR="00656D2C" w:rsidRPr="00656D2C" w:rsidRDefault="0014311C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I.</w:t>
      </w:r>
      <w:r w:rsidR="00656D2C" w:rsidRPr="00656D2C">
        <w:rPr>
          <w:b/>
          <w:bCs/>
          <w:sz w:val="28"/>
          <w:szCs w:val="28"/>
        </w:rPr>
        <w:tab/>
        <w:t xml:space="preserve">Цели, сроки проведения и ожидаемые результаты обзора </w:t>
      </w:r>
    </w:p>
    <w:p w14:paraId="68B3BEC4" w14:textId="2EB79715" w:rsidR="00656D2C" w:rsidRPr="00656D2C" w:rsidRDefault="0014311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10" w:name="_Hlk114247534"/>
      <w:r w:rsidRPr="0014311C">
        <w:t>1.</w:t>
      </w:r>
      <w:r>
        <w:tab/>
      </w:r>
      <w:r w:rsidR="00656D2C" w:rsidRPr="00656D2C">
        <w:t>Среднесрочный обзор программы работы до 2030 года будет проведен в период между десятой и двенадцатой сессиями Пленума Межправительственной научно-политической платформы по биоразнообразию и экосистемным услугам (МПБЭУ), причем внутренний обзор будет проведен между десятой и одиннадцатой сессиями Пленума, а внешний обзор – между одиннадцатой и двенадцатой сессиями Пленума.</w:t>
      </w:r>
    </w:p>
    <w:p w14:paraId="52AA525F" w14:textId="77FAEA5E" w:rsidR="00656D2C" w:rsidRPr="00656D2C" w:rsidRDefault="0014311C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4311C">
        <w:t>2.</w:t>
      </w:r>
      <w:r w:rsidRPr="0014311C">
        <w:tab/>
      </w:r>
      <w:r w:rsidR="00656D2C" w:rsidRPr="00656D2C">
        <w:t>В ходе этого обзора будет дана оценка:</w:t>
      </w:r>
    </w:p>
    <w:p w14:paraId="6B26F94D" w14:textId="6F0B374C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>
        <w:rPr>
          <w:lang w:val="en-US"/>
        </w:rPr>
        <w:t>a</w:t>
      </w:r>
      <w:r w:rsidRPr="009732A7">
        <w:t>)</w:t>
      </w:r>
      <w:r>
        <w:tab/>
      </w:r>
      <w:r w:rsidR="00656D2C" w:rsidRPr="00656D2C">
        <w:t>эффективности институциональных механизмов МПБЭУ и его секретариата, в частности:</w:t>
      </w:r>
    </w:p>
    <w:p w14:paraId="5136E34D" w14:textId="3874B31D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proofErr w:type="spellStart"/>
      <w:r>
        <w:rPr>
          <w:lang w:val="en-US"/>
        </w:rPr>
        <w:t>i</w:t>
      </w:r>
      <w:proofErr w:type="spellEnd"/>
      <w:r w:rsidRPr="009732A7">
        <w:t>)</w:t>
      </w:r>
      <w:r>
        <w:tab/>
      </w:r>
      <w:r w:rsidR="00656D2C" w:rsidRPr="00656D2C">
        <w:t xml:space="preserve">работе и сессиям Пленума, в частности, различным механизмам содействия достижению консенсуса, включая подготовительные </w:t>
      </w:r>
      <w:proofErr w:type="gramStart"/>
      <w:r w:rsidR="00656D2C" w:rsidRPr="00656D2C">
        <w:t>процессы;</w:t>
      </w:r>
      <w:proofErr w:type="gramEnd"/>
    </w:p>
    <w:p w14:paraId="41BAE334" w14:textId="664158C8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ii</w:t>
      </w:r>
      <w:r w:rsidRPr="009732A7">
        <w:t>)</w:t>
      </w:r>
      <w:r w:rsidRPr="009732A7">
        <w:tab/>
      </w:r>
      <w:r w:rsidR="00656D2C" w:rsidRPr="00656D2C">
        <w:t xml:space="preserve">работе и структуре целевых групп МПБЭУ, включая их </w:t>
      </w:r>
      <w:proofErr w:type="gramStart"/>
      <w:r w:rsidR="00656D2C" w:rsidRPr="00656D2C">
        <w:t>взаимодействие;</w:t>
      </w:r>
      <w:proofErr w:type="gramEnd"/>
      <w:r w:rsidR="00656D2C" w:rsidRPr="00656D2C">
        <w:t xml:space="preserve"> </w:t>
      </w:r>
    </w:p>
    <w:p w14:paraId="39AB20C0" w14:textId="06384C4B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iii</w:t>
      </w:r>
      <w:r w:rsidRPr="009732A7">
        <w:t>)</w:t>
      </w:r>
      <w:r w:rsidRPr="009732A7">
        <w:tab/>
      </w:r>
      <w:r w:rsidR="00656D2C" w:rsidRPr="00656D2C">
        <w:t xml:space="preserve">работе Бюро и Многодисциплинарной группы </w:t>
      </w:r>
      <w:proofErr w:type="gramStart"/>
      <w:r w:rsidR="00656D2C" w:rsidRPr="00656D2C">
        <w:t>экспертов;</w:t>
      </w:r>
      <w:proofErr w:type="gramEnd"/>
    </w:p>
    <w:p w14:paraId="75143DF0" w14:textId="60AC5915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iv</w:t>
      </w:r>
      <w:r w:rsidRPr="009732A7">
        <w:t>)</w:t>
      </w:r>
      <w:r w:rsidRPr="009732A7">
        <w:tab/>
      </w:r>
      <w:r w:rsidR="00656D2C" w:rsidRPr="00656D2C">
        <w:t xml:space="preserve">финансовой и бюджетной основе </w:t>
      </w:r>
      <w:proofErr w:type="gramStart"/>
      <w:r w:rsidR="00656D2C" w:rsidRPr="00656D2C">
        <w:t>МПБЭУ;</w:t>
      </w:r>
      <w:proofErr w:type="gramEnd"/>
    </w:p>
    <w:p w14:paraId="24991860" w14:textId="20828FDC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>
        <w:rPr>
          <w:lang w:val="en-US"/>
        </w:rPr>
        <w:t>b</w:t>
      </w:r>
      <w:r w:rsidRPr="009732A7">
        <w:t>)</w:t>
      </w:r>
      <w:r>
        <w:tab/>
      </w:r>
      <w:r w:rsidR="00656D2C" w:rsidRPr="00656D2C">
        <w:t>эффективности процедур подготовки итоговых материалов МПБЭУ, в частности, в отношении:</w:t>
      </w:r>
    </w:p>
    <w:p w14:paraId="2048DBD7" w14:textId="3497E069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proofErr w:type="spellStart"/>
      <w:r>
        <w:rPr>
          <w:lang w:val="en-US"/>
        </w:rPr>
        <w:t>i</w:t>
      </w:r>
      <w:proofErr w:type="spellEnd"/>
      <w:r w:rsidRPr="009732A7">
        <w:t>)</w:t>
      </w:r>
      <w:r>
        <w:tab/>
      </w:r>
      <w:r w:rsidR="00656D2C" w:rsidRPr="00656D2C">
        <w:t>вариантов своевременного решения возникающих срочных вопросов, включая роль и влияние семинаров-</w:t>
      </w:r>
      <w:proofErr w:type="gramStart"/>
      <w:r w:rsidR="00656D2C" w:rsidRPr="00656D2C">
        <w:t>практикумов;</w:t>
      </w:r>
      <w:proofErr w:type="gramEnd"/>
    </w:p>
    <w:p w14:paraId="26268D17" w14:textId="2F3A4FDE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ii</w:t>
      </w:r>
      <w:r w:rsidRPr="009732A7">
        <w:t>)</w:t>
      </w:r>
      <w:r w:rsidRPr="009732A7">
        <w:tab/>
      </w:r>
      <w:r w:rsidR="00656D2C" w:rsidRPr="00656D2C">
        <w:t xml:space="preserve">расширения участия в процессах внешнего обзора оценок </w:t>
      </w:r>
      <w:proofErr w:type="gramStart"/>
      <w:r w:rsidR="00656D2C" w:rsidRPr="00656D2C">
        <w:t>МПБЭУ;</w:t>
      </w:r>
      <w:proofErr w:type="gramEnd"/>
      <w:r w:rsidR="00656D2C" w:rsidRPr="00656D2C">
        <w:t xml:space="preserve"> </w:t>
      </w:r>
    </w:p>
    <w:p w14:paraId="2FFF77DC" w14:textId="3564635E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iii</w:t>
      </w:r>
      <w:r w:rsidRPr="009732A7">
        <w:t>)</w:t>
      </w:r>
      <w:r>
        <w:tab/>
      </w:r>
      <w:r w:rsidR="00656D2C" w:rsidRPr="00656D2C">
        <w:t xml:space="preserve">взаимодействия с другими </w:t>
      </w:r>
      <w:r w:rsidR="003939F3" w:rsidRPr="00656D2C">
        <w:t>субъектами</w:t>
      </w:r>
      <w:r w:rsidR="00656D2C" w:rsidRPr="00656D2C">
        <w:t>, в том числе с другими научно</w:t>
      </w:r>
      <w:r w:rsidR="003939F3">
        <w:noBreakHyphen/>
      </w:r>
      <w:r w:rsidR="00656D2C" w:rsidRPr="00656D2C">
        <w:t xml:space="preserve">политическими </w:t>
      </w:r>
      <w:proofErr w:type="gramStart"/>
      <w:r w:rsidR="00656D2C" w:rsidRPr="00656D2C">
        <w:t>механизмами;</w:t>
      </w:r>
      <w:proofErr w:type="gramEnd"/>
      <w:r w:rsidR="00656D2C" w:rsidRPr="00656D2C">
        <w:t xml:space="preserve"> </w:t>
      </w:r>
    </w:p>
    <w:p w14:paraId="76A5F7DA" w14:textId="6108D7F9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rFonts w:eastAsia="MS Mincho"/>
        </w:rPr>
      </w:pPr>
      <w:r>
        <w:rPr>
          <w:lang w:val="en-US"/>
        </w:rPr>
        <w:t>iv</w:t>
      </w:r>
      <w:r w:rsidRPr="009732A7">
        <w:t>)</w:t>
      </w:r>
      <w:r w:rsidRPr="009732A7">
        <w:tab/>
      </w:r>
      <w:r w:rsidR="00656D2C" w:rsidRPr="00656D2C">
        <w:t xml:space="preserve">выдвижения кандидатур и процесса отбора </w:t>
      </w:r>
      <w:proofErr w:type="gramStart"/>
      <w:r w:rsidR="00656D2C" w:rsidRPr="00656D2C">
        <w:t>экспертов</w:t>
      </w:r>
      <w:r w:rsidRPr="009732A7">
        <w:t>;</w:t>
      </w:r>
      <w:proofErr w:type="gramEnd"/>
    </w:p>
    <w:p w14:paraId="58226A98" w14:textId="41FD943E" w:rsidR="00656D2C" w:rsidRPr="00656D2C" w:rsidRDefault="009732A7" w:rsidP="009732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>
        <w:rPr>
          <w:lang w:val="en-US"/>
        </w:rPr>
        <w:t>c</w:t>
      </w:r>
      <w:r w:rsidRPr="009732A7">
        <w:t>)</w:t>
      </w:r>
      <w:r>
        <w:tab/>
      </w:r>
      <w:r w:rsidR="00656D2C" w:rsidRPr="00656D2C">
        <w:t>методов работы в онлайн</w:t>
      </w:r>
      <w:r w:rsidR="006E26B3">
        <w:t>-</w:t>
      </w:r>
      <w:r w:rsidR="00656D2C" w:rsidRPr="00656D2C">
        <w:t>режиме, в частности, во время пандемии коронавирусного заболевания, и полезного опыта для будущей работы МПБЭУ.</w:t>
      </w:r>
    </w:p>
    <w:p w14:paraId="3B60218F" w14:textId="1F016931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3939F3">
        <w:t>3.</w:t>
      </w:r>
      <w:r>
        <w:tab/>
      </w:r>
      <w:r w:rsidR="00656D2C" w:rsidRPr="00656D2C">
        <w:t xml:space="preserve">Бюро и Многодисциплинарная группа экспертов подготовят доклад о внутреннем обзоре для рассмотрения Пленумом на его одиннадцатой сессии. Группа по проведению обзора учтет доклад о внутреннем обзоре в ходе внешнего обзора и подготовит доклад о внешнем обзоре для рассмотрения Пленумом на его двенадцатой сессии. В доклады войдут конкретные рекомендации в отношении дальнейшей реализации скользящей программы работы на период до 2030 года, включая выполнение всех шести целей рабочей программы согласно соответствующим решениям и бюджетам, утвержденным Пленумом МПБЭУ. </w:t>
      </w:r>
    </w:p>
    <w:p w14:paraId="71F44AB4" w14:textId="08108659" w:rsidR="00656D2C" w:rsidRPr="00656D2C" w:rsidRDefault="003939F3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II.</w:t>
      </w:r>
      <w:r w:rsidR="00656D2C" w:rsidRPr="00656D2C">
        <w:rPr>
          <w:b/>
          <w:bCs/>
          <w:sz w:val="28"/>
          <w:szCs w:val="28"/>
        </w:rPr>
        <w:tab/>
        <w:t>Институциональная структура обзора</w:t>
      </w:r>
    </w:p>
    <w:p w14:paraId="43E2E0D7" w14:textId="20A54616" w:rsidR="00656D2C" w:rsidRPr="00656D2C" w:rsidRDefault="003939F3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939F3">
        <w:rPr>
          <w:b/>
          <w:bCs/>
          <w:sz w:val="24"/>
          <w:szCs w:val="24"/>
        </w:rPr>
        <w:tab/>
      </w:r>
      <w:r w:rsidR="00656D2C" w:rsidRPr="00656D2C">
        <w:rPr>
          <w:b/>
          <w:bCs/>
          <w:sz w:val="24"/>
          <w:szCs w:val="24"/>
        </w:rPr>
        <w:t>A.</w:t>
      </w:r>
      <w:r w:rsidR="00656D2C" w:rsidRPr="00656D2C">
        <w:rPr>
          <w:b/>
          <w:bCs/>
          <w:sz w:val="24"/>
          <w:szCs w:val="24"/>
        </w:rPr>
        <w:tab/>
        <w:t>Внешний обзор</w:t>
      </w:r>
    </w:p>
    <w:p w14:paraId="71D85EE9" w14:textId="2EA5E3AD" w:rsidR="00656D2C" w:rsidRPr="00656D2C" w:rsidRDefault="003939F3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939F3">
        <w:t>4.</w:t>
      </w:r>
      <w:r>
        <w:tab/>
      </w:r>
      <w:r w:rsidR="00656D2C" w:rsidRPr="00656D2C">
        <w:t xml:space="preserve">Бюро и Многодисциплинарная группа экспертов проведут внутренний обзор элементов, перечисленных в пункте 2 выше, в период между десятой и одиннадцатой сессиями Пленума. </w:t>
      </w:r>
    </w:p>
    <w:p w14:paraId="14BE0370" w14:textId="35CD383E" w:rsidR="00656D2C" w:rsidRPr="00656D2C" w:rsidRDefault="003939F3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 w:rsidRPr="003939F3">
        <w:rPr>
          <w:b/>
          <w:bCs/>
          <w:sz w:val="24"/>
          <w:szCs w:val="24"/>
        </w:rPr>
        <w:tab/>
      </w:r>
      <w:r w:rsidR="00656D2C" w:rsidRPr="00656D2C">
        <w:rPr>
          <w:b/>
          <w:bCs/>
          <w:sz w:val="24"/>
          <w:szCs w:val="24"/>
        </w:rPr>
        <w:t>B.</w:t>
      </w:r>
      <w:r w:rsidR="00656D2C" w:rsidRPr="00656D2C">
        <w:rPr>
          <w:b/>
          <w:bCs/>
          <w:sz w:val="24"/>
          <w:szCs w:val="24"/>
        </w:rPr>
        <w:tab/>
        <w:t>Внешний обзор</w:t>
      </w:r>
    </w:p>
    <w:p w14:paraId="58969DA7" w14:textId="5658A440" w:rsidR="00656D2C" w:rsidRPr="00656D2C" w:rsidRDefault="003939F3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939F3">
        <w:t>5.</w:t>
      </w:r>
      <w:r>
        <w:tab/>
      </w:r>
      <w:r w:rsidR="00656D2C" w:rsidRPr="00656D2C">
        <w:t>В период между одиннадцатой и двенадцатой сессиями Пленума будет проведен внешний обзор элементов, перечисленных в пункте 2 выше, с учетом результатов внутреннего обзора. Внешний обзор будет проводиться группой по проведению обзора. Группа по проведению обзора буд</w:t>
      </w:r>
      <w:r w:rsidR="009132CC">
        <w:t>е</w:t>
      </w:r>
      <w:r w:rsidR="00656D2C" w:rsidRPr="00656D2C">
        <w:t xml:space="preserve">т действовать в соответствии с политикой МПБЭУ в отношении конфликта интересов. </w:t>
      </w:r>
    </w:p>
    <w:p w14:paraId="252AF1D3" w14:textId="1DEC922D" w:rsidR="00656D2C" w:rsidRPr="00656D2C" w:rsidRDefault="003939F3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939F3">
        <w:lastRenderedPageBreak/>
        <w:t>6.</w:t>
      </w:r>
      <w:r>
        <w:tab/>
      </w:r>
      <w:r w:rsidR="00656D2C" w:rsidRPr="00656D2C">
        <w:t xml:space="preserve">В состав группы по проведению обзора войдут 15 членов, знакомых с работой МПБЭУ и отобранных Бюро из числа кандидатов, выдвинутых правительствами, с должным учетом регионального, гендерного и дисциплинарного баланса. </w:t>
      </w:r>
    </w:p>
    <w:p w14:paraId="7B8C038A" w14:textId="1838AAFA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3939F3">
        <w:t>7.</w:t>
      </w:r>
      <w:r>
        <w:tab/>
      </w:r>
      <w:r w:rsidR="00656D2C" w:rsidRPr="00656D2C">
        <w:t>Работу группы по проведению обзора будет поддерживать квалифицированный консультант, который будет проводить часть рабочего времени в штаб-квартире секретариата МПБЭУ, не участвуя при этом в повседневной деятельности секретариата и сохраняя независимость. Консультант будет работать под непосредственным руководством сопредседателей группы по проведению обзора.</w:t>
      </w:r>
    </w:p>
    <w:p w14:paraId="4570C7CF" w14:textId="3FFF737E" w:rsidR="00656D2C" w:rsidRPr="00656D2C" w:rsidRDefault="003939F3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III.</w:t>
      </w:r>
      <w:r w:rsidR="00656D2C" w:rsidRPr="00656D2C">
        <w:rPr>
          <w:b/>
          <w:bCs/>
          <w:sz w:val="28"/>
          <w:szCs w:val="28"/>
        </w:rPr>
        <w:tab/>
        <w:t>Методология</w:t>
      </w:r>
    </w:p>
    <w:p w14:paraId="12AE21A6" w14:textId="153B75A3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3939F3">
        <w:t>8.</w:t>
      </w:r>
      <w:r>
        <w:tab/>
      </w:r>
      <w:r w:rsidR="00656D2C" w:rsidRPr="00656D2C">
        <w:t>Обзор должен включать в себя разработку и проведение ряда опросов по вопросам, перечисленным в пункте 2 выше, обзор соответствующих документов и литературы, онлайновые интервью и онлайновые совещания с соответствующими участниками, а также проведение сессии с участием заинтересованных сторон на одиннадцатой сессии Пленума. При разработке рекомендаций в обзоре также должен учитываться опыт других научно</w:t>
      </w:r>
      <w:r w:rsidR="0014311C">
        <w:noBreakHyphen/>
      </w:r>
      <w:r w:rsidR="00656D2C" w:rsidRPr="00656D2C">
        <w:t xml:space="preserve">политических механизмов и соответствующих многосторонних природоохранных соглашений. </w:t>
      </w:r>
    </w:p>
    <w:p w14:paraId="3D4DA1CA" w14:textId="77A76B7F" w:rsidR="00656D2C" w:rsidRPr="00656D2C" w:rsidRDefault="003939F3" w:rsidP="0014311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6D2C" w:rsidRPr="00656D2C">
        <w:rPr>
          <w:b/>
          <w:bCs/>
          <w:sz w:val="28"/>
          <w:szCs w:val="28"/>
        </w:rPr>
        <w:t>IV.</w:t>
      </w:r>
      <w:r w:rsidR="00656D2C" w:rsidRPr="00656D2C">
        <w:rPr>
          <w:b/>
          <w:bCs/>
          <w:sz w:val="28"/>
          <w:szCs w:val="28"/>
        </w:rPr>
        <w:tab/>
        <w:t>Бюджет</w:t>
      </w:r>
    </w:p>
    <w:p w14:paraId="66449CF8" w14:textId="2EE0ADED" w:rsidR="00656D2C" w:rsidRPr="00656D2C" w:rsidRDefault="003939F3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939F3">
        <w:t>9.</w:t>
      </w:r>
      <w:r w:rsidRPr="003939F3">
        <w:tab/>
      </w:r>
      <w:r w:rsidR="00656D2C" w:rsidRPr="00656D2C">
        <w:t>Предполагается, что:</w:t>
      </w:r>
    </w:p>
    <w:p w14:paraId="7146C715" w14:textId="70A68EA5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3939F3">
        <w:t>)</w:t>
      </w:r>
      <w:r>
        <w:tab/>
      </w:r>
      <w:r w:rsidR="00656D2C" w:rsidRPr="00656D2C">
        <w:t xml:space="preserve">члены группы по проведению обзора, проводящей внешний обзор, будут оказывать свои услуги на безвозмездной </w:t>
      </w:r>
      <w:proofErr w:type="gramStart"/>
      <w:r w:rsidR="00656D2C" w:rsidRPr="00656D2C">
        <w:t>основе;</w:t>
      </w:r>
      <w:proofErr w:type="gramEnd"/>
      <w:r w:rsidR="00656D2C" w:rsidRPr="00656D2C">
        <w:t xml:space="preserve"> </w:t>
      </w:r>
    </w:p>
    <w:p w14:paraId="43506D89" w14:textId="48962203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3939F3">
        <w:t>)</w:t>
      </w:r>
      <w:r>
        <w:tab/>
      </w:r>
      <w:r w:rsidR="00656D2C" w:rsidRPr="00656D2C">
        <w:t>группа по проведению обзора будет работать удаленно и при необходимости проводить совещания в онлайн</w:t>
      </w:r>
      <w:r w:rsidR="00AF5D48">
        <w:t>-</w:t>
      </w:r>
      <w:proofErr w:type="gramStart"/>
      <w:r w:rsidR="00656D2C" w:rsidRPr="00656D2C">
        <w:t>режиме;</w:t>
      </w:r>
      <w:proofErr w:type="gramEnd"/>
    </w:p>
    <w:p w14:paraId="7F86F2D0" w14:textId="4F3170F1" w:rsidR="00656D2C" w:rsidRPr="00656D2C" w:rsidRDefault="003939F3" w:rsidP="003939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3939F3">
        <w:t>)</w:t>
      </w:r>
      <w:r>
        <w:tab/>
      </w:r>
      <w:r w:rsidR="00656D2C" w:rsidRPr="00656D2C">
        <w:t>двум представителям группы по проведению обзора, проводящей внешний обзор, будет предложено представить доклад о проделанной работе на двенадцатой сессии Пленума; таким образом, бюджет на поездки составит 7500 долл. США</w:t>
      </w:r>
      <w:r w:rsidR="00AA753A">
        <w:t>.</w:t>
      </w:r>
    </w:p>
    <w:bookmarkEnd w:id="10"/>
    <w:p w14:paraId="771E11CA" w14:textId="05368AC3" w:rsidR="00656D2C" w:rsidRPr="00656D2C" w:rsidRDefault="003939F3" w:rsidP="00656D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939F3">
        <w:t>10.</w:t>
      </w:r>
      <w:r w:rsidRPr="003939F3">
        <w:tab/>
      </w:r>
      <w:r w:rsidR="00656D2C" w:rsidRPr="00656D2C">
        <w:t>На привлечение квалифицированного консультанта предусматривается бюджет в размере 50</w:t>
      </w:r>
      <w:r w:rsidR="0014311C">
        <w:rPr>
          <w:lang w:val="en-US"/>
        </w:rPr>
        <w:t> </w:t>
      </w:r>
      <w:r w:rsidR="00656D2C" w:rsidRPr="00656D2C">
        <w:t>000 долл. США.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61593" w:rsidRPr="00D76D36" w14:paraId="4FCA2400" w14:textId="77777777" w:rsidTr="00B26D00">
        <w:tc>
          <w:tcPr>
            <w:tcW w:w="1899" w:type="dxa"/>
          </w:tcPr>
          <w:p w14:paraId="3EB8BB0A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4FEC4074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8978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5FB38693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900" w:type="dxa"/>
          </w:tcPr>
          <w:p w14:paraId="053EA845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</w:tr>
    </w:tbl>
    <w:p w14:paraId="18D3F20A" w14:textId="77777777" w:rsidR="00461593" w:rsidRPr="00D76D36" w:rsidRDefault="00461593" w:rsidP="00461593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sectPr w:rsidR="00461593" w:rsidRPr="00D76D36" w:rsidSect="00A564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F96D" w14:textId="77777777" w:rsidR="00722BC0" w:rsidRPr="00A56462" w:rsidRDefault="00722BC0" w:rsidP="008C6E19">
      <w:r w:rsidRPr="00A56462">
        <w:separator/>
      </w:r>
    </w:p>
  </w:endnote>
  <w:endnote w:type="continuationSeparator" w:id="0">
    <w:p w14:paraId="0661B823" w14:textId="77777777" w:rsidR="00722BC0" w:rsidRPr="00A56462" w:rsidRDefault="00722BC0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8C6E19" w:rsidRPr="00A56462" w:rsidRDefault="00A56462" w:rsidP="0085135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85135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062CC440" w:rsidR="008C6E19" w:rsidRPr="00A56462" w:rsidRDefault="00A56462" w:rsidP="00617BC3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</w:pPr>
    <w:bookmarkStart w:id="11" w:name="FooterJobDate"/>
    <w:r w:rsidRPr="00A56462">
      <w:t>K</w:t>
    </w:r>
    <w:r w:rsidR="00A201E4">
      <w:rPr>
        <w:lang w:val="en-US"/>
      </w:rPr>
      <w:t>23</w:t>
    </w:r>
    <w:r w:rsidR="00617BC3">
      <w:rPr>
        <w:lang w:val="en-US"/>
      </w:rPr>
      <w:t>09</w:t>
    </w:r>
    <w:r w:rsidR="00943F1C">
      <w:rPr>
        <w:lang w:val="en-US"/>
      </w:rPr>
      <w:t>487</w:t>
    </w:r>
    <w:r w:rsidRPr="00A56462">
      <w:t>[R]</w:t>
    </w:r>
    <w:r w:rsidRPr="00A56462">
      <w:tab/>
    </w:r>
    <w:r w:rsidR="00943F1C">
      <w:rPr>
        <w:lang w:val="en-US"/>
      </w:rPr>
      <w:t>1707</w:t>
    </w:r>
    <w:r w:rsidRPr="00A56462">
      <w:t>23</w:t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1D6" w14:textId="77777777" w:rsidR="00722BC0" w:rsidRPr="00A56462" w:rsidRDefault="00722BC0" w:rsidP="008C79A4">
      <w:pPr>
        <w:ind w:left="624"/>
      </w:pPr>
      <w:r w:rsidRPr="00A56462">
        <w:separator/>
      </w:r>
    </w:p>
  </w:footnote>
  <w:footnote w:type="continuationSeparator" w:id="0">
    <w:p w14:paraId="7B1C841D" w14:textId="77777777" w:rsidR="00722BC0" w:rsidRPr="00A56462" w:rsidRDefault="00722BC0" w:rsidP="008C6E19">
      <w:r w:rsidRPr="00A56462">
        <w:continuationSeparator/>
      </w:r>
    </w:p>
  </w:footnote>
  <w:footnote w:id="1">
    <w:p w14:paraId="46880192" w14:textId="48E25F55" w:rsidR="00943F1C" w:rsidRPr="008C79A4" w:rsidRDefault="00943F1C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lang w:val="fr-FR"/>
        </w:rPr>
        <w:t xml:space="preserve">* </w:t>
      </w:r>
      <w:r w:rsidR="008C79A4" w:rsidRPr="008C79A4"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IPBES/10/1.</w:t>
      </w:r>
    </w:p>
  </w:footnote>
  <w:footnote w:id="2">
    <w:p w14:paraId="7913E155" w14:textId="481110C7" w:rsidR="00656D2C" w:rsidRPr="008C79A4" w:rsidRDefault="00656D2C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 w:rsidR="008C79A4" w:rsidRPr="008C79A4"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IPBES/9/INF/20.</w:t>
      </w:r>
    </w:p>
  </w:footnote>
  <w:footnote w:id="3">
    <w:p w14:paraId="7CE34638" w14:textId="77777777" w:rsidR="008C79A4" w:rsidRPr="008C79A4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IPBES/7/INF/17.</w:t>
      </w:r>
    </w:p>
  </w:footnote>
  <w:footnote w:id="4">
    <w:p w14:paraId="075BCA2C" w14:textId="77777777" w:rsidR="008C79A4" w:rsidRPr="008C79A4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IPBES/7/INF/18.</w:t>
      </w:r>
    </w:p>
  </w:footnote>
  <w:footnote w:id="5">
    <w:p w14:paraId="5A6ADD40" w14:textId="44520372" w:rsidR="00656D2C" w:rsidRPr="008C79A4" w:rsidRDefault="00656D2C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 w:rsidR="008C79A4"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IPBES/7/INF/19.</w:t>
      </w:r>
    </w:p>
  </w:footnote>
  <w:footnote w:id="6">
    <w:p w14:paraId="1B9C724B" w14:textId="77777777" w:rsidR="008C79A4" w:rsidRPr="008C79A4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IPBES/7/INF/20.</w:t>
      </w:r>
    </w:p>
  </w:footnote>
  <w:footnote w:id="7">
    <w:p w14:paraId="77AC0A77" w14:textId="77777777" w:rsidR="008C79A4" w:rsidRPr="008C79A4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  <w:lang w:val="fr-FR"/>
        </w:rPr>
        <w:t xml:space="preserve"> </w:t>
      </w:r>
      <w:r>
        <w:rPr>
          <w:szCs w:val="18"/>
          <w:lang w:val="fr-FR"/>
        </w:rPr>
        <w:tab/>
      </w:r>
      <w:r w:rsidRPr="008C79A4">
        <w:rPr>
          <w:szCs w:val="18"/>
          <w:lang w:val="fr-FR"/>
        </w:rPr>
        <w:t>IPBES/8/8.</w:t>
      </w:r>
    </w:p>
  </w:footnote>
  <w:footnote w:id="8">
    <w:p w14:paraId="57B7BA69" w14:textId="77777777" w:rsidR="008C79A4" w:rsidRPr="00936D3C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936D3C">
        <w:rPr>
          <w:szCs w:val="18"/>
          <w:lang w:val="fr-FR"/>
        </w:rPr>
        <w:t xml:space="preserve"> </w:t>
      </w:r>
      <w:r w:rsidRPr="00936D3C">
        <w:rPr>
          <w:szCs w:val="18"/>
          <w:lang w:val="fr-FR"/>
        </w:rPr>
        <w:tab/>
      </w:r>
      <w:r w:rsidRPr="008C79A4">
        <w:rPr>
          <w:szCs w:val="18"/>
          <w:lang w:val="fr-FR"/>
        </w:rPr>
        <w:t>IPBES</w:t>
      </w:r>
      <w:r w:rsidRPr="00936D3C">
        <w:rPr>
          <w:szCs w:val="18"/>
          <w:lang w:val="fr-FR"/>
        </w:rPr>
        <w:t>/8/</w:t>
      </w:r>
      <w:r w:rsidRPr="008C79A4">
        <w:rPr>
          <w:szCs w:val="18"/>
          <w:lang w:val="fr-FR"/>
        </w:rPr>
        <w:t>INF</w:t>
      </w:r>
      <w:r w:rsidRPr="00936D3C">
        <w:rPr>
          <w:szCs w:val="18"/>
          <w:lang w:val="fr-FR"/>
        </w:rPr>
        <w:t>/22.</w:t>
      </w:r>
    </w:p>
  </w:footnote>
  <w:footnote w:id="9">
    <w:p w14:paraId="51D10E00" w14:textId="77777777" w:rsidR="008C79A4" w:rsidRPr="00936D3C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  <w:lang w:val="fr-FR"/>
        </w:rPr>
      </w:pPr>
      <w:r w:rsidRPr="008C79A4">
        <w:rPr>
          <w:szCs w:val="18"/>
          <w:vertAlign w:val="superscript"/>
        </w:rPr>
        <w:footnoteRef/>
      </w:r>
      <w:r w:rsidRPr="00936D3C">
        <w:rPr>
          <w:szCs w:val="18"/>
          <w:lang w:val="fr-FR"/>
        </w:rPr>
        <w:t xml:space="preserve"> </w:t>
      </w:r>
      <w:r w:rsidRPr="00936D3C">
        <w:rPr>
          <w:szCs w:val="18"/>
          <w:lang w:val="fr-FR"/>
        </w:rPr>
        <w:tab/>
      </w:r>
      <w:r w:rsidRPr="008C79A4">
        <w:rPr>
          <w:szCs w:val="18"/>
          <w:lang w:val="fr-FR"/>
        </w:rPr>
        <w:t>IPBES</w:t>
      </w:r>
      <w:r w:rsidRPr="00936D3C">
        <w:rPr>
          <w:szCs w:val="18"/>
          <w:lang w:val="fr-FR"/>
        </w:rPr>
        <w:t>/8/</w:t>
      </w:r>
      <w:r w:rsidRPr="008C79A4">
        <w:rPr>
          <w:szCs w:val="18"/>
          <w:lang w:val="fr-FR"/>
        </w:rPr>
        <w:t>INF</w:t>
      </w:r>
      <w:r w:rsidRPr="00936D3C">
        <w:rPr>
          <w:szCs w:val="18"/>
          <w:lang w:val="fr-FR"/>
        </w:rPr>
        <w:t>/21.</w:t>
      </w:r>
    </w:p>
  </w:footnote>
  <w:footnote w:id="10">
    <w:p w14:paraId="74580135" w14:textId="25C2AB23" w:rsidR="008C79A4" w:rsidRPr="008C79A4" w:rsidRDefault="008C79A4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 xml:space="preserve">Доступно по адресу: </w:t>
      </w:r>
      <w:hyperlink r:id="rId1" w:history="1">
        <w:r w:rsidRPr="00DB3441">
          <w:rPr>
            <w:rStyle w:val="Hyperlink"/>
            <w:sz w:val="18"/>
            <w:szCs w:val="18"/>
          </w:rPr>
          <w:t>https://ipbes.net/national-focal-points</w:t>
        </w:r>
      </w:hyperlink>
      <w:r w:rsidRPr="008C79A4">
        <w:rPr>
          <w:szCs w:val="18"/>
        </w:rPr>
        <w:t>.</w:t>
      </w:r>
    </w:p>
  </w:footnote>
  <w:footnote w:id="11">
    <w:p w14:paraId="5CD6D99C" w14:textId="2A1D1548" w:rsidR="00656D2C" w:rsidRPr="008C79A4" w:rsidRDefault="00656D2C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</w:rPr>
        <w:t xml:space="preserve"> </w:t>
      </w:r>
      <w:r w:rsidR="008C79A4">
        <w:rPr>
          <w:szCs w:val="18"/>
        </w:rPr>
        <w:tab/>
      </w:r>
      <w:r w:rsidRPr="008C79A4">
        <w:rPr>
          <w:szCs w:val="18"/>
        </w:rPr>
        <w:t>IPBES/9/11.</w:t>
      </w:r>
    </w:p>
  </w:footnote>
  <w:footnote w:id="12">
    <w:p w14:paraId="27BB95C1" w14:textId="77777777" w:rsidR="00C9183C" w:rsidRPr="008C79A4" w:rsidRDefault="00C9183C" w:rsidP="00C9183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>IPBES/9/INF/19.</w:t>
      </w:r>
    </w:p>
  </w:footnote>
  <w:footnote w:id="13">
    <w:p w14:paraId="2F4136D5" w14:textId="77777777" w:rsidR="00C9183C" w:rsidRPr="008C79A4" w:rsidRDefault="00C9183C" w:rsidP="00C9183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>IPBES/9/11, раздел I.</w:t>
      </w:r>
    </w:p>
  </w:footnote>
  <w:footnote w:id="14">
    <w:p w14:paraId="271AB74B" w14:textId="77777777" w:rsidR="001B37DC" w:rsidRPr="008C79A4" w:rsidRDefault="001B37DC" w:rsidP="001B37D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rStyle w:val="FootnoteReference"/>
          <w:sz w:val="18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>IPBES/9/11, приложение.</w:t>
      </w:r>
    </w:p>
  </w:footnote>
  <w:footnote w:id="15">
    <w:p w14:paraId="3D48763F" w14:textId="25E2642C" w:rsidR="00656D2C" w:rsidRPr="008C79A4" w:rsidRDefault="00656D2C" w:rsidP="008C79A4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rStyle w:val="FootnoteReference"/>
          <w:sz w:val="18"/>
        </w:rPr>
        <w:footnoteRef/>
      </w:r>
      <w:r w:rsidRPr="008C79A4">
        <w:rPr>
          <w:szCs w:val="18"/>
        </w:rPr>
        <w:t xml:space="preserve"> </w:t>
      </w:r>
      <w:r w:rsidR="008C79A4">
        <w:rPr>
          <w:szCs w:val="18"/>
        </w:rPr>
        <w:tab/>
      </w:r>
      <w:r w:rsidRPr="008C79A4">
        <w:rPr>
          <w:szCs w:val="18"/>
        </w:rPr>
        <w:t>IPBES/7/5.</w:t>
      </w:r>
    </w:p>
  </w:footnote>
  <w:footnote w:id="16">
    <w:p w14:paraId="2C8D307D" w14:textId="77777777" w:rsidR="001B37DC" w:rsidRPr="008C79A4" w:rsidRDefault="001B37DC" w:rsidP="001B37D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rStyle w:val="FootnoteReference"/>
          <w:sz w:val="18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>См. решение МПБЭУ-3/3, приложение I.</w:t>
      </w:r>
    </w:p>
  </w:footnote>
  <w:footnote w:id="17">
    <w:p w14:paraId="6DBB9D08" w14:textId="77777777" w:rsidR="0014311C" w:rsidRPr="008C79A4" w:rsidRDefault="0014311C" w:rsidP="0014311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C79A4">
        <w:rPr>
          <w:szCs w:val="18"/>
          <w:vertAlign w:val="superscript"/>
        </w:rPr>
        <w:footnoteRef/>
      </w:r>
      <w:r w:rsidRPr="008C79A4">
        <w:rPr>
          <w:szCs w:val="18"/>
        </w:rPr>
        <w:t xml:space="preserve"> </w:t>
      </w:r>
      <w:r>
        <w:rPr>
          <w:szCs w:val="18"/>
        </w:rPr>
        <w:tab/>
      </w:r>
      <w:r w:rsidRPr="008C79A4">
        <w:rPr>
          <w:szCs w:val="18"/>
        </w:rPr>
        <w:t>IPBES/10/10.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3FB4B622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ED4D7A">
      <w:rPr>
        <w:noProof/>
      </w:rPr>
      <w:t>IPBES/10/9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253DE9CE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ED4D7A">
      <w:rPr>
        <w:noProof/>
      </w:rPr>
      <w:t>IPBES/10/9</w:t>
    </w:r>
    <w:r w:rsidRPr="00A5646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AD6EEF8E"/>
    <w:numStyleLink w:val="Normallist"/>
  </w:abstractNum>
  <w:abstractNum w:abstractNumId="14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1"/>
  </w:num>
  <w:num w:numId="3" w16cid:durableId="1069155537">
    <w:abstractNumId w:val="12"/>
  </w:num>
  <w:num w:numId="4" w16cid:durableId="1774812898">
    <w:abstractNumId w:val="13"/>
  </w:num>
  <w:num w:numId="5" w16cid:durableId="158621568">
    <w:abstractNumId w:val="16"/>
  </w:num>
  <w:num w:numId="6" w16cid:durableId="1775174830">
    <w:abstractNumId w:val="15"/>
  </w:num>
  <w:num w:numId="7" w16cid:durableId="1353149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111587"/>
    <w:rsid w:val="0014311C"/>
    <w:rsid w:val="0019755B"/>
    <w:rsid w:val="001B37DC"/>
    <w:rsid w:val="001B72E5"/>
    <w:rsid w:val="00240F2A"/>
    <w:rsid w:val="00247CBC"/>
    <w:rsid w:val="00267474"/>
    <w:rsid w:val="003730EE"/>
    <w:rsid w:val="003939F3"/>
    <w:rsid w:val="003B3F09"/>
    <w:rsid w:val="00413163"/>
    <w:rsid w:val="00432F22"/>
    <w:rsid w:val="00442F42"/>
    <w:rsid w:val="00461593"/>
    <w:rsid w:val="00461D60"/>
    <w:rsid w:val="004F0AA1"/>
    <w:rsid w:val="00553947"/>
    <w:rsid w:val="0057040B"/>
    <w:rsid w:val="005D4931"/>
    <w:rsid w:val="005D64EE"/>
    <w:rsid w:val="0060263E"/>
    <w:rsid w:val="00611B12"/>
    <w:rsid w:val="00617BC3"/>
    <w:rsid w:val="0062136D"/>
    <w:rsid w:val="00656D2C"/>
    <w:rsid w:val="006C7078"/>
    <w:rsid w:val="006E26B3"/>
    <w:rsid w:val="0070562B"/>
    <w:rsid w:val="00722BC0"/>
    <w:rsid w:val="0072422C"/>
    <w:rsid w:val="007E5200"/>
    <w:rsid w:val="00851353"/>
    <w:rsid w:val="008716D7"/>
    <w:rsid w:val="00887CCE"/>
    <w:rsid w:val="008C6E19"/>
    <w:rsid w:val="008C79A4"/>
    <w:rsid w:val="009132CC"/>
    <w:rsid w:val="00936D3C"/>
    <w:rsid w:val="00943F1C"/>
    <w:rsid w:val="009732A7"/>
    <w:rsid w:val="009A4F33"/>
    <w:rsid w:val="009B4E27"/>
    <w:rsid w:val="00A201E4"/>
    <w:rsid w:val="00A2026E"/>
    <w:rsid w:val="00A56462"/>
    <w:rsid w:val="00A6279E"/>
    <w:rsid w:val="00AA5C69"/>
    <w:rsid w:val="00AA753A"/>
    <w:rsid w:val="00AD170E"/>
    <w:rsid w:val="00AF5D48"/>
    <w:rsid w:val="00B31DDA"/>
    <w:rsid w:val="00B61AFE"/>
    <w:rsid w:val="00B83A0D"/>
    <w:rsid w:val="00BA46CB"/>
    <w:rsid w:val="00BE34B2"/>
    <w:rsid w:val="00C03AF0"/>
    <w:rsid w:val="00C2149C"/>
    <w:rsid w:val="00C9183C"/>
    <w:rsid w:val="00D0544F"/>
    <w:rsid w:val="00D1723B"/>
    <w:rsid w:val="00D42310"/>
    <w:rsid w:val="00DB3441"/>
    <w:rsid w:val="00ED4D7A"/>
    <w:rsid w:val="00FC7A88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5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styleId="Revision">
    <w:name w:val="Revision"/>
    <w:hidden/>
    <w:uiPriority w:val="99"/>
    <w:semiHidden/>
    <w:rsid w:val="00240F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pbes.net/national-focal-po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2023-07-19T16:59:01+00:00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63C5-8ED1-45B7-B3C2-303739CD3FA5}"/>
</file>

<file path=customXml/itemProps2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0EBE287-AAEC-40FE-ABFF-C6E9D753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2455</Words>
  <Characters>13996</Characters>
  <Application>Microsoft Office Word</Application>
  <DocSecurity>0</DocSecurity>
  <PresentationFormat/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Tamara Olago</cp:lastModifiedBy>
  <cp:revision>4</cp:revision>
  <dcterms:created xsi:type="dcterms:W3CDTF">2023-07-17T05:12:00Z</dcterms:created>
  <dcterms:modified xsi:type="dcterms:W3CDTF">2023-07-17T07:19:00Z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