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3" w:type="pct"/>
        <w:jc w:val="right"/>
        <w:tblLayout w:type="fixed"/>
        <w:tblLook w:val="0000" w:firstRow="0" w:lastRow="0" w:firstColumn="0" w:lastColumn="0" w:noHBand="0" w:noVBand="0"/>
      </w:tblPr>
      <w:tblGrid>
        <w:gridCol w:w="1457"/>
        <w:gridCol w:w="592"/>
        <w:gridCol w:w="348"/>
        <w:gridCol w:w="864"/>
        <w:gridCol w:w="954"/>
        <w:gridCol w:w="2731"/>
        <w:gridCol w:w="973"/>
        <w:gridCol w:w="1705"/>
      </w:tblGrid>
      <w:tr w:rsidR="00DA3F7A" w:rsidRPr="00FA40C3" w14:paraId="2431C878" w14:textId="77777777" w:rsidTr="00330FE3">
        <w:trPr>
          <w:cantSplit/>
          <w:trHeight w:val="1079"/>
          <w:jc w:val="right"/>
        </w:trPr>
        <w:tc>
          <w:tcPr>
            <w:tcW w:w="1457" w:type="dxa"/>
          </w:tcPr>
          <w:p w14:paraId="2CFF0890" w14:textId="77777777" w:rsidR="00DA3F7A" w:rsidRPr="00FA40C3" w:rsidRDefault="00DA3F7A" w:rsidP="00780B15">
            <w:pPr>
              <w:pStyle w:val="Normal-pool"/>
              <w:rPr>
                <w:rFonts w:ascii="Arial" w:hAnsi="Arial" w:cs="Arial"/>
                <w:b/>
                <w:noProof/>
                <w:sz w:val="27"/>
                <w:szCs w:val="27"/>
                <w:lang w:val="fr-FR"/>
              </w:rPr>
            </w:pPr>
            <w:r w:rsidRPr="00FA40C3">
              <w:rPr>
                <w:rFonts w:ascii="Arial" w:hAnsi="Arial" w:cs="Arial"/>
                <w:b/>
                <w:noProof/>
                <w:sz w:val="27"/>
                <w:szCs w:val="27"/>
                <w:lang w:val="fr-FR"/>
              </w:rPr>
              <w:t>NATIONS UNIES</w:t>
            </w:r>
          </w:p>
        </w:tc>
        <w:tc>
          <w:tcPr>
            <w:tcW w:w="940" w:type="dxa"/>
            <w:gridSpan w:val="2"/>
            <w:tcBorders>
              <w:left w:val="nil"/>
            </w:tcBorders>
            <w:vAlign w:val="center"/>
          </w:tcPr>
          <w:p w14:paraId="4EF83A47" w14:textId="77777777" w:rsidR="00DA3F7A" w:rsidRPr="00FA40C3" w:rsidRDefault="00DA3F7A" w:rsidP="00780B15">
            <w:pPr>
              <w:pStyle w:val="Normal-pool"/>
              <w:rPr>
                <w:noProof/>
                <w:lang w:val="fr-FR"/>
              </w:rPr>
            </w:pPr>
            <w:r w:rsidRPr="00FA40C3">
              <w:rPr>
                <w:noProof/>
                <w:lang w:val="fr-FR" w:eastAsia="en-GB"/>
              </w:rPr>
              <w:drawing>
                <wp:inline distT="0" distB="0" distL="0" distR="0" wp14:anchorId="014DA945" wp14:editId="1B637311">
                  <wp:extent cx="482803" cy="460857"/>
                  <wp:effectExtent l="0" t="0" r="0" b="0"/>
                  <wp:docPr id="3"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4" w:type="dxa"/>
            <w:tcBorders>
              <w:left w:val="nil"/>
            </w:tcBorders>
            <w:vAlign w:val="center"/>
          </w:tcPr>
          <w:p w14:paraId="23E097F3" w14:textId="77777777" w:rsidR="00DA3F7A" w:rsidRPr="00FA40C3" w:rsidRDefault="00DA3F7A" w:rsidP="00780B15">
            <w:pPr>
              <w:pStyle w:val="Normal-pool"/>
              <w:spacing w:before="160"/>
              <w:rPr>
                <w:noProof/>
                <w:lang w:val="fr-FR"/>
              </w:rPr>
            </w:pPr>
            <w:r w:rsidRPr="00FA40C3">
              <w:rPr>
                <w:noProof/>
                <w:lang w:val="fr-FR" w:eastAsia="en-GB"/>
              </w:rPr>
              <w:drawing>
                <wp:inline distT="0" distB="0" distL="0" distR="0" wp14:anchorId="51421317" wp14:editId="6EE33C5F">
                  <wp:extent cx="362710" cy="47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54" w:type="dxa"/>
            <w:tcBorders>
              <w:left w:val="nil"/>
            </w:tcBorders>
            <w:vAlign w:val="center"/>
          </w:tcPr>
          <w:p w14:paraId="7A321D2A" w14:textId="77777777" w:rsidR="00DA3F7A" w:rsidRPr="00FA40C3" w:rsidRDefault="00DA3F7A" w:rsidP="00780B15">
            <w:pPr>
              <w:pStyle w:val="Normal-pool"/>
              <w:rPr>
                <w:noProof/>
                <w:lang w:val="fr-FR"/>
              </w:rPr>
            </w:pPr>
            <w:r w:rsidRPr="00FA40C3">
              <w:rPr>
                <w:noProof/>
                <w:lang w:val="fr-FR" w:eastAsia="en-GB"/>
              </w:rPr>
              <w:drawing>
                <wp:inline distT="0" distB="0" distL="0" distR="0" wp14:anchorId="1E8FF6F5" wp14:editId="1401E4F5">
                  <wp:extent cx="490119" cy="460857"/>
                  <wp:effectExtent l="0" t="0" r="5715" b="0"/>
                  <wp:docPr id="5"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31" w:type="dxa"/>
            <w:tcBorders>
              <w:left w:val="nil"/>
            </w:tcBorders>
            <w:vAlign w:val="center"/>
          </w:tcPr>
          <w:p w14:paraId="6F95D6EE" w14:textId="77777777" w:rsidR="00DA3F7A" w:rsidRPr="00FA40C3" w:rsidRDefault="00DA3F7A" w:rsidP="00780B15">
            <w:pPr>
              <w:pStyle w:val="Normal-pool"/>
              <w:rPr>
                <w:noProof/>
                <w:lang w:val="fr-FR"/>
              </w:rPr>
            </w:pPr>
            <w:r w:rsidRPr="00FA40C3">
              <w:rPr>
                <w:noProof/>
                <w:lang w:val="fr-FR" w:eastAsia="en-GB"/>
              </w:rPr>
              <w:drawing>
                <wp:inline distT="0" distB="0" distL="0" distR="0" wp14:anchorId="27B93737" wp14:editId="0787F2E7">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3" w:type="dxa"/>
            <w:tcBorders>
              <w:left w:val="nil"/>
            </w:tcBorders>
            <w:vAlign w:val="center"/>
          </w:tcPr>
          <w:p w14:paraId="62636045" w14:textId="77777777" w:rsidR="00DA3F7A" w:rsidRPr="00FA40C3" w:rsidRDefault="00DA3F7A" w:rsidP="00780B15">
            <w:pPr>
              <w:pStyle w:val="Normal-pool"/>
              <w:ind w:right="-136"/>
              <w:rPr>
                <w:noProof/>
                <w:lang w:val="fr-FR"/>
              </w:rPr>
            </w:pPr>
            <w:r w:rsidRPr="00FA40C3">
              <w:rPr>
                <w:noProof/>
                <w:lang w:val="fr-FR" w:eastAsia="en-GB"/>
              </w:rPr>
              <w:drawing>
                <wp:inline distT="0" distB="0" distL="0" distR="0" wp14:anchorId="057E4B0F" wp14:editId="59122855">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05" w:type="dxa"/>
          </w:tcPr>
          <w:p w14:paraId="197121FE" w14:textId="77777777" w:rsidR="00DA3F7A" w:rsidRPr="00FA40C3" w:rsidRDefault="00DA3F7A" w:rsidP="00780B15">
            <w:pPr>
              <w:pStyle w:val="Normal-pool"/>
              <w:ind w:right="-136"/>
              <w:jc w:val="right"/>
              <w:rPr>
                <w:rFonts w:ascii="Arial" w:hAnsi="Arial" w:cs="Arial"/>
                <w:b/>
                <w:noProof/>
                <w:sz w:val="64"/>
                <w:szCs w:val="64"/>
                <w:lang w:val="fr-FR"/>
              </w:rPr>
            </w:pPr>
            <w:r w:rsidRPr="00FA40C3">
              <w:rPr>
                <w:rFonts w:ascii="Arial" w:hAnsi="Arial" w:cs="Arial"/>
                <w:b/>
                <w:noProof/>
                <w:sz w:val="64"/>
                <w:szCs w:val="64"/>
                <w:lang w:val="fr-FR"/>
              </w:rPr>
              <w:t>BES</w:t>
            </w:r>
          </w:p>
        </w:tc>
      </w:tr>
      <w:tr w:rsidR="00DA3F7A" w:rsidRPr="00FA40C3" w14:paraId="54369274" w14:textId="77777777" w:rsidTr="00330FE3">
        <w:trPr>
          <w:cantSplit/>
          <w:trHeight w:val="282"/>
          <w:jc w:val="right"/>
        </w:trPr>
        <w:tc>
          <w:tcPr>
            <w:tcW w:w="1457" w:type="dxa"/>
            <w:tcBorders>
              <w:bottom w:val="single" w:sz="2" w:space="0" w:color="auto"/>
            </w:tcBorders>
          </w:tcPr>
          <w:p w14:paraId="24E46A1A" w14:textId="77777777" w:rsidR="00DA3F7A" w:rsidRPr="00FA40C3" w:rsidRDefault="00DA3F7A" w:rsidP="00780B15">
            <w:pPr>
              <w:pStyle w:val="Normal-pool"/>
              <w:rPr>
                <w:noProof/>
                <w:lang w:val="fr-FR"/>
              </w:rPr>
            </w:pPr>
          </w:p>
        </w:tc>
        <w:tc>
          <w:tcPr>
            <w:tcW w:w="5489" w:type="dxa"/>
            <w:gridSpan w:val="5"/>
            <w:tcBorders>
              <w:bottom w:val="single" w:sz="2" w:space="0" w:color="auto"/>
            </w:tcBorders>
          </w:tcPr>
          <w:p w14:paraId="69C73E5C" w14:textId="77777777" w:rsidR="00DA3F7A" w:rsidRPr="00FA40C3" w:rsidRDefault="00DA3F7A" w:rsidP="00780B15">
            <w:pPr>
              <w:pStyle w:val="Normal-pool"/>
              <w:rPr>
                <w:rFonts w:ascii="Univers" w:hAnsi="Univers"/>
                <w:b/>
                <w:noProof/>
                <w:sz w:val="24"/>
                <w:lang w:val="fr-FR"/>
              </w:rPr>
            </w:pPr>
          </w:p>
        </w:tc>
        <w:tc>
          <w:tcPr>
            <w:tcW w:w="2678" w:type="dxa"/>
            <w:gridSpan w:val="2"/>
            <w:tcBorders>
              <w:bottom w:val="single" w:sz="2" w:space="0" w:color="auto"/>
            </w:tcBorders>
          </w:tcPr>
          <w:p w14:paraId="1BB0443D" w14:textId="55BE8E7E" w:rsidR="00DA3F7A" w:rsidRPr="00FA40C3" w:rsidRDefault="00DA3F7A" w:rsidP="00780B15">
            <w:pPr>
              <w:pStyle w:val="Normal-pool"/>
              <w:spacing w:before="120"/>
              <w:rPr>
                <w:b/>
                <w:noProof/>
                <w:sz w:val="24"/>
                <w:szCs w:val="24"/>
                <w:lang w:val="fr-FR"/>
              </w:rPr>
            </w:pPr>
            <w:r w:rsidRPr="00FA40C3">
              <w:rPr>
                <w:b/>
                <w:noProof/>
                <w:sz w:val="24"/>
                <w:lang w:val="fr-FR"/>
              </w:rPr>
              <w:t>IPBES</w:t>
            </w:r>
            <w:r w:rsidRPr="00FA40C3">
              <w:rPr>
                <w:noProof/>
                <w:lang w:val="fr-FR"/>
              </w:rPr>
              <w:t>/</w:t>
            </w:r>
            <w:r w:rsidR="0054370A" w:rsidRPr="00FA40C3">
              <w:rPr>
                <w:noProof/>
                <w:lang w:val="fr-FR"/>
              </w:rPr>
              <w:t>8</w:t>
            </w:r>
            <w:r w:rsidRPr="00FA40C3">
              <w:rPr>
                <w:noProof/>
                <w:lang w:val="fr-FR"/>
              </w:rPr>
              <w:t>/</w:t>
            </w:r>
            <w:r w:rsidR="0054370A" w:rsidRPr="00FA40C3">
              <w:rPr>
                <w:noProof/>
                <w:lang w:val="fr-FR"/>
              </w:rPr>
              <w:t>10</w:t>
            </w:r>
          </w:p>
        </w:tc>
      </w:tr>
      <w:tr w:rsidR="00DA3F7A" w:rsidRPr="00FA40C3" w14:paraId="6A8AB78A" w14:textId="77777777" w:rsidTr="00330FE3">
        <w:trPr>
          <w:cantSplit/>
          <w:trHeight w:val="1615"/>
          <w:jc w:val="right"/>
        </w:trPr>
        <w:tc>
          <w:tcPr>
            <w:tcW w:w="2049" w:type="dxa"/>
            <w:gridSpan w:val="2"/>
            <w:tcBorders>
              <w:top w:val="single" w:sz="2" w:space="0" w:color="auto"/>
              <w:bottom w:val="single" w:sz="24" w:space="0" w:color="auto"/>
            </w:tcBorders>
          </w:tcPr>
          <w:p w14:paraId="4C9D521E" w14:textId="77777777" w:rsidR="00DA3F7A" w:rsidRPr="00FA40C3" w:rsidRDefault="00DA3F7A" w:rsidP="00780B15">
            <w:pPr>
              <w:pStyle w:val="Normal-pool"/>
              <w:spacing w:before="240" w:after="240"/>
              <w:rPr>
                <w:b/>
                <w:noProof/>
                <w:sz w:val="28"/>
                <w:szCs w:val="28"/>
                <w:lang w:val="fr-FR"/>
              </w:rPr>
            </w:pPr>
            <w:r w:rsidRPr="00FA40C3">
              <w:rPr>
                <w:b/>
                <w:noProof/>
                <w:sz w:val="28"/>
                <w:szCs w:val="28"/>
                <w:lang w:val="fr-FR" w:eastAsia="en-GB"/>
              </w:rPr>
              <w:drawing>
                <wp:inline distT="0" distB="0" distL="0" distR="0" wp14:anchorId="28A23353" wp14:editId="7197C6F3">
                  <wp:extent cx="1111406"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7" w:type="dxa"/>
            <w:gridSpan w:val="4"/>
            <w:tcBorders>
              <w:top w:val="single" w:sz="2" w:space="0" w:color="auto"/>
              <w:bottom w:val="single" w:sz="24" w:space="0" w:color="auto"/>
            </w:tcBorders>
          </w:tcPr>
          <w:p w14:paraId="4A642AE8" w14:textId="77777777" w:rsidR="00DA3F7A" w:rsidRPr="00FA40C3" w:rsidRDefault="00AA2AFF" w:rsidP="00780B15">
            <w:pPr>
              <w:pStyle w:val="Normal-pool"/>
              <w:spacing w:before="240" w:after="240"/>
              <w:rPr>
                <w:rFonts w:ascii="Arial" w:hAnsi="Arial" w:cs="Arial"/>
                <w:b/>
                <w:noProof/>
                <w:sz w:val="28"/>
                <w:szCs w:val="28"/>
                <w:lang w:val="fr-FR"/>
              </w:rPr>
            </w:pPr>
            <w:hyperlink r:id="rId18" w:tgtFrame="_blank" w:history="1">
              <w:r w:rsidR="00DA3F7A" w:rsidRPr="00FA40C3">
                <w:rPr>
                  <w:rFonts w:ascii="Arial" w:hAnsi="Arial" w:cs="Arial"/>
                  <w:b/>
                  <w:noProof/>
                  <w:sz w:val="28"/>
                  <w:szCs w:val="28"/>
                  <w:lang w:val="fr-FR"/>
                </w:rPr>
                <w:t>Plateforme intergouvernementale scientifique et politique sur la biodiversité et les services écosystémiques</w:t>
              </w:r>
            </w:hyperlink>
          </w:p>
        </w:tc>
        <w:tc>
          <w:tcPr>
            <w:tcW w:w="2678" w:type="dxa"/>
            <w:gridSpan w:val="2"/>
            <w:tcBorders>
              <w:top w:val="single" w:sz="2" w:space="0" w:color="auto"/>
              <w:bottom w:val="single" w:sz="24" w:space="0" w:color="auto"/>
            </w:tcBorders>
          </w:tcPr>
          <w:p w14:paraId="7FCED03B" w14:textId="08E76A80" w:rsidR="00DA3F7A" w:rsidRPr="00FA40C3" w:rsidRDefault="00DA3F7A" w:rsidP="00780B15">
            <w:pPr>
              <w:pStyle w:val="Normal-pool"/>
              <w:spacing w:before="120"/>
              <w:rPr>
                <w:noProof/>
                <w:lang w:val="fr-FR"/>
              </w:rPr>
            </w:pPr>
            <w:r w:rsidRPr="00FA40C3">
              <w:rPr>
                <w:noProof/>
                <w:lang w:val="fr-FR"/>
              </w:rPr>
              <w:t xml:space="preserve">Distr. générale </w:t>
            </w:r>
            <w:r w:rsidRPr="00FA40C3">
              <w:rPr>
                <w:noProof/>
                <w:lang w:val="fr-FR"/>
              </w:rPr>
              <w:br/>
            </w:r>
            <w:r w:rsidR="0054370A" w:rsidRPr="00FA40C3">
              <w:rPr>
                <w:noProof/>
                <w:lang w:val="fr-FR"/>
              </w:rPr>
              <w:t>17 mars 2021</w:t>
            </w:r>
          </w:p>
          <w:p w14:paraId="3C17725A" w14:textId="77777777" w:rsidR="00DA3F7A" w:rsidRPr="00FA40C3" w:rsidRDefault="00DA3F7A" w:rsidP="00780B15">
            <w:pPr>
              <w:pStyle w:val="Normal-pool"/>
              <w:spacing w:before="120"/>
              <w:rPr>
                <w:noProof/>
                <w:lang w:val="fr-FR"/>
              </w:rPr>
            </w:pPr>
            <w:r w:rsidRPr="00FA40C3">
              <w:rPr>
                <w:noProof/>
                <w:lang w:val="fr-FR"/>
              </w:rPr>
              <w:t xml:space="preserve">Français </w:t>
            </w:r>
            <w:r w:rsidRPr="00FA40C3">
              <w:rPr>
                <w:noProof/>
                <w:lang w:val="fr-FR"/>
              </w:rPr>
              <w:br/>
              <w:t>Original : anglais</w:t>
            </w:r>
          </w:p>
        </w:tc>
      </w:tr>
    </w:tbl>
    <w:p w14:paraId="66B028F5" w14:textId="45D49D5A" w:rsidR="00DA3F7A" w:rsidRPr="00FA40C3" w:rsidRDefault="00DA3F7A" w:rsidP="00000F7F">
      <w:pPr>
        <w:pStyle w:val="AATitle"/>
        <w:ind w:left="84" w:right="4160"/>
        <w:rPr>
          <w:noProof/>
          <w:lang w:val="fr-FR"/>
        </w:rPr>
      </w:pPr>
      <w:r w:rsidRPr="00FA40C3">
        <w:rPr>
          <w:noProof/>
          <w:lang w:val="fr-FR"/>
        </w:rPr>
        <w:t>Plénière de la Plateforme intergouvernementale scientifique et</w:t>
      </w:r>
      <w:r w:rsidR="00AE5665" w:rsidRPr="00FA40C3">
        <w:rPr>
          <w:noProof/>
          <w:lang w:val="fr-FR"/>
        </w:rPr>
        <w:t> </w:t>
      </w:r>
      <w:r w:rsidRPr="00FA40C3">
        <w:rPr>
          <w:noProof/>
          <w:lang w:val="fr-FR"/>
        </w:rPr>
        <w:t xml:space="preserve">politique sur la biodiversité </w:t>
      </w:r>
      <w:r w:rsidRPr="00FA40C3">
        <w:rPr>
          <w:noProof/>
          <w:lang w:val="fr-FR"/>
        </w:rPr>
        <w:br/>
        <w:t>et les services écosystémiques</w:t>
      </w:r>
    </w:p>
    <w:p w14:paraId="0F203A90" w14:textId="0523D7E2" w:rsidR="00DA3F7A" w:rsidRPr="00FA40C3" w:rsidRDefault="0054370A" w:rsidP="00000F7F">
      <w:pPr>
        <w:pStyle w:val="AATitle"/>
        <w:ind w:left="84" w:right="4160"/>
        <w:rPr>
          <w:noProof/>
          <w:lang w:val="fr-FR"/>
        </w:rPr>
      </w:pPr>
      <w:r w:rsidRPr="00FA40C3">
        <w:rPr>
          <w:noProof/>
          <w:lang w:val="fr-FR"/>
        </w:rPr>
        <w:t>Huitième </w:t>
      </w:r>
      <w:r w:rsidR="00DA3F7A" w:rsidRPr="00FA40C3">
        <w:rPr>
          <w:noProof/>
          <w:lang w:val="fr-FR"/>
        </w:rPr>
        <w:t>session</w:t>
      </w:r>
    </w:p>
    <w:p w14:paraId="62736DF1" w14:textId="27C0D2DA" w:rsidR="00DA3F7A" w:rsidRPr="00FA40C3" w:rsidRDefault="0054370A" w:rsidP="00000F7F">
      <w:pPr>
        <w:pStyle w:val="AATitle"/>
        <w:ind w:left="84" w:right="4160"/>
        <w:rPr>
          <w:b w:val="0"/>
          <w:noProof/>
          <w:lang w:val="fr-FR" w:eastAsia="ja-JP"/>
        </w:rPr>
      </w:pPr>
      <w:r w:rsidRPr="00FA40C3">
        <w:rPr>
          <w:b w:val="0"/>
          <w:noProof/>
          <w:lang w:val="fr-FR" w:eastAsia="ja-JP"/>
        </w:rPr>
        <w:t xml:space="preserve">En ligne, </w:t>
      </w:r>
      <w:r w:rsidR="00EB5C7D" w:rsidRPr="00FA40C3">
        <w:rPr>
          <w:b w:val="0"/>
          <w:noProof/>
          <w:lang w:val="fr-FR" w:eastAsia="ja-JP"/>
        </w:rPr>
        <w:t>14</w:t>
      </w:r>
      <w:r w:rsidR="00DA3F7A" w:rsidRPr="00FA40C3">
        <w:rPr>
          <w:b w:val="0"/>
          <w:noProof/>
          <w:lang w:val="fr-FR" w:eastAsia="ja-JP"/>
        </w:rPr>
        <w:t>–</w:t>
      </w:r>
      <w:r w:rsidR="00EB5C7D" w:rsidRPr="00FA40C3">
        <w:rPr>
          <w:b w:val="0"/>
          <w:noProof/>
          <w:lang w:val="fr-FR" w:eastAsia="ja-JP"/>
        </w:rPr>
        <w:t>24 juin 2021</w:t>
      </w:r>
    </w:p>
    <w:p w14:paraId="06E00D8C" w14:textId="77777777" w:rsidR="00000F7F" w:rsidRPr="00FA40C3" w:rsidRDefault="00000F7F" w:rsidP="00000F7F">
      <w:pPr>
        <w:pStyle w:val="AATitle"/>
        <w:ind w:left="84" w:right="4162"/>
        <w:rPr>
          <w:b w:val="0"/>
          <w:noProof/>
          <w:sz w:val="24"/>
          <w:szCs w:val="24"/>
          <w:lang w:val="fr-FR" w:eastAsia="en-GB"/>
        </w:rPr>
      </w:pPr>
      <w:r w:rsidRPr="00FA40C3">
        <w:rPr>
          <w:b w:val="0"/>
          <w:noProof/>
          <w:lang w:val="fr-FR"/>
        </w:rPr>
        <w:t>Point 3 de l’ordre du jour provisoire</w:t>
      </w:r>
      <w:r w:rsidRPr="00FA40C3">
        <w:rPr>
          <w:rStyle w:val="FootnoteReference"/>
          <w:b w:val="0"/>
          <w:noProof/>
          <w:vertAlign w:val="baseline"/>
          <w:lang w:val="fr-FR"/>
        </w:rPr>
        <w:footnoteReference w:customMarkFollows="1" w:id="1"/>
        <w:t>*</w:t>
      </w:r>
    </w:p>
    <w:p w14:paraId="5C7475B8" w14:textId="14CDECCF" w:rsidR="00000F7F" w:rsidRPr="00FA40C3" w:rsidRDefault="00000F7F" w:rsidP="00000F7F">
      <w:pPr>
        <w:pStyle w:val="AATitle2"/>
        <w:spacing w:before="60" w:after="60"/>
        <w:ind w:left="84"/>
        <w:rPr>
          <w:noProof/>
          <w:lang w:val="fr-FR"/>
        </w:rPr>
      </w:pPr>
      <w:r w:rsidRPr="00FA40C3">
        <w:rPr>
          <w:noProof/>
          <w:lang w:val="fr-FR"/>
        </w:rPr>
        <w:t xml:space="preserve">Admission d’observateurs </w:t>
      </w:r>
    </w:p>
    <w:p w14:paraId="7AD50715" w14:textId="09D0D7B4" w:rsidR="00000F7F" w:rsidRPr="00FA40C3" w:rsidRDefault="00000F7F" w:rsidP="0094418E">
      <w:pPr>
        <w:pStyle w:val="Title"/>
        <w:ind w:right="187"/>
        <w:rPr>
          <w:noProof/>
          <w:lang w:val="fr-FR"/>
        </w:rPr>
      </w:pPr>
      <w:r w:rsidRPr="00FA40C3">
        <w:rPr>
          <w:noProof/>
          <w:lang w:val="fr-FR"/>
        </w:rPr>
        <w:t>Projet de politique et de procédures d’admission des</w:t>
      </w:r>
      <w:r w:rsidR="0094418E" w:rsidRPr="00FA40C3">
        <w:rPr>
          <w:noProof/>
          <w:lang w:val="fr-FR"/>
        </w:rPr>
        <w:t xml:space="preserve"> </w:t>
      </w:r>
      <w:r w:rsidRPr="00FA40C3">
        <w:rPr>
          <w:noProof/>
          <w:lang w:val="fr-FR"/>
        </w:rPr>
        <w:t>observateurs</w:t>
      </w:r>
    </w:p>
    <w:p w14:paraId="597D9867" w14:textId="3DF15DFD" w:rsidR="00000F7F" w:rsidRPr="00FA40C3" w:rsidRDefault="00000F7F" w:rsidP="00AE5665">
      <w:pPr>
        <w:pStyle w:val="CH2"/>
        <w:ind w:firstLine="13"/>
        <w:rPr>
          <w:noProof/>
          <w:lang w:val="fr-FR"/>
        </w:rPr>
      </w:pPr>
      <w:r w:rsidRPr="00FA40C3">
        <w:rPr>
          <w:noProof/>
          <w:lang w:val="fr-FR"/>
        </w:rPr>
        <w:t>Note du secrétariat</w:t>
      </w:r>
    </w:p>
    <w:p w14:paraId="6FAF8627" w14:textId="42C03DB6" w:rsidR="00E40DA7" w:rsidRPr="00FA40C3" w:rsidRDefault="00E40DA7" w:rsidP="00E40DA7">
      <w:pPr>
        <w:pStyle w:val="BBTitle"/>
        <w:rPr>
          <w:noProof/>
          <w:lang w:val="fr-FR"/>
        </w:rPr>
      </w:pPr>
      <w:r w:rsidRPr="00FA40C3">
        <w:rPr>
          <w:noProof/>
          <w:lang w:val="fr-FR"/>
        </w:rPr>
        <w:t>Introduction</w:t>
      </w:r>
    </w:p>
    <w:p w14:paraId="424C9749" w14:textId="7645A478" w:rsidR="00000F7F" w:rsidRPr="00FA40C3" w:rsidRDefault="00000F7F" w:rsidP="00143AD8">
      <w:pPr>
        <w:pStyle w:val="NormalNonumber"/>
        <w:ind w:left="1253"/>
        <w:rPr>
          <w:noProof/>
          <w:lang w:val="fr-FR"/>
        </w:rPr>
      </w:pPr>
      <w:r w:rsidRPr="00FA40C3">
        <w:rPr>
          <w:noProof/>
          <w:lang w:val="fr-FR"/>
        </w:rPr>
        <w:t>L’annexe de la présente note contient le projet de politique et de procédures d’admission des observateurs, tel qu’examiné par la Plénière de la Plateforme intergouvernementale scientifique et politique sur la biodiversité et les services écosystémiques (IPBES) à ses s</w:t>
      </w:r>
      <w:r w:rsidR="004308A0" w:rsidRPr="00FA40C3">
        <w:rPr>
          <w:noProof/>
          <w:lang w:val="fr-FR"/>
        </w:rPr>
        <w:t>ept</w:t>
      </w:r>
      <w:r w:rsidR="00AE5665" w:rsidRPr="00FA40C3">
        <w:rPr>
          <w:noProof/>
          <w:lang w:val="fr-FR"/>
        </w:rPr>
        <w:t> </w:t>
      </w:r>
      <w:r w:rsidRPr="00FA40C3">
        <w:rPr>
          <w:noProof/>
          <w:lang w:val="fr-FR"/>
        </w:rPr>
        <w:t>premières sessions. Faute</w:t>
      </w:r>
      <w:r w:rsidR="00730F76" w:rsidRPr="00FA40C3">
        <w:rPr>
          <w:noProof/>
          <w:lang w:val="fr-FR"/>
        </w:rPr>
        <w:t> </w:t>
      </w:r>
      <w:r w:rsidRPr="00FA40C3">
        <w:rPr>
          <w:noProof/>
          <w:lang w:val="fr-FR"/>
        </w:rPr>
        <w:t>de consensus à sa s</w:t>
      </w:r>
      <w:r w:rsidR="0085588D" w:rsidRPr="00FA40C3">
        <w:rPr>
          <w:noProof/>
          <w:lang w:val="fr-FR"/>
        </w:rPr>
        <w:t>eptième</w:t>
      </w:r>
      <w:r w:rsidR="00AE5665" w:rsidRPr="00FA40C3">
        <w:rPr>
          <w:noProof/>
          <w:lang w:val="fr-FR"/>
        </w:rPr>
        <w:t> </w:t>
      </w:r>
      <w:r w:rsidRPr="00FA40C3">
        <w:rPr>
          <w:noProof/>
          <w:lang w:val="fr-FR"/>
        </w:rPr>
        <w:t>session, la Plénière a décidé que les procédures transitoires d’admission des observateurs à ses sessions, telles que décrites au paragraphe 22 du rapport sur les travaux de sa première session (IPBES/1/12) et appliquées de sa deuxième</w:t>
      </w:r>
      <w:r w:rsidR="00AE5665" w:rsidRPr="00FA40C3">
        <w:rPr>
          <w:noProof/>
          <w:lang w:val="fr-FR"/>
        </w:rPr>
        <w:t xml:space="preserve"> à sa s</w:t>
      </w:r>
      <w:r w:rsidR="0085588D" w:rsidRPr="00FA40C3">
        <w:rPr>
          <w:noProof/>
          <w:lang w:val="fr-FR"/>
        </w:rPr>
        <w:t>eptième</w:t>
      </w:r>
      <w:r w:rsidR="00AE5665" w:rsidRPr="00FA40C3">
        <w:rPr>
          <w:noProof/>
          <w:lang w:val="fr-FR"/>
        </w:rPr>
        <w:t> </w:t>
      </w:r>
      <w:r w:rsidRPr="00FA40C3">
        <w:rPr>
          <w:noProof/>
          <w:lang w:val="fr-FR"/>
        </w:rPr>
        <w:t xml:space="preserve">session, seraient également appliquées à sa </w:t>
      </w:r>
      <w:r w:rsidR="0085588D" w:rsidRPr="00FA40C3">
        <w:rPr>
          <w:noProof/>
          <w:lang w:val="fr-FR"/>
        </w:rPr>
        <w:t xml:space="preserve">huitième </w:t>
      </w:r>
      <w:r w:rsidRPr="00FA40C3">
        <w:rPr>
          <w:noProof/>
          <w:lang w:val="fr-FR"/>
        </w:rPr>
        <w:t>session. La Plénière a également décidé qu’elle examinerait encore, à sa</w:t>
      </w:r>
      <w:r w:rsidR="0085588D" w:rsidRPr="00FA40C3">
        <w:rPr>
          <w:noProof/>
          <w:lang w:val="fr-FR"/>
        </w:rPr>
        <w:t xml:space="preserve"> huitième </w:t>
      </w:r>
      <w:r w:rsidRPr="00FA40C3">
        <w:rPr>
          <w:noProof/>
          <w:lang w:val="fr-FR"/>
        </w:rPr>
        <w:t>session, le projet de politique et de procédures d’admission des observateurs. Le</w:t>
      </w:r>
      <w:r w:rsidR="00730F76" w:rsidRPr="00FA40C3">
        <w:rPr>
          <w:noProof/>
          <w:lang w:val="fr-FR"/>
        </w:rPr>
        <w:t> </w:t>
      </w:r>
      <w:r w:rsidRPr="00FA40C3">
        <w:rPr>
          <w:noProof/>
          <w:lang w:val="fr-FR"/>
        </w:rPr>
        <w:t>projet de texte est donc reproduit dans l’annexe de la présente note à cette fin. En outre, la liste des observateurs proposée par le Président de la Plateforme en vue de l’admission à la </w:t>
      </w:r>
      <w:r w:rsidR="009225C9" w:rsidRPr="00FA40C3">
        <w:rPr>
          <w:noProof/>
          <w:lang w:val="fr-FR"/>
        </w:rPr>
        <w:t>huitième</w:t>
      </w:r>
      <w:r w:rsidRPr="00FA40C3">
        <w:rPr>
          <w:noProof/>
          <w:lang w:val="fr-FR"/>
        </w:rPr>
        <w:t xml:space="preserve"> session de la Plénière figurera dans le document IPBES/</w:t>
      </w:r>
      <w:r w:rsidR="00201CE7" w:rsidRPr="00FA40C3">
        <w:rPr>
          <w:noProof/>
          <w:lang w:val="fr-FR"/>
        </w:rPr>
        <w:t>8</w:t>
      </w:r>
      <w:r w:rsidRPr="00FA40C3">
        <w:rPr>
          <w:noProof/>
          <w:lang w:val="fr-FR"/>
        </w:rPr>
        <w:t>/INF/</w:t>
      </w:r>
      <w:r w:rsidR="00201CE7" w:rsidRPr="00FA40C3">
        <w:rPr>
          <w:noProof/>
          <w:lang w:val="fr-FR"/>
        </w:rPr>
        <w:t>1</w:t>
      </w:r>
      <w:r w:rsidRPr="00FA40C3">
        <w:rPr>
          <w:noProof/>
          <w:lang w:val="fr-FR"/>
        </w:rPr>
        <w:t>.</w:t>
      </w:r>
    </w:p>
    <w:p w14:paraId="3E6F5F8D" w14:textId="13AA73F4" w:rsidR="00AE5665" w:rsidRPr="00FA40C3" w:rsidRDefault="00AE5665">
      <w:pPr>
        <w:tabs>
          <w:tab w:val="clear" w:pos="1247"/>
          <w:tab w:val="clear" w:pos="1814"/>
          <w:tab w:val="clear" w:pos="2381"/>
          <w:tab w:val="clear" w:pos="2948"/>
          <w:tab w:val="clear" w:pos="3515"/>
        </w:tabs>
        <w:rPr>
          <w:b/>
          <w:bCs/>
          <w:noProof/>
          <w:sz w:val="28"/>
          <w:szCs w:val="22"/>
        </w:rPr>
      </w:pPr>
      <w:r w:rsidRPr="00FA40C3">
        <w:rPr>
          <w:b/>
          <w:bCs/>
          <w:noProof/>
          <w:sz w:val="28"/>
          <w:szCs w:val="22"/>
        </w:rPr>
        <w:br w:type="page"/>
      </w:r>
    </w:p>
    <w:p w14:paraId="51B16D80" w14:textId="77777777" w:rsidR="00000F7F" w:rsidRPr="00FA40C3" w:rsidRDefault="00000F7F" w:rsidP="00000F7F">
      <w:pPr>
        <w:pStyle w:val="ZZAnxheader"/>
        <w:rPr>
          <w:rFonts w:eastAsia="Calibri"/>
          <w:noProof/>
          <w:w w:val="103"/>
          <w:lang w:val="fr-FR"/>
        </w:rPr>
      </w:pPr>
      <w:r w:rsidRPr="00FA40C3">
        <w:rPr>
          <w:noProof/>
          <w:lang w:val="fr-FR"/>
        </w:rPr>
        <w:lastRenderedPageBreak/>
        <w:t>Annexe</w:t>
      </w:r>
    </w:p>
    <w:p w14:paraId="1EC2BA11" w14:textId="77777777" w:rsidR="00000F7F" w:rsidRPr="00FA40C3" w:rsidRDefault="00000F7F" w:rsidP="00000F7F">
      <w:pPr>
        <w:pStyle w:val="ZZAnxtitle"/>
        <w:rPr>
          <w:noProof/>
          <w:lang w:val="fr-FR"/>
        </w:rPr>
      </w:pPr>
      <w:r w:rsidRPr="00FA40C3">
        <w:rPr>
          <w:noProof/>
          <w:lang w:val="fr-FR"/>
        </w:rPr>
        <w:t>[Projet de politique et procédures d’admission des observateurs</w:t>
      </w:r>
    </w:p>
    <w:p w14:paraId="2F68ED9A" w14:textId="51F0947F" w:rsidR="00000F7F" w:rsidRPr="00FA40C3" w:rsidRDefault="00000F7F" w:rsidP="00AE5665">
      <w:pPr>
        <w:pStyle w:val="CH1"/>
        <w:tabs>
          <w:tab w:val="clear" w:pos="851"/>
        </w:tabs>
        <w:ind w:hanging="680"/>
        <w:rPr>
          <w:noProof/>
          <w:lang w:val="fr-FR"/>
        </w:rPr>
      </w:pPr>
      <w:r w:rsidRPr="00FA40C3">
        <w:rPr>
          <w:noProof/>
          <w:lang w:val="fr-FR"/>
        </w:rPr>
        <w:t>I.</w:t>
      </w:r>
      <w:r w:rsidRPr="00FA40C3">
        <w:rPr>
          <w:noProof/>
          <w:lang w:val="fr-FR"/>
        </w:rPr>
        <w:tab/>
        <w:t xml:space="preserve">Politique régissant l’admission des observateurs à la Plénière </w:t>
      </w:r>
      <w:r w:rsidRPr="00FA40C3">
        <w:rPr>
          <w:noProof/>
          <w:lang w:val="fr-FR"/>
        </w:rPr>
        <w:br/>
        <w:t xml:space="preserve">de la Plateforme intergouvernementale scientifique et politique </w:t>
      </w:r>
      <w:r w:rsidRPr="00FA40C3">
        <w:rPr>
          <w:noProof/>
          <w:lang w:val="fr-FR"/>
        </w:rPr>
        <w:br/>
        <w:t>sur la biodiversité et les services écosystémiques</w:t>
      </w:r>
    </w:p>
    <w:p w14:paraId="3625C05E" w14:textId="45E0B730" w:rsidR="005B3205" w:rsidRPr="00FA40C3" w:rsidRDefault="00000F7F" w:rsidP="00000F7F">
      <w:pPr>
        <w:pStyle w:val="NormalNonumber"/>
        <w:ind w:firstLine="624"/>
        <w:rPr>
          <w:noProof/>
          <w:lang w:val="fr-FR"/>
        </w:rPr>
      </w:pPr>
      <w:r w:rsidRPr="00FA40C3">
        <w:rPr>
          <w:noProof/>
          <w:lang w:val="fr-FR"/>
        </w:rPr>
        <w:t>La politique régissant l’accréditation en tant qu’observateur aux sessions de la Plénière de la Plateforme intergouvernementale scientifique et politique sur la biodiversité et les services écosystémiques est la suivante :</w:t>
      </w:r>
    </w:p>
    <w:p w14:paraId="4D1ABD36" w14:textId="2C82EF5E"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 Observateur » s’entend de tout État non membre de la Plateforme, tout organe, organisation ou organisme national, international, gouvernemental, intergouvernemental ou non gouvernemental, notamment les organisations et les représentants de peuples autochtones ou de communautés locales possédant des compétences dans les domaines de travail de la Plateforme et ayant informé le secrétariat qu’ils souhaitaient être représentés en qualité d’observateurs à des sessions de la Plénière, sous réserve des dispositions du règlement intérieur</w:t>
      </w:r>
      <w:r w:rsidRPr="00FA40C3">
        <w:rPr>
          <w:rStyle w:val="FootnoteReference"/>
          <w:noProof/>
          <w:lang w:val="fr-FR"/>
        </w:rPr>
        <w:footnoteReference w:customMarkFollows="1" w:id="2"/>
        <w:t>1</w:t>
      </w:r>
      <w:r w:rsidRPr="00FA40C3">
        <w:rPr>
          <w:noProof/>
          <w:lang w:val="fr-FR"/>
        </w:rPr>
        <w:t>.</w:t>
      </w:r>
    </w:p>
    <w:p w14:paraId="15D9A77F" w14:textId="77777777"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Tout État Membre de l’Organisation des Nations Unies ou État observateur auprès de l’Organisation des Nations Unies qui n’est pas membre de la Plateforme et qui en manifeste le souhait est admis au statut d’observateur par la Plénière sans être tenu de présenter un dossier d’accréditation.</w:t>
      </w:r>
    </w:p>
    <w:p w14:paraId="59FB75AC" w14:textId="77777777"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Les organes des Nations Unies et les secrétariats des accords multilatéraux sur l’environnement sont admis au statut d’observateur sans être tenus de présenter un dossier d’accréditation.</w:t>
      </w:r>
    </w:p>
    <w:p w14:paraId="1EDE2CB7" w14:textId="77777777"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La question de savoir si un candidat au statut d’observateur est compétent dans les domaines de travail de la Plateforme est tranchée à la lumière de la documentation fournie par l’entité concernée, décrite au paragraphe 10 du présent document, compte étant également tenu des fonctions et des principes directeurs de la Plateforme.</w:t>
      </w:r>
    </w:p>
    <w:p w14:paraId="4C662B2B" w14:textId="77777777"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Les organes, organisations et organismes déjà dotés du statut d’observateur ou accrédités auprès du Programme des Nations Unies pour l’environnement, de l’Organisation des Nations Unies pour l’éducation, la science et la culture, de l’Organisation des Nations Unies pour l’alimentation et l’agriculture ou du Programme des Nations Unies pour le développement qui en font la demande sont admis au statut d’observateur auprès de la Plateforme, sauf décision contraire de la Plénière.</w:t>
      </w:r>
    </w:p>
    <w:p w14:paraId="0692DD6D" w14:textId="77777777"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Les observateurs à la première session de la Plateforme sont admis au statut d’observateur aux prochaines sessions de la Plénière sans être tenus de présenter un dossier d’accréditation, sauf décision contraire de la Plénière.</w:t>
      </w:r>
    </w:p>
    <w:p w14:paraId="1F14E7BE" w14:textId="58E0938A" w:rsidR="005B3205" w:rsidRPr="00FA40C3" w:rsidRDefault="00000F7F" w:rsidP="00000F7F">
      <w:pPr>
        <w:pStyle w:val="Normalnumber"/>
        <w:numPr>
          <w:ilvl w:val="0"/>
          <w:numId w:val="5"/>
        </w:numPr>
        <w:tabs>
          <w:tab w:val="clear" w:pos="4082"/>
        </w:tabs>
        <w:ind w:firstLine="624"/>
        <w:rPr>
          <w:noProof/>
          <w:lang w:val="fr-FR"/>
        </w:rPr>
      </w:pPr>
      <w:r w:rsidRPr="00FA40C3">
        <w:rPr>
          <w:noProof/>
          <w:lang w:val="fr-FR"/>
        </w:rPr>
        <w:t>Seuls les observateurs accrédités par la Plénière qui ont demandé à assister à des sessions données de la Plénière sont autorisés à y être représentés. Leurs représentants doivent être accrédités préalablement à chaque session.</w:t>
      </w:r>
    </w:p>
    <w:p w14:paraId="776C274E" w14:textId="3A88EC93" w:rsidR="005B3205" w:rsidRPr="00FA40C3" w:rsidRDefault="00000F7F" w:rsidP="00000F7F">
      <w:pPr>
        <w:pStyle w:val="Normalnumber"/>
        <w:numPr>
          <w:ilvl w:val="0"/>
          <w:numId w:val="5"/>
        </w:numPr>
        <w:tabs>
          <w:tab w:val="clear" w:pos="4082"/>
        </w:tabs>
        <w:ind w:firstLine="624"/>
        <w:rPr>
          <w:noProof/>
          <w:lang w:val="fr-FR"/>
        </w:rPr>
      </w:pPr>
      <w:r w:rsidRPr="00FA40C3">
        <w:rPr>
          <w:noProof/>
          <w:lang w:val="fr-FR"/>
        </w:rPr>
        <w:t>Le secrétariat avise les observateurs des sessions de la Plénière.</w:t>
      </w:r>
    </w:p>
    <w:p w14:paraId="479B7CA0" w14:textId="4620E7DF" w:rsidR="00000F7F" w:rsidRPr="00FA40C3" w:rsidRDefault="00000F7F" w:rsidP="00000F7F">
      <w:pPr>
        <w:pStyle w:val="Normalnumber"/>
        <w:numPr>
          <w:ilvl w:val="0"/>
          <w:numId w:val="5"/>
        </w:numPr>
        <w:tabs>
          <w:tab w:val="clear" w:pos="4082"/>
        </w:tabs>
        <w:ind w:firstLine="624"/>
        <w:rPr>
          <w:noProof/>
          <w:lang w:val="fr-FR"/>
        </w:rPr>
      </w:pPr>
      <w:r w:rsidRPr="00FA40C3">
        <w:rPr>
          <w:noProof/>
          <w:lang w:val="fr-FR"/>
        </w:rPr>
        <w:t>Les organismes des Nations Unies et les autres organisations internationales et intergouvernementales et observateurs se verront fournir des plaques à leur nom, si possible.</w:t>
      </w:r>
    </w:p>
    <w:p w14:paraId="3308D0D4" w14:textId="123C7BC3" w:rsidR="00000F7F" w:rsidRPr="00FA40C3" w:rsidRDefault="00000F7F" w:rsidP="00F21BD4">
      <w:pPr>
        <w:pStyle w:val="CH1"/>
        <w:tabs>
          <w:tab w:val="clear" w:pos="851"/>
        </w:tabs>
        <w:ind w:hanging="680"/>
        <w:rPr>
          <w:noProof/>
          <w:lang w:val="fr-FR"/>
        </w:rPr>
      </w:pPr>
      <w:r w:rsidRPr="00FA40C3">
        <w:rPr>
          <w:noProof/>
          <w:lang w:val="fr-FR"/>
        </w:rPr>
        <w:lastRenderedPageBreak/>
        <w:t>II.</w:t>
      </w:r>
      <w:r w:rsidRPr="00FA40C3">
        <w:rPr>
          <w:noProof/>
          <w:lang w:val="fr-FR"/>
        </w:rPr>
        <w:tab/>
        <w:t>Procédures d’admission des observateurs</w:t>
      </w:r>
    </w:p>
    <w:p w14:paraId="74403286" w14:textId="77777777" w:rsidR="00000F7F" w:rsidRPr="00FA40C3" w:rsidRDefault="00000F7F" w:rsidP="00F21BD4">
      <w:pPr>
        <w:pStyle w:val="Normalnumber"/>
        <w:keepNext/>
        <w:keepLines/>
        <w:numPr>
          <w:ilvl w:val="0"/>
          <w:numId w:val="0"/>
        </w:numPr>
        <w:tabs>
          <w:tab w:val="clear" w:pos="4082"/>
        </w:tabs>
        <w:ind w:left="1871"/>
        <w:rPr>
          <w:noProof/>
          <w:lang w:val="fr-FR"/>
        </w:rPr>
      </w:pPr>
      <w:r w:rsidRPr="00FA40C3">
        <w:rPr>
          <w:noProof/>
          <w:lang w:val="fr-FR"/>
        </w:rPr>
        <w:t>La procédure d’admission des observateurs est la suivante :</w:t>
      </w:r>
    </w:p>
    <w:p w14:paraId="0B882D9D" w14:textId="31E89C45" w:rsidR="005B3205" w:rsidRPr="00FA40C3" w:rsidRDefault="00000F7F" w:rsidP="00F21BD4">
      <w:pPr>
        <w:pStyle w:val="Normalnumber"/>
        <w:keepNext/>
        <w:keepLines/>
        <w:numPr>
          <w:ilvl w:val="0"/>
          <w:numId w:val="5"/>
        </w:numPr>
        <w:tabs>
          <w:tab w:val="clear" w:pos="4082"/>
        </w:tabs>
        <w:ind w:firstLine="624"/>
        <w:rPr>
          <w:noProof/>
          <w:lang w:val="fr-FR"/>
        </w:rPr>
      </w:pPr>
      <w:r w:rsidRPr="00FA40C3">
        <w:rPr>
          <w:noProof/>
          <w:lang w:val="fr-FR"/>
        </w:rPr>
        <w:t>Les entités souhaitant assister aux sessions de la Plénière en tant qu’observateurs font parvenir au secrétariat, le cas échéant, une copie des documents suivants :</w:t>
      </w:r>
    </w:p>
    <w:p w14:paraId="00E08E93" w14:textId="43BFC6E0" w:rsidR="005B3205" w:rsidRPr="00FA40C3" w:rsidRDefault="00B42A02" w:rsidP="00F21BD4">
      <w:pPr>
        <w:pStyle w:val="Normal-pool"/>
        <w:keepNext/>
        <w:keepLines/>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FA40C3">
        <w:rPr>
          <w:noProof/>
          <w:lang w:val="fr-FR"/>
        </w:rPr>
        <w:t xml:space="preserve">Documents </w:t>
      </w:r>
      <w:r w:rsidR="00000F7F" w:rsidRPr="00FA40C3">
        <w:rPr>
          <w:noProof/>
          <w:lang w:val="fr-FR"/>
        </w:rPr>
        <w:t>décrivant le mandat, les activités et l’organigramme de l’organisation (charte, statuts, acte constitutif et règlement, par exemple) ;</w:t>
      </w:r>
    </w:p>
    <w:p w14:paraId="3B3B897B" w14:textId="2F3D67FA" w:rsidR="005B3205" w:rsidRPr="00FA40C3"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FA40C3">
        <w:rPr>
          <w:noProof/>
          <w:lang w:val="fr-FR"/>
        </w:rPr>
        <w:t xml:space="preserve">Toute autre information </w:t>
      </w:r>
      <w:r w:rsidR="00B42A02" w:rsidRPr="00FA40C3">
        <w:rPr>
          <w:noProof/>
          <w:lang w:val="fr-FR"/>
        </w:rPr>
        <w:t>témoign</w:t>
      </w:r>
      <w:r w:rsidRPr="00FA40C3">
        <w:rPr>
          <w:noProof/>
          <w:lang w:val="fr-FR"/>
        </w:rPr>
        <w:t xml:space="preserve">ant </w:t>
      </w:r>
      <w:r w:rsidR="00B42A02" w:rsidRPr="00FA40C3">
        <w:rPr>
          <w:noProof/>
          <w:lang w:val="fr-FR"/>
        </w:rPr>
        <w:t xml:space="preserve">de </w:t>
      </w:r>
      <w:r w:rsidRPr="00FA40C3">
        <w:rPr>
          <w:noProof/>
          <w:lang w:val="fr-FR"/>
        </w:rPr>
        <w:t xml:space="preserve">la compétence et </w:t>
      </w:r>
      <w:r w:rsidR="00B42A02" w:rsidRPr="00FA40C3">
        <w:rPr>
          <w:noProof/>
          <w:lang w:val="fr-FR"/>
        </w:rPr>
        <w:t xml:space="preserve">de </w:t>
      </w:r>
      <w:r w:rsidRPr="00FA40C3">
        <w:rPr>
          <w:noProof/>
          <w:lang w:val="fr-FR"/>
        </w:rPr>
        <w:t>l’intérêt de l’organisation dans les domaines de travail de la Plateforme</w:t>
      </w:r>
      <w:r w:rsidRPr="00FA40C3">
        <w:rPr>
          <w:b/>
          <w:noProof/>
          <w:lang w:val="fr-FR"/>
        </w:rPr>
        <w:t> </w:t>
      </w:r>
      <w:r w:rsidRPr="00FA40C3">
        <w:rPr>
          <w:noProof/>
          <w:lang w:val="fr-FR"/>
        </w:rPr>
        <w:t>;</w:t>
      </w:r>
    </w:p>
    <w:p w14:paraId="0CB6AB6C" w14:textId="61CAAB2C" w:rsidR="005B3205" w:rsidRPr="00FA40C3" w:rsidRDefault="00000F7F" w:rsidP="00933401">
      <w:pPr>
        <w:pStyle w:val="Normal-pool"/>
        <w:numPr>
          <w:ilvl w:val="0"/>
          <w:numId w:val="6"/>
        </w:numPr>
        <w:tabs>
          <w:tab w:val="clear" w:pos="1247"/>
          <w:tab w:val="clear" w:pos="1814"/>
          <w:tab w:val="clear" w:pos="2381"/>
          <w:tab w:val="clear" w:pos="2948"/>
          <w:tab w:val="clear" w:pos="3515"/>
          <w:tab w:val="clear" w:pos="4082"/>
        </w:tabs>
        <w:spacing w:after="120"/>
        <w:ind w:left="1276" w:firstLine="600"/>
        <w:rPr>
          <w:noProof/>
          <w:lang w:val="fr-FR"/>
        </w:rPr>
      </w:pPr>
      <w:r w:rsidRPr="00FA40C3">
        <w:rPr>
          <w:noProof/>
          <w:lang w:val="fr-FR"/>
        </w:rPr>
        <w:t>Un formulaire dûment rempli indiquant les coordonnées de l’organisation (y compris son adresse Web, le cas échéant) et celles de la personne désignée comme point de contact, qui seront actualisées en tant que de besoin.</w:t>
      </w:r>
    </w:p>
    <w:p w14:paraId="686160C3" w14:textId="3715B085" w:rsidR="005B3205" w:rsidRPr="00FA40C3" w:rsidRDefault="00000F7F" w:rsidP="00933401">
      <w:pPr>
        <w:pStyle w:val="Normalnumber"/>
        <w:numPr>
          <w:ilvl w:val="0"/>
          <w:numId w:val="5"/>
        </w:numPr>
        <w:tabs>
          <w:tab w:val="clear" w:pos="4082"/>
        </w:tabs>
        <w:ind w:firstLine="624"/>
        <w:rPr>
          <w:noProof/>
          <w:lang w:val="fr-FR"/>
        </w:rPr>
      </w:pPr>
      <w:r w:rsidRPr="00FA40C3">
        <w:rPr>
          <w:noProof/>
          <w:lang w:val="fr-FR"/>
        </w:rPr>
        <w:t>Les nouvelles demandes d’admission en tant qu’observateur aux sessions de la Plénière sont soumises trois mois à l’avance au moins au secrétariat de la Plateforme, qui conserve les informations reçues.</w:t>
      </w:r>
    </w:p>
    <w:p w14:paraId="11ECD62A" w14:textId="5621A99E" w:rsidR="005B3205" w:rsidRPr="00FA40C3" w:rsidRDefault="00000F7F" w:rsidP="00933401">
      <w:pPr>
        <w:pStyle w:val="Normalnumber"/>
        <w:numPr>
          <w:ilvl w:val="0"/>
          <w:numId w:val="5"/>
        </w:numPr>
        <w:tabs>
          <w:tab w:val="clear" w:pos="4082"/>
        </w:tabs>
        <w:ind w:firstLine="624"/>
        <w:rPr>
          <w:noProof/>
          <w:lang w:val="fr-FR"/>
        </w:rPr>
      </w:pPr>
      <w:r w:rsidRPr="00FA40C3">
        <w:rPr>
          <w:noProof/>
          <w:lang w:val="fr-FR"/>
        </w:rPr>
        <w:t>Le secrétariat étudie les demandes d’accréditation à la lumière des documents répertoriés au paragraphe 10 ci-dessus, compte étant tenu des fonctions et des principes directeurs de la Plateforme, et tient ses conclusions à la disposition du Bureau pour examen.</w:t>
      </w:r>
    </w:p>
    <w:p w14:paraId="588FF695" w14:textId="49FD3526" w:rsidR="00000F7F" w:rsidRPr="00FA40C3" w:rsidRDefault="00000F7F" w:rsidP="00933401">
      <w:pPr>
        <w:pStyle w:val="Normalnumber"/>
        <w:numPr>
          <w:ilvl w:val="0"/>
          <w:numId w:val="5"/>
        </w:numPr>
        <w:tabs>
          <w:tab w:val="clear" w:pos="4082"/>
        </w:tabs>
        <w:ind w:firstLine="624"/>
        <w:rPr>
          <w:noProof/>
          <w:lang w:val="fr-FR"/>
        </w:rPr>
      </w:pPr>
      <w:r w:rsidRPr="00FA40C3">
        <w:rPr>
          <w:noProof/>
          <w:lang w:val="fr-FR"/>
        </w:rPr>
        <w:t>Après avoir été examinée par le Bureau, la liste des candidats au statut d’observateur, y compris ceux dont la demande n’a pas été agréée, est présentée pour examen à la Plénière à sa session suivante, en conformité avec les dispositions du règlement intérieur.</w:t>
      </w:r>
    </w:p>
    <w:p w14:paraId="25F3A047" w14:textId="77777777" w:rsidR="00000F7F" w:rsidRPr="00FA40C3" w:rsidRDefault="00000F7F" w:rsidP="00933401">
      <w:pPr>
        <w:pStyle w:val="Normalnumber"/>
        <w:numPr>
          <w:ilvl w:val="0"/>
          <w:numId w:val="0"/>
        </w:numPr>
        <w:tabs>
          <w:tab w:val="clear" w:pos="1247"/>
          <w:tab w:val="clear" w:pos="1814"/>
          <w:tab w:val="clear" w:pos="4082"/>
          <w:tab w:val="left" w:pos="1904"/>
        </w:tabs>
        <w:ind w:left="1274" w:firstLine="630"/>
        <w:rPr>
          <w:noProof/>
          <w:lang w:val="fr-FR"/>
        </w:rPr>
      </w:pPr>
      <w:r w:rsidRPr="00FA40C3">
        <w:rPr>
          <w:noProof/>
          <w:lang w:val="fr-FR"/>
        </w:rPr>
        <w:t>[14.</w:t>
      </w:r>
      <w:r w:rsidRPr="00FA40C3">
        <w:rPr>
          <w:noProof/>
          <w:lang w:val="fr-FR"/>
        </w:rPr>
        <w:tab/>
        <w:t>La Plénière décide de l’opportunité [d’accréditer les observateurs inscrits sur la liste] d’accréditer tel ou tel observateur et de l’admettre aux sessions conformément à son règlement intérieur. Les observateurs accrédités par le Bureau suivant la procédure décrite au paragraphe 13 peuvent être autorisés à assister à une réunion de la Plénière et à y participer [à moins qu’un membre de la Plateforme ne s’y oppose] [, à moins qu’un tiers au moins des membres présents à la réunion ne s’y opposent].]</w:t>
      </w:r>
    </w:p>
    <w:p w14:paraId="0E5877B9" w14:textId="77777777" w:rsidR="00000F7F" w:rsidRPr="00FA40C3" w:rsidRDefault="00000F7F" w:rsidP="00933401">
      <w:pPr>
        <w:pStyle w:val="Normalnumber"/>
        <w:numPr>
          <w:ilvl w:val="0"/>
          <w:numId w:val="7"/>
        </w:numPr>
        <w:tabs>
          <w:tab w:val="clear" w:pos="4082"/>
        </w:tabs>
        <w:ind w:firstLine="624"/>
        <w:rPr>
          <w:noProof/>
          <w:lang w:val="fr-FR"/>
        </w:rPr>
      </w:pPr>
      <w:r w:rsidRPr="00FA40C3">
        <w:rPr>
          <w:noProof/>
          <w:lang w:val="fr-FR"/>
        </w:rPr>
        <w:t>L’accréditation de nouveaux observateurs devrait être inscrite à chaque ordre du jour des réunions du Bureau et des sessions de la Plénière, dans le respect de toutes les dispositions applicables du règlement intérieur.</w:t>
      </w:r>
    </w:p>
    <w:p w14:paraId="72F5A2F6" w14:textId="77777777" w:rsidR="00000F7F" w:rsidRPr="00FA40C3" w:rsidRDefault="00000F7F" w:rsidP="00933401">
      <w:pPr>
        <w:pStyle w:val="Normalnumber"/>
        <w:numPr>
          <w:ilvl w:val="0"/>
          <w:numId w:val="0"/>
        </w:numPr>
        <w:tabs>
          <w:tab w:val="clear" w:pos="1814"/>
          <w:tab w:val="clear" w:pos="4082"/>
        </w:tabs>
        <w:ind w:left="1260" w:firstLine="644"/>
        <w:rPr>
          <w:noProof/>
          <w:lang w:val="fr-FR"/>
        </w:rPr>
      </w:pPr>
      <w:r w:rsidRPr="00FA40C3">
        <w:rPr>
          <w:noProof/>
          <w:lang w:val="fr-FR"/>
        </w:rPr>
        <w:t>[16.</w:t>
      </w:r>
      <w:r w:rsidRPr="00FA40C3">
        <w:rPr>
          <w:noProof/>
          <w:lang w:val="fr-FR"/>
        </w:rPr>
        <w:tab/>
        <w:t>Si nécessaire, le Président peut suspendre l’agrément d’un observateur, dans l’attente de la confirmation [du Bureau] [de la Plénière].]</w:t>
      </w:r>
    </w:p>
    <w:p w14:paraId="54799E65" w14:textId="77777777" w:rsidR="00000F7F" w:rsidRPr="00FA40C3" w:rsidRDefault="00000F7F" w:rsidP="00933401">
      <w:pPr>
        <w:pStyle w:val="Normalnumber"/>
        <w:numPr>
          <w:ilvl w:val="0"/>
          <w:numId w:val="0"/>
        </w:numPr>
        <w:tabs>
          <w:tab w:val="clear" w:pos="1814"/>
          <w:tab w:val="clear" w:pos="4082"/>
        </w:tabs>
        <w:ind w:left="1260" w:firstLine="644"/>
        <w:rPr>
          <w:noProof/>
          <w:lang w:val="fr-FR"/>
        </w:rPr>
      </w:pPr>
      <w:r w:rsidRPr="00FA40C3">
        <w:rPr>
          <w:noProof/>
          <w:lang w:val="fr-FR"/>
        </w:rPr>
        <w:t>17.</w:t>
      </w:r>
      <w:r w:rsidRPr="00FA40C3">
        <w:rPr>
          <w:noProof/>
          <w:lang w:val="fr-FR"/>
        </w:rPr>
        <w:tab/>
        <w:t>L’observateur perd son statut dès lors qu’il ne satisfait plus aux conditions exposées dans le présent document et à toute autre disposition du règlement intérieur.]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1927"/>
        <w:gridCol w:w="1927"/>
        <w:gridCol w:w="1927"/>
        <w:gridCol w:w="1928"/>
      </w:tblGrid>
      <w:tr w:rsidR="00000F7F" w:rsidRPr="00FA40C3" w14:paraId="44E0A483" w14:textId="77777777" w:rsidTr="00B9741D">
        <w:tc>
          <w:tcPr>
            <w:tcW w:w="2009" w:type="dxa"/>
          </w:tcPr>
          <w:p w14:paraId="58BE593D" w14:textId="77777777" w:rsidR="00000F7F" w:rsidRPr="00FA40C3"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Pr>
          <w:p w14:paraId="19725D1E" w14:textId="77777777" w:rsidR="00000F7F" w:rsidRPr="00FA40C3"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Borders>
              <w:bottom w:val="single" w:sz="4" w:space="0" w:color="auto"/>
            </w:tcBorders>
          </w:tcPr>
          <w:p w14:paraId="536B0736" w14:textId="77777777" w:rsidR="00000F7F" w:rsidRPr="00FA40C3"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09" w:type="dxa"/>
          </w:tcPr>
          <w:p w14:paraId="4C008F1D" w14:textId="77777777" w:rsidR="00000F7F" w:rsidRPr="00FA40C3"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c>
          <w:tcPr>
            <w:tcW w:w="2010" w:type="dxa"/>
          </w:tcPr>
          <w:p w14:paraId="4C7F25F9" w14:textId="77777777" w:rsidR="00000F7F" w:rsidRPr="00FA40C3" w:rsidRDefault="00000F7F" w:rsidP="00B9741D">
            <w:pPr>
              <w:pStyle w:val="Normal-pool"/>
              <w:tabs>
                <w:tab w:val="clear" w:pos="1247"/>
                <w:tab w:val="clear" w:pos="1814"/>
                <w:tab w:val="clear" w:pos="2381"/>
                <w:tab w:val="clear" w:pos="2948"/>
                <w:tab w:val="clear" w:pos="3515"/>
                <w:tab w:val="clear" w:pos="4082"/>
              </w:tabs>
              <w:spacing w:before="520"/>
              <w:rPr>
                <w:noProof/>
                <w:lang w:val="fr-FR"/>
              </w:rPr>
            </w:pPr>
          </w:p>
        </w:tc>
      </w:tr>
    </w:tbl>
    <w:p w14:paraId="2347FEAD" w14:textId="77777777" w:rsidR="00396929" w:rsidRPr="00FA40C3" w:rsidRDefault="00396929" w:rsidP="00AE5665">
      <w:pPr>
        <w:pStyle w:val="AATitle"/>
        <w:ind w:left="426" w:right="4160"/>
        <w:rPr>
          <w:noProof/>
          <w:lang w:val="fr-FR"/>
        </w:rPr>
      </w:pPr>
    </w:p>
    <w:sectPr w:rsidR="00396929" w:rsidRPr="00FA40C3" w:rsidSect="00AE5665">
      <w:headerReference w:type="even" r:id="rId19"/>
      <w:headerReference w:type="default" r:id="rId20"/>
      <w:footerReference w:type="even" r:id="rId21"/>
      <w:footerReference w:type="default" r:id="rId22"/>
      <w:headerReference w:type="first" r:id="rId23"/>
      <w:footerReference w:type="first" r:id="rId24"/>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09562" w14:textId="77777777" w:rsidR="00844988" w:rsidRDefault="00844988">
      <w:r>
        <w:separator/>
      </w:r>
    </w:p>
  </w:endnote>
  <w:endnote w:type="continuationSeparator" w:id="0">
    <w:p w14:paraId="53869FB1" w14:textId="77777777" w:rsidR="00844988" w:rsidRDefault="0084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60D9" w14:textId="3603B09F"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sidR="008F65F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6185" w14:textId="4F2EDE06" w:rsidR="00123699" w:rsidRDefault="00123699"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F65F4">
      <w:rPr>
        <w:rStyle w:val="PageNumber"/>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0C8630E3" w:rsidR="005F06C5" w:rsidRPr="00AE5665" w:rsidRDefault="00AE5665" w:rsidP="00AE5665">
    <w:pPr>
      <w:pStyle w:val="Footer"/>
      <w:rPr>
        <w:sz w:val="20"/>
        <w:lang w:val="en-GB"/>
      </w:rPr>
    </w:pPr>
    <w:r w:rsidRPr="00AE5665">
      <w:rPr>
        <w:sz w:val="20"/>
        <w:lang w:val="en-GB"/>
      </w:rPr>
      <w:t>K</w:t>
    </w:r>
    <w:r w:rsidR="00A37EEA">
      <w:rPr>
        <w:sz w:val="20"/>
        <w:lang w:val="en-GB"/>
      </w:rPr>
      <w:t>2100820</w:t>
    </w:r>
    <w:r w:rsidR="00E038DC">
      <w:rPr>
        <w:sz w:val="20"/>
        <w:lang w:val="en-GB"/>
      </w:rPr>
      <w:tab/>
    </w:r>
    <w:r w:rsidR="00B027A2">
      <w:rPr>
        <w:sz w:val="20"/>
        <w:lang w:val="en-GB"/>
      </w:rPr>
      <w:t>0405</w:t>
    </w:r>
    <w:r w:rsidR="00106FA0">
      <w:rPr>
        <w:sz w:val="20"/>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C9859" w14:textId="77777777" w:rsidR="00844988" w:rsidRDefault="00844988" w:rsidP="00D92DE0">
      <w:pPr>
        <w:ind w:left="624"/>
      </w:pPr>
      <w:r>
        <w:separator/>
      </w:r>
    </w:p>
  </w:footnote>
  <w:footnote w:type="continuationSeparator" w:id="0">
    <w:p w14:paraId="1726BC94" w14:textId="77777777" w:rsidR="00844988" w:rsidRDefault="00844988">
      <w:r>
        <w:continuationSeparator/>
      </w:r>
    </w:p>
  </w:footnote>
  <w:footnote w:id="1">
    <w:p w14:paraId="4D322D06" w14:textId="54ACF873" w:rsidR="00000F7F" w:rsidRDefault="00000F7F" w:rsidP="00000F7F">
      <w:pPr>
        <w:pStyle w:val="FootnoteText"/>
      </w:pPr>
      <w:r w:rsidRPr="00AE5665">
        <w:rPr>
          <w:rStyle w:val="FootnoteReference"/>
          <w:vertAlign w:val="baseline"/>
        </w:rPr>
        <w:t>*</w:t>
      </w:r>
      <w:r>
        <w:t xml:space="preserve"> IPBES/</w:t>
      </w:r>
      <w:r w:rsidR="00A37EEA">
        <w:t>8</w:t>
      </w:r>
      <w:r>
        <w:t>/1.</w:t>
      </w:r>
    </w:p>
  </w:footnote>
  <w:footnote w:id="2">
    <w:p w14:paraId="18F62622" w14:textId="5C41AC5D" w:rsidR="00000F7F" w:rsidRPr="00CC115C" w:rsidRDefault="00000F7F" w:rsidP="00000F7F">
      <w:pPr>
        <w:pStyle w:val="FootnoteText"/>
      </w:pPr>
      <w:r>
        <w:rPr>
          <w:rStyle w:val="FootnoteReference"/>
        </w:rPr>
        <w:t>1</w:t>
      </w:r>
      <w:r>
        <w:t xml:space="preserve"> </w:t>
      </w:r>
      <w:r w:rsidRPr="006009F8">
        <w:rPr>
          <w:szCs w:val="18"/>
        </w:rPr>
        <w:t xml:space="preserve">Ainsi </w:t>
      </w:r>
      <w:r>
        <w:rPr>
          <w:szCs w:val="18"/>
        </w:rPr>
        <w:t>que le prévoit</w:t>
      </w:r>
      <w:r w:rsidR="00AE5665">
        <w:rPr>
          <w:szCs w:val="18"/>
        </w:rPr>
        <w:t xml:space="preserve"> l’article </w:t>
      </w:r>
      <w:r>
        <w:rPr>
          <w:szCs w:val="18"/>
        </w:rPr>
        <w:t>5</w:t>
      </w:r>
      <w:r w:rsidRPr="006009F8">
        <w:rPr>
          <w:szCs w:val="18"/>
        </w:rPr>
        <w:t xml:space="preserve"> </w:t>
      </w:r>
      <w:r>
        <w:rPr>
          <w:szCs w:val="18"/>
        </w:rPr>
        <w:t xml:space="preserve">du </w:t>
      </w:r>
      <w:r w:rsidRPr="006009F8">
        <w:rPr>
          <w:szCs w:val="18"/>
        </w:rPr>
        <w:t>règlement intérieur de la Plénière de la Plateforme</w:t>
      </w:r>
      <w:r>
        <w:rPr>
          <w:szCs w:val="18"/>
        </w:rPr>
        <w:t xml:space="preserve"> (adopté </w:t>
      </w:r>
      <w:r w:rsidR="00B42A02">
        <w:rPr>
          <w:szCs w:val="18"/>
        </w:rPr>
        <w:t xml:space="preserve">par </w:t>
      </w:r>
      <w:r>
        <w:rPr>
          <w:szCs w:val="18"/>
        </w:rPr>
        <w:t>la décision</w:t>
      </w:r>
      <w:r w:rsidR="00AE5665">
        <w:rPr>
          <w:szCs w:val="18"/>
        </w:rPr>
        <w:t> </w:t>
      </w:r>
      <w:r>
        <w:rPr>
          <w:szCs w:val="18"/>
        </w:rPr>
        <w:t>IPBES-1/1 et modifié par</w:t>
      </w:r>
      <w:r w:rsidR="00AE5665">
        <w:rPr>
          <w:szCs w:val="18"/>
        </w:rPr>
        <w:t xml:space="preserve"> la décision </w:t>
      </w:r>
      <w:r>
        <w:rPr>
          <w:szCs w:val="18"/>
        </w:rPr>
        <w:t>IPBES-2/1</w:t>
      </w:r>
      <w:r w:rsidRPr="006009F8">
        <w:rPr>
          <w:szCs w:val="18"/>
        </w:rPr>
        <w:t xml:space="preserve">, les questions concernant l’adhésion et la participation des organisations régionales d’intégration économique sont encore à l’examen et devraient être réglées dans les meilleurs délais. Il est </w:t>
      </w:r>
      <w:r>
        <w:rPr>
          <w:szCs w:val="18"/>
        </w:rPr>
        <w:t>également</w:t>
      </w:r>
      <w:r w:rsidRPr="006009F8">
        <w:rPr>
          <w:szCs w:val="18"/>
        </w:rPr>
        <w:t xml:space="preserve"> précisé que ces organisations peuvent participer à titre provisoire aux </w:t>
      </w:r>
      <w:r>
        <w:rPr>
          <w:szCs w:val="18"/>
        </w:rPr>
        <w:t>sessions</w:t>
      </w:r>
      <w:r w:rsidRPr="006009F8">
        <w:rPr>
          <w:szCs w:val="18"/>
        </w:rPr>
        <w:t xml:space="preserve"> de la Plateforme en qualité d’observateurs.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73E9A4A7" w:rsidR="00123699" w:rsidRPr="00AE5665" w:rsidRDefault="00AE5665" w:rsidP="00AE5665">
    <w:pPr>
      <w:pStyle w:val="Header"/>
    </w:pPr>
    <w:r w:rsidRPr="008520C8">
      <w:t>IPBES/</w:t>
    </w:r>
    <w:r w:rsidR="00536DAC">
      <w:t>8</w:t>
    </w:r>
    <w:r w:rsidRPr="008520C8">
      <w:t>/</w:t>
    </w:r>
    <w:r w:rsidR="00536DAC">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1515816F" w:rsidR="00123699" w:rsidRPr="00AE5665" w:rsidRDefault="00AE5665" w:rsidP="00AE5665">
    <w:pPr>
      <w:pStyle w:val="Header"/>
      <w:jc w:val="right"/>
    </w:pPr>
    <w:r w:rsidRPr="008520C8">
      <w:t>IPBES/</w:t>
    </w:r>
    <w:r w:rsidR="00536DAC">
      <w:t>8</w:t>
    </w:r>
    <w:r w:rsidRPr="008520C8">
      <w:t>/</w:t>
    </w:r>
    <w:r w:rsidR="00536DAC">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E90" w14:textId="10AA21F8" w:rsidR="00AE5665" w:rsidRPr="00AE5665" w:rsidRDefault="00AE5665" w:rsidP="00AE566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74682C76"/>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12E553C"/>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00C1B05"/>
    <w:multiLevelType w:val="multilevel"/>
    <w:tmpl w:val="DCB8307E"/>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1A82D41"/>
    <w:multiLevelType w:val="hybridMultilevel"/>
    <w:tmpl w:val="DBDC021C"/>
    <w:lvl w:ilvl="0" w:tplc="A63837B8">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91BF8"/>
    <w:multiLevelType w:val="multilevel"/>
    <w:tmpl w:val="F4ACF36E"/>
    <w:numStyleLink w:val="Normallist"/>
  </w:abstractNum>
  <w:num w:numId="1">
    <w:abstractNumId w:val="1"/>
  </w:num>
  <w:num w:numId="2">
    <w:abstractNumId w:val="2"/>
  </w:num>
  <w:num w:numId="3">
    <w:abstractNumId w:val="4"/>
  </w:num>
  <w:num w:numId="4">
    <w:abstractNumId w:val="6"/>
  </w:num>
  <w:num w:numId="5">
    <w:abstractNumId w:val="0"/>
    <w:lvlOverride w:ilvl="0">
      <w:lvl w:ilvl="0">
        <w:start w:val="1"/>
        <w:numFmt w:val="decimal"/>
        <w:lvlText w:val="%1."/>
        <w:lvlJc w:val="left"/>
        <w:pPr>
          <w:tabs>
            <w:tab w:val="num" w:pos="567"/>
          </w:tabs>
          <w:ind w:left="1247" w:firstLine="0"/>
        </w:pPr>
        <w:rPr>
          <w:rFonts w:hint="default"/>
          <w:b w:val="0"/>
        </w:rPr>
      </w:lvl>
    </w:lvlOverride>
  </w:num>
  <w:num w:numId="6">
    <w:abstractNumId w:val="5"/>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F7F"/>
    <w:rsid w:val="000149E6"/>
    <w:rsid w:val="000247B0"/>
    <w:rsid w:val="00026997"/>
    <w:rsid w:val="00033E0B"/>
    <w:rsid w:val="00035EDE"/>
    <w:rsid w:val="000509B4"/>
    <w:rsid w:val="00050AAC"/>
    <w:rsid w:val="0006035B"/>
    <w:rsid w:val="00065148"/>
    <w:rsid w:val="00071886"/>
    <w:rsid w:val="000742BC"/>
    <w:rsid w:val="00082A0C"/>
    <w:rsid w:val="00083504"/>
    <w:rsid w:val="0009640C"/>
    <w:rsid w:val="000B22A2"/>
    <w:rsid w:val="000C2A52"/>
    <w:rsid w:val="000D33C0"/>
    <w:rsid w:val="000D6941"/>
    <w:rsid w:val="00106FA0"/>
    <w:rsid w:val="001202E3"/>
    <w:rsid w:val="00123699"/>
    <w:rsid w:val="0013059D"/>
    <w:rsid w:val="00141A55"/>
    <w:rsid w:val="00143AD8"/>
    <w:rsid w:val="001446A3"/>
    <w:rsid w:val="00155395"/>
    <w:rsid w:val="00160D74"/>
    <w:rsid w:val="00167D02"/>
    <w:rsid w:val="00181EC8"/>
    <w:rsid w:val="00184349"/>
    <w:rsid w:val="00195F33"/>
    <w:rsid w:val="001A1536"/>
    <w:rsid w:val="001B1617"/>
    <w:rsid w:val="001B504B"/>
    <w:rsid w:val="001D16F7"/>
    <w:rsid w:val="001D3874"/>
    <w:rsid w:val="001D7E75"/>
    <w:rsid w:val="001E56D2"/>
    <w:rsid w:val="001E7D56"/>
    <w:rsid w:val="001F75DE"/>
    <w:rsid w:val="00200D58"/>
    <w:rsid w:val="002013BE"/>
    <w:rsid w:val="00201CE7"/>
    <w:rsid w:val="002063A4"/>
    <w:rsid w:val="0021145B"/>
    <w:rsid w:val="00215B87"/>
    <w:rsid w:val="00243D36"/>
    <w:rsid w:val="00247707"/>
    <w:rsid w:val="0026018E"/>
    <w:rsid w:val="00286740"/>
    <w:rsid w:val="002874CC"/>
    <w:rsid w:val="002929D8"/>
    <w:rsid w:val="002A237D"/>
    <w:rsid w:val="002A4C53"/>
    <w:rsid w:val="002B0672"/>
    <w:rsid w:val="002B247F"/>
    <w:rsid w:val="002B66BE"/>
    <w:rsid w:val="002C145D"/>
    <w:rsid w:val="002C2C3E"/>
    <w:rsid w:val="002C533E"/>
    <w:rsid w:val="002D027F"/>
    <w:rsid w:val="002D7A85"/>
    <w:rsid w:val="002D7B60"/>
    <w:rsid w:val="002F4761"/>
    <w:rsid w:val="002F5C79"/>
    <w:rsid w:val="003019E2"/>
    <w:rsid w:val="0031413F"/>
    <w:rsid w:val="003148BB"/>
    <w:rsid w:val="00317976"/>
    <w:rsid w:val="00330FE3"/>
    <w:rsid w:val="00355EA9"/>
    <w:rsid w:val="003578DE"/>
    <w:rsid w:val="003734EC"/>
    <w:rsid w:val="00396257"/>
    <w:rsid w:val="00396929"/>
    <w:rsid w:val="00397EB8"/>
    <w:rsid w:val="003A4FD0"/>
    <w:rsid w:val="003A69D1"/>
    <w:rsid w:val="003A7705"/>
    <w:rsid w:val="003A77F1"/>
    <w:rsid w:val="003B1545"/>
    <w:rsid w:val="003C409D"/>
    <w:rsid w:val="003C5BA6"/>
    <w:rsid w:val="003F0E85"/>
    <w:rsid w:val="00410C55"/>
    <w:rsid w:val="00416854"/>
    <w:rsid w:val="00417725"/>
    <w:rsid w:val="004308A0"/>
    <w:rsid w:val="00437F26"/>
    <w:rsid w:val="00444097"/>
    <w:rsid w:val="00445487"/>
    <w:rsid w:val="00454769"/>
    <w:rsid w:val="00463008"/>
    <w:rsid w:val="00466991"/>
    <w:rsid w:val="0047064C"/>
    <w:rsid w:val="00471270"/>
    <w:rsid w:val="004A345B"/>
    <w:rsid w:val="004A42E1"/>
    <w:rsid w:val="004B162C"/>
    <w:rsid w:val="004C3DBE"/>
    <w:rsid w:val="004C5C96"/>
    <w:rsid w:val="004D06A4"/>
    <w:rsid w:val="004F1A81"/>
    <w:rsid w:val="004F35F1"/>
    <w:rsid w:val="005173D4"/>
    <w:rsid w:val="005218D9"/>
    <w:rsid w:val="00536186"/>
    <w:rsid w:val="00536DAC"/>
    <w:rsid w:val="0054370A"/>
    <w:rsid w:val="00544CBB"/>
    <w:rsid w:val="0056088A"/>
    <w:rsid w:val="0057315F"/>
    <w:rsid w:val="00576104"/>
    <w:rsid w:val="005A1727"/>
    <w:rsid w:val="005B3205"/>
    <w:rsid w:val="005C67C8"/>
    <w:rsid w:val="005D0249"/>
    <w:rsid w:val="005D2E05"/>
    <w:rsid w:val="005D6E8C"/>
    <w:rsid w:val="005F06C5"/>
    <w:rsid w:val="005F100C"/>
    <w:rsid w:val="005F68DA"/>
    <w:rsid w:val="0060773B"/>
    <w:rsid w:val="006157B5"/>
    <w:rsid w:val="00626FC6"/>
    <w:rsid w:val="006303B4"/>
    <w:rsid w:val="00633D3D"/>
    <w:rsid w:val="00641703"/>
    <w:rsid w:val="006431A6"/>
    <w:rsid w:val="006459F6"/>
    <w:rsid w:val="006501AD"/>
    <w:rsid w:val="00651BFA"/>
    <w:rsid w:val="00654475"/>
    <w:rsid w:val="00661A50"/>
    <w:rsid w:val="00665A4B"/>
    <w:rsid w:val="00674D0B"/>
    <w:rsid w:val="00676210"/>
    <w:rsid w:val="00692E2A"/>
    <w:rsid w:val="006A5248"/>
    <w:rsid w:val="006A76F2"/>
    <w:rsid w:val="006B3D7A"/>
    <w:rsid w:val="006C10B1"/>
    <w:rsid w:val="006D7EFB"/>
    <w:rsid w:val="006E6672"/>
    <w:rsid w:val="006E6722"/>
    <w:rsid w:val="00700C39"/>
    <w:rsid w:val="007027B9"/>
    <w:rsid w:val="00715E88"/>
    <w:rsid w:val="00722CFE"/>
    <w:rsid w:val="00730F76"/>
    <w:rsid w:val="00734CAA"/>
    <w:rsid w:val="0075533C"/>
    <w:rsid w:val="00757581"/>
    <w:rsid w:val="007611A0"/>
    <w:rsid w:val="00764A22"/>
    <w:rsid w:val="00796D3F"/>
    <w:rsid w:val="007A1683"/>
    <w:rsid w:val="007A5C12"/>
    <w:rsid w:val="007A7CB0"/>
    <w:rsid w:val="007B68A3"/>
    <w:rsid w:val="007C2541"/>
    <w:rsid w:val="007D66A8"/>
    <w:rsid w:val="007E003F"/>
    <w:rsid w:val="007E360E"/>
    <w:rsid w:val="007F76FC"/>
    <w:rsid w:val="0081058C"/>
    <w:rsid w:val="008164F2"/>
    <w:rsid w:val="00821395"/>
    <w:rsid w:val="00830E26"/>
    <w:rsid w:val="00843576"/>
    <w:rsid w:val="00843B64"/>
    <w:rsid w:val="00844988"/>
    <w:rsid w:val="008478FC"/>
    <w:rsid w:val="0085588D"/>
    <w:rsid w:val="00867BFF"/>
    <w:rsid w:val="0088480A"/>
    <w:rsid w:val="0088757A"/>
    <w:rsid w:val="008957DD"/>
    <w:rsid w:val="00897D98"/>
    <w:rsid w:val="008A6DF2"/>
    <w:rsid w:val="008A7807"/>
    <w:rsid w:val="008B4CC9"/>
    <w:rsid w:val="008B51A7"/>
    <w:rsid w:val="008D7C99"/>
    <w:rsid w:val="008E0FCB"/>
    <w:rsid w:val="008E138C"/>
    <w:rsid w:val="008F65F4"/>
    <w:rsid w:val="0092178C"/>
    <w:rsid w:val="009225C9"/>
    <w:rsid w:val="00930B88"/>
    <w:rsid w:val="00933401"/>
    <w:rsid w:val="00940DCC"/>
    <w:rsid w:val="0094179A"/>
    <w:rsid w:val="0094418E"/>
    <w:rsid w:val="0094459E"/>
    <w:rsid w:val="00944DBC"/>
    <w:rsid w:val="00950977"/>
    <w:rsid w:val="00951A7B"/>
    <w:rsid w:val="009564A6"/>
    <w:rsid w:val="00956BB9"/>
    <w:rsid w:val="00967621"/>
    <w:rsid w:val="00967E6A"/>
    <w:rsid w:val="00991C2A"/>
    <w:rsid w:val="009B01F8"/>
    <w:rsid w:val="009B4A0F"/>
    <w:rsid w:val="009C11D2"/>
    <w:rsid w:val="009C6C70"/>
    <w:rsid w:val="009D0B63"/>
    <w:rsid w:val="009E307E"/>
    <w:rsid w:val="00A07870"/>
    <w:rsid w:val="00A07F19"/>
    <w:rsid w:val="00A1348D"/>
    <w:rsid w:val="00A232EE"/>
    <w:rsid w:val="00A37EEA"/>
    <w:rsid w:val="00A4175F"/>
    <w:rsid w:val="00A44411"/>
    <w:rsid w:val="00A444C1"/>
    <w:rsid w:val="00A469FA"/>
    <w:rsid w:val="00A55B01"/>
    <w:rsid w:val="00A56B5B"/>
    <w:rsid w:val="00A603FF"/>
    <w:rsid w:val="00A653CB"/>
    <w:rsid w:val="00A657DD"/>
    <w:rsid w:val="00A666A6"/>
    <w:rsid w:val="00A675FD"/>
    <w:rsid w:val="00A72437"/>
    <w:rsid w:val="00A73C3E"/>
    <w:rsid w:val="00A80611"/>
    <w:rsid w:val="00A8441D"/>
    <w:rsid w:val="00AA2AFF"/>
    <w:rsid w:val="00AB0BA7"/>
    <w:rsid w:val="00AB5340"/>
    <w:rsid w:val="00AC0A89"/>
    <w:rsid w:val="00AC7C96"/>
    <w:rsid w:val="00AE237D"/>
    <w:rsid w:val="00AE502A"/>
    <w:rsid w:val="00AE5665"/>
    <w:rsid w:val="00AF7C07"/>
    <w:rsid w:val="00B027A2"/>
    <w:rsid w:val="00B1147B"/>
    <w:rsid w:val="00B22C93"/>
    <w:rsid w:val="00B27589"/>
    <w:rsid w:val="00B405B7"/>
    <w:rsid w:val="00B42A02"/>
    <w:rsid w:val="00B52222"/>
    <w:rsid w:val="00B54FE7"/>
    <w:rsid w:val="00B66901"/>
    <w:rsid w:val="00B71E6D"/>
    <w:rsid w:val="00B72070"/>
    <w:rsid w:val="00B779E1"/>
    <w:rsid w:val="00B91EE1"/>
    <w:rsid w:val="00B978C9"/>
    <w:rsid w:val="00BA0090"/>
    <w:rsid w:val="00BA1A67"/>
    <w:rsid w:val="00BE5B5F"/>
    <w:rsid w:val="00C26F55"/>
    <w:rsid w:val="00C30C63"/>
    <w:rsid w:val="00C36B8B"/>
    <w:rsid w:val="00C415C1"/>
    <w:rsid w:val="00C47DBF"/>
    <w:rsid w:val="00C552FF"/>
    <w:rsid w:val="00C558DA"/>
    <w:rsid w:val="00C55AF3"/>
    <w:rsid w:val="00C84759"/>
    <w:rsid w:val="00CA22CD"/>
    <w:rsid w:val="00CA6C7F"/>
    <w:rsid w:val="00CB1F2F"/>
    <w:rsid w:val="00CC10A6"/>
    <w:rsid w:val="00CD5EB8"/>
    <w:rsid w:val="00CD7044"/>
    <w:rsid w:val="00CE08B9"/>
    <w:rsid w:val="00CE2B24"/>
    <w:rsid w:val="00CE404F"/>
    <w:rsid w:val="00CE524C"/>
    <w:rsid w:val="00CF141F"/>
    <w:rsid w:val="00CF4777"/>
    <w:rsid w:val="00D067BB"/>
    <w:rsid w:val="00D1352A"/>
    <w:rsid w:val="00D169AF"/>
    <w:rsid w:val="00D25249"/>
    <w:rsid w:val="00D44172"/>
    <w:rsid w:val="00D63B8C"/>
    <w:rsid w:val="00D705CF"/>
    <w:rsid w:val="00D739CC"/>
    <w:rsid w:val="00D8093D"/>
    <w:rsid w:val="00D8108C"/>
    <w:rsid w:val="00D842AE"/>
    <w:rsid w:val="00D9211C"/>
    <w:rsid w:val="00D928A4"/>
    <w:rsid w:val="00D92DE0"/>
    <w:rsid w:val="00D92FEF"/>
    <w:rsid w:val="00D93A0F"/>
    <w:rsid w:val="00DA1BCA"/>
    <w:rsid w:val="00DA3EA9"/>
    <w:rsid w:val="00DA3F7A"/>
    <w:rsid w:val="00DC1A57"/>
    <w:rsid w:val="00DC46FF"/>
    <w:rsid w:val="00DC5254"/>
    <w:rsid w:val="00DC54EC"/>
    <w:rsid w:val="00DD1A4F"/>
    <w:rsid w:val="00DD3107"/>
    <w:rsid w:val="00DD7C2C"/>
    <w:rsid w:val="00DF1E4C"/>
    <w:rsid w:val="00E038DC"/>
    <w:rsid w:val="00E06797"/>
    <w:rsid w:val="00E1265B"/>
    <w:rsid w:val="00E13B48"/>
    <w:rsid w:val="00E1404F"/>
    <w:rsid w:val="00E21C83"/>
    <w:rsid w:val="00E24ADA"/>
    <w:rsid w:val="00E32F59"/>
    <w:rsid w:val="00E40DA7"/>
    <w:rsid w:val="00E46D9A"/>
    <w:rsid w:val="00E565FF"/>
    <w:rsid w:val="00E65388"/>
    <w:rsid w:val="00E85B7D"/>
    <w:rsid w:val="00E9121B"/>
    <w:rsid w:val="00EA0AE2"/>
    <w:rsid w:val="00EA39E5"/>
    <w:rsid w:val="00EB5C7D"/>
    <w:rsid w:val="00EC5A46"/>
    <w:rsid w:val="00EC63E2"/>
    <w:rsid w:val="00EC740C"/>
    <w:rsid w:val="00EF22B3"/>
    <w:rsid w:val="00F03B69"/>
    <w:rsid w:val="00F07A50"/>
    <w:rsid w:val="00F113DA"/>
    <w:rsid w:val="00F21BD4"/>
    <w:rsid w:val="00F277EB"/>
    <w:rsid w:val="00F37DC8"/>
    <w:rsid w:val="00F439B3"/>
    <w:rsid w:val="00F650C3"/>
    <w:rsid w:val="00F65D85"/>
    <w:rsid w:val="00F8091E"/>
    <w:rsid w:val="00F8615C"/>
    <w:rsid w:val="00F874E0"/>
    <w:rsid w:val="00F96871"/>
    <w:rsid w:val="00F969E5"/>
    <w:rsid w:val="00FA40C3"/>
    <w:rsid w:val="00FA6BB0"/>
    <w:rsid w:val="00FC0D95"/>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F7A"/>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qFormat/>
    <w:rsid w:val="00DA3F7A"/>
    <w:pPr>
      <w:keepNext/>
      <w:spacing w:before="240" w:after="120"/>
      <w:ind w:left="1247" w:hanging="680"/>
      <w:outlineLvl w:val="0"/>
    </w:pPr>
    <w:rPr>
      <w:b/>
      <w:sz w:val="28"/>
    </w:rPr>
  </w:style>
  <w:style w:type="paragraph" w:styleId="Heading2">
    <w:name w:val="heading 2"/>
    <w:basedOn w:val="Normal"/>
    <w:next w:val="Normalnumber"/>
    <w:qFormat/>
    <w:rsid w:val="00DA3F7A"/>
    <w:pPr>
      <w:keepNext/>
      <w:spacing w:before="240" w:after="120"/>
      <w:ind w:left="1247" w:hanging="680"/>
      <w:outlineLvl w:val="1"/>
    </w:pPr>
    <w:rPr>
      <w:b/>
      <w:sz w:val="24"/>
      <w:szCs w:val="24"/>
    </w:rPr>
  </w:style>
  <w:style w:type="paragraph" w:styleId="Heading3">
    <w:name w:val="heading 3"/>
    <w:basedOn w:val="Normal"/>
    <w:next w:val="Normalnumber"/>
    <w:qFormat/>
    <w:rsid w:val="00DA3F7A"/>
    <w:pPr>
      <w:spacing w:after="120"/>
      <w:ind w:left="1247" w:hanging="680"/>
      <w:outlineLvl w:val="2"/>
    </w:pPr>
    <w:rPr>
      <w:b/>
    </w:rPr>
  </w:style>
  <w:style w:type="paragraph" w:styleId="Heading4">
    <w:name w:val="heading 4"/>
    <w:basedOn w:val="Heading3"/>
    <w:next w:val="Normalnumber"/>
    <w:qFormat/>
    <w:rsid w:val="00DA3F7A"/>
    <w:pPr>
      <w:keepNext/>
      <w:outlineLvl w:val="3"/>
    </w:pPr>
  </w:style>
  <w:style w:type="paragraph" w:styleId="Heading5">
    <w:name w:val="heading 5"/>
    <w:basedOn w:val="Normal"/>
    <w:next w:val="Normal"/>
    <w:qFormat/>
    <w:rsid w:val="00DA3F7A"/>
    <w:pPr>
      <w:keepNext/>
      <w:outlineLvl w:val="4"/>
    </w:pPr>
    <w:rPr>
      <w:rFonts w:ascii="Univers" w:hAnsi="Univers"/>
      <w:b/>
      <w:sz w:val="24"/>
    </w:rPr>
  </w:style>
  <w:style w:type="paragraph" w:styleId="Heading6">
    <w:name w:val="heading 6"/>
    <w:basedOn w:val="Normal"/>
    <w:next w:val="Normal"/>
    <w:qFormat/>
    <w:rsid w:val="00DA3F7A"/>
    <w:pPr>
      <w:keepNext/>
      <w:ind w:left="578"/>
      <w:outlineLvl w:val="5"/>
    </w:pPr>
    <w:rPr>
      <w:b/>
      <w:bCs/>
      <w:sz w:val="24"/>
    </w:rPr>
  </w:style>
  <w:style w:type="paragraph" w:styleId="Heading7">
    <w:name w:val="heading 7"/>
    <w:basedOn w:val="Normal"/>
    <w:next w:val="Normal"/>
    <w:qFormat/>
    <w:rsid w:val="00DA3F7A"/>
    <w:pPr>
      <w:keepNext/>
      <w:widowControl w:val="0"/>
      <w:jc w:val="center"/>
      <w:outlineLvl w:val="6"/>
    </w:pPr>
    <w:rPr>
      <w:snapToGrid w:val="0"/>
      <w:u w:val="single"/>
      <w:lang w:val="en-US"/>
    </w:rPr>
  </w:style>
  <w:style w:type="paragraph" w:styleId="Heading8">
    <w:name w:val="heading 8"/>
    <w:basedOn w:val="Normal"/>
    <w:next w:val="Normal"/>
    <w:qFormat/>
    <w:rsid w:val="00DA3F7A"/>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DA3F7A"/>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A3F7A"/>
    <w:rPr>
      <w:rFonts w:ascii="Times New Roman" w:hAnsi="Times New Roman"/>
      <w:b/>
      <w:sz w:val="18"/>
    </w:rPr>
  </w:style>
  <w:style w:type="table" w:customStyle="1" w:styleId="Tabledocright">
    <w:name w:val="Table_doc_right"/>
    <w:basedOn w:val="TableNormal"/>
    <w:rsid w:val="00DA3F7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DA3F7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DA3F7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DA3F7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DA3F7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A3F7A"/>
    <w:rPr>
      <w:bCs w:val="0"/>
    </w:rPr>
  </w:style>
  <w:style w:type="paragraph" w:styleId="TableofFigures">
    <w:name w:val="table of figures"/>
    <w:basedOn w:val="Normal"/>
    <w:next w:val="Normal"/>
    <w:autoRedefine/>
    <w:semiHidden/>
    <w:rsid w:val="00DA3F7A"/>
    <w:pPr>
      <w:tabs>
        <w:tab w:val="clear" w:pos="1814"/>
        <w:tab w:val="clear" w:pos="2381"/>
        <w:tab w:val="clear" w:pos="2948"/>
        <w:tab w:val="clear" w:pos="3515"/>
      </w:tabs>
      <w:ind w:left="1814" w:hanging="567"/>
    </w:pPr>
  </w:style>
  <w:style w:type="paragraph" w:customStyle="1" w:styleId="CH1">
    <w:name w:val="CH1"/>
    <w:basedOn w:val="Normalpool"/>
    <w:next w:val="CH2"/>
    <w:qFormat/>
    <w:rsid w:val="00DA3F7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A3F7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A3F7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A3F7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A3F7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A3F7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A3F7A"/>
    <w:pPr>
      <w:tabs>
        <w:tab w:val="left" w:pos="4321"/>
        <w:tab w:val="right" w:pos="8641"/>
      </w:tabs>
      <w:spacing w:before="60" w:after="120"/>
    </w:pPr>
    <w:rPr>
      <w:b/>
      <w:sz w:val="18"/>
    </w:rPr>
  </w:style>
  <w:style w:type="paragraph" w:customStyle="1" w:styleId="Headerpool">
    <w:name w:val="Header_pool"/>
    <w:basedOn w:val="Normal"/>
    <w:next w:val="Normal"/>
    <w:semiHidden/>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DA3F7A"/>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A3F7A"/>
    <w:pPr>
      <w:tabs>
        <w:tab w:val="left" w:pos="4321"/>
        <w:tab w:val="right" w:pos="8641"/>
      </w:tabs>
      <w:spacing w:before="60" w:after="120"/>
    </w:pPr>
    <w:rPr>
      <w:b/>
      <w:sz w:val="18"/>
    </w:rPr>
  </w:style>
  <w:style w:type="paragraph" w:customStyle="1" w:styleId="Header-pool">
    <w:name w:val="Header-pool"/>
    <w:basedOn w:val="Normal-pool"/>
    <w:next w:val="Normal-pool"/>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A3F7A"/>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semiHidden/>
    <w:rsid w:val="00DA3F7A"/>
    <w:rPr>
      <w:rFonts w:ascii="Times New Roman" w:hAnsi="Times New Roman"/>
      <w:color w:val="auto"/>
      <w:sz w:val="20"/>
      <w:szCs w:val="18"/>
      <w:vertAlign w:val="superscript"/>
    </w:rPr>
  </w:style>
  <w:style w:type="paragraph" w:styleId="FootnoteText">
    <w:name w:val="footnote text"/>
    <w:basedOn w:val="Normalpool"/>
    <w:link w:val="FootnoteTextChar"/>
    <w:semiHidden/>
    <w:rsid w:val="00DA3F7A"/>
    <w:pPr>
      <w:spacing w:before="20" w:after="40"/>
      <w:ind w:left="1247"/>
    </w:pPr>
    <w:rPr>
      <w:sz w:val="18"/>
    </w:rPr>
  </w:style>
  <w:style w:type="character" w:customStyle="1" w:styleId="Normal-poolChar">
    <w:name w:val="Normal-pool Char"/>
    <w:link w:val="Normal-pool"/>
    <w:rsid w:val="00396929"/>
    <w:rPr>
      <w:lang w:val="fr-CA" w:eastAsia="en-US"/>
    </w:rPr>
  </w:style>
  <w:style w:type="table" w:customStyle="1" w:styleId="AATable">
    <w:name w:val="AA_Table"/>
    <w:basedOn w:val="TableNormal"/>
    <w:semiHidden/>
    <w:rsid w:val="00DA3F7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A3F7A"/>
    <w:pPr>
      <w:keepNext/>
      <w:keepLines/>
      <w:suppressAutoHyphens/>
      <w:ind w:right="5103"/>
    </w:pPr>
    <w:rPr>
      <w:b/>
    </w:rPr>
  </w:style>
  <w:style w:type="paragraph" w:customStyle="1" w:styleId="AATitle2">
    <w:name w:val="AA_Title2"/>
    <w:basedOn w:val="AATitle"/>
    <w:rsid w:val="00DA3F7A"/>
    <w:pPr>
      <w:tabs>
        <w:tab w:val="clear" w:pos="4082"/>
      </w:tabs>
      <w:spacing w:before="120" w:after="120"/>
      <w:ind w:right="4536"/>
    </w:pPr>
  </w:style>
  <w:style w:type="paragraph" w:customStyle="1" w:styleId="BBTitle">
    <w:name w:val="BB_Title"/>
    <w:basedOn w:val="Normalpool"/>
    <w:rsid w:val="00DA3F7A"/>
    <w:pPr>
      <w:keepNext/>
      <w:keepLines/>
      <w:suppressAutoHyphens/>
      <w:spacing w:before="320" w:after="240"/>
      <w:ind w:left="1247" w:right="567"/>
    </w:pPr>
    <w:rPr>
      <w:b/>
      <w:sz w:val="28"/>
      <w:szCs w:val="28"/>
    </w:rPr>
  </w:style>
  <w:style w:type="paragraph" w:styleId="Footer">
    <w:name w:val="footer"/>
    <w:basedOn w:val="Normal"/>
    <w:link w:val="FooterChar"/>
    <w:uiPriority w:val="99"/>
    <w:rsid w:val="00DA3F7A"/>
    <w:pPr>
      <w:tabs>
        <w:tab w:val="center" w:pos="4320"/>
        <w:tab w:val="right" w:pos="8640"/>
      </w:tabs>
      <w:spacing w:before="60" w:after="120"/>
    </w:pPr>
    <w:rPr>
      <w:sz w:val="18"/>
    </w:rPr>
  </w:style>
  <w:style w:type="paragraph" w:styleId="Header">
    <w:name w:val="header"/>
    <w:basedOn w:val="Normal"/>
    <w:link w:val="HeaderChar"/>
    <w:uiPriority w:val="99"/>
    <w:rsid w:val="00DA3F7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DA3F7A"/>
    <w:rPr>
      <w:rFonts w:ascii="Times New Roman" w:hAnsi="Times New Roman"/>
      <w:color w:val="auto"/>
      <w:sz w:val="20"/>
      <w:szCs w:val="20"/>
      <w:u w:val="none"/>
      <w:lang w:val="fr-FR"/>
    </w:rPr>
  </w:style>
  <w:style w:type="numbering" w:customStyle="1" w:styleId="Normallist">
    <w:name w:val="Normal_list"/>
    <w:basedOn w:val="NoList"/>
    <w:rsid w:val="00DA3F7A"/>
    <w:pPr>
      <w:numPr>
        <w:numId w:val="3"/>
      </w:numPr>
    </w:pPr>
  </w:style>
  <w:style w:type="paragraph" w:customStyle="1" w:styleId="NormalNonumber">
    <w:name w:val="Normal_No_number"/>
    <w:basedOn w:val="Normalpool"/>
    <w:rsid w:val="00DA3F7A"/>
    <w:pPr>
      <w:spacing w:after="120"/>
      <w:ind w:left="1247"/>
    </w:pPr>
  </w:style>
  <w:style w:type="paragraph" w:customStyle="1" w:styleId="Normalnumber">
    <w:name w:val="Normal_number"/>
    <w:basedOn w:val="Normalpool"/>
    <w:link w:val="NormalnumberChar"/>
    <w:qFormat/>
    <w:rsid w:val="00DA3F7A"/>
    <w:pPr>
      <w:numPr>
        <w:numId w:val="4"/>
      </w:numPr>
      <w:spacing w:after="120"/>
    </w:pPr>
  </w:style>
  <w:style w:type="paragraph" w:customStyle="1" w:styleId="Titletable">
    <w:name w:val="Title_table"/>
    <w:basedOn w:val="Normalpool"/>
    <w:rsid w:val="00DA3F7A"/>
    <w:pPr>
      <w:keepNext/>
      <w:keepLines/>
      <w:suppressAutoHyphens/>
      <w:spacing w:after="60"/>
      <w:ind w:left="1247"/>
    </w:pPr>
    <w:rPr>
      <w:b/>
      <w:bCs/>
    </w:rPr>
  </w:style>
  <w:style w:type="paragraph" w:styleId="TOC1">
    <w:name w:val="toc 1"/>
    <w:basedOn w:val="Normalpool"/>
    <w:next w:val="Normalpool"/>
    <w:rsid w:val="00DA3F7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DA3F7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DA3F7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DA3F7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DA3F7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A3F7A"/>
    <w:rPr>
      <w:b/>
      <w:bCs/>
      <w:sz w:val="28"/>
      <w:szCs w:val="22"/>
    </w:rPr>
  </w:style>
  <w:style w:type="paragraph" w:customStyle="1" w:styleId="ZZAnxtitle">
    <w:name w:val="ZZ_Anx_title"/>
    <w:basedOn w:val="Normalpool"/>
    <w:rsid w:val="00DA3F7A"/>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FootnoteTextChar">
    <w:name w:val="Footnote Text Char"/>
    <w:basedOn w:val="DefaultParagraphFont"/>
    <w:link w:val="FootnoteText"/>
    <w:semiHidden/>
    <w:rsid w:val="004F35F1"/>
    <w:rPr>
      <w:sz w:val="18"/>
      <w:lang w:val="fr-CA" w:eastAsia="en-US"/>
    </w:rPr>
  </w:style>
  <w:style w:type="character" w:customStyle="1" w:styleId="NormalnumberChar">
    <w:name w:val="Normal_number Char"/>
    <w:link w:val="Normalnumber"/>
    <w:rsid w:val="00000F7F"/>
    <w:rPr>
      <w:lang w:val="fr-CA" w:eastAsia="en-US"/>
    </w:rPr>
  </w:style>
  <w:style w:type="table" w:styleId="TableGrid">
    <w:name w:val="Table Grid"/>
    <w:basedOn w:val="TableNormal"/>
    <w:rsid w:val="00000F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000F7F"/>
    <w:rPr>
      <w:b/>
      <w:sz w:val="24"/>
      <w:szCs w:val="24"/>
      <w:lang w:val="fr-CA" w:eastAsia="en-US"/>
    </w:rPr>
  </w:style>
  <w:style w:type="character" w:customStyle="1" w:styleId="HeaderChar">
    <w:name w:val="Header Char"/>
    <w:link w:val="Header"/>
    <w:uiPriority w:val="99"/>
    <w:rsid w:val="00000F7F"/>
    <w:rPr>
      <w:b/>
      <w:sz w:val="18"/>
      <w:lang w:val="fr-FR" w:eastAsia="en-US"/>
    </w:rPr>
  </w:style>
  <w:style w:type="character" w:customStyle="1" w:styleId="FooterChar">
    <w:name w:val="Footer Char"/>
    <w:link w:val="Footer"/>
    <w:uiPriority w:val="99"/>
    <w:rsid w:val="00000F7F"/>
    <w:rPr>
      <w:sz w:val="18"/>
      <w:lang w:val="fr-FR" w:eastAsia="en-US"/>
    </w:rPr>
  </w:style>
  <w:style w:type="paragraph" w:styleId="Title">
    <w:name w:val="Title"/>
    <w:basedOn w:val="Normal"/>
    <w:next w:val="Normal"/>
    <w:link w:val="TitleChar"/>
    <w:qFormat/>
    <w:rsid w:val="00000F7F"/>
    <w:pPr>
      <w:keepNext/>
      <w:keepLines/>
      <w:suppressAutoHyphens/>
      <w:spacing w:before="320" w:after="240"/>
      <w:ind w:left="1247" w:right="567"/>
    </w:pPr>
    <w:rPr>
      <w:b/>
      <w:sz w:val="28"/>
      <w:szCs w:val="28"/>
      <w:lang w:val="en-US"/>
    </w:rPr>
  </w:style>
  <w:style w:type="character" w:customStyle="1" w:styleId="TitleChar">
    <w:name w:val="Title Char"/>
    <w:basedOn w:val="DefaultParagraphFont"/>
    <w:link w:val="Title"/>
    <w:rsid w:val="00000F7F"/>
    <w:rPr>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71b53f-1e97-4759-80c4-d294f18acbad">
      <UserInfo>
        <DisplayName/>
        <AccountId xsi:nil="true"/>
        <AccountType/>
      </UserInfo>
    </SharedWithUsers>
    <Uploadeddate xmlns="a5a030b7-a207-4454-9836-0151be6a4cb9">2021-05-04T09:33:21+00:00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B2C82-1B7C-45A2-AE9E-8960C08B0446}">
  <ds:schemaRefs>
    <ds:schemaRef ds:uri="http://schemas.openxmlformats.org/officeDocument/2006/bibliography"/>
  </ds:schemaRefs>
</ds:datastoreItem>
</file>

<file path=customXml/itemProps2.xml><?xml version="1.0" encoding="utf-8"?>
<ds:datastoreItem xmlns:ds="http://schemas.openxmlformats.org/officeDocument/2006/customXml" ds:itemID="{70843904-DD3B-4FC8-887F-B442C6703A4C}">
  <ds:schemaRefs>
    <ds:schemaRef ds:uri="http://schemas.microsoft.com/sharepoint/v3/contenttype/forms"/>
  </ds:schemaRefs>
</ds:datastoreItem>
</file>

<file path=customXml/itemProps3.xml><?xml version="1.0" encoding="utf-8"?>
<ds:datastoreItem xmlns:ds="http://schemas.openxmlformats.org/officeDocument/2006/customXml" ds:itemID="{00B38C75-9306-4417-895E-D9C1E1F45C0D}">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a5a030b7-a207-4454-9836-0151be6a4cb9"/>
    <ds:schemaRef ds:uri="http://purl.org/dc/terms/"/>
    <ds:schemaRef ds:uri="http://schemas.microsoft.com/office/infopath/2007/PartnerControls"/>
    <ds:schemaRef ds:uri="http://schemas.openxmlformats.org/package/2006/metadata/core-properties"/>
    <ds:schemaRef ds:uri="d171b53f-1e97-4759-80c4-d294f18acbad"/>
  </ds:schemaRefs>
</ds:datastoreItem>
</file>

<file path=customXml/itemProps4.xml><?xml version="1.0" encoding="utf-8"?>
<ds:datastoreItem xmlns:ds="http://schemas.openxmlformats.org/officeDocument/2006/customXml" ds:itemID="{3FE668B6-A4C8-4602-8566-87D7D96B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6206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2019-03-14T22:50:00Z</cp:lastPrinted>
  <dcterms:created xsi:type="dcterms:W3CDTF">2021-05-04T09:33:00Z</dcterms:created>
  <dcterms:modified xsi:type="dcterms:W3CDTF">2021-05-04T09:33:00Z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9/12/2018 3:09:10 PM</vt:lpwstr>
  </property>
  <property fmtid="{D5CDD505-2E9C-101B-9397-08002B2CF9AE}" pid="5" name="OriginalDocID">
    <vt:lpwstr>95ae6e0b-9fca-41c8-aeb1-e9a23b3f7317</vt:lpwstr>
  </property>
  <property fmtid="{D5CDD505-2E9C-101B-9397-08002B2CF9AE}" pid="6" name="ContentTypeId">
    <vt:lpwstr>0x010100584E11ECFBC18447906D5ABF8AD245CC</vt:lpwstr>
  </property>
  <property fmtid="{D5CDD505-2E9C-101B-9397-08002B2CF9AE}" pid="7" name="Order">
    <vt:r8>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