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jc w:val="right"/>
        <w:tblLayout w:type="fixed"/>
        <w:tblLook w:val="0000" w:firstRow="0" w:lastRow="0" w:firstColumn="0" w:lastColumn="0" w:noHBand="0" w:noVBand="0"/>
      </w:tblPr>
      <w:tblGrid>
        <w:gridCol w:w="1456"/>
        <w:gridCol w:w="591"/>
        <w:gridCol w:w="355"/>
        <w:gridCol w:w="869"/>
        <w:gridCol w:w="960"/>
        <w:gridCol w:w="2711"/>
        <w:gridCol w:w="979"/>
        <w:gridCol w:w="1720"/>
      </w:tblGrid>
      <w:tr w:rsidR="00081CFE" w:rsidRPr="004700C8" w:rsidTr="0091376E">
        <w:trPr>
          <w:cantSplit/>
          <w:trHeight w:val="1079"/>
          <w:jc w:val="right"/>
        </w:trPr>
        <w:tc>
          <w:tcPr>
            <w:tcW w:w="1456" w:type="dxa"/>
          </w:tcPr>
          <w:p w:rsidR="00081CFE" w:rsidRPr="004A68B8" w:rsidRDefault="00081CFE" w:rsidP="0091376E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4A68B8">
              <w:rPr>
                <w:rFonts w:ascii="Arial" w:hAnsi="Arial" w:cs="Arial"/>
                <w:b/>
                <w:sz w:val="27"/>
                <w:szCs w:val="27"/>
              </w:rPr>
              <w:t>NATIONS UNIES</w:t>
            </w:r>
          </w:p>
        </w:tc>
        <w:tc>
          <w:tcPr>
            <w:tcW w:w="946" w:type="dxa"/>
            <w:gridSpan w:val="2"/>
            <w:tcBorders>
              <w:left w:val="nil"/>
            </w:tcBorders>
            <w:vAlign w:val="center"/>
          </w:tcPr>
          <w:p w:rsidR="00081CFE" w:rsidRPr="004700C8" w:rsidRDefault="00081CFE" w:rsidP="0091376E">
            <w:pPr>
              <w:pStyle w:val="Normal-pool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3D1FCAD" wp14:editId="19D73ADD">
                  <wp:extent cx="482803" cy="460857"/>
                  <wp:effectExtent l="0" t="0" r="0" b="0"/>
                  <wp:docPr id="5" name="Picture 5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2" cy="4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left w:val="nil"/>
            </w:tcBorders>
            <w:vAlign w:val="center"/>
          </w:tcPr>
          <w:p w:rsidR="00081CFE" w:rsidRPr="004700C8" w:rsidRDefault="00081CFE" w:rsidP="0091376E">
            <w:pPr>
              <w:pStyle w:val="Normal-pool"/>
              <w:spacing w:before="16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0F9E4BB" wp14:editId="3DC8DFD5">
                  <wp:extent cx="362710" cy="478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081CFE" w:rsidRPr="004700C8" w:rsidRDefault="00081CFE" w:rsidP="0091376E">
            <w:pPr>
              <w:pStyle w:val="Normal-pool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E3FB8A2" wp14:editId="4D9AF8EA">
                  <wp:extent cx="490119" cy="460857"/>
                  <wp:effectExtent l="0" t="0" r="5715" b="0"/>
                  <wp:docPr id="7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4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left w:val="nil"/>
            </w:tcBorders>
            <w:vAlign w:val="center"/>
          </w:tcPr>
          <w:p w:rsidR="00081CFE" w:rsidRPr="004700C8" w:rsidRDefault="00081CFE" w:rsidP="0091376E">
            <w:pPr>
              <w:pStyle w:val="Normal-pool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D4C0F96" wp14:editId="79FEBA84">
                  <wp:extent cx="1653236" cy="355488"/>
                  <wp:effectExtent l="0" t="0" r="4445" b="6985"/>
                  <wp:docPr id="6" name="Picture 6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96" cy="3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081CFE" w:rsidRPr="004700C8" w:rsidRDefault="00081CFE" w:rsidP="0091376E">
            <w:pPr>
              <w:pStyle w:val="Normal-pool"/>
              <w:ind w:right="-136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C464FAB" wp14:editId="706B1462">
                  <wp:extent cx="327617" cy="63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1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081CFE" w:rsidRPr="004A68B8" w:rsidRDefault="00081CFE" w:rsidP="0091376E">
            <w:pPr>
              <w:pStyle w:val="Normal-pool"/>
              <w:ind w:right="-136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4A68B8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081CFE" w:rsidRPr="004700C8" w:rsidTr="0091376E">
        <w:trPr>
          <w:cantSplit/>
          <w:trHeight w:val="282"/>
          <w:jc w:val="right"/>
        </w:trPr>
        <w:tc>
          <w:tcPr>
            <w:tcW w:w="1456" w:type="dxa"/>
            <w:tcBorders>
              <w:bottom w:val="single" w:sz="2" w:space="0" w:color="auto"/>
            </w:tcBorders>
          </w:tcPr>
          <w:p w:rsidR="00081CFE" w:rsidRPr="004700C8" w:rsidRDefault="00081CFE" w:rsidP="0091376E">
            <w:pPr>
              <w:pStyle w:val="Normal-pool"/>
            </w:pPr>
          </w:p>
        </w:tc>
        <w:tc>
          <w:tcPr>
            <w:tcW w:w="5486" w:type="dxa"/>
            <w:gridSpan w:val="5"/>
            <w:tcBorders>
              <w:bottom w:val="single" w:sz="2" w:space="0" w:color="auto"/>
            </w:tcBorders>
          </w:tcPr>
          <w:p w:rsidR="00081CFE" w:rsidRPr="004700C8" w:rsidRDefault="00081CFE" w:rsidP="0091376E">
            <w:pPr>
              <w:pStyle w:val="Normal-pool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699" w:type="dxa"/>
            <w:gridSpan w:val="2"/>
            <w:tcBorders>
              <w:bottom w:val="single" w:sz="2" w:space="0" w:color="auto"/>
            </w:tcBorders>
          </w:tcPr>
          <w:p w:rsidR="00081CFE" w:rsidRPr="004700C8" w:rsidRDefault="00081CFE" w:rsidP="00081CFE">
            <w:pPr>
              <w:pStyle w:val="Normal-pool"/>
              <w:spacing w:before="120"/>
              <w:rPr>
                <w:b/>
                <w:sz w:val="24"/>
                <w:szCs w:val="24"/>
              </w:rPr>
            </w:pPr>
            <w:r w:rsidRPr="004700C8">
              <w:rPr>
                <w:b/>
                <w:sz w:val="24"/>
              </w:rPr>
              <w:t>IPBES</w:t>
            </w:r>
            <w:r w:rsidRPr="004700C8">
              <w:t>/5</w:t>
            </w:r>
            <w:r>
              <w:t>/6</w:t>
            </w:r>
          </w:p>
        </w:tc>
      </w:tr>
      <w:tr w:rsidR="00081CFE" w:rsidRPr="004700C8" w:rsidTr="0091376E">
        <w:trPr>
          <w:cantSplit/>
          <w:trHeight w:val="1743"/>
          <w:jc w:val="right"/>
        </w:trPr>
        <w:tc>
          <w:tcPr>
            <w:tcW w:w="2047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081CFE" w:rsidRPr="004700C8" w:rsidRDefault="00081CFE" w:rsidP="0091376E">
            <w:pPr>
              <w:pStyle w:val="Normal-pool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68C33B9" wp14:editId="4BA904D7">
                  <wp:extent cx="1111406" cy="5193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:rsidR="00081CFE" w:rsidRPr="004A68B8" w:rsidRDefault="003A594E" w:rsidP="0091376E">
            <w:pPr>
              <w:pStyle w:val="Normal-pool"/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hyperlink r:id="rId16" w:tgtFrame="_blank" w:history="1">
              <w:r w:rsidR="00081CFE" w:rsidRPr="004A68B8">
                <w:rPr>
                  <w:rFonts w:ascii="Arial" w:hAnsi="Arial" w:cs="Arial"/>
                  <w:b/>
                  <w:sz w:val="28"/>
                  <w:szCs w:val="28"/>
                </w:rPr>
                <w:t>Plateforme intergouvernementale scientifique et politique sur la biodiversité et les services écosystémiques</w:t>
              </w:r>
            </w:hyperlink>
          </w:p>
        </w:tc>
        <w:tc>
          <w:tcPr>
            <w:tcW w:w="269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081CFE" w:rsidRPr="004700C8" w:rsidRDefault="00081CFE" w:rsidP="0091376E">
            <w:pPr>
              <w:pStyle w:val="Normal-pool"/>
              <w:spacing w:before="120"/>
            </w:pPr>
            <w:proofErr w:type="spellStart"/>
            <w:r w:rsidRPr="004700C8">
              <w:t>Distr</w:t>
            </w:r>
            <w:proofErr w:type="spellEnd"/>
            <w:r w:rsidRPr="004700C8">
              <w:t>. générale</w:t>
            </w:r>
            <w:r>
              <w:t xml:space="preserve"> </w:t>
            </w:r>
            <w:r w:rsidRPr="004700C8">
              <w:br/>
            </w:r>
            <w:r>
              <w:t>16 déc</w:t>
            </w:r>
            <w:r w:rsidRPr="004700C8">
              <w:t>embre 2016</w:t>
            </w:r>
          </w:p>
          <w:p w:rsidR="00081CFE" w:rsidRPr="004700C8" w:rsidRDefault="00081CFE" w:rsidP="0091376E">
            <w:pPr>
              <w:pStyle w:val="Normal-pool"/>
              <w:spacing w:before="120"/>
            </w:pPr>
            <w:r w:rsidRPr="004700C8">
              <w:t>Français</w:t>
            </w:r>
            <w:r>
              <w:t xml:space="preserve"> </w:t>
            </w:r>
            <w:r w:rsidRPr="004700C8">
              <w:br/>
              <w:t>Original : anglais</w:t>
            </w:r>
          </w:p>
        </w:tc>
      </w:tr>
    </w:tbl>
    <w:p w:rsidR="00081CFE" w:rsidRDefault="00081CFE" w:rsidP="00081CFE">
      <w:pPr>
        <w:pStyle w:val="AATitle"/>
        <w:ind w:left="113" w:right="4162"/>
        <w:rPr>
          <w:lang w:val="fr-FR"/>
        </w:rPr>
      </w:pPr>
      <w:r w:rsidRPr="004700C8">
        <w:rPr>
          <w:lang w:val="fr-FR"/>
        </w:rPr>
        <w:t xml:space="preserve">Plénière de la Plateforme intergouvernementale </w:t>
      </w:r>
      <w:r>
        <w:rPr>
          <w:lang w:val="fr-FR"/>
        </w:rPr>
        <w:br/>
      </w:r>
      <w:r w:rsidRPr="004700C8">
        <w:rPr>
          <w:lang w:val="fr-FR"/>
        </w:rPr>
        <w:t xml:space="preserve">scientifique et politique sur la biodiversité </w:t>
      </w:r>
      <w:r>
        <w:rPr>
          <w:lang w:val="fr-FR"/>
        </w:rPr>
        <w:br/>
      </w:r>
      <w:r w:rsidRPr="004700C8">
        <w:rPr>
          <w:lang w:val="fr-FR"/>
        </w:rPr>
        <w:t>et les services écosystémiques</w:t>
      </w:r>
    </w:p>
    <w:p w:rsidR="00081CFE" w:rsidRPr="004700C8" w:rsidRDefault="00081CFE" w:rsidP="00081CFE">
      <w:pPr>
        <w:pStyle w:val="AATitle"/>
        <w:ind w:left="113" w:right="4162"/>
        <w:rPr>
          <w:lang w:val="fr-FR"/>
        </w:rPr>
      </w:pPr>
      <w:r w:rsidRPr="004700C8">
        <w:rPr>
          <w:lang w:val="fr-FR"/>
        </w:rPr>
        <w:t>Cinquième session</w:t>
      </w:r>
    </w:p>
    <w:p w:rsidR="00081CFE" w:rsidRDefault="00081CFE" w:rsidP="00081CFE">
      <w:pPr>
        <w:pStyle w:val="AATitle"/>
        <w:ind w:left="113" w:right="4162"/>
        <w:rPr>
          <w:b w:val="0"/>
          <w:lang w:val="fr-FR" w:eastAsia="ja-JP"/>
        </w:rPr>
      </w:pPr>
      <w:r w:rsidRPr="004700C8">
        <w:rPr>
          <w:b w:val="0"/>
          <w:lang w:val="fr-FR" w:eastAsia="ja-JP"/>
        </w:rPr>
        <w:t xml:space="preserve">Bonn (Allemagne), </w:t>
      </w:r>
      <w:r>
        <w:rPr>
          <w:b w:val="0"/>
          <w:lang w:val="fr-FR" w:eastAsia="ja-JP"/>
        </w:rPr>
        <w:t>7-10 </w:t>
      </w:r>
      <w:r w:rsidRPr="004700C8">
        <w:rPr>
          <w:b w:val="0"/>
          <w:lang w:val="fr-FR" w:eastAsia="ja-JP"/>
        </w:rPr>
        <w:t>mars 2017</w:t>
      </w:r>
    </w:p>
    <w:p w:rsidR="00081CFE" w:rsidRPr="001E2095" w:rsidRDefault="00081CFE" w:rsidP="00081CFE">
      <w:pPr>
        <w:pStyle w:val="AATitle"/>
        <w:ind w:left="113" w:right="4162"/>
        <w:rPr>
          <w:b w:val="0"/>
          <w:lang w:val="fr-FR"/>
        </w:rPr>
      </w:pPr>
      <w:r w:rsidRPr="001E2095">
        <w:rPr>
          <w:b w:val="0"/>
          <w:lang w:val="fr-FR"/>
        </w:rPr>
        <w:t>Point</w:t>
      </w:r>
      <w:r w:rsidR="00AE4E10">
        <w:rPr>
          <w:b w:val="0"/>
          <w:lang w:val="fr-FR"/>
        </w:rPr>
        <w:t>s</w:t>
      </w:r>
      <w:r w:rsidRPr="001E2095">
        <w:rPr>
          <w:b w:val="0"/>
          <w:lang w:val="fr-FR"/>
        </w:rPr>
        <w:t> </w:t>
      </w:r>
      <w:r>
        <w:rPr>
          <w:b w:val="0"/>
          <w:lang w:val="fr-FR"/>
        </w:rPr>
        <w:t>6 d)</w:t>
      </w:r>
      <w:r w:rsidR="00AE4E10">
        <w:rPr>
          <w:b w:val="0"/>
          <w:lang w:val="fr-FR"/>
        </w:rPr>
        <w:t>, e) et f)</w:t>
      </w:r>
      <w:r w:rsidRPr="001E2095">
        <w:rPr>
          <w:b w:val="0"/>
          <w:lang w:val="fr-FR"/>
        </w:rPr>
        <w:t xml:space="preserve"> de l</w:t>
      </w:r>
      <w:r w:rsidR="00F351C8">
        <w:rPr>
          <w:b w:val="0"/>
          <w:lang w:val="fr-FR"/>
        </w:rPr>
        <w:t>’</w:t>
      </w:r>
      <w:r w:rsidRPr="001E2095">
        <w:rPr>
          <w:b w:val="0"/>
          <w:lang w:val="fr-FR"/>
        </w:rPr>
        <w:t>ordre du jour provisoire</w:t>
      </w:r>
      <w:r w:rsidRPr="001E2095">
        <w:rPr>
          <w:b w:val="0"/>
          <w:bCs/>
          <w:spacing w:val="4"/>
          <w:w w:val="103"/>
          <w:lang w:val="fr-FR"/>
        </w:rPr>
        <w:footnoteReference w:customMarkFollows="1" w:id="1"/>
        <w:t>*</w:t>
      </w:r>
    </w:p>
    <w:p w:rsidR="00BD6F73" w:rsidRPr="003A594E" w:rsidRDefault="00BD6F73" w:rsidP="00081CFE">
      <w:pPr>
        <w:pStyle w:val="AATitle2"/>
        <w:ind w:left="113"/>
        <w:rPr>
          <w:lang w:val="fr-FR"/>
        </w:rPr>
      </w:pPr>
      <w:r w:rsidRPr="00095C9C">
        <w:rPr>
          <w:lang w:val="fr-FR"/>
        </w:rPr>
        <w:t>Programme de travail de la Plateforme : évaluation méthodologique des diverses conceptualisations des multiples valeurs de la nature et de ses bienfaits; évaluation thématique des espèces exotiques envahissantes; évaluation thématique de l</w:t>
      </w:r>
      <w:r w:rsidR="00F351C8">
        <w:rPr>
          <w:lang w:val="fr-FR"/>
        </w:rPr>
        <w:t>’</w:t>
      </w:r>
      <w:r w:rsidRPr="00095C9C">
        <w:rPr>
          <w:lang w:val="fr-FR"/>
        </w:rPr>
        <w:t>utilisation durable de la biodiversité</w:t>
      </w:r>
    </w:p>
    <w:p w:rsidR="00BD6F73" w:rsidRPr="00F351C8" w:rsidRDefault="00BD6F73" w:rsidP="000B5220">
      <w:pPr>
        <w:pStyle w:val="BBTitle"/>
        <w:rPr>
          <w:lang w:val="fr-FR"/>
        </w:rPr>
      </w:pPr>
      <w:r>
        <w:rPr>
          <w:lang w:val="fr-FR"/>
        </w:rPr>
        <w:t>Considérations relatives à la réalisation de deux évaluations thématiques et d</w:t>
      </w:r>
      <w:r w:rsidR="00F351C8">
        <w:rPr>
          <w:lang w:val="fr-FR"/>
        </w:rPr>
        <w:t>’</w:t>
      </w:r>
      <w:r>
        <w:rPr>
          <w:lang w:val="fr-FR"/>
        </w:rPr>
        <w:t xml:space="preserve">une évaluation méthodologique </w:t>
      </w:r>
      <w:r w:rsidR="00033AE5">
        <w:rPr>
          <w:lang w:val="fr-FR"/>
        </w:rPr>
        <w:t>(</w:t>
      </w:r>
      <w:r w:rsidR="004E32CF">
        <w:rPr>
          <w:lang w:val="fr-FR"/>
        </w:rPr>
        <w:t>produits </w:t>
      </w:r>
      <w:r>
        <w:rPr>
          <w:lang w:val="fr-FR"/>
        </w:rPr>
        <w:t>3</w:t>
      </w:r>
      <w:r w:rsidR="004E32CF">
        <w:rPr>
          <w:lang w:val="fr-FR"/>
        </w:rPr>
        <w:t> </w:t>
      </w:r>
      <w:r>
        <w:rPr>
          <w:lang w:val="fr-FR"/>
        </w:rPr>
        <w:t>b)</w:t>
      </w:r>
      <w:r w:rsidR="004E32CF">
        <w:rPr>
          <w:lang w:val="fr-FR"/>
        </w:rPr>
        <w:t> ii), 3 b) iii) et 3 </w:t>
      </w:r>
      <w:r>
        <w:rPr>
          <w:lang w:val="fr-FR"/>
        </w:rPr>
        <w:t>d)</w:t>
      </w:r>
      <w:r w:rsidR="00033AE5">
        <w:rPr>
          <w:lang w:val="fr-FR"/>
        </w:rPr>
        <w:t>)</w:t>
      </w:r>
    </w:p>
    <w:p w:rsidR="00BD6F73" w:rsidRPr="0098071E" w:rsidRDefault="00333111">
      <w:pPr>
        <w:pStyle w:val="CH2"/>
      </w:pPr>
      <w:r>
        <w:rPr>
          <w:lang w:val="fr-FR"/>
        </w:rPr>
        <w:tab/>
      </w:r>
      <w:r>
        <w:rPr>
          <w:lang w:val="fr-FR"/>
        </w:rPr>
        <w:tab/>
        <w:t xml:space="preserve">Note du </w:t>
      </w:r>
      <w:r w:rsidR="00D6179E">
        <w:rPr>
          <w:lang w:val="fr-FR"/>
        </w:rPr>
        <w:t>s</w:t>
      </w:r>
      <w:r>
        <w:rPr>
          <w:lang w:val="fr-FR"/>
        </w:rPr>
        <w:t xml:space="preserve">ecrétariat </w:t>
      </w:r>
    </w:p>
    <w:p w:rsidR="00BD6F73" w:rsidRPr="00C90FDD" w:rsidRDefault="00AD1320" w:rsidP="00AD1320">
      <w:pPr>
        <w:pStyle w:val="CH1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BD6F73" w:rsidRPr="00745118" w:rsidRDefault="00D6179E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 xml:space="preserve">Par </w:t>
      </w:r>
      <w:r w:rsidR="00BD6F73">
        <w:rPr>
          <w:lang w:val="fr-FR"/>
        </w:rPr>
        <w:t xml:space="preserve">sa décision IPBES-4/1, la Plénière de la Plateforme intergouvernementale scientifique et politique sur la biodiversité et les services écosystémiques </w:t>
      </w:r>
      <w:r w:rsidR="00E56AF0">
        <w:rPr>
          <w:lang w:val="fr-FR"/>
        </w:rPr>
        <w:t xml:space="preserve">(« la Plateforme ») </w:t>
      </w:r>
      <w:r w:rsidR="00BD6F73">
        <w:rPr>
          <w:lang w:val="fr-FR"/>
        </w:rPr>
        <w:t>a approuvé le rapport de cadrage pour une évaluation thématique des espèces exotiques envahissantes et de la lutte contre leur prolifération figurant à l</w:t>
      </w:r>
      <w:r w:rsidR="00F351C8">
        <w:rPr>
          <w:lang w:val="fr-FR"/>
        </w:rPr>
        <w:t>’</w:t>
      </w:r>
      <w:r w:rsidR="00BD6F73">
        <w:rPr>
          <w:lang w:val="fr-FR"/>
        </w:rPr>
        <w:t>annexe III de la</w:t>
      </w:r>
      <w:r w:rsidR="00E56AF0">
        <w:rPr>
          <w:lang w:val="fr-FR"/>
        </w:rPr>
        <w:t>dite</w:t>
      </w:r>
      <w:r w:rsidR="00BD6F73">
        <w:rPr>
          <w:lang w:val="fr-FR"/>
        </w:rPr>
        <w:t xml:space="preserve"> décision, ainsi que le rapport de cadrage pour une évaluation méthodologique sur les diverses conceptualisations des multiples valeurs de la nature et de ses bienfaits figurant à l</w:t>
      </w:r>
      <w:r w:rsidR="00F351C8">
        <w:rPr>
          <w:lang w:val="fr-FR"/>
        </w:rPr>
        <w:t>’</w:t>
      </w:r>
      <w:r w:rsidR="00BD6F73">
        <w:rPr>
          <w:lang w:val="fr-FR"/>
        </w:rPr>
        <w:t>annexe</w:t>
      </w:r>
      <w:r w:rsidR="00E56AF0">
        <w:rPr>
          <w:lang w:val="fr-FR"/>
        </w:rPr>
        <w:t> </w:t>
      </w:r>
      <w:r w:rsidR="00BD6F73">
        <w:rPr>
          <w:lang w:val="fr-FR"/>
        </w:rPr>
        <w:t>VI de la décision, et a décidé d</w:t>
      </w:r>
      <w:r w:rsidR="00F351C8">
        <w:rPr>
          <w:lang w:val="fr-FR"/>
        </w:rPr>
        <w:t>’</w:t>
      </w:r>
      <w:r w:rsidR="00BD6F73">
        <w:rPr>
          <w:lang w:val="fr-FR"/>
        </w:rPr>
        <w:t xml:space="preserve">examiner à sa cinquième session la réalisation de ces évaluations. </w:t>
      </w:r>
    </w:p>
    <w:p w:rsidR="00BD6F73" w:rsidRPr="00745118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>Dans la même décision, la Plénière a prié le Groupe d</w:t>
      </w:r>
      <w:r w:rsidR="00F351C8">
        <w:rPr>
          <w:lang w:val="fr-FR"/>
        </w:rPr>
        <w:t>’</w:t>
      </w:r>
      <w:r>
        <w:rPr>
          <w:lang w:val="fr-FR"/>
        </w:rPr>
        <w:t>experts multidisciplinaire, en consultation avec le Bureau, de poursuivre le cadrage de l</w:t>
      </w:r>
      <w:r w:rsidR="00F351C8">
        <w:rPr>
          <w:lang w:val="fr-FR"/>
        </w:rPr>
        <w:t>’</w:t>
      </w:r>
      <w:r>
        <w:rPr>
          <w:lang w:val="fr-FR"/>
        </w:rPr>
        <w:t>évaluation thématique de l</w:t>
      </w:r>
      <w:r w:rsidR="00F351C8">
        <w:rPr>
          <w:lang w:val="fr-FR"/>
        </w:rPr>
        <w:t>’</w:t>
      </w:r>
      <w:r>
        <w:rPr>
          <w:lang w:val="fr-FR"/>
        </w:rPr>
        <w:t>utilisation durable de la biodiversité</w:t>
      </w:r>
      <w:r w:rsidR="00E56AF0">
        <w:rPr>
          <w:lang w:val="fr-FR"/>
        </w:rPr>
        <w:t>,</w:t>
      </w:r>
      <w:r>
        <w:rPr>
          <w:lang w:val="fr-FR"/>
        </w:rPr>
        <w:t xml:space="preserve"> conformément aux procédures d</w:t>
      </w:r>
      <w:r w:rsidR="00F351C8">
        <w:rPr>
          <w:lang w:val="fr-FR"/>
        </w:rPr>
        <w:t>’</w:t>
      </w:r>
      <w:r>
        <w:rPr>
          <w:lang w:val="fr-FR"/>
        </w:rPr>
        <w:t>établissement des produits de la Plateforme. La</w:t>
      </w:r>
      <w:r w:rsidR="00E56AF0">
        <w:rPr>
          <w:lang w:val="fr-FR"/>
        </w:rPr>
        <w:t xml:space="preserve"> Plénière a été saisie de la</w:t>
      </w:r>
      <w:r>
        <w:rPr>
          <w:lang w:val="fr-FR"/>
        </w:rPr>
        <w:t xml:space="preserve"> version révisée du rapport de cadrage pour l</w:t>
      </w:r>
      <w:r w:rsidR="00F351C8">
        <w:rPr>
          <w:lang w:val="fr-FR"/>
        </w:rPr>
        <w:t>’</w:t>
      </w:r>
      <w:r>
        <w:rPr>
          <w:lang w:val="fr-FR"/>
        </w:rPr>
        <w:t>évaluation thématique de l</w:t>
      </w:r>
      <w:r w:rsidR="00F351C8">
        <w:rPr>
          <w:lang w:val="fr-FR"/>
        </w:rPr>
        <w:t>’</w:t>
      </w:r>
      <w:r>
        <w:rPr>
          <w:lang w:val="fr-FR"/>
        </w:rPr>
        <w:t xml:space="preserve">utilisation durable de la biodiversité (IPBES/5/7) </w:t>
      </w:r>
      <w:r w:rsidR="00E56AF0">
        <w:rPr>
          <w:lang w:val="fr-FR"/>
        </w:rPr>
        <w:t>afin que celle-ci puisse l</w:t>
      </w:r>
      <w:r w:rsidR="00F351C8">
        <w:rPr>
          <w:lang w:val="fr-FR"/>
        </w:rPr>
        <w:t>’</w:t>
      </w:r>
      <w:r w:rsidR="00E56AF0">
        <w:rPr>
          <w:lang w:val="fr-FR"/>
        </w:rPr>
        <w:t xml:space="preserve">approuver </w:t>
      </w:r>
      <w:r>
        <w:rPr>
          <w:lang w:val="fr-FR"/>
        </w:rPr>
        <w:t xml:space="preserve">et </w:t>
      </w:r>
      <w:r w:rsidR="00E56AF0">
        <w:rPr>
          <w:lang w:val="fr-FR"/>
        </w:rPr>
        <w:t xml:space="preserve">se pencher sur </w:t>
      </w:r>
      <w:r>
        <w:rPr>
          <w:lang w:val="fr-FR"/>
        </w:rPr>
        <w:t xml:space="preserve">la réalisation de cette évaluation. </w:t>
      </w:r>
    </w:p>
    <w:p w:rsidR="00BD6F73" w:rsidRPr="00745118" w:rsidRDefault="00611FCB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 xml:space="preserve">La Plénière est invitée à examiner la réalisation des trois évaluations susmentionnées </w:t>
      </w:r>
      <w:r w:rsidR="0074149B">
        <w:rPr>
          <w:lang w:val="fr-FR"/>
        </w:rPr>
        <w:t xml:space="preserve">à </w:t>
      </w:r>
      <w:r>
        <w:rPr>
          <w:lang w:val="fr-FR"/>
        </w:rPr>
        <w:t xml:space="preserve">sa cinquième session. La présente note fournit des informations générales concernant la durée, </w:t>
      </w:r>
      <w:r w:rsidR="004A56D1">
        <w:rPr>
          <w:lang w:val="fr-FR"/>
        </w:rPr>
        <w:t>le calendrier</w:t>
      </w:r>
      <w:r>
        <w:rPr>
          <w:lang w:val="fr-FR"/>
        </w:rPr>
        <w:t xml:space="preserve"> et </w:t>
      </w:r>
      <w:r w:rsidR="004A56D1">
        <w:rPr>
          <w:lang w:val="fr-FR"/>
        </w:rPr>
        <w:t>la chronologie des</w:t>
      </w:r>
      <w:r>
        <w:rPr>
          <w:lang w:val="fr-FR"/>
        </w:rPr>
        <w:t xml:space="preserve"> trois évaluations, ainsi que des considérations d</w:t>
      </w:r>
      <w:r w:rsidR="00F351C8">
        <w:rPr>
          <w:lang w:val="fr-FR"/>
        </w:rPr>
        <w:t>’</w:t>
      </w:r>
      <w:r>
        <w:rPr>
          <w:lang w:val="fr-FR"/>
        </w:rPr>
        <w:t>ordre financier.</w:t>
      </w:r>
    </w:p>
    <w:p w:rsidR="00BD6F73" w:rsidRPr="00745118" w:rsidRDefault="00AD1320" w:rsidP="00AD1320">
      <w:pPr>
        <w:pStyle w:val="CH1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 xml:space="preserve">Considérations </w:t>
      </w:r>
      <w:r w:rsidR="004A56D1">
        <w:rPr>
          <w:lang w:val="fr-FR"/>
        </w:rPr>
        <w:t xml:space="preserve">relatives à </w:t>
      </w:r>
      <w:r>
        <w:rPr>
          <w:lang w:val="fr-FR"/>
        </w:rPr>
        <w:t xml:space="preserve">la durée, </w:t>
      </w:r>
      <w:r w:rsidR="004A56D1">
        <w:rPr>
          <w:lang w:val="fr-FR"/>
        </w:rPr>
        <w:t xml:space="preserve">au calendrier </w:t>
      </w:r>
      <w:r>
        <w:rPr>
          <w:lang w:val="fr-FR"/>
        </w:rPr>
        <w:t xml:space="preserve">et </w:t>
      </w:r>
      <w:r w:rsidR="004A56D1">
        <w:rPr>
          <w:lang w:val="fr-FR"/>
        </w:rPr>
        <w:t xml:space="preserve">à la chronologie des </w:t>
      </w:r>
      <w:r>
        <w:rPr>
          <w:lang w:val="fr-FR"/>
        </w:rPr>
        <w:t>évaluations</w:t>
      </w:r>
    </w:p>
    <w:p w:rsidR="00BD6F73" w:rsidRPr="00745118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>Le Bureau propose que l</w:t>
      </w:r>
      <w:r w:rsidR="00F351C8">
        <w:rPr>
          <w:lang w:val="fr-FR"/>
        </w:rPr>
        <w:t>’</w:t>
      </w:r>
      <w:r>
        <w:rPr>
          <w:lang w:val="fr-FR"/>
        </w:rPr>
        <w:t xml:space="preserve">évaluation méthodologique sur les diverses conceptualisations des multiples valeurs de la nature et de ses bienfaits, </w:t>
      </w:r>
      <w:r w:rsidR="004A56D1">
        <w:rPr>
          <w:lang w:val="fr-FR"/>
        </w:rPr>
        <w:t xml:space="preserve">qui devait </w:t>
      </w:r>
      <w:r>
        <w:rPr>
          <w:lang w:val="fr-FR"/>
        </w:rPr>
        <w:t xml:space="preserve">initialement </w:t>
      </w:r>
      <w:r w:rsidR="004A56D1">
        <w:rPr>
          <w:lang w:val="fr-FR"/>
        </w:rPr>
        <w:t xml:space="preserve">durer </w:t>
      </w:r>
      <w:r>
        <w:rPr>
          <w:lang w:val="fr-FR"/>
        </w:rPr>
        <w:t>deux ans, se déroule plutôt sur une période de trois ans. Cette proposition découle de l</w:t>
      </w:r>
      <w:r w:rsidR="00F351C8">
        <w:rPr>
          <w:lang w:val="fr-FR"/>
        </w:rPr>
        <w:t>’</w:t>
      </w:r>
      <w:r>
        <w:rPr>
          <w:lang w:val="fr-FR"/>
        </w:rPr>
        <w:t>expérience acquise au cours des deux</w:t>
      </w:r>
      <w:r w:rsidR="00CD05E0">
        <w:rPr>
          <w:lang w:val="fr-FR"/>
        </w:rPr>
        <w:t> </w:t>
      </w:r>
      <w:r>
        <w:rPr>
          <w:lang w:val="fr-FR"/>
        </w:rPr>
        <w:t xml:space="preserve">évaluations déjà terminées et vise à laisser suffisamment de temps pour accomplir les travaux nécessaires. Si ce changement est adopté, </w:t>
      </w:r>
      <w:r w:rsidR="004A56D1">
        <w:rPr>
          <w:lang w:val="fr-FR"/>
        </w:rPr>
        <w:t>les</w:t>
      </w:r>
      <w:r>
        <w:rPr>
          <w:lang w:val="fr-FR"/>
        </w:rPr>
        <w:t xml:space="preserve"> trois évaluations </w:t>
      </w:r>
      <w:r w:rsidR="004A56D1">
        <w:rPr>
          <w:lang w:val="fr-FR"/>
        </w:rPr>
        <w:t xml:space="preserve">considérées </w:t>
      </w:r>
      <w:r>
        <w:rPr>
          <w:lang w:val="fr-FR"/>
        </w:rPr>
        <w:t>se dérouler</w:t>
      </w:r>
      <w:r w:rsidR="004A56D1">
        <w:rPr>
          <w:lang w:val="fr-FR"/>
        </w:rPr>
        <w:t>ont</w:t>
      </w:r>
      <w:r>
        <w:rPr>
          <w:lang w:val="fr-FR"/>
        </w:rPr>
        <w:t xml:space="preserve"> sur une période de trois ans.</w:t>
      </w:r>
    </w:p>
    <w:p w:rsidR="00BD6F73" w:rsidRPr="00745118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  <w:lang w:val="fr-FR"/>
        </w:rPr>
      </w:pPr>
      <w:r>
        <w:rPr>
          <w:lang w:val="fr-FR"/>
        </w:rPr>
        <w:t xml:space="preserve">Si elle décide </w:t>
      </w:r>
      <w:r w:rsidR="0017545B">
        <w:rPr>
          <w:lang w:val="fr-FR"/>
        </w:rPr>
        <w:t>que</w:t>
      </w:r>
      <w:r w:rsidR="004A56D1">
        <w:rPr>
          <w:lang w:val="fr-FR"/>
        </w:rPr>
        <w:t xml:space="preserve"> </w:t>
      </w:r>
      <w:r>
        <w:rPr>
          <w:lang w:val="fr-FR"/>
        </w:rPr>
        <w:t>plus d</w:t>
      </w:r>
      <w:r w:rsidR="00F351C8">
        <w:rPr>
          <w:lang w:val="fr-FR"/>
        </w:rPr>
        <w:t>’</w:t>
      </w:r>
      <w:r>
        <w:rPr>
          <w:lang w:val="fr-FR"/>
        </w:rPr>
        <w:t xml:space="preserve">une nouvelle évaluation </w:t>
      </w:r>
      <w:r w:rsidR="0017545B">
        <w:rPr>
          <w:lang w:val="fr-FR"/>
        </w:rPr>
        <w:t xml:space="preserve">doit être entreprise </w:t>
      </w:r>
      <w:r>
        <w:rPr>
          <w:lang w:val="fr-FR"/>
        </w:rPr>
        <w:t>en 2017 ou 2018, la</w:t>
      </w:r>
      <w:r w:rsidR="00CD05E0">
        <w:rPr>
          <w:lang w:val="fr-FR"/>
        </w:rPr>
        <w:t> </w:t>
      </w:r>
      <w:r>
        <w:rPr>
          <w:lang w:val="fr-FR"/>
        </w:rPr>
        <w:t xml:space="preserve">Plénière </w:t>
      </w:r>
      <w:r w:rsidR="0017545B">
        <w:rPr>
          <w:lang w:val="fr-FR"/>
        </w:rPr>
        <w:t xml:space="preserve">tiendra compte de ce </w:t>
      </w:r>
      <w:r w:rsidR="004A56D1">
        <w:rPr>
          <w:lang w:val="fr-FR"/>
        </w:rPr>
        <w:t>que le secrétariat devrait peut-être être doté d</w:t>
      </w:r>
      <w:r w:rsidR="00F351C8">
        <w:rPr>
          <w:lang w:val="fr-FR"/>
        </w:rPr>
        <w:t>’</w:t>
      </w:r>
      <w:r>
        <w:rPr>
          <w:lang w:val="fr-FR"/>
        </w:rPr>
        <w:t xml:space="preserve">un </w:t>
      </w:r>
      <w:r w:rsidR="0017545B">
        <w:rPr>
          <w:lang w:val="fr-FR"/>
        </w:rPr>
        <w:t>fonctionnaire</w:t>
      </w:r>
      <w:r>
        <w:rPr>
          <w:lang w:val="fr-FR"/>
        </w:rPr>
        <w:t xml:space="preserve"> supplémentaire (voir IPBES/5/10). </w:t>
      </w:r>
    </w:p>
    <w:p w:rsidR="00BD6F73" w:rsidRPr="00745118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  <w:lang w:val="fr-FR"/>
        </w:rPr>
      </w:pPr>
      <w:r>
        <w:rPr>
          <w:lang w:val="fr-FR"/>
        </w:rPr>
        <w:t>En ce qui concerne les dates de lancement des trois évaluations, la Plénière estimera peut-être nécessaire de les échelonner</w:t>
      </w:r>
      <w:r w:rsidR="0017545B">
        <w:rPr>
          <w:lang w:val="fr-FR"/>
        </w:rPr>
        <w:t xml:space="preserve"> </w:t>
      </w:r>
      <w:r w:rsidR="003D6D9A">
        <w:rPr>
          <w:lang w:val="fr-FR"/>
        </w:rPr>
        <w:t>et</w:t>
      </w:r>
      <w:r w:rsidR="0017545B">
        <w:rPr>
          <w:lang w:val="fr-FR"/>
        </w:rPr>
        <w:t xml:space="preserve"> d</w:t>
      </w:r>
      <w:r w:rsidR="00F351C8">
        <w:rPr>
          <w:lang w:val="fr-FR"/>
        </w:rPr>
        <w:t>’</w:t>
      </w:r>
      <w:r w:rsidR="0017545B">
        <w:rPr>
          <w:lang w:val="fr-FR"/>
        </w:rPr>
        <w:t xml:space="preserve">en inscrire certaines, voire </w:t>
      </w:r>
      <w:r>
        <w:rPr>
          <w:lang w:val="fr-FR"/>
        </w:rPr>
        <w:t>toutes</w:t>
      </w:r>
      <w:r w:rsidR="0017545B">
        <w:rPr>
          <w:lang w:val="fr-FR"/>
        </w:rPr>
        <w:t>,</w:t>
      </w:r>
      <w:r>
        <w:rPr>
          <w:lang w:val="fr-FR"/>
        </w:rPr>
        <w:t xml:space="preserve"> au programme de travail suivant. Même </w:t>
      </w:r>
      <w:r w:rsidR="001B3C20">
        <w:rPr>
          <w:lang w:val="fr-FR"/>
        </w:rPr>
        <w:t>si des fonds étaient disponibles</w:t>
      </w:r>
      <w:r>
        <w:rPr>
          <w:lang w:val="fr-FR"/>
        </w:rPr>
        <w:t>, lance</w:t>
      </w:r>
      <w:r w:rsidR="001B3C20">
        <w:rPr>
          <w:lang w:val="fr-FR"/>
        </w:rPr>
        <w:t>r</w:t>
      </w:r>
      <w:r>
        <w:rPr>
          <w:lang w:val="fr-FR"/>
        </w:rPr>
        <w:t xml:space="preserve"> simultané</w:t>
      </w:r>
      <w:r w:rsidR="001B3C20">
        <w:rPr>
          <w:lang w:val="fr-FR"/>
        </w:rPr>
        <w:t>ment</w:t>
      </w:r>
      <w:r>
        <w:rPr>
          <w:lang w:val="fr-FR"/>
        </w:rPr>
        <w:t xml:space="preserve"> trois nouvelles évaluations </w:t>
      </w:r>
      <w:r w:rsidR="001B3C20">
        <w:rPr>
          <w:lang w:val="fr-FR"/>
        </w:rPr>
        <w:t xml:space="preserve">entraînerait </w:t>
      </w:r>
      <w:r>
        <w:rPr>
          <w:lang w:val="fr-FR"/>
        </w:rPr>
        <w:t xml:space="preserve">sans aucun doute dans les années à venir une charge de travail excessive pour toutes les parties </w:t>
      </w:r>
      <w:r w:rsidR="001B3C20">
        <w:rPr>
          <w:lang w:val="fr-FR"/>
        </w:rPr>
        <w:t xml:space="preserve">concernées. En particulier, les gouvernements ne seraient plus </w:t>
      </w:r>
      <w:r w:rsidR="003B3152">
        <w:rPr>
          <w:lang w:val="fr-FR"/>
        </w:rPr>
        <w:t xml:space="preserve">autant </w:t>
      </w:r>
      <w:r w:rsidR="001B3C20">
        <w:rPr>
          <w:lang w:val="fr-FR"/>
        </w:rPr>
        <w:t xml:space="preserve">en mesure de </w:t>
      </w:r>
      <w:r>
        <w:rPr>
          <w:lang w:val="fr-FR"/>
        </w:rPr>
        <w:t xml:space="preserve">nommer </w:t>
      </w:r>
      <w:r w:rsidR="001B3C20">
        <w:rPr>
          <w:lang w:val="fr-FR"/>
        </w:rPr>
        <w:t>l</w:t>
      </w:r>
      <w:r>
        <w:rPr>
          <w:lang w:val="fr-FR"/>
        </w:rPr>
        <w:t>es experts</w:t>
      </w:r>
      <w:r w:rsidR="001B3C20">
        <w:rPr>
          <w:lang w:val="fr-FR"/>
        </w:rPr>
        <w:t xml:space="preserve"> nécessaires</w:t>
      </w:r>
      <w:r>
        <w:rPr>
          <w:lang w:val="fr-FR"/>
        </w:rPr>
        <w:t xml:space="preserve">, </w:t>
      </w:r>
      <w:r w:rsidR="001B3C20">
        <w:rPr>
          <w:lang w:val="fr-FR"/>
        </w:rPr>
        <w:t xml:space="preserve">de communiquer </w:t>
      </w:r>
      <w:r>
        <w:rPr>
          <w:lang w:val="fr-FR"/>
        </w:rPr>
        <w:t xml:space="preserve">des observations et </w:t>
      </w:r>
      <w:r w:rsidR="001B3C20">
        <w:rPr>
          <w:lang w:val="fr-FR"/>
        </w:rPr>
        <w:t>d</w:t>
      </w:r>
      <w:r w:rsidR="00F351C8">
        <w:rPr>
          <w:lang w:val="fr-FR"/>
        </w:rPr>
        <w:t>’</w:t>
      </w:r>
      <w:r>
        <w:rPr>
          <w:lang w:val="fr-FR"/>
        </w:rPr>
        <w:t xml:space="preserve">examiner ces évaluations lors des futures sessions </w:t>
      </w:r>
      <w:r w:rsidR="001B3C20">
        <w:rPr>
          <w:lang w:val="fr-FR"/>
        </w:rPr>
        <w:t>de la P</w:t>
      </w:r>
      <w:r>
        <w:rPr>
          <w:lang w:val="fr-FR"/>
        </w:rPr>
        <w:t xml:space="preserve">lénière tout en </w:t>
      </w:r>
      <w:r w:rsidR="001B3C20">
        <w:rPr>
          <w:lang w:val="fr-FR"/>
        </w:rPr>
        <w:t>continuant de contribuer</w:t>
      </w:r>
      <w:r>
        <w:rPr>
          <w:lang w:val="fr-FR"/>
        </w:rPr>
        <w:t xml:space="preserve"> aux six évaluations déjà en cours; </w:t>
      </w:r>
      <w:r w:rsidR="001B3C20">
        <w:rPr>
          <w:lang w:val="fr-FR"/>
        </w:rPr>
        <w:t xml:space="preserve">les </w:t>
      </w:r>
      <w:r>
        <w:rPr>
          <w:lang w:val="fr-FR"/>
        </w:rPr>
        <w:t>communautés d</w:t>
      </w:r>
      <w:r w:rsidR="00F351C8">
        <w:rPr>
          <w:lang w:val="fr-FR"/>
        </w:rPr>
        <w:t>’</w:t>
      </w:r>
      <w:r>
        <w:rPr>
          <w:lang w:val="fr-FR"/>
        </w:rPr>
        <w:t xml:space="preserve">experts </w:t>
      </w:r>
      <w:r w:rsidR="001B3C20">
        <w:rPr>
          <w:lang w:val="fr-FR"/>
        </w:rPr>
        <w:t xml:space="preserve">ne pourraient plus </w:t>
      </w:r>
      <w:r w:rsidR="003B3152">
        <w:rPr>
          <w:lang w:val="fr-FR"/>
        </w:rPr>
        <w:t xml:space="preserve">nécessairement </w:t>
      </w:r>
      <w:r>
        <w:rPr>
          <w:lang w:val="fr-FR"/>
        </w:rPr>
        <w:t xml:space="preserve">répondre </w:t>
      </w:r>
      <w:r w:rsidR="003B3152">
        <w:rPr>
          <w:lang w:val="fr-FR"/>
        </w:rPr>
        <w:t xml:space="preserve">à toutes les </w:t>
      </w:r>
      <w:r w:rsidR="001B3C20">
        <w:rPr>
          <w:lang w:val="fr-FR"/>
        </w:rPr>
        <w:t xml:space="preserve">demandes </w:t>
      </w:r>
      <w:r>
        <w:rPr>
          <w:lang w:val="fr-FR"/>
        </w:rPr>
        <w:t>de la Plénière et s</w:t>
      </w:r>
      <w:r w:rsidR="00F351C8">
        <w:rPr>
          <w:lang w:val="fr-FR"/>
        </w:rPr>
        <w:t>’</w:t>
      </w:r>
      <w:r>
        <w:rPr>
          <w:lang w:val="fr-FR"/>
        </w:rPr>
        <w:t xml:space="preserve">acquitter du travail demandé; </w:t>
      </w:r>
      <w:r w:rsidR="003B3152">
        <w:rPr>
          <w:lang w:val="fr-FR"/>
        </w:rPr>
        <w:t xml:space="preserve">et </w:t>
      </w:r>
      <w:r>
        <w:rPr>
          <w:lang w:val="fr-FR"/>
        </w:rPr>
        <w:t>les membres du Groupe d</w:t>
      </w:r>
      <w:r w:rsidR="00F351C8">
        <w:rPr>
          <w:lang w:val="fr-FR"/>
        </w:rPr>
        <w:t>’</w:t>
      </w:r>
      <w:r>
        <w:rPr>
          <w:lang w:val="fr-FR"/>
        </w:rPr>
        <w:t xml:space="preserve">experts multidisciplinaire et du Bureau </w:t>
      </w:r>
      <w:r w:rsidR="003B3152">
        <w:rPr>
          <w:lang w:val="fr-FR"/>
        </w:rPr>
        <w:t>auraient des difficultés à superviser et encadrer les</w:t>
      </w:r>
      <w:r>
        <w:rPr>
          <w:lang w:val="fr-FR"/>
        </w:rPr>
        <w:t xml:space="preserve"> travaux de </w:t>
      </w:r>
      <w:r w:rsidR="003B3152">
        <w:rPr>
          <w:lang w:val="fr-FR"/>
        </w:rPr>
        <w:t>la Plateforme</w:t>
      </w:r>
      <w:r>
        <w:rPr>
          <w:lang w:val="fr-FR"/>
        </w:rPr>
        <w:t>.</w:t>
      </w:r>
    </w:p>
    <w:p w:rsidR="00BD6F73" w:rsidRPr="00745118" w:rsidRDefault="003B3152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  <w:lang w:val="fr-FR"/>
        </w:rPr>
      </w:pPr>
      <w:r>
        <w:rPr>
          <w:lang w:val="fr-FR"/>
        </w:rPr>
        <w:t>Il était prévu que l</w:t>
      </w:r>
      <w:r w:rsidR="002A652B">
        <w:rPr>
          <w:lang w:val="fr-FR"/>
        </w:rPr>
        <w:t xml:space="preserve">es évaluations méthodologiques </w:t>
      </w:r>
      <w:r>
        <w:rPr>
          <w:lang w:val="fr-FR"/>
        </w:rPr>
        <w:t>prévues dans le premier programme de travail de la Plateforme commencent au début de la période d</w:t>
      </w:r>
      <w:r w:rsidR="00F351C8">
        <w:rPr>
          <w:lang w:val="fr-FR"/>
        </w:rPr>
        <w:t>’</w:t>
      </w:r>
      <w:r>
        <w:rPr>
          <w:lang w:val="fr-FR"/>
        </w:rPr>
        <w:t xml:space="preserve">exécution </w:t>
      </w:r>
      <w:r w:rsidR="002A652B">
        <w:rPr>
          <w:lang w:val="fr-FR"/>
        </w:rPr>
        <w:t xml:space="preserve">du programme </w:t>
      </w:r>
      <w:r>
        <w:rPr>
          <w:lang w:val="fr-FR"/>
        </w:rPr>
        <w:t xml:space="preserve">de sorte </w:t>
      </w:r>
      <w:r w:rsidR="002A652B">
        <w:rPr>
          <w:lang w:val="fr-FR"/>
        </w:rPr>
        <w:t>qu</w:t>
      </w:r>
      <w:r w:rsidR="00F351C8">
        <w:rPr>
          <w:lang w:val="fr-FR"/>
        </w:rPr>
        <w:t>’</w:t>
      </w:r>
      <w:r w:rsidR="002A652B">
        <w:rPr>
          <w:lang w:val="fr-FR"/>
        </w:rPr>
        <w:t xml:space="preserve">elles puissent </w:t>
      </w:r>
      <w:r>
        <w:rPr>
          <w:lang w:val="fr-FR"/>
        </w:rPr>
        <w:t xml:space="preserve">éclairer et appuyer </w:t>
      </w:r>
      <w:r w:rsidR="002A652B">
        <w:rPr>
          <w:lang w:val="fr-FR"/>
        </w:rPr>
        <w:t xml:space="preserve">les autres évaluations et travaux de </w:t>
      </w:r>
      <w:r>
        <w:rPr>
          <w:lang w:val="fr-FR"/>
        </w:rPr>
        <w:t>la Plateforme</w:t>
      </w:r>
      <w:r w:rsidR="002A652B">
        <w:rPr>
          <w:lang w:val="fr-FR"/>
        </w:rPr>
        <w:t xml:space="preserve">. Par conséquent, la Plénière souhaitera peut-être </w:t>
      </w:r>
      <w:r>
        <w:rPr>
          <w:lang w:val="fr-FR"/>
        </w:rPr>
        <w:t>envisager</w:t>
      </w:r>
      <w:r w:rsidR="002A652B">
        <w:rPr>
          <w:lang w:val="fr-FR"/>
        </w:rPr>
        <w:t xml:space="preserve"> de lancer </w:t>
      </w:r>
      <w:r>
        <w:rPr>
          <w:lang w:val="fr-FR"/>
        </w:rPr>
        <w:t xml:space="preserve">en premier </w:t>
      </w:r>
      <w:r w:rsidR="002A652B">
        <w:rPr>
          <w:lang w:val="fr-FR"/>
        </w:rPr>
        <w:t>l</w:t>
      </w:r>
      <w:r w:rsidR="00F351C8">
        <w:rPr>
          <w:lang w:val="fr-FR"/>
        </w:rPr>
        <w:t>’</w:t>
      </w:r>
      <w:r w:rsidR="002A652B">
        <w:rPr>
          <w:lang w:val="fr-FR"/>
        </w:rPr>
        <w:t>évaluation méthodologique des diverses conceptualisations des multiples valeurs de la nature et de ses bienfaits</w:t>
      </w:r>
      <w:r>
        <w:rPr>
          <w:lang w:val="fr-FR"/>
        </w:rPr>
        <w:t>, laquelle</w:t>
      </w:r>
      <w:r w:rsidR="002A652B">
        <w:rPr>
          <w:lang w:val="fr-FR"/>
        </w:rPr>
        <w:t xml:space="preserve"> pourrait tirer </w:t>
      </w:r>
      <w:r>
        <w:rPr>
          <w:lang w:val="fr-FR"/>
        </w:rPr>
        <w:t xml:space="preserve">avantage </w:t>
      </w:r>
      <w:r w:rsidR="002A652B">
        <w:rPr>
          <w:lang w:val="fr-FR"/>
        </w:rPr>
        <w:t>des travaux du groupe d</w:t>
      </w:r>
      <w:r w:rsidR="00F351C8">
        <w:rPr>
          <w:lang w:val="fr-FR"/>
        </w:rPr>
        <w:t>’</w:t>
      </w:r>
      <w:r w:rsidR="002A652B">
        <w:rPr>
          <w:lang w:val="fr-FR"/>
        </w:rPr>
        <w:t xml:space="preserve">experts sur les valeurs </w:t>
      </w:r>
      <w:r>
        <w:rPr>
          <w:lang w:val="fr-FR"/>
        </w:rPr>
        <w:t xml:space="preserve">créé </w:t>
      </w:r>
      <w:r w:rsidR="002A652B">
        <w:rPr>
          <w:lang w:val="fr-FR"/>
        </w:rPr>
        <w:t xml:space="preserve">comme suite à la décision IPBES-4/1. </w:t>
      </w:r>
      <w:r>
        <w:rPr>
          <w:lang w:val="fr-FR"/>
        </w:rPr>
        <w:t>Le</w:t>
      </w:r>
      <w:r w:rsidR="00CD05E0">
        <w:rPr>
          <w:lang w:val="fr-FR"/>
        </w:rPr>
        <w:t> </w:t>
      </w:r>
      <w:r>
        <w:rPr>
          <w:lang w:val="fr-FR"/>
        </w:rPr>
        <w:t>groupe d</w:t>
      </w:r>
      <w:r w:rsidR="00F351C8">
        <w:rPr>
          <w:lang w:val="fr-FR"/>
        </w:rPr>
        <w:t>’</w:t>
      </w:r>
      <w:r>
        <w:rPr>
          <w:lang w:val="fr-FR"/>
        </w:rPr>
        <w:t xml:space="preserve">appui technique, qui a déjà été constitué </w:t>
      </w:r>
      <w:r w:rsidR="002A652B">
        <w:rPr>
          <w:lang w:val="fr-FR"/>
        </w:rPr>
        <w:t>au sein de l</w:t>
      </w:r>
      <w:r w:rsidR="00F351C8">
        <w:rPr>
          <w:lang w:val="fr-FR"/>
        </w:rPr>
        <w:t>’</w:t>
      </w:r>
      <w:r w:rsidR="002A652B">
        <w:rPr>
          <w:lang w:val="fr-FR"/>
        </w:rPr>
        <w:t>Institut de recherche sur les écosystèmes et la durabilité de l</w:t>
      </w:r>
      <w:r w:rsidR="00F351C8">
        <w:rPr>
          <w:lang w:val="fr-FR"/>
        </w:rPr>
        <w:t>’</w:t>
      </w:r>
      <w:r w:rsidR="002A652B">
        <w:rPr>
          <w:lang w:val="fr-FR"/>
        </w:rPr>
        <w:t>Universi</w:t>
      </w:r>
      <w:r w:rsidR="00FA6E3E">
        <w:rPr>
          <w:lang w:val="fr-FR"/>
        </w:rPr>
        <w:t>té nationale autonome du Mexique</w:t>
      </w:r>
      <w:r w:rsidR="00012F9F">
        <w:rPr>
          <w:lang w:val="fr-FR"/>
        </w:rPr>
        <w:t xml:space="preserve"> et chargé d</w:t>
      </w:r>
      <w:r w:rsidR="00F351C8">
        <w:rPr>
          <w:lang w:val="fr-FR"/>
        </w:rPr>
        <w:t>’</w:t>
      </w:r>
      <w:r w:rsidR="00012F9F">
        <w:rPr>
          <w:lang w:val="fr-FR"/>
        </w:rPr>
        <w:t>appuyer le groupe d</w:t>
      </w:r>
      <w:r w:rsidR="00F351C8">
        <w:rPr>
          <w:lang w:val="fr-FR"/>
        </w:rPr>
        <w:t>’</w:t>
      </w:r>
      <w:r w:rsidR="00012F9F">
        <w:rPr>
          <w:lang w:val="fr-FR"/>
        </w:rPr>
        <w:t>experts</w:t>
      </w:r>
      <w:r w:rsidR="00FA6E3E">
        <w:rPr>
          <w:lang w:val="fr-FR"/>
        </w:rPr>
        <w:t>,</w:t>
      </w:r>
      <w:r w:rsidR="002A652B">
        <w:rPr>
          <w:lang w:val="fr-FR"/>
        </w:rPr>
        <w:t xml:space="preserve"> </w:t>
      </w:r>
      <w:r w:rsidR="00012F9F">
        <w:rPr>
          <w:lang w:val="fr-FR"/>
        </w:rPr>
        <w:t xml:space="preserve">pourrait également </w:t>
      </w:r>
      <w:r w:rsidR="00451DB2">
        <w:rPr>
          <w:lang w:val="fr-FR"/>
        </w:rPr>
        <w:t>concourir à l</w:t>
      </w:r>
      <w:r w:rsidR="00F351C8">
        <w:rPr>
          <w:lang w:val="fr-FR"/>
        </w:rPr>
        <w:t>’</w:t>
      </w:r>
      <w:r w:rsidR="00CD05E0">
        <w:rPr>
          <w:lang w:val="fr-FR"/>
        </w:rPr>
        <w:t>éval</w:t>
      </w:r>
      <w:r w:rsidR="00451DB2">
        <w:rPr>
          <w:lang w:val="fr-FR"/>
        </w:rPr>
        <w:t>u</w:t>
      </w:r>
      <w:r w:rsidR="00CD05E0">
        <w:rPr>
          <w:lang w:val="fr-FR"/>
        </w:rPr>
        <w:t>a</w:t>
      </w:r>
      <w:r w:rsidR="00451DB2">
        <w:rPr>
          <w:lang w:val="fr-FR"/>
        </w:rPr>
        <w:t>tion méthodologique et, ainsi, assurer son lancement rapide et efficace</w:t>
      </w:r>
      <w:r w:rsidR="002A652B">
        <w:rPr>
          <w:lang w:val="fr-FR"/>
        </w:rPr>
        <w:t>.</w:t>
      </w:r>
    </w:p>
    <w:p w:rsidR="00BD6F73" w:rsidRPr="00745118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 xml:space="preserve">Si la Plénière décide de ne pas lancer de nouvelles évaluations en 2017 ou 2018, elle souhaitera peut-être </w:t>
      </w:r>
      <w:r w:rsidR="00451DB2">
        <w:rPr>
          <w:lang w:val="fr-FR"/>
        </w:rPr>
        <w:t>se pencher sur les</w:t>
      </w:r>
      <w:r>
        <w:rPr>
          <w:lang w:val="fr-FR"/>
        </w:rPr>
        <w:t xml:space="preserve"> trois évaluations susmentionnées dans le cadre de l</w:t>
      </w:r>
      <w:r w:rsidR="00F351C8">
        <w:rPr>
          <w:lang w:val="fr-FR"/>
        </w:rPr>
        <w:t>’</w:t>
      </w:r>
      <w:r>
        <w:rPr>
          <w:lang w:val="fr-FR"/>
        </w:rPr>
        <w:t xml:space="preserve">élaboration de son </w:t>
      </w:r>
      <w:r w:rsidR="00451DB2">
        <w:rPr>
          <w:lang w:val="fr-FR"/>
        </w:rPr>
        <w:t xml:space="preserve">deuxième </w:t>
      </w:r>
      <w:r>
        <w:rPr>
          <w:lang w:val="fr-FR"/>
        </w:rPr>
        <w:t>programme de travail.</w:t>
      </w:r>
    </w:p>
    <w:p w:rsidR="00BD6F73" w:rsidRPr="00A156B1" w:rsidRDefault="00AD1320" w:rsidP="00AD1320">
      <w:pPr>
        <w:pStyle w:val="CH1"/>
      </w:pPr>
      <w:r>
        <w:rPr>
          <w:lang w:val="fr-FR"/>
        </w:rPr>
        <w:tab/>
        <w:t>II.</w:t>
      </w:r>
      <w:r>
        <w:rPr>
          <w:lang w:val="fr-FR"/>
        </w:rPr>
        <w:tab/>
        <w:t>Considérations financières</w:t>
      </w:r>
    </w:p>
    <w:p w:rsidR="00BD6F73" w:rsidRPr="00745118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  <w:lang w:val="fr-FR"/>
        </w:rPr>
      </w:pPr>
      <w:r>
        <w:rPr>
          <w:lang w:val="fr-FR"/>
        </w:rPr>
        <w:t>Les trois évaluations auraient un coût similaire.</w:t>
      </w:r>
    </w:p>
    <w:p w:rsidR="00BD6F73" w:rsidRPr="00745118" w:rsidRDefault="00451DB2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  <w:lang w:val="fr-FR"/>
        </w:rPr>
      </w:pPr>
      <w:r>
        <w:rPr>
          <w:lang w:val="fr-FR"/>
        </w:rPr>
        <w:t>À</w:t>
      </w:r>
      <w:r w:rsidR="00B522BA">
        <w:rPr>
          <w:lang w:val="fr-FR"/>
        </w:rPr>
        <w:t xml:space="preserve"> sa quatrième session, la Plénière a pris note du </w:t>
      </w:r>
      <w:r>
        <w:rPr>
          <w:lang w:val="fr-FR"/>
        </w:rPr>
        <w:t xml:space="preserve">projet de </w:t>
      </w:r>
      <w:r w:rsidR="00B522BA">
        <w:rPr>
          <w:lang w:val="fr-FR"/>
        </w:rPr>
        <w:t>budget pour 2018 et 2019</w:t>
      </w:r>
      <w:r>
        <w:rPr>
          <w:lang w:val="fr-FR"/>
        </w:rPr>
        <w:t>, qui prévoyait un</w:t>
      </w:r>
      <w:r w:rsidR="00B522BA">
        <w:rPr>
          <w:lang w:val="fr-FR"/>
        </w:rPr>
        <w:t xml:space="preserve"> </w:t>
      </w:r>
      <w:r w:rsidR="009C1A96">
        <w:rPr>
          <w:lang w:val="fr-FR"/>
        </w:rPr>
        <w:t>montant indicatif de 800 000 </w:t>
      </w:r>
      <w:r w:rsidR="00B522BA">
        <w:rPr>
          <w:lang w:val="fr-FR"/>
        </w:rPr>
        <w:t>dollars</w:t>
      </w:r>
      <w:r w:rsidR="002453FB">
        <w:rPr>
          <w:lang w:val="fr-FR"/>
        </w:rPr>
        <w:t xml:space="preserve"> pour l</w:t>
      </w:r>
      <w:r w:rsidR="00F351C8">
        <w:rPr>
          <w:lang w:val="fr-FR"/>
        </w:rPr>
        <w:t>’</w:t>
      </w:r>
      <w:r w:rsidR="002453FB">
        <w:rPr>
          <w:lang w:val="fr-FR"/>
        </w:rPr>
        <w:t>évaluation des valeurs et pour l</w:t>
      </w:r>
      <w:r w:rsidR="00F351C8">
        <w:rPr>
          <w:lang w:val="fr-FR"/>
        </w:rPr>
        <w:t>’</w:t>
      </w:r>
      <w:r w:rsidR="002453FB">
        <w:rPr>
          <w:lang w:val="fr-FR"/>
        </w:rPr>
        <w:t>évaluation des espèces exotiques envahissantes</w:t>
      </w:r>
      <w:r w:rsidR="00B522BA">
        <w:rPr>
          <w:lang w:val="fr-FR"/>
        </w:rPr>
        <w:t>, mais aucune</w:t>
      </w:r>
      <w:r w:rsidR="002453FB">
        <w:rPr>
          <w:lang w:val="fr-FR"/>
        </w:rPr>
        <w:t>s</w:t>
      </w:r>
      <w:r w:rsidR="00B522BA">
        <w:rPr>
          <w:lang w:val="fr-FR"/>
        </w:rPr>
        <w:t xml:space="preserve"> ressource</w:t>
      </w:r>
      <w:r w:rsidR="002453FB">
        <w:rPr>
          <w:lang w:val="fr-FR"/>
        </w:rPr>
        <w:t>s</w:t>
      </w:r>
      <w:r w:rsidR="00B522BA">
        <w:rPr>
          <w:lang w:val="fr-FR"/>
        </w:rPr>
        <w:t xml:space="preserve"> </w:t>
      </w:r>
      <w:r w:rsidR="002453FB">
        <w:rPr>
          <w:lang w:val="fr-FR"/>
        </w:rPr>
        <w:t xml:space="preserve">pour </w:t>
      </w:r>
      <w:r w:rsidR="00B522BA">
        <w:rPr>
          <w:lang w:val="fr-FR"/>
        </w:rPr>
        <w:t>l</w:t>
      </w:r>
      <w:r w:rsidR="00F351C8">
        <w:rPr>
          <w:lang w:val="fr-FR"/>
        </w:rPr>
        <w:t>’</w:t>
      </w:r>
      <w:r w:rsidR="00B522BA">
        <w:rPr>
          <w:lang w:val="fr-FR"/>
        </w:rPr>
        <w:t>évaluation de l</w:t>
      </w:r>
      <w:r w:rsidR="00F351C8">
        <w:rPr>
          <w:lang w:val="fr-FR"/>
        </w:rPr>
        <w:t>’</w:t>
      </w:r>
      <w:r w:rsidR="00B522BA">
        <w:rPr>
          <w:lang w:val="fr-FR"/>
        </w:rPr>
        <w:t xml:space="preserve">utilisation durable de la biodiversité. Un tel montant permettrait </w:t>
      </w:r>
      <w:r w:rsidR="002453FB">
        <w:rPr>
          <w:lang w:val="fr-FR"/>
        </w:rPr>
        <w:t xml:space="preserve">de financer </w:t>
      </w:r>
      <w:r w:rsidR="00B522BA">
        <w:rPr>
          <w:lang w:val="fr-FR"/>
        </w:rPr>
        <w:t>la participation de 50</w:t>
      </w:r>
      <w:r w:rsidR="009C1A96">
        <w:rPr>
          <w:lang w:val="fr-FR"/>
        </w:rPr>
        <w:t> </w:t>
      </w:r>
      <w:r w:rsidR="00B522BA">
        <w:rPr>
          <w:lang w:val="fr-FR"/>
        </w:rPr>
        <w:t>experts</w:t>
      </w:r>
      <w:r w:rsidR="002453FB">
        <w:rPr>
          <w:lang w:val="fr-FR"/>
        </w:rPr>
        <w:t xml:space="preserve"> au plus</w:t>
      </w:r>
      <w:r w:rsidR="00B522BA">
        <w:rPr>
          <w:lang w:val="fr-FR"/>
        </w:rPr>
        <w:t xml:space="preserve">, soit environ </w:t>
      </w:r>
      <w:r w:rsidR="002453FB">
        <w:rPr>
          <w:lang w:val="fr-FR"/>
        </w:rPr>
        <w:t>6 </w:t>
      </w:r>
      <w:r w:rsidR="00B522BA">
        <w:rPr>
          <w:lang w:val="fr-FR"/>
        </w:rPr>
        <w:t xml:space="preserve">experts par chapitre, ce qui est </w:t>
      </w:r>
      <w:r w:rsidR="002453FB">
        <w:rPr>
          <w:lang w:val="fr-FR"/>
        </w:rPr>
        <w:t>jugé insuffisant</w:t>
      </w:r>
      <w:r w:rsidR="00B522BA">
        <w:rPr>
          <w:lang w:val="fr-FR"/>
        </w:rPr>
        <w:t xml:space="preserve"> et ne permettrait pas </w:t>
      </w:r>
      <w:r w:rsidR="002453FB">
        <w:rPr>
          <w:lang w:val="fr-FR"/>
        </w:rPr>
        <w:t xml:space="preserve">de tenir une deuxième </w:t>
      </w:r>
      <w:r w:rsidR="00B522BA">
        <w:rPr>
          <w:lang w:val="fr-FR"/>
        </w:rPr>
        <w:t>réunion d</w:t>
      </w:r>
      <w:r w:rsidR="00F351C8">
        <w:rPr>
          <w:lang w:val="fr-FR"/>
        </w:rPr>
        <w:t>’</w:t>
      </w:r>
      <w:r w:rsidR="00B522BA">
        <w:rPr>
          <w:lang w:val="fr-FR"/>
        </w:rPr>
        <w:t>auteurs ouverte à tous comme le décrit l</w:t>
      </w:r>
      <w:r w:rsidR="00F351C8">
        <w:rPr>
          <w:lang w:val="fr-FR"/>
        </w:rPr>
        <w:t>’</w:t>
      </w:r>
      <w:r w:rsidR="00B522BA">
        <w:rPr>
          <w:lang w:val="fr-FR"/>
        </w:rPr>
        <w:t>alinéa</w:t>
      </w:r>
      <w:r w:rsidR="009C1A96">
        <w:rPr>
          <w:lang w:val="fr-FR"/>
        </w:rPr>
        <w:t> </w:t>
      </w:r>
      <w:r w:rsidR="00B522BA">
        <w:rPr>
          <w:lang w:val="fr-FR"/>
        </w:rPr>
        <w:t>b) du paragraphe</w:t>
      </w:r>
      <w:r w:rsidR="009C1A96">
        <w:rPr>
          <w:lang w:val="fr-FR"/>
        </w:rPr>
        <w:t> </w:t>
      </w:r>
      <w:r w:rsidR="00B522BA">
        <w:rPr>
          <w:lang w:val="fr-FR"/>
        </w:rPr>
        <w:t xml:space="preserve">11 ci-dessous. </w:t>
      </w:r>
    </w:p>
    <w:p w:rsidR="00BD6F73" w:rsidRPr="00745118" w:rsidRDefault="002453FB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>S</w:t>
      </w:r>
      <w:r w:rsidR="00624347">
        <w:rPr>
          <w:lang w:val="fr-FR"/>
        </w:rPr>
        <w:t>e fondant sur l</w:t>
      </w:r>
      <w:r w:rsidR="00F351C8">
        <w:rPr>
          <w:lang w:val="fr-FR"/>
        </w:rPr>
        <w:t>’</w:t>
      </w:r>
      <w:r w:rsidR="00624347">
        <w:rPr>
          <w:lang w:val="fr-FR"/>
        </w:rPr>
        <w:t>expérience acquise, le Bureau propose d</w:t>
      </w:r>
      <w:r w:rsidR="00F351C8">
        <w:rPr>
          <w:lang w:val="fr-FR"/>
        </w:rPr>
        <w:t>’</w:t>
      </w:r>
      <w:r w:rsidR="00624347">
        <w:rPr>
          <w:lang w:val="fr-FR"/>
        </w:rPr>
        <w:t>augmenter à 997</w:t>
      </w:r>
      <w:r w:rsidR="001D6DE4">
        <w:rPr>
          <w:lang w:val="fr-FR"/>
        </w:rPr>
        <w:t> 000 </w:t>
      </w:r>
      <w:r w:rsidR="00624347">
        <w:rPr>
          <w:lang w:val="fr-FR"/>
        </w:rPr>
        <w:t xml:space="preserve">dollars le budget </w:t>
      </w:r>
      <w:r>
        <w:rPr>
          <w:lang w:val="fr-FR"/>
        </w:rPr>
        <w:t xml:space="preserve">alloué à </w:t>
      </w:r>
      <w:r w:rsidR="00624347">
        <w:rPr>
          <w:lang w:val="fr-FR"/>
        </w:rPr>
        <w:t>chacune des trois évaluations, pour les raisons suivantes :</w:t>
      </w:r>
    </w:p>
    <w:p w:rsidR="00BD6F73" w:rsidRPr="00745118" w:rsidRDefault="00624347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lang w:val="fr-FR"/>
        </w:rPr>
      </w:pPr>
      <w:r>
        <w:rPr>
          <w:lang w:val="fr-FR"/>
        </w:rPr>
        <w:t>On considère qu</w:t>
      </w:r>
      <w:r w:rsidR="00F351C8">
        <w:rPr>
          <w:lang w:val="fr-FR"/>
        </w:rPr>
        <w:t>’</w:t>
      </w:r>
      <w:r>
        <w:rPr>
          <w:lang w:val="fr-FR"/>
        </w:rPr>
        <w:t xml:space="preserve">il faut </w:t>
      </w:r>
      <w:r w:rsidR="002453FB">
        <w:rPr>
          <w:lang w:val="fr-FR"/>
        </w:rPr>
        <w:t>au moins</w:t>
      </w:r>
      <w:r>
        <w:rPr>
          <w:lang w:val="fr-FR"/>
        </w:rPr>
        <w:t xml:space="preserve"> huit experts par chapitre afin de bénéficier </w:t>
      </w:r>
      <w:r w:rsidR="002453FB">
        <w:rPr>
          <w:lang w:val="fr-FR"/>
        </w:rPr>
        <w:t xml:space="preserve">de connaissances spécialisées </w:t>
      </w:r>
      <w:r>
        <w:rPr>
          <w:lang w:val="fr-FR"/>
        </w:rPr>
        <w:t xml:space="preserve">et de points de vue suffisamment différents et </w:t>
      </w:r>
      <w:r w:rsidR="002453FB">
        <w:rPr>
          <w:lang w:val="fr-FR"/>
        </w:rPr>
        <w:t xml:space="preserve">répartir </w:t>
      </w:r>
      <w:r>
        <w:rPr>
          <w:lang w:val="fr-FR"/>
        </w:rPr>
        <w:t xml:space="preserve">la </w:t>
      </w:r>
      <w:r w:rsidR="002453FB">
        <w:rPr>
          <w:lang w:val="fr-FR"/>
        </w:rPr>
        <w:t xml:space="preserve">lourde </w:t>
      </w:r>
      <w:r>
        <w:rPr>
          <w:lang w:val="fr-FR"/>
        </w:rPr>
        <w:t>charge de travail entre les experts</w:t>
      </w:r>
      <w:r w:rsidR="002453FB">
        <w:rPr>
          <w:lang w:val="fr-FR"/>
        </w:rPr>
        <w:t>;</w:t>
      </w:r>
    </w:p>
    <w:p w:rsidR="00BD6F73" w:rsidRPr="00745118" w:rsidRDefault="00624347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lang w:val="fr-FR"/>
        </w:rPr>
      </w:pPr>
      <w:r>
        <w:rPr>
          <w:lang w:val="fr-FR"/>
        </w:rPr>
        <w:t>On considère également que l</w:t>
      </w:r>
      <w:r w:rsidR="00F351C8">
        <w:rPr>
          <w:lang w:val="fr-FR"/>
        </w:rPr>
        <w:t>’</w:t>
      </w:r>
      <w:r>
        <w:rPr>
          <w:lang w:val="fr-FR"/>
        </w:rPr>
        <w:t>organisation de trois réunions d</w:t>
      </w:r>
      <w:r w:rsidR="00F351C8">
        <w:rPr>
          <w:lang w:val="fr-FR"/>
        </w:rPr>
        <w:t>’</w:t>
      </w:r>
      <w:r>
        <w:rPr>
          <w:lang w:val="fr-FR"/>
        </w:rPr>
        <w:t>auteurs ouvertes à tous au lieu de seulement deux, auxquelles assistent les auteurs principaux, est un</w:t>
      </w:r>
      <w:r w:rsidR="00A004B6">
        <w:rPr>
          <w:lang w:val="fr-FR"/>
        </w:rPr>
        <w:t xml:space="preserve">e condition </w:t>
      </w:r>
      <w:r>
        <w:rPr>
          <w:lang w:val="fr-FR"/>
        </w:rPr>
        <w:t>essentiel</w:t>
      </w:r>
      <w:r w:rsidR="00A004B6">
        <w:rPr>
          <w:lang w:val="fr-FR"/>
        </w:rPr>
        <w:t xml:space="preserve">le des pleines </w:t>
      </w:r>
      <w:proofErr w:type="gramStart"/>
      <w:r w:rsidR="00A004B6">
        <w:rPr>
          <w:lang w:val="fr-FR"/>
        </w:rPr>
        <w:t>association</w:t>
      </w:r>
      <w:proofErr w:type="gramEnd"/>
      <w:r w:rsidR="00A004B6">
        <w:rPr>
          <w:lang w:val="fr-FR"/>
        </w:rPr>
        <w:t xml:space="preserve"> et participation </w:t>
      </w:r>
      <w:r>
        <w:rPr>
          <w:lang w:val="fr-FR"/>
        </w:rPr>
        <w:t>de ces derniers au cours des trois ans que dure le processus d</w:t>
      </w:r>
      <w:r w:rsidR="00F351C8">
        <w:rPr>
          <w:lang w:val="fr-FR"/>
        </w:rPr>
        <w:t>’</w:t>
      </w:r>
      <w:r>
        <w:rPr>
          <w:lang w:val="fr-FR"/>
        </w:rPr>
        <w:t xml:space="preserve">évaluation; </w:t>
      </w:r>
    </w:p>
    <w:p w:rsidR="00BD6F73" w:rsidRPr="00745118" w:rsidRDefault="00BD6F73" w:rsidP="009B35F6">
      <w:pPr>
        <w:pStyle w:val="Normalnumber"/>
        <w:numPr>
          <w:ilvl w:val="1"/>
          <w:numId w:val="9"/>
        </w:numPr>
        <w:tabs>
          <w:tab w:val="clear" w:pos="4082"/>
        </w:tabs>
        <w:rPr>
          <w:lang w:val="fr-FR"/>
        </w:rPr>
      </w:pPr>
      <w:r>
        <w:rPr>
          <w:lang w:val="fr-FR"/>
        </w:rPr>
        <w:t>On considère enfin qu</w:t>
      </w:r>
      <w:r w:rsidR="00F351C8">
        <w:rPr>
          <w:lang w:val="fr-FR"/>
        </w:rPr>
        <w:t>’</w:t>
      </w:r>
      <w:r w:rsidR="00A004B6">
        <w:rPr>
          <w:lang w:val="fr-FR"/>
        </w:rPr>
        <w:t>il faut impérativement maintenir les groupes d</w:t>
      </w:r>
      <w:r w:rsidR="00F351C8">
        <w:rPr>
          <w:lang w:val="fr-FR"/>
        </w:rPr>
        <w:t>’</w:t>
      </w:r>
      <w:r w:rsidR="00A004B6">
        <w:rPr>
          <w:lang w:val="fr-FR"/>
        </w:rPr>
        <w:t>appui technique au moins trois mois après la clôture de la cinquième session de la Plénière, et non seulement jusqu</w:t>
      </w:r>
      <w:r w:rsidR="00F351C8">
        <w:rPr>
          <w:lang w:val="fr-FR"/>
        </w:rPr>
        <w:t>’</w:t>
      </w:r>
      <w:r w:rsidR="00A004B6">
        <w:rPr>
          <w:lang w:val="fr-FR"/>
        </w:rPr>
        <w:t>à la clôture de ladite session, comme le prévoit actuellement le budget,</w:t>
      </w:r>
      <w:r>
        <w:rPr>
          <w:lang w:val="fr-FR"/>
        </w:rPr>
        <w:t xml:space="preserve"> pour </w:t>
      </w:r>
      <w:r w:rsidR="00A004B6">
        <w:rPr>
          <w:lang w:val="fr-FR"/>
        </w:rPr>
        <w:t>que</w:t>
      </w:r>
      <w:r>
        <w:rPr>
          <w:lang w:val="fr-FR"/>
        </w:rPr>
        <w:t xml:space="preserve"> la version définitive du rapport d</w:t>
      </w:r>
      <w:r w:rsidR="00F351C8">
        <w:rPr>
          <w:lang w:val="fr-FR"/>
        </w:rPr>
        <w:t>’</w:t>
      </w:r>
      <w:r>
        <w:rPr>
          <w:lang w:val="fr-FR"/>
        </w:rPr>
        <w:t xml:space="preserve">évaluation </w:t>
      </w:r>
      <w:r w:rsidR="00A004B6">
        <w:rPr>
          <w:lang w:val="fr-FR"/>
        </w:rPr>
        <w:t xml:space="preserve">soit établie </w:t>
      </w:r>
      <w:r>
        <w:rPr>
          <w:lang w:val="fr-FR"/>
        </w:rPr>
        <w:t xml:space="preserve">et </w:t>
      </w:r>
      <w:r w:rsidR="00A004B6">
        <w:rPr>
          <w:lang w:val="fr-FR"/>
        </w:rPr>
        <w:t>que l</w:t>
      </w:r>
      <w:r>
        <w:rPr>
          <w:lang w:val="fr-FR"/>
        </w:rPr>
        <w:t xml:space="preserve">es </w:t>
      </w:r>
      <w:r w:rsidR="00A004B6">
        <w:rPr>
          <w:lang w:val="fr-FR"/>
        </w:rPr>
        <w:t>observations connexes</w:t>
      </w:r>
      <w:r>
        <w:rPr>
          <w:lang w:val="fr-FR"/>
        </w:rPr>
        <w:t xml:space="preserve"> </w:t>
      </w:r>
      <w:r w:rsidR="00A004B6">
        <w:rPr>
          <w:lang w:val="fr-FR"/>
        </w:rPr>
        <w:t xml:space="preserve">soient publiées </w:t>
      </w:r>
      <w:r>
        <w:rPr>
          <w:lang w:val="fr-FR"/>
        </w:rPr>
        <w:t xml:space="preserve">sur le site Web de </w:t>
      </w:r>
      <w:r w:rsidR="003B3152">
        <w:rPr>
          <w:lang w:val="fr-FR"/>
        </w:rPr>
        <w:t xml:space="preserve">la </w:t>
      </w:r>
      <w:r w:rsidR="003B3152">
        <w:rPr>
          <w:lang w:val="fr-FR"/>
        </w:rPr>
        <w:lastRenderedPageBreak/>
        <w:t>Plateforme</w:t>
      </w:r>
      <w:r w:rsidR="00A004B6">
        <w:rPr>
          <w:lang w:val="fr-FR"/>
        </w:rPr>
        <w:t>,</w:t>
      </w:r>
      <w:r>
        <w:rPr>
          <w:lang w:val="fr-FR"/>
        </w:rPr>
        <w:t xml:space="preserve"> </w:t>
      </w:r>
      <w:r w:rsidR="00A004B6">
        <w:rPr>
          <w:lang w:val="fr-FR"/>
        </w:rPr>
        <w:t xml:space="preserve">pour assurer la coordination de </w:t>
      </w:r>
      <w:r>
        <w:rPr>
          <w:lang w:val="fr-FR"/>
        </w:rPr>
        <w:t xml:space="preserve">la rédaction et </w:t>
      </w:r>
      <w:r w:rsidR="00A004B6">
        <w:rPr>
          <w:lang w:val="fr-FR"/>
        </w:rPr>
        <w:t xml:space="preserve">de </w:t>
      </w:r>
      <w:r>
        <w:rPr>
          <w:lang w:val="fr-FR"/>
        </w:rPr>
        <w:t xml:space="preserve">la présentation des publications </w:t>
      </w:r>
      <w:r w:rsidR="00A004B6">
        <w:rPr>
          <w:lang w:val="fr-FR"/>
        </w:rPr>
        <w:t>concernées</w:t>
      </w:r>
      <w:r>
        <w:rPr>
          <w:lang w:val="fr-FR"/>
        </w:rPr>
        <w:t xml:space="preserve"> </w:t>
      </w:r>
      <w:r w:rsidR="00A004B6">
        <w:rPr>
          <w:lang w:val="fr-FR"/>
        </w:rPr>
        <w:t xml:space="preserve">et pour procéder à </w:t>
      </w:r>
      <w:r>
        <w:rPr>
          <w:lang w:val="fr-FR"/>
        </w:rPr>
        <w:t>d</w:t>
      </w:r>
      <w:r w:rsidR="00F351C8">
        <w:rPr>
          <w:lang w:val="fr-FR"/>
        </w:rPr>
        <w:t>’</w:t>
      </w:r>
      <w:r>
        <w:rPr>
          <w:lang w:val="fr-FR"/>
        </w:rPr>
        <w:t xml:space="preserve">autres activités de communication et de sensibilisation. </w:t>
      </w:r>
    </w:p>
    <w:p w:rsidR="00BD6F73" w:rsidRPr="00745118" w:rsidRDefault="0027136B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>Le tableau suivant présente un budget</w:t>
      </w:r>
      <w:r w:rsidR="00A004B6">
        <w:rPr>
          <w:lang w:val="fr-FR"/>
        </w:rPr>
        <w:t xml:space="preserve">-type </w:t>
      </w:r>
      <w:r>
        <w:rPr>
          <w:lang w:val="fr-FR"/>
        </w:rPr>
        <w:t>qui peut s</w:t>
      </w:r>
      <w:r w:rsidR="00F351C8">
        <w:rPr>
          <w:lang w:val="fr-FR"/>
        </w:rPr>
        <w:t>’</w:t>
      </w:r>
      <w:r>
        <w:rPr>
          <w:lang w:val="fr-FR"/>
        </w:rPr>
        <w:t>appliquer à chacune des trois</w:t>
      </w:r>
      <w:r w:rsidR="00CD05E0">
        <w:rPr>
          <w:lang w:val="fr-FR"/>
        </w:rPr>
        <w:t> </w:t>
      </w:r>
      <w:r>
        <w:rPr>
          <w:lang w:val="fr-FR"/>
        </w:rPr>
        <w:t>évaluations envisagées. Ce budget</w:t>
      </w:r>
      <w:r w:rsidR="00A004B6">
        <w:rPr>
          <w:lang w:val="fr-FR"/>
        </w:rPr>
        <w:t xml:space="preserve">-type </w:t>
      </w:r>
      <w:r>
        <w:rPr>
          <w:lang w:val="fr-FR"/>
        </w:rPr>
        <w:t>se fonde sur les considérations énoncées ci-dessus</w:t>
      </w:r>
      <w:r w:rsidR="00A004B6">
        <w:rPr>
          <w:lang w:val="fr-FR"/>
        </w:rPr>
        <w:t xml:space="preserve"> et</w:t>
      </w:r>
      <w:r>
        <w:rPr>
          <w:lang w:val="fr-FR"/>
        </w:rPr>
        <w:t xml:space="preserve"> sur les hypothèses suivantes :</w:t>
      </w:r>
    </w:p>
    <w:p w:rsidR="00BD6F73" w:rsidRPr="00745118" w:rsidRDefault="00BD6F73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lang w:val="fr-FR"/>
        </w:rPr>
      </w:pPr>
      <w:r>
        <w:rPr>
          <w:lang w:val="fr-FR"/>
        </w:rPr>
        <w:t>Chaque évaluation se déroulera sur une période de trois ans;</w:t>
      </w:r>
    </w:p>
    <w:p w:rsidR="00BD6F73" w:rsidRPr="00745118" w:rsidRDefault="00BD6F73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lang w:val="fr-FR"/>
        </w:rPr>
      </w:pPr>
      <w:r>
        <w:rPr>
          <w:lang w:val="fr-FR"/>
        </w:rPr>
        <w:t xml:space="preserve">Chaque évaluation </w:t>
      </w:r>
      <w:r w:rsidR="00A004B6">
        <w:rPr>
          <w:lang w:val="fr-FR"/>
        </w:rPr>
        <w:t>comprendra</w:t>
      </w:r>
      <w:r>
        <w:rPr>
          <w:lang w:val="fr-FR"/>
        </w:rPr>
        <w:t xml:space="preserve"> trois réunions d</w:t>
      </w:r>
      <w:r w:rsidR="00F351C8">
        <w:rPr>
          <w:lang w:val="fr-FR"/>
        </w:rPr>
        <w:t>’</w:t>
      </w:r>
      <w:r>
        <w:rPr>
          <w:lang w:val="fr-FR"/>
        </w:rPr>
        <w:t xml:space="preserve">auteurs ouvertes à tous auxquelles assisteront </w:t>
      </w:r>
      <w:r w:rsidR="00A004B6">
        <w:rPr>
          <w:lang w:val="fr-FR"/>
        </w:rPr>
        <w:t xml:space="preserve">systématiquement </w:t>
      </w:r>
      <w:r>
        <w:rPr>
          <w:lang w:val="fr-FR"/>
        </w:rPr>
        <w:t>les auteurs principaux;</w:t>
      </w:r>
    </w:p>
    <w:p w:rsidR="00BD6F73" w:rsidRPr="00745118" w:rsidRDefault="00BD6F73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lang w:val="fr-FR"/>
        </w:rPr>
      </w:pPr>
      <w:r>
        <w:rPr>
          <w:lang w:val="fr-FR"/>
        </w:rPr>
        <w:t>Chaque évaluation réunira un total de 62</w:t>
      </w:r>
      <w:r w:rsidR="001D6DE4">
        <w:rPr>
          <w:lang w:val="fr-FR"/>
        </w:rPr>
        <w:t> </w:t>
      </w:r>
      <w:r>
        <w:rPr>
          <w:lang w:val="fr-FR"/>
        </w:rPr>
        <w:t>experts (</w:t>
      </w:r>
      <w:r w:rsidR="00A004B6">
        <w:rPr>
          <w:lang w:val="fr-FR"/>
        </w:rPr>
        <w:t>2</w:t>
      </w:r>
      <w:r w:rsidR="001D6DE4">
        <w:rPr>
          <w:lang w:val="fr-FR"/>
        </w:rPr>
        <w:t> </w:t>
      </w:r>
      <w:r>
        <w:rPr>
          <w:lang w:val="fr-FR"/>
        </w:rPr>
        <w:t>coprésidents, 12</w:t>
      </w:r>
      <w:r w:rsidR="001D6DE4">
        <w:rPr>
          <w:lang w:val="fr-FR"/>
        </w:rPr>
        <w:t> </w:t>
      </w:r>
      <w:r>
        <w:rPr>
          <w:lang w:val="fr-FR"/>
        </w:rPr>
        <w:t>auteurs coordonnateurs principaux, 36</w:t>
      </w:r>
      <w:r w:rsidR="001D6DE4">
        <w:rPr>
          <w:lang w:val="fr-FR"/>
        </w:rPr>
        <w:t> </w:t>
      </w:r>
      <w:r>
        <w:rPr>
          <w:lang w:val="fr-FR"/>
        </w:rPr>
        <w:t>auteurs principaux et 12</w:t>
      </w:r>
      <w:r w:rsidR="001D6DE4">
        <w:rPr>
          <w:lang w:val="fr-FR"/>
        </w:rPr>
        <w:t> </w:t>
      </w:r>
      <w:r>
        <w:rPr>
          <w:lang w:val="fr-FR"/>
        </w:rPr>
        <w:t>éditeurs-réviseurs), soit 8</w:t>
      </w:r>
      <w:r w:rsidR="001D6DE4">
        <w:rPr>
          <w:lang w:val="fr-FR"/>
        </w:rPr>
        <w:t> </w:t>
      </w:r>
      <w:r>
        <w:rPr>
          <w:lang w:val="fr-FR"/>
        </w:rPr>
        <w:t xml:space="preserve">experts par chapitre, </w:t>
      </w:r>
      <w:r w:rsidR="00A004B6">
        <w:rPr>
          <w:lang w:val="fr-FR"/>
        </w:rPr>
        <w:t xml:space="preserve">et </w:t>
      </w:r>
      <w:r>
        <w:rPr>
          <w:lang w:val="fr-FR"/>
        </w:rPr>
        <w:t xml:space="preserve">75 % </w:t>
      </w:r>
      <w:r w:rsidR="00A004B6">
        <w:rPr>
          <w:lang w:val="fr-FR"/>
        </w:rPr>
        <w:t xml:space="preserve">des frais </w:t>
      </w:r>
      <w:r>
        <w:rPr>
          <w:lang w:val="fr-FR"/>
        </w:rPr>
        <w:t xml:space="preserve">seront financés </w:t>
      </w:r>
      <w:r w:rsidR="00A004B6">
        <w:rPr>
          <w:lang w:val="fr-FR"/>
        </w:rPr>
        <w:t>au moyen du</w:t>
      </w:r>
      <w:r>
        <w:rPr>
          <w:lang w:val="fr-FR"/>
        </w:rPr>
        <w:t xml:space="preserve"> fonds d</w:t>
      </w:r>
      <w:r w:rsidR="00F351C8">
        <w:rPr>
          <w:lang w:val="fr-FR"/>
        </w:rPr>
        <w:t>’</w:t>
      </w:r>
      <w:r>
        <w:rPr>
          <w:lang w:val="fr-FR"/>
        </w:rPr>
        <w:t>affectation spéciale.</w:t>
      </w:r>
    </w:p>
    <w:p w:rsidR="00BD6F73" w:rsidRPr="00745118" w:rsidRDefault="00AD1320" w:rsidP="00AD1320">
      <w:pPr>
        <w:pStyle w:val="CH1"/>
        <w:rPr>
          <w:sz w:val="24"/>
          <w:szCs w:val="24"/>
          <w:lang w:val="fr-FR"/>
        </w:rPr>
      </w:pPr>
      <w:r>
        <w:rPr>
          <w:lang w:val="fr-FR"/>
        </w:rPr>
        <w:tab/>
        <w:t>III.</w:t>
      </w:r>
      <w:r>
        <w:rPr>
          <w:lang w:val="fr-FR"/>
        </w:rPr>
        <w:tab/>
        <w:t xml:space="preserve">Mesures </w:t>
      </w:r>
      <w:r w:rsidR="00417A0F">
        <w:rPr>
          <w:lang w:val="fr-FR"/>
        </w:rPr>
        <w:t>qu</w:t>
      </w:r>
      <w:r w:rsidR="00F351C8">
        <w:rPr>
          <w:lang w:val="fr-FR"/>
        </w:rPr>
        <w:t>’</w:t>
      </w:r>
      <w:r w:rsidR="00417A0F">
        <w:rPr>
          <w:lang w:val="fr-FR"/>
        </w:rPr>
        <w:t xml:space="preserve">il est proposé </w:t>
      </w:r>
      <w:r>
        <w:rPr>
          <w:lang w:val="fr-FR"/>
        </w:rPr>
        <w:t>à la Plénière</w:t>
      </w:r>
      <w:r w:rsidR="00417A0F">
        <w:rPr>
          <w:lang w:val="fr-FR"/>
        </w:rPr>
        <w:t xml:space="preserve"> de prendre</w:t>
      </w:r>
    </w:p>
    <w:p w:rsidR="00BD6F73" w:rsidRPr="00745118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 xml:space="preserve">La Plénière </w:t>
      </w:r>
      <w:r w:rsidR="00417A0F">
        <w:rPr>
          <w:lang w:val="fr-FR"/>
        </w:rPr>
        <w:t xml:space="preserve">souhaitera </w:t>
      </w:r>
      <w:r>
        <w:rPr>
          <w:lang w:val="fr-FR"/>
        </w:rPr>
        <w:t>peut-être prendre en compte les éléments suivants :</w:t>
      </w:r>
    </w:p>
    <w:p w:rsidR="00BD6F73" w:rsidRPr="00745118" w:rsidRDefault="0027136B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lang w:val="fr-FR"/>
        </w:rPr>
      </w:pPr>
      <w:r>
        <w:rPr>
          <w:lang w:val="fr-FR"/>
        </w:rPr>
        <w:t>La durée des deux évaluations thématiques et de l</w:t>
      </w:r>
      <w:r w:rsidR="00F351C8">
        <w:rPr>
          <w:lang w:val="fr-FR"/>
        </w:rPr>
        <w:t>’</w:t>
      </w:r>
      <w:r>
        <w:rPr>
          <w:lang w:val="fr-FR"/>
        </w:rPr>
        <w:t xml:space="preserve">évaluation méthodologique </w:t>
      </w:r>
      <w:r w:rsidR="00417A0F">
        <w:rPr>
          <w:lang w:val="fr-FR"/>
        </w:rPr>
        <w:t xml:space="preserve">et le budget alloué à ces évaluations </w:t>
      </w:r>
      <w:r w:rsidR="008E0849">
        <w:rPr>
          <w:lang w:val="fr-FR"/>
        </w:rPr>
        <w:t>(</w:t>
      </w:r>
      <w:r>
        <w:rPr>
          <w:lang w:val="fr-FR"/>
        </w:rPr>
        <w:t>produits</w:t>
      </w:r>
      <w:r w:rsidR="001D6DE4">
        <w:rPr>
          <w:lang w:val="fr-FR"/>
        </w:rPr>
        <w:t> 3 b) </w:t>
      </w:r>
      <w:r>
        <w:rPr>
          <w:lang w:val="fr-FR"/>
        </w:rPr>
        <w:t>ii), 3</w:t>
      </w:r>
      <w:r w:rsidR="001D6DE4">
        <w:rPr>
          <w:lang w:val="fr-FR"/>
        </w:rPr>
        <w:t> </w:t>
      </w:r>
      <w:r>
        <w:rPr>
          <w:lang w:val="fr-FR"/>
        </w:rPr>
        <w:t>b)</w:t>
      </w:r>
      <w:r w:rsidR="001D6DE4">
        <w:rPr>
          <w:lang w:val="fr-FR"/>
        </w:rPr>
        <w:t> </w:t>
      </w:r>
      <w:r>
        <w:rPr>
          <w:lang w:val="fr-FR"/>
        </w:rPr>
        <w:t>iii) et 3</w:t>
      </w:r>
      <w:r w:rsidR="001D6DE4">
        <w:rPr>
          <w:lang w:val="fr-FR"/>
        </w:rPr>
        <w:t> </w:t>
      </w:r>
      <w:r>
        <w:rPr>
          <w:lang w:val="fr-FR"/>
        </w:rPr>
        <w:t>d)</w:t>
      </w:r>
      <w:r w:rsidR="008E0849">
        <w:rPr>
          <w:lang w:val="fr-FR"/>
        </w:rPr>
        <w:t>)</w:t>
      </w:r>
      <w:r>
        <w:rPr>
          <w:lang w:val="fr-FR"/>
        </w:rPr>
        <w:t>;</w:t>
      </w:r>
    </w:p>
    <w:p w:rsidR="00BD6F73" w:rsidRPr="00745118" w:rsidRDefault="0027136B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rPr>
          <w:lang w:val="fr-FR"/>
        </w:rPr>
      </w:pPr>
      <w:r>
        <w:rPr>
          <w:lang w:val="fr-FR"/>
        </w:rPr>
        <w:t>La date de lancement de chacune des trois évaluations, notamment la possibilité d</w:t>
      </w:r>
      <w:r w:rsidR="00F351C8">
        <w:rPr>
          <w:lang w:val="fr-FR"/>
        </w:rPr>
        <w:t>’</w:t>
      </w:r>
      <w:r>
        <w:rPr>
          <w:lang w:val="fr-FR"/>
        </w:rPr>
        <w:t xml:space="preserve">en débattre dans le cadre </w:t>
      </w:r>
      <w:r w:rsidR="00417A0F">
        <w:rPr>
          <w:lang w:val="fr-FR"/>
        </w:rPr>
        <w:t>de l</w:t>
      </w:r>
      <w:r w:rsidR="00F351C8">
        <w:rPr>
          <w:lang w:val="fr-FR"/>
        </w:rPr>
        <w:t>’</w:t>
      </w:r>
      <w:r w:rsidR="00417A0F">
        <w:rPr>
          <w:lang w:val="fr-FR"/>
        </w:rPr>
        <w:t>élaboration</w:t>
      </w:r>
      <w:r>
        <w:rPr>
          <w:lang w:val="fr-FR"/>
        </w:rPr>
        <w:t xml:space="preserve"> du deuxième programme de travail de </w:t>
      </w:r>
      <w:r w:rsidR="003B3152">
        <w:rPr>
          <w:lang w:val="fr-FR"/>
        </w:rPr>
        <w:t>la Plateforme</w:t>
      </w:r>
      <w:r>
        <w:rPr>
          <w:lang w:val="fr-FR"/>
        </w:rPr>
        <w:t xml:space="preserve">. </w:t>
      </w:r>
    </w:p>
    <w:p w:rsidR="00BD6F73" w:rsidRPr="00417A0F" w:rsidRDefault="00417A0F" w:rsidP="000B5220">
      <w:pPr>
        <w:pStyle w:val="Normal-pool"/>
        <w:spacing w:before="120"/>
        <w:rPr>
          <w:rFonts w:eastAsia="Gulim"/>
          <w:b/>
          <w:sz w:val="24"/>
          <w:szCs w:val="24"/>
        </w:rPr>
      </w:pPr>
      <w:r w:rsidRPr="005F609B">
        <w:rPr>
          <w:b/>
          <w:lang w:val="fr-FR"/>
        </w:rPr>
        <w:t>C</w:t>
      </w:r>
      <w:r w:rsidR="00BD6F73" w:rsidRPr="005F609B">
        <w:rPr>
          <w:b/>
          <w:lang w:val="fr-FR"/>
        </w:rPr>
        <w:t xml:space="preserve">oût </w:t>
      </w:r>
      <w:r w:rsidRPr="005F609B">
        <w:rPr>
          <w:b/>
          <w:lang w:val="fr-FR"/>
        </w:rPr>
        <w:t xml:space="preserve">estimatif </w:t>
      </w:r>
      <w:r w:rsidR="00BD6F73" w:rsidRPr="005F609B">
        <w:rPr>
          <w:b/>
          <w:lang w:val="fr-FR"/>
        </w:rPr>
        <w:t>d</w:t>
      </w:r>
      <w:r w:rsidR="00F351C8">
        <w:rPr>
          <w:b/>
          <w:lang w:val="fr-FR"/>
        </w:rPr>
        <w:t>’</w:t>
      </w:r>
      <w:r w:rsidR="00BD6F73" w:rsidRPr="005F609B">
        <w:rPr>
          <w:b/>
          <w:lang w:val="fr-FR"/>
        </w:rPr>
        <w:t xml:space="preserve">une évaluation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050"/>
        <w:gridCol w:w="3470"/>
        <w:gridCol w:w="1701"/>
      </w:tblGrid>
      <w:tr w:rsidR="00333111" w:rsidRPr="00095C9C" w:rsidTr="00333111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6F73" w:rsidRPr="001D6DE4" w:rsidRDefault="00BD6F73" w:rsidP="0027136B">
            <w:pPr>
              <w:keepNext/>
              <w:keepLines/>
              <w:spacing w:before="40" w:after="40"/>
              <w:rPr>
                <w:rFonts w:eastAsia="SimSun"/>
                <w:i/>
                <w:sz w:val="18"/>
                <w:szCs w:val="18"/>
              </w:rPr>
            </w:pPr>
            <w:r w:rsidRPr="005F609B">
              <w:rPr>
                <w:i/>
                <w:sz w:val="18"/>
                <w:szCs w:val="18"/>
              </w:rPr>
              <w:t>Année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6F73" w:rsidRPr="001D6DE4" w:rsidRDefault="00417A0F" w:rsidP="0027136B">
            <w:pPr>
              <w:keepNext/>
              <w:keepLines/>
              <w:spacing w:before="40" w:after="40"/>
              <w:rPr>
                <w:rFonts w:eastAsia="SimSun"/>
                <w:i/>
                <w:sz w:val="18"/>
                <w:szCs w:val="18"/>
              </w:rPr>
            </w:pPr>
            <w:r w:rsidRPr="005F609B">
              <w:rPr>
                <w:i/>
                <w:sz w:val="18"/>
                <w:szCs w:val="18"/>
              </w:rPr>
              <w:t>Rubrique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6F73" w:rsidRPr="001D6DE4" w:rsidRDefault="00BD6F73" w:rsidP="0027136B">
            <w:pPr>
              <w:keepNext/>
              <w:keepLines/>
              <w:spacing w:before="40" w:after="40"/>
              <w:rPr>
                <w:rFonts w:eastAsia="SimSun"/>
                <w:i/>
                <w:sz w:val="18"/>
                <w:szCs w:val="18"/>
              </w:rPr>
            </w:pPr>
            <w:r w:rsidRPr="005F609B">
              <w:rPr>
                <w:i/>
                <w:sz w:val="18"/>
                <w:szCs w:val="18"/>
              </w:rPr>
              <w:t>Hypothèses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6F73" w:rsidRPr="001D6DE4" w:rsidRDefault="00BD6F73" w:rsidP="00417A0F">
            <w:pPr>
              <w:keepNext/>
              <w:keepLines/>
              <w:spacing w:before="40" w:after="40"/>
              <w:jc w:val="right"/>
              <w:rPr>
                <w:rFonts w:eastAsia="SimSun"/>
                <w:i/>
                <w:sz w:val="18"/>
                <w:szCs w:val="18"/>
              </w:rPr>
            </w:pPr>
            <w:r w:rsidRPr="005F609B">
              <w:rPr>
                <w:i/>
                <w:sz w:val="18"/>
                <w:szCs w:val="18"/>
              </w:rPr>
              <w:t>Coûts estim</w:t>
            </w:r>
            <w:r w:rsidR="00417A0F" w:rsidRPr="005F609B">
              <w:rPr>
                <w:i/>
                <w:sz w:val="18"/>
                <w:szCs w:val="18"/>
              </w:rPr>
              <w:t>atifs</w:t>
            </w:r>
            <w:r w:rsidRPr="005F609B">
              <w:rPr>
                <w:i/>
                <w:sz w:val="18"/>
                <w:szCs w:val="18"/>
              </w:rPr>
              <w:t xml:space="preserve"> </w:t>
            </w:r>
            <w:r w:rsidR="00CD05E0">
              <w:rPr>
                <w:i/>
                <w:sz w:val="18"/>
                <w:szCs w:val="18"/>
              </w:rPr>
              <w:br/>
            </w:r>
            <w:r w:rsidRPr="005F609B">
              <w:rPr>
                <w:i/>
                <w:sz w:val="18"/>
                <w:szCs w:val="18"/>
              </w:rPr>
              <w:t xml:space="preserve">(en dollars des </w:t>
            </w:r>
            <w:r w:rsidR="00CD05E0">
              <w:rPr>
                <w:i/>
                <w:sz w:val="18"/>
                <w:szCs w:val="18"/>
              </w:rPr>
              <w:br/>
            </w:r>
            <w:r w:rsidRPr="005F609B">
              <w:rPr>
                <w:i/>
                <w:sz w:val="18"/>
                <w:szCs w:val="18"/>
              </w:rPr>
              <w:t xml:space="preserve">États-Unis) </w:t>
            </w:r>
          </w:p>
        </w:tc>
      </w:tr>
      <w:tr w:rsidR="00333111" w:rsidRPr="001D6DE4" w:rsidTr="00333111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6F73" w:rsidRPr="001D6DE4" w:rsidRDefault="00417A0F" w:rsidP="00417A0F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5F609B">
              <w:rPr>
                <w:b/>
                <w:sz w:val="18"/>
                <w:szCs w:val="18"/>
              </w:rPr>
              <w:t>A</w:t>
            </w:r>
            <w:r w:rsidR="00BD6F73" w:rsidRPr="005F609B">
              <w:rPr>
                <w:b/>
                <w:sz w:val="18"/>
                <w:szCs w:val="18"/>
              </w:rPr>
              <w:t>nnée</w:t>
            </w:r>
            <w:r w:rsidRPr="005F609B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0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6F73" w:rsidRPr="001D6DE4" w:rsidRDefault="00BD6F73" w:rsidP="00417A0F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 xml:space="preserve">Réunion de </w:t>
            </w:r>
            <w:r w:rsidR="00417A0F" w:rsidRPr="001D6DE4">
              <w:rPr>
                <w:sz w:val="18"/>
                <w:szCs w:val="18"/>
              </w:rPr>
              <w:t xml:space="preserve">direction </w:t>
            </w:r>
            <w:r w:rsidRPr="001D6DE4">
              <w:rPr>
                <w:sz w:val="18"/>
                <w:szCs w:val="18"/>
              </w:rPr>
              <w:t>(coprésidents, secrétariat, groupe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appui technique et membres du Groupe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experts multidisciplinaire et du Bureau)</w:t>
            </w:r>
          </w:p>
        </w:tc>
        <w:tc>
          <w:tcPr>
            <w:tcW w:w="3470" w:type="dxa"/>
            <w:tcBorders>
              <w:top w:val="single" w:sz="12" w:space="0" w:color="auto"/>
            </w:tcBorders>
            <w:shd w:val="clear" w:color="auto" w:fill="auto"/>
          </w:tcPr>
          <w:p w:rsidR="00BD6F73" w:rsidRPr="001D6DE4" w:rsidRDefault="0027136B" w:rsidP="00CD05E0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 xml:space="preserve">Frais </w:t>
            </w:r>
            <w:r w:rsidR="00BD669B" w:rsidRPr="001D6DE4">
              <w:rPr>
                <w:sz w:val="18"/>
                <w:szCs w:val="18"/>
              </w:rPr>
              <w:t xml:space="preserve">afférents à la salle de réunion </w:t>
            </w:r>
            <w:r w:rsidR="00CD05E0">
              <w:rPr>
                <w:sz w:val="18"/>
                <w:szCs w:val="18"/>
              </w:rPr>
              <w:br/>
            </w:r>
            <w:r w:rsidRPr="001D6DE4">
              <w:rPr>
                <w:sz w:val="18"/>
                <w:szCs w:val="18"/>
              </w:rPr>
              <w:t>(1/2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semaine, 6 participants à Bonn)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D6F73" w:rsidRPr="001D6DE4" w:rsidRDefault="00BD6F73" w:rsidP="0027136B">
            <w:pPr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  <w:vAlign w:val="center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470" w:type="dxa"/>
            <w:shd w:val="clear" w:color="auto" w:fill="auto"/>
          </w:tcPr>
          <w:p w:rsidR="00BD6F73" w:rsidRPr="001D6DE4" w:rsidRDefault="00BD6F73" w:rsidP="00BD669B">
            <w:pPr>
              <w:spacing w:before="40" w:after="6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Frais de voyage et indemnités journalières de subsistance (4 x 3</w:t>
            </w:r>
            <w:r w:rsidR="00BD669B" w:rsidRPr="001D6DE4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750 dollars)</w:t>
            </w: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27136B">
            <w:pPr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15 000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 w:val="restart"/>
            <w:shd w:val="clear" w:color="auto" w:fill="auto"/>
          </w:tcPr>
          <w:p w:rsidR="00BD6F73" w:rsidRPr="001D6DE4" w:rsidRDefault="00BD6F73" w:rsidP="00CD05E0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Première réunion des auteurs (participants : 2 coprésidents, 12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auteurs coordonnateurs principaux, 36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auteurs principaux et 6 membres désignés du Groupe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experts multidisciplinaire et du Bureau)</w:t>
            </w:r>
          </w:p>
        </w:tc>
        <w:tc>
          <w:tcPr>
            <w:tcW w:w="3470" w:type="dxa"/>
            <w:shd w:val="clear" w:color="auto" w:fill="auto"/>
          </w:tcPr>
          <w:p w:rsidR="00BD6F73" w:rsidRPr="001D6DE4" w:rsidRDefault="00BD669B" w:rsidP="00CD05E0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 xml:space="preserve">Frais afférents à la salle de réunion </w:t>
            </w:r>
            <w:r w:rsidR="0027136B" w:rsidRPr="001D6DE4">
              <w:rPr>
                <w:sz w:val="18"/>
                <w:szCs w:val="18"/>
              </w:rPr>
              <w:t>(correspondant à 75 %, devant être complétés par 25 % en nature); 56</w:t>
            </w:r>
            <w:r w:rsidR="00CD05E0">
              <w:rPr>
                <w:sz w:val="18"/>
                <w:szCs w:val="18"/>
              </w:rPr>
              <w:t> </w:t>
            </w:r>
            <w:r w:rsidR="0027136B" w:rsidRPr="001D6DE4">
              <w:rPr>
                <w:sz w:val="18"/>
                <w:szCs w:val="18"/>
              </w:rPr>
              <w:t>participants (dont 42 sont financés)</w:t>
            </w: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A12487">
            <w:pPr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18 750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  <w:vAlign w:val="center"/>
          </w:tcPr>
          <w:p w:rsidR="00BD6F73" w:rsidRPr="001D6DE4" w:rsidRDefault="00BD6F73" w:rsidP="0027136B">
            <w:pPr>
              <w:spacing w:before="40" w:after="40"/>
              <w:ind w:left="140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470" w:type="dxa"/>
            <w:shd w:val="clear" w:color="auto" w:fill="auto"/>
          </w:tcPr>
          <w:p w:rsidR="00BD6F73" w:rsidRPr="001D6DE4" w:rsidRDefault="00BD6F73" w:rsidP="00BD669B">
            <w:pPr>
              <w:spacing w:before="40" w:after="6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Frais de voyage et indemnités journalières de subsistance (42 x 3</w:t>
            </w:r>
            <w:r w:rsidR="00BD669B" w:rsidRPr="001D6DE4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750 dollars)</w:t>
            </w: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27136B">
            <w:pPr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157 500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shd w:val="clear" w:color="auto" w:fill="auto"/>
          </w:tcPr>
          <w:p w:rsidR="00BD6F73" w:rsidRPr="001D6DE4" w:rsidRDefault="00BD6F73" w:rsidP="00CD05E0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Appui technique</w:t>
            </w:r>
          </w:p>
        </w:tc>
        <w:tc>
          <w:tcPr>
            <w:tcW w:w="3470" w:type="dxa"/>
            <w:shd w:val="clear" w:color="auto" w:fill="auto"/>
          </w:tcPr>
          <w:p w:rsidR="00BD6F73" w:rsidRPr="001D6DE4" w:rsidRDefault="00BD6F73" w:rsidP="0027136B">
            <w:pPr>
              <w:spacing w:before="40" w:after="6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Un poste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administrateur équivalent plein temps, frais de voyage et frais généraux (devant être accompagnés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une offre en nature de valeur équivalente)</w:t>
            </w: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CD05E0">
            <w:pPr>
              <w:spacing w:before="40" w:after="40"/>
              <w:jc w:val="right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1D6DE4">
              <w:rPr>
                <w:sz w:val="18"/>
                <w:szCs w:val="18"/>
              </w:rPr>
              <w:t>75 000</w:t>
            </w:r>
          </w:p>
        </w:tc>
      </w:tr>
      <w:tr w:rsidR="00333111" w:rsidRPr="001D6DE4" w:rsidTr="0033311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6F73" w:rsidRPr="005F609B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BD669B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293315">
              <w:rPr>
                <w:b/>
                <w:sz w:val="18"/>
                <w:szCs w:val="18"/>
              </w:rPr>
              <w:t xml:space="preserve">Total </w:t>
            </w:r>
            <w:r w:rsidR="00BD669B" w:rsidRPr="00293315">
              <w:rPr>
                <w:b/>
                <w:sz w:val="18"/>
                <w:szCs w:val="18"/>
              </w:rPr>
              <w:t>(</w:t>
            </w:r>
            <w:r w:rsidRPr="00293315">
              <w:rPr>
                <w:b/>
                <w:sz w:val="18"/>
                <w:szCs w:val="18"/>
              </w:rPr>
              <w:t>année</w:t>
            </w:r>
            <w:r w:rsidR="00BD669B" w:rsidRPr="00293315">
              <w:rPr>
                <w:b/>
                <w:sz w:val="18"/>
                <w:szCs w:val="18"/>
              </w:rPr>
              <w:t xml:space="preserve"> 1)</w:t>
            </w:r>
            <w:r w:rsidRPr="00293315"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27136B">
            <w:pPr>
              <w:spacing w:before="40" w:after="40"/>
              <w:jc w:val="right"/>
              <w:rPr>
                <w:rFonts w:eastAsia="SimSun"/>
                <w:b/>
                <w:sz w:val="18"/>
                <w:szCs w:val="18"/>
              </w:rPr>
            </w:pPr>
            <w:r w:rsidRPr="00293315">
              <w:rPr>
                <w:b/>
                <w:sz w:val="18"/>
                <w:szCs w:val="18"/>
              </w:rPr>
              <w:t>266 250</w:t>
            </w:r>
          </w:p>
        </w:tc>
      </w:tr>
      <w:tr w:rsidR="00333111" w:rsidRPr="001D6DE4" w:rsidTr="00333111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69B" w:rsidP="00BD669B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5F609B">
              <w:rPr>
                <w:b/>
                <w:sz w:val="18"/>
                <w:szCs w:val="18"/>
              </w:rPr>
              <w:t>A</w:t>
            </w:r>
            <w:r w:rsidR="00BD6F73" w:rsidRPr="005F609B">
              <w:rPr>
                <w:b/>
                <w:sz w:val="18"/>
                <w:szCs w:val="18"/>
              </w:rPr>
              <w:t>nnée</w:t>
            </w:r>
            <w:r w:rsidRPr="005F609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F73" w:rsidP="00CD05E0">
            <w:pPr>
              <w:keepNext/>
              <w:keepLines/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Deuxième réunion des auteurs (participants : 2 coprésidents, 12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auteurs coordonnateurs principaux, 36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auteurs principaux, 12 éditeurs-réviseurs et 6 membres désignés du Groupe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experts multidisciplinaire et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du Bureau)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E15666" w:rsidP="00CD05E0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 xml:space="preserve">Frais </w:t>
            </w:r>
            <w:r w:rsidR="00BD669B" w:rsidRPr="001D6DE4">
              <w:rPr>
                <w:sz w:val="18"/>
                <w:szCs w:val="18"/>
              </w:rPr>
              <w:t xml:space="preserve">afférents à la salle de réunion </w:t>
            </w:r>
            <w:r w:rsidRPr="001D6DE4">
              <w:rPr>
                <w:sz w:val="18"/>
                <w:szCs w:val="18"/>
              </w:rPr>
              <w:t>(correspondant à 75 %, devant être complétés par 25 % en nature); 68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participants (dont 51 sont financés)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F73" w:rsidP="00A12487">
            <w:pPr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20 000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  <w:vAlign w:val="center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470" w:type="dxa"/>
            <w:shd w:val="clear" w:color="auto" w:fill="auto"/>
          </w:tcPr>
          <w:p w:rsidR="00BD6F73" w:rsidRPr="001D6DE4" w:rsidRDefault="00BD6F73" w:rsidP="00BD669B">
            <w:pPr>
              <w:spacing w:before="40" w:after="6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Frais de voyage et indemnités journalières de subsistance (51 x 3</w:t>
            </w:r>
            <w:r w:rsidR="00BD669B" w:rsidRPr="001D6DE4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750 dollars)</w:t>
            </w: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27136B">
            <w:pPr>
              <w:spacing w:before="40" w:after="12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191 250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  <w:vAlign w:val="center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shd w:val="clear" w:color="auto" w:fill="auto"/>
          </w:tcPr>
          <w:p w:rsidR="00BD6F73" w:rsidRPr="001D6DE4" w:rsidRDefault="00BD6F73" w:rsidP="00CD05E0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Appui technique</w:t>
            </w:r>
          </w:p>
        </w:tc>
        <w:tc>
          <w:tcPr>
            <w:tcW w:w="3470" w:type="dxa"/>
            <w:shd w:val="clear" w:color="auto" w:fill="auto"/>
          </w:tcPr>
          <w:p w:rsidR="00BD6F73" w:rsidRPr="001D6DE4" w:rsidRDefault="00BD6F73" w:rsidP="0027136B">
            <w:pPr>
              <w:spacing w:before="40" w:after="6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Un poste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administrateur équivalent plein temps, frais de voyage et frais généraux (devant être accompagnés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une offre en nature de valeur équivalente)</w:t>
            </w: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CD05E0">
            <w:pPr>
              <w:spacing w:before="40" w:after="40"/>
              <w:jc w:val="right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1D6DE4">
              <w:rPr>
                <w:sz w:val="18"/>
                <w:szCs w:val="18"/>
              </w:rPr>
              <w:t>75 000</w:t>
            </w:r>
          </w:p>
        </w:tc>
      </w:tr>
      <w:tr w:rsidR="00333111" w:rsidRPr="001D6DE4" w:rsidTr="0033311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F73" w:rsidRPr="005F609B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BD669B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293315">
              <w:rPr>
                <w:b/>
                <w:sz w:val="18"/>
                <w:szCs w:val="18"/>
              </w:rPr>
              <w:t>Total</w:t>
            </w:r>
            <w:r w:rsidR="00BD669B" w:rsidRPr="00293315">
              <w:rPr>
                <w:b/>
                <w:sz w:val="18"/>
                <w:szCs w:val="18"/>
              </w:rPr>
              <w:t xml:space="preserve"> (année 2) </w:t>
            </w:r>
            <w:r w:rsidRPr="0029331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A12487">
            <w:pPr>
              <w:spacing w:before="40" w:after="40"/>
              <w:jc w:val="right"/>
              <w:rPr>
                <w:rFonts w:eastAsia="SimSun"/>
                <w:b/>
                <w:sz w:val="18"/>
                <w:szCs w:val="18"/>
              </w:rPr>
            </w:pPr>
            <w:r w:rsidRPr="00293315">
              <w:rPr>
                <w:b/>
                <w:sz w:val="18"/>
                <w:szCs w:val="18"/>
              </w:rPr>
              <w:t>286 250</w:t>
            </w:r>
          </w:p>
        </w:tc>
      </w:tr>
      <w:tr w:rsidR="00333111" w:rsidRPr="001D6DE4" w:rsidTr="00333111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69B" w:rsidP="00BD669B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5F609B">
              <w:rPr>
                <w:b/>
                <w:sz w:val="18"/>
                <w:szCs w:val="18"/>
              </w:rPr>
              <w:t>A</w:t>
            </w:r>
            <w:r w:rsidR="00BD6F73" w:rsidRPr="005F609B">
              <w:rPr>
                <w:b/>
                <w:sz w:val="18"/>
                <w:szCs w:val="18"/>
              </w:rPr>
              <w:t>nnée</w:t>
            </w:r>
            <w:r w:rsidRPr="005F609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F73" w:rsidP="00CD05E0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Troisième réunion des auteurs (participants : 2 coprésidents, 12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auteurs coordonnateurs principaux, 36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auteurs principaux, 12 éditeurs-réviseurs et 6 membres désignés du Groupe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experts multidisciplinaire et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du Bureau)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E15666" w:rsidP="00CD05E0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 xml:space="preserve">Frais </w:t>
            </w:r>
            <w:r w:rsidR="00BD669B" w:rsidRPr="001D6DE4">
              <w:rPr>
                <w:sz w:val="18"/>
                <w:szCs w:val="18"/>
              </w:rPr>
              <w:t xml:space="preserve">afférents à la salle de réunion </w:t>
            </w:r>
            <w:r w:rsidRPr="001D6DE4">
              <w:rPr>
                <w:sz w:val="18"/>
                <w:szCs w:val="18"/>
              </w:rPr>
              <w:t>(correspondant à 75 %, devant être complétés par 25 % en nature); 68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participants (dont 51 sont financés)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F73" w:rsidP="00A12487">
            <w:pPr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20 000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  <w:vAlign w:val="center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470" w:type="dxa"/>
            <w:shd w:val="clear" w:color="auto" w:fill="auto"/>
          </w:tcPr>
          <w:p w:rsidR="00BD6F73" w:rsidRPr="001D6DE4" w:rsidRDefault="00BD6F73" w:rsidP="0027136B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Frais de voyage et indemnités journalières de subsistance (51 x 3</w:t>
            </w:r>
            <w:r w:rsidR="00A92289" w:rsidRPr="001D6DE4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750 dollars)</w:t>
            </w: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A12487">
            <w:pPr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191 250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  <w:vAlign w:val="center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shd w:val="clear" w:color="auto" w:fill="auto"/>
          </w:tcPr>
          <w:p w:rsidR="00BD6F73" w:rsidRPr="001D6DE4" w:rsidRDefault="00BD6F73" w:rsidP="0027136B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Appui technique</w:t>
            </w:r>
          </w:p>
        </w:tc>
        <w:tc>
          <w:tcPr>
            <w:tcW w:w="3470" w:type="dxa"/>
            <w:shd w:val="clear" w:color="auto" w:fill="auto"/>
          </w:tcPr>
          <w:p w:rsidR="00BD6F73" w:rsidRPr="001D6DE4" w:rsidRDefault="00BD6F73" w:rsidP="0027136B">
            <w:pPr>
              <w:spacing w:before="40" w:after="6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Un poste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administrateur équivalent plein temps, frais de voyage et frais généraux (devant être accompagnés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une offre en nature de valeur équivalente)</w:t>
            </w: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27136B">
            <w:pPr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75 000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shd w:val="clear" w:color="auto" w:fill="auto"/>
          </w:tcPr>
          <w:p w:rsidR="00BD6F73" w:rsidRPr="001D6DE4" w:rsidRDefault="00A92289" w:rsidP="00A92289">
            <w:pPr>
              <w:spacing w:afterLines="60" w:after="144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C</w:t>
            </w:r>
            <w:r w:rsidR="00BD6F73" w:rsidRPr="001D6DE4">
              <w:rPr>
                <w:sz w:val="18"/>
                <w:szCs w:val="18"/>
              </w:rPr>
              <w:t>ommunication et sensibilisation</w:t>
            </w:r>
          </w:p>
        </w:tc>
        <w:tc>
          <w:tcPr>
            <w:tcW w:w="3470" w:type="dxa"/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afterLines="60" w:after="144"/>
              <w:ind w:left="1247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A12487">
            <w:pPr>
              <w:spacing w:afterLines="60" w:after="144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50 000</w:t>
            </w:r>
          </w:p>
        </w:tc>
      </w:tr>
      <w:tr w:rsidR="00333111" w:rsidRPr="001D6DE4" w:rsidTr="0033311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6F73" w:rsidRPr="005F609B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BD669B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293315">
              <w:rPr>
                <w:b/>
                <w:sz w:val="18"/>
                <w:szCs w:val="18"/>
              </w:rPr>
              <w:t xml:space="preserve">Total </w:t>
            </w:r>
            <w:r w:rsidR="00BD669B" w:rsidRPr="00293315">
              <w:rPr>
                <w:b/>
                <w:sz w:val="18"/>
                <w:szCs w:val="18"/>
              </w:rPr>
              <w:t>(</w:t>
            </w:r>
            <w:r w:rsidRPr="00293315">
              <w:rPr>
                <w:b/>
                <w:sz w:val="18"/>
                <w:szCs w:val="18"/>
              </w:rPr>
              <w:t>année</w:t>
            </w:r>
            <w:r w:rsidR="00BD669B" w:rsidRPr="00293315">
              <w:rPr>
                <w:b/>
                <w:sz w:val="18"/>
                <w:szCs w:val="18"/>
              </w:rPr>
              <w:t xml:space="preserve"> 3)</w:t>
            </w:r>
            <w:r w:rsidRPr="00293315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27136B">
            <w:pPr>
              <w:spacing w:before="40" w:after="40"/>
              <w:jc w:val="right"/>
              <w:rPr>
                <w:rFonts w:eastAsia="SimSun"/>
                <w:b/>
                <w:sz w:val="18"/>
                <w:szCs w:val="18"/>
              </w:rPr>
            </w:pPr>
            <w:r w:rsidRPr="00293315">
              <w:rPr>
                <w:b/>
                <w:sz w:val="18"/>
                <w:szCs w:val="18"/>
              </w:rPr>
              <w:t>336 250</w:t>
            </w:r>
          </w:p>
        </w:tc>
      </w:tr>
      <w:tr w:rsidR="00333111" w:rsidRPr="001D6DE4" w:rsidTr="00333111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69B" w:rsidP="00A92289">
            <w:pPr>
              <w:keepNext/>
              <w:keepLines/>
              <w:spacing w:before="40" w:after="40"/>
              <w:rPr>
                <w:rFonts w:eastAsia="SimSun"/>
                <w:sz w:val="18"/>
                <w:szCs w:val="18"/>
              </w:rPr>
            </w:pPr>
            <w:r w:rsidRPr="005F609B">
              <w:rPr>
                <w:b/>
                <w:sz w:val="18"/>
                <w:szCs w:val="18"/>
              </w:rPr>
              <w:t>A</w:t>
            </w:r>
            <w:r w:rsidR="00BD6F73" w:rsidRPr="005F609B">
              <w:rPr>
                <w:b/>
                <w:sz w:val="18"/>
                <w:szCs w:val="18"/>
              </w:rPr>
              <w:t xml:space="preserve">nnée </w:t>
            </w:r>
            <w:r w:rsidRPr="005F609B">
              <w:rPr>
                <w:b/>
                <w:sz w:val="18"/>
                <w:szCs w:val="18"/>
              </w:rPr>
              <w:t>4</w:t>
            </w:r>
            <w:r w:rsidRPr="001D6DE4">
              <w:rPr>
                <w:sz w:val="18"/>
                <w:szCs w:val="18"/>
              </w:rPr>
              <w:t xml:space="preserve"> </w:t>
            </w:r>
            <w:r w:rsidR="00BD6F73" w:rsidRPr="001D6DE4">
              <w:rPr>
                <w:sz w:val="18"/>
                <w:szCs w:val="18"/>
              </w:rPr>
              <w:t>(lancement de l</w:t>
            </w:r>
            <w:r w:rsidR="00F351C8">
              <w:rPr>
                <w:sz w:val="18"/>
                <w:szCs w:val="18"/>
              </w:rPr>
              <w:t>’</w:t>
            </w:r>
            <w:r w:rsidR="00BD6F73" w:rsidRPr="001D6DE4">
              <w:rPr>
                <w:sz w:val="18"/>
                <w:szCs w:val="18"/>
              </w:rPr>
              <w:t xml:space="preserve">évaluation et activités </w:t>
            </w:r>
            <w:r w:rsidR="00CD05E0">
              <w:rPr>
                <w:sz w:val="18"/>
                <w:szCs w:val="18"/>
              </w:rPr>
              <w:br/>
            </w:r>
            <w:r w:rsidR="00BD6F73" w:rsidRPr="001D6DE4">
              <w:rPr>
                <w:sz w:val="18"/>
                <w:szCs w:val="18"/>
              </w:rPr>
              <w:t>post-lancement)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F73" w:rsidP="00CD05E0">
            <w:pPr>
              <w:keepNext/>
              <w:keepLines/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 xml:space="preserve">Participation de 8 experts, </w:t>
            </w:r>
            <w:r w:rsidR="00A92289" w:rsidRPr="001D6DE4">
              <w:rPr>
                <w:sz w:val="18"/>
                <w:szCs w:val="18"/>
              </w:rPr>
              <w:t xml:space="preserve">dont </w:t>
            </w:r>
            <w:r w:rsidRPr="001D6DE4">
              <w:rPr>
                <w:sz w:val="18"/>
                <w:szCs w:val="18"/>
              </w:rPr>
              <w:t>2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coprésidents et 6 auteurs coordonnateurs principaux ou auteurs principaux</w:t>
            </w:r>
            <w:r w:rsidR="00A92289" w:rsidRPr="001D6DE4">
              <w:rPr>
                <w:sz w:val="18"/>
                <w:szCs w:val="18"/>
              </w:rPr>
              <w:t>,</w:t>
            </w:r>
            <w:r w:rsidRPr="001D6DE4">
              <w:rPr>
                <w:sz w:val="18"/>
                <w:szCs w:val="18"/>
              </w:rPr>
              <w:t xml:space="preserve"> à la huitième session de la</w:t>
            </w:r>
            <w:r w:rsidR="00CD05E0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 xml:space="preserve">Plénière 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F73" w:rsidP="000B5220">
            <w:pPr>
              <w:keepNext/>
              <w:keepLines/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8 participants (dont 6 sont financés)</w:t>
            </w:r>
          </w:p>
          <w:p w:rsidR="00BD6F73" w:rsidRPr="001D6DE4" w:rsidRDefault="00BD6F73" w:rsidP="00CD05E0">
            <w:pPr>
              <w:keepNext/>
              <w:keepLines/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 xml:space="preserve">Frais de voyage et indemnités journalières de subsistance </w:t>
            </w:r>
            <w:r w:rsidR="00CD05E0">
              <w:rPr>
                <w:sz w:val="18"/>
                <w:szCs w:val="18"/>
              </w:rPr>
              <w:t>(</w:t>
            </w:r>
            <w:r w:rsidRPr="001D6DE4">
              <w:rPr>
                <w:sz w:val="18"/>
                <w:szCs w:val="18"/>
              </w:rPr>
              <w:t>6 × 3</w:t>
            </w:r>
            <w:r w:rsidR="00A92289" w:rsidRPr="001D6DE4">
              <w:rPr>
                <w:sz w:val="18"/>
                <w:szCs w:val="18"/>
              </w:rPr>
              <w:t> </w:t>
            </w:r>
            <w:r w:rsidRPr="001D6DE4">
              <w:rPr>
                <w:sz w:val="18"/>
                <w:szCs w:val="18"/>
              </w:rPr>
              <w:t>750 dollars)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6F73" w:rsidRPr="001D6DE4" w:rsidRDefault="00BD6F73" w:rsidP="000B5220">
            <w:pPr>
              <w:keepNext/>
              <w:keepLines/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22 500</w:t>
            </w:r>
          </w:p>
        </w:tc>
      </w:tr>
      <w:tr w:rsidR="00333111" w:rsidRPr="001D6DE4" w:rsidTr="00333111">
        <w:tc>
          <w:tcPr>
            <w:tcW w:w="1560" w:type="dxa"/>
            <w:vMerge/>
            <w:shd w:val="clear" w:color="auto" w:fill="auto"/>
          </w:tcPr>
          <w:p w:rsidR="00BD6F73" w:rsidRPr="001D6DE4" w:rsidRDefault="00BD6F73" w:rsidP="000B5220">
            <w:pPr>
              <w:keepNext/>
              <w:keepLines/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shd w:val="clear" w:color="auto" w:fill="auto"/>
          </w:tcPr>
          <w:p w:rsidR="00BD6F73" w:rsidRPr="001D6DE4" w:rsidRDefault="00BD6F73" w:rsidP="00CD05E0">
            <w:pPr>
              <w:keepNext/>
              <w:keepLines/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Appui technique (pendant trois mois suivant la date de lancement du rapport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évaluation à la Plénière)</w:t>
            </w:r>
          </w:p>
        </w:tc>
        <w:tc>
          <w:tcPr>
            <w:tcW w:w="3470" w:type="dxa"/>
            <w:shd w:val="clear" w:color="auto" w:fill="auto"/>
          </w:tcPr>
          <w:p w:rsidR="00BD6F73" w:rsidRPr="001D6DE4" w:rsidRDefault="00BD6F73" w:rsidP="000B5220">
            <w:pPr>
              <w:keepNext/>
              <w:keepLines/>
              <w:spacing w:before="40" w:after="40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Un poste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administrateur équivalent plein temps, frais de voyage et frais généraux (devant être accompagnés d</w:t>
            </w:r>
            <w:r w:rsidR="00F351C8">
              <w:rPr>
                <w:sz w:val="18"/>
                <w:szCs w:val="18"/>
              </w:rPr>
              <w:t>’</w:t>
            </w:r>
            <w:r w:rsidRPr="001D6DE4">
              <w:rPr>
                <w:sz w:val="18"/>
                <w:szCs w:val="18"/>
              </w:rPr>
              <w:t>une offre en nature de valeur équivalente)</w:t>
            </w:r>
          </w:p>
        </w:tc>
        <w:tc>
          <w:tcPr>
            <w:tcW w:w="1701" w:type="dxa"/>
            <w:shd w:val="clear" w:color="auto" w:fill="auto"/>
          </w:tcPr>
          <w:p w:rsidR="00BD6F73" w:rsidRPr="001D6DE4" w:rsidRDefault="00BD6F73" w:rsidP="00CD05E0">
            <w:pPr>
              <w:keepNext/>
              <w:keepLines/>
              <w:spacing w:before="40" w:after="40"/>
              <w:jc w:val="right"/>
              <w:rPr>
                <w:rFonts w:eastAsia="SimSun"/>
                <w:sz w:val="18"/>
                <w:szCs w:val="18"/>
              </w:rPr>
            </w:pPr>
            <w:r w:rsidRPr="001D6DE4">
              <w:rPr>
                <w:sz w:val="18"/>
                <w:szCs w:val="18"/>
              </w:rPr>
              <w:t>18 750</w:t>
            </w:r>
          </w:p>
        </w:tc>
      </w:tr>
      <w:tr w:rsidR="00CD05E0" w:rsidRPr="001D6DE4" w:rsidTr="00333111">
        <w:tc>
          <w:tcPr>
            <w:tcW w:w="1560" w:type="dxa"/>
            <w:shd w:val="clear" w:color="auto" w:fill="auto"/>
          </w:tcPr>
          <w:p w:rsidR="00CD05E0" w:rsidRPr="001D6DE4" w:rsidRDefault="00CD05E0" w:rsidP="000B5220">
            <w:pPr>
              <w:keepNext/>
              <w:keepLines/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shd w:val="clear" w:color="auto" w:fill="auto"/>
          </w:tcPr>
          <w:p w:rsidR="00CD05E0" w:rsidRPr="001D6DE4" w:rsidRDefault="00CD05E0" w:rsidP="00CD05E0">
            <w:pPr>
              <w:keepNext/>
              <w:keepLines/>
              <w:spacing w:before="40" w:afterLines="60" w:after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et sensibilisation</w:t>
            </w:r>
          </w:p>
        </w:tc>
        <w:tc>
          <w:tcPr>
            <w:tcW w:w="3470" w:type="dxa"/>
            <w:shd w:val="clear" w:color="auto" w:fill="auto"/>
          </w:tcPr>
          <w:p w:rsidR="00CD05E0" w:rsidRPr="001D6DE4" w:rsidRDefault="00CD05E0" w:rsidP="000B5220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05E0" w:rsidRPr="001D6DE4" w:rsidRDefault="00CD05E0" w:rsidP="000B5220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67 000</w:t>
            </w:r>
          </w:p>
        </w:tc>
      </w:tr>
      <w:tr w:rsidR="00333111" w:rsidRPr="001D6DE4" w:rsidTr="0033311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6F73" w:rsidRPr="005F609B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BD669B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293315">
              <w:rPr>
                <w:b/>
                <w:sz w:val="18"/>
                <w:szCs w:val="18"/>
              </w:rPr>
              <w:t xml:space="preserve">Total </w:t>
            </w:r>
            <w:r w:rsidR="00BD669B" w:rsidRPr="00293315">
              <w:rPr>
                <w:b/>
                <w:sz w:val="18"/>
                <w:szCs w:val="18"/>
              </w:rPr>
              <w:t>(</w:t>
            </w:r>
            <w:r w:rsidRPr="00293315">
              <w:rPr>
                <w:b/>
                <w:sz w:val="18"/>
                <w:szCs w:val="18"/>
              </w:rPr>
              <w:t xml:space="preserve">année </w:t>
            </w:r>
            <w:r w:rsidR="00BD669B" w:rsidRPr="00293315">
              <w:rPr>
                <w:b/>
                <w:sz w:val="18"/>
                <w:szCs w:val="18"/>
              </w:rPr>
              <w:t xml:space="preserve">4) </w:t>
            </w:r>
            <w:r w:rsidRPr="0029331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6F73" w:rsidRPr="00293315" w:rsidRDefault="00BD6F73" w:rsidP="00A12487">
            <w:pPr>
              <w:spacing w:before="40" w:after="40"/>
              <w:jc w:val="right"/>
              <w:rPr>
                <w:rFonts w:eastAsia="SimSun"/>
                <w:b/>
                <w:sz w:val="18"/>
                <w:szCs w:val="18"/>
              </w:rPr>
            </w:pPr>
            <w:r w:rsidRPr="00293315">
              <w:rPr>
                <w:b/>
                <w:sz w:val="18"/>
                <w:szCs w:val="18"/>
              </w:rPr>
              <w:t>108 250</w:t>
            </w:r>
          </w:p>
        </w:tc>
      </w:tr>
      <w:tr w:rsidR="00333111" w:rsidRPr="001D6DE4" w:rsidTr="00333111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F73" w:rsidRPr="001D6DE4" w:rsidRDefault="00BD6F73" w:rsidP="0027136B">
            <w:pPr>
              <w:spacing w:before="40" w:after="40"/>
              <w:rPr>
                <w:rFonts w:eastAsia="SimSun"/>
                <w:b/>
                <w:sz w:val="18"/>
                <w:szCs w:val="18"/>
              </w:rPr>
            </w:pPr>
            <w:r w:rsidRPr="005F609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contextualSpacing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F73" w:rsidRPr="001D6DE4" w:rsidRDefault="00BD6F73" w:rsidP="0027136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left="1247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F73" w:rsidRPr="001D6DE4" w:rsidRDefault="00BD6F73" w:rsidP="00A12487">
            <w:pPr>
              <w:spacing w:before="40" w:after="40"/>
              <w:jc w:val="right"/>
              <w:rPr>
                <w:rFonts w:eastAsia="SimSun"/>
                <w:b/>
                <w:sz w:val="18"/>
                <w:szCs w:val="18"/>
              </w:rPr>
            </w:pPr>
            <w:r w:rsidRPr="005F609B">
              <w:rPr>
                <w:b/>
                <w:sz w:val="18"/>
                <w:szCs w:val="18"/>
              </w:rPr>
              <w:t>997 000</w:t>
            </w:r>
          </w:p>
        </w:tc>
      </w:tr>
    </w:tbl>
    <w:p w:rsidR="00BD6F73" w:rsidRDefault="00BD6F73" w:rsidP="00BD6F73">
      <w:pPr>
        <w:pStyle w:val="NormalPlain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09"/>
        <w:gridCol w:w="2010"/>
      </w:tblGrid>
      <w:tr w:rsidR="00333111" w:rsidTr="000B5220">
        <w:tc>
          <w:tcPr>
            <w:tcW w:w="2009" w:type="dxa"/>
          </w:tcPr>
          <w:p w:rsidR="00333111" w:rsidRDefault="00333111" w:rsidP="000B5220">
            <w:pPr>
              <w:pStyle w:val="NormalPlain"/>
              <w:spacing w:before="520"/>
              <w:ind w:left="0"/>
              <w:rPr>
                <w:b/>
              </w:rPr>
            </w:pPr>
          </w:p>
        </w:tc>
        <w:tc>
          <w:tcPr>
            <w:tcW w:w="2009" w:type="dxa"/>
          </w:tcPr>
          <w:p w:rsidR="00333111" w:rsidRDefault="00333111" w:rsidP="000B5220">
            <w:pPr>
              <w:pStyle w:val="NormalPlain"/>
              <w:spacing w:before="520"/>
              <w:ind w:left="0"/>
              <w:rPr>
                <w:b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33111" w:rsidRDefault="00333111" w:rsidP="000B5220">
            <w:pPr>
              <w:pStyle w:val="NormalPlain"/>
              <w:spacing w:before="520"/>
              <w:ind w:left="0"/>
              <w:rPr>
                <w:b/>
              </w:rPr>
            </w:pPr>
          </w:p>
        </w:tc>
        <w:tc>
          <w:tcPr>
            <w:tcW w:w="2009" w:type="dxa"/>
          </w:tcPr>
          <w:p w:rsidR="00333111" w:rsidRDefault="00333111" w:rsidP="000B5220">
            <w:pPr>
              <w:pStyle w:val="NormalPlain"/>
              <w:spacing w:before="520"/>
              <w:ind w:left="0"/>
              <w:rPr>
                <w:b/>
              </w:rPr>
            </w:pPr>
          </w:p>
        </w:tc>
        <w:tc>
          <w:tcPr>
            <w:tcW w:w="2010" w:type="dxa"/>
          </w:tcPr>
          <w:p w:rsidR="00333111" w:rsidRDefault="00333111" w:rsidP="000B5220">
            <w:pPr>
              <w:pStyle w:val="NormalPlain"/>
              <w:spacing w:before="520"/>
              <w:ind w:left="0"/>
              <w:rPr>
                <w:b/>
              </w:rPr>
            </w:pPr>
          </w:p>
        </w:tc>
      </w:tr>
    </w:tbl>
    <w:p w:rsidR="00333111" w:rsidRDefault="00333111" w:rsidP="00BD6F73">
      <w:pPr>
        <w:pStyle w:val="NormalPlain"/>
        <w:ind w:left="0"/>
      </w:pPr>
    </w:p>
    <w:sectPr w:rsidR="00333111" w:rsidSect="005F60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462264" w15:done="0"/>
  <w15:commentEx w15:paraId="34084E29" w15:done="0"/>
  <w15:commentEx w15:paraId="68409A69" w15:done="0"/>
  <w15:commentEx w15:paraId="5F75DCCC" w15:done="0"/>
  <w15:commentEx w15:paraId="381A4B39" w15:done="0"/>
  <w15:commentEx w15:paraId="2865E678" w15:done="0"/>
  <w15:commentEx w15:paraId="6847587E" w15:done="0"/>
  <w15:commentEx w15:paraId="141ABDE1" w15:done="0"/>
  <w15:commentEx w15:paraId="60F32DFD" w15:done="0"/>
  <w15:commentEx w15:paraId="0F020884" w15:done="0"/>
  <w15:commentEx w15:paraId="41435172" w15:done="0"/>
  <w15:commentEx w15:paraId="4E985E80" w15:done="0"/>
  <w15:commentEx w15:paraId="5AF689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B6" w:rsidRDefault="00A004B6">
      <w:r>
        <w:separator/>
      </w:r>
    </w:p>
  </w:endnote>
  <w:endnote w:type="continuationSeparator" w:id="0">
    <w:p w:rsidR="00A004B6" w:rsidRDefault="00A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Cs w:val="18"/>
      </w:rPr>
      <w:id w:val="-1631932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4B6" w:rsidRPr="000B5220" w:rsidRDefault="00A004B6" w:rsidP="000B5220">
        <w:pPr>
          <w:pStyle w:val="Footer"/>
          <w:rPr>
            <w:b/>
            <w:szCs w:val="18"/>
          </w:rPr>
        </w:pPr>
        <w:r w:rsidRPr="000B5220">
          <w:rPr>
            <w:rStyle w:val="Normal-poolChar"/>
            <w:b/>
            <w:szCs w:val="18"/>
          </w:rPr>
          <w:fldChar w:fldCharType="begin"/>
        </w:r>
        <w:r w:rsidRPr="000B5220">
          <w:rPr>
            <w:rStyle w:val="Normal-poolChar"/>
            <w:b/>
            <w:szCs w:val="18"/>
          </w:rPr>
          <w:instrText xml:space="preserve"> PAGE   \* MERGEFORMAT </w:instrText>
        </w:r>
        <w:r w:rsidRPr="000B5220">
          <w:rPr>
            <w:rStyle w:val="Normal-poolChar"/>
            <w:b/>
            <w:szCs w:val="18"/>
          </w:rPr>
          <w:fldChar w:fldCharType="separate"/>
        </w:r>
        <w:r w:rsidR="003A594E">
          <w:rPr>
            <w:rStyle w:val="Normal-poolChar"/>
            <w:b/>
            <w:noProof/>
            <w:szCs w:val="18"/>
          </w:rPr>
          <w:t>4</w:t>
        </w:r>
        <w:r w:rsidRPr="000B5220">
          <w:rPr>
            <w:rStyle w:val="Normal-poolChar"/>
            <w:b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20083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A004B6" w:rsidRPr="000B5220" w:rsidRDefault="00A004B6" w:rsidP="000B5220">
        <w:pPr>
          <w:pStyle w:val="Normal-pool"/>
          <w:jc w:val="right"/>
          <w:rPr>
            <w:b/>
            <w:sz w:val="18"/>
            <w:szCs w:val="18"/>
          </w:rPr>
        </w:pPr>
        <w:r w:rsidRPr="000B5220">
          <w:rPr>
            <w:b/>
            <w:sz w:val="18"/>
            <w:szCs w:val="18"/>
          </w:rPr>
          <w:fldChar w:fldCharType="begin"/>
        </w:r>
        <w:r w:rsidRPr="000B5220">
          <w:rPr>
            <w:b/>
            <w:sz w:val="18"/>
            <w:szCs w:val="18"/>
          </w:rPr>
          <w:instrText xml:space="preserve"> PAGE   \* MERGEFORMAT </w:instrText>
        </w:r>
        <w:r w:rsidRPr="000B5220">
          <w:rPr>
            <w:b/>
            <w:sz w:val="18"/>
            <w:szCs w:val="18"/>
          </w:rPr>
          <w:fldChar w:fldCharType="separate"/>
        </w:r>
        <w:r w:rsidR="003A594E">
          <w:rPr>
            <w:b/>
            <w:noProof/>
            <w:sz w:val="18"/>
            <w:szCs w:val="18"/>
          </w:rPr>
          <w:t>3</w:t>
        </w:r>
        <w:r w:rsidRPr="000B5220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192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4B6" w:rsidRPr="00AD1320" w:rsidRDefault="00557652" w:rsidP="000B5220">
        <w:pPr>
          <w:pStyle w:val="Normal-pool"/>
        </w:pPr>
        <w:r>
          <w:rPr>
            <w:lang w:val="fr-FR"/>
          </w:rPr>
          <w:t>K1612157</w:t>
        </w:r>
        <w:r w:rsidR="00A004B6">
          <w:rPr>
            <w:lang w:val="fr-FR"/>
          </w:rPr>
          <w:tab/>
        </w:r>
        <w:r w:rsidR="0034256A">
          <w:rPr>
            <w:lang w:val="fr-FR"/>
          </w:rPr>
          <w:t>23</w:t>
        </w:r>
        <w:r>
          <w:rPr>
            <w:lang w:val="fr-FR"/>
          </w:rPr>
          <w:t>0117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B6" w:rsidRPr="000B5220" w:rsidRDefault="00A004B6" w:rsidP="00E346FA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/>
        <w:ind w:left="624"/>
        <w:rPr>
          <w:sz w:val="18"/>
          <w:szCs w:val="18"/>
        </w:rPr>
      </w:pPr>
      <w:r w:rsidRPr="000B5220">
        <w:rPr>
          <w:sz w:val="18"/>
          <w:szCs w:val="18"/>
        </w:rPr>
        <w:separator/>
      </w:r>
    </w:p>
  </w:footnote>
  <w:footnote w:type="continuationSeparator" w:id="0">
    <w:p w:rsidR="00A004B6" w:rsidRDefault="00A004B6">
      <w:r>
        <w:continuationSeparator/>
      </w:r>
    </w:p>
  </w:footnote>
  <w:footnote w:id="1">
    <w:p w:rsidR="00081CFE" w:rsidRPr="001E2095" w:rsidRDefault="00081CFE" w:rsidP="00081CFE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sz w:val="18"/>
          <w:szCs w:val="18"/>
          <w:lang w:val="fr-FR"/>
        </w:rPr>
      </w:pPr>
      <w:r w:rsidRPr="001E2095">
        <w:rPr>
          <w:rStyle w:val="FootnoteReference"/>
          <w:spacing w:val="5"/>
          <w:w w:val="104"/>
          <w:sz w:val="18"/>
          <w:vertAlign w:val="baseline"/>
          <w:lang w:val="fr-FR"/>
        </w:rPr>
        <w:t>*</w:t>
      </w:r>
      <w:r w:rsidRPr="001E2095">
        <w:rPr>
          <w:sz w:val="18"/>
          <w:szCs w:val="18"/>
          <w:lang w:val="fr-FR"/>
        </w:rPr>
        <w:t xml:space="preserve"> IPBES/5/1/Rev.1.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B6" w:rsidRPr="000B5220" w:rsidRDefault="00A004B6" w:rsidP="00CD05E0">
    <w:pPr>
      <w:pStyle w:val="Header-pool"/>
    </w:pPr>
    <w:r>
      <w:t>IPBES/5/6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B6" w:rsidRPr="000B5220" w:rsidRDefault="00A004B6" w:rsidP="000B5220">
    <w:pPr>
      <w:pStyle w:val="Header"/>
      <w:jc w:val="right"/>
      <w:rPr>
        <w:szCs w:val="18"/>
      </w:rPr>
    </w:pPr>
    <w:r>
      <w:rPr>
        <w:szCs w:val="18"/>
        <w:lang w:val="en-GB"/>
      </w:rPr>
      <w:t>IPBES/5/6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B6" w:rsidRPr="000B5220" w:rsidRDefault="00A004B6" w:rsidP="000B52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E7B550A"/>
    <w:multiLevelType w:val="hybridMultilevel"/>
    <w:tmpl w:val="7188072E"/>
    <w:lvl w:ilvl="0" w:tplc="625846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>
    <w:nsid w:val="62291BF8"/>
    <w:multiLevelType w:val="multilevel"/>
    <w:tmpl w:val="F4ACF36E"/>
    <w:numStyleLink w:val="Normallist"/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Larigauderie">
    <w15:presenceInfo w15:providerId="AD" w15:userId="S-1-5-21-95821832-833947585-1217154298-22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40"/>
    <w:rsid w:val="000026D0"/>
    <w:rsid w:val="00010869"/>
    <w:rsid w:val="00012F9F"/>
    <w:rsid w:val="000149E6"/>
    <w:rsid w:val="00021E01"/>
    <w:rsid w:val="000247B0"/>
    <w:rsid w:val="00026997"/>
    <w:rsid w:val="00033AE5"/>
    <w:rsid w:val="00033C5F"/>
    <w:rsid w:val="00033E0B"/>
    <w:rsid w:val="00035EDE"/>
    <w:rsid w:val="00035F48"/>
    <w:rsid w:val="0004540A"/>
    <w:rsid w:val="000509B4"/>
    <w:rsid w:val="0006035B"/>
    <w:rsid w:val="00061444"/>
    <w:rsid w:val="0006430A"/>
    <w:rsid w:val="00071886"/>
    <w:rsid w:val="000742BC"/>
    <w:rsid w:val="00077367"/>
    <w:rsid w:val="00081CFE"/>
    <w:rsid w:val="00082A0C"/>
    <w:rsid w:val="00083504"/>
    <w:rsid w:val="000904EF"/>
    <w:rsid w:val="00095C9C"/>
    <w:rsid w:val="0009640C"/>
    <w:rsid w:val="000B22A2"/>
    <w:rsid w:val="000B5220"/>
    <w:rsid w:val="000C2A52"/>
    <w:rsid w:val="000D33C0"/>
    <w:rsid w:val="000D6941"/>
    <w:rsid w:val="000F6B5C"/>
    <w:rsid w:val="001202E3"/>
    <w:rsid w:val="00123699"/>
    <w:rsid w:val="0013059D"/>
    <w:rsid w:val="00141A55"/>
    <w:rsid w:val="001446A3"/>
    <w:rsid w:val="00155395"/>
    <w:rsid w:val="001565DC"/>
    <w:rsid w:val="00160D74"/>
    <w:rsid w:val="00167C67"/>
    <w:rsid w:val="00167D02"/>
    <w:rsid w:val="0017545B"/>
    <w:rsid w:val="00181EC8"/>
    <w:rsid w:val="00184349"/>
    <w:rsid w:val="00195F33"/>
    <w:rsid w:val="001A5B35"/>
    <w:rsid w:val="001B1617"/>
    <w:rsid w:val="001B3C20"/>
    <w:rsid w:val="001B504B"/>
    <w:rsid w:val="001B72A4"/>
    <w:rsid w:val="001D3874"/>
    <w:rsid w:val="001D6DE4"/>
    <w:rsid w:val="001D7E75"/>
    <w:rsid w:val="001E56D2"/>
    <w:rsid w:val="001E7D56"/>
    <w:rsid w:val="001F75DE"/>
    <w:rsid w:val="00200D58"/>
    <w:rsid w:val="002013BE"/>
    <w:rsid w:val="002063A4"/>
    <w:rsid w:val="0021145B"/>
    <w:rsid w:val="00211B03"/>
    <w:rsid w:val="00243D36"/>
    <w:rsid w:val="002453FB"/>
    <w:rsid w:val="00247707"/>
    <w:rsid w:val="00251ADB"/>
    <w:rsid w:val="0026018E"/>
    <w:rsid w:val="00264593"/>
    <w:rsid w:val="0027136B"/>
    <w:rsid w:val="00285344"/>
    <w:rsid w:val="00286740"/>
    <w:rsid w:val="002929D8"/>
    <w:rsid w:val="00293315"/>
    <w:rsid w:val="002A237D"/>
    <w:rsid w:val="002A4C53"/>
    <w:rsid w:val="002A652B"/>
    <w:rsid w:val="002B0672"/>
    <w:rsid w:val="002B247F"/>
    <w:rsid w:val="002C145D"/>
    <w:rsid w:val="002C2C3E"/>
    <w:rsid w:val="002C533E"/>
    <w:rsid w:val="002D027F"/>
    <w:rsid w:val="002D7A85"/>
    <w:rsid w:val="002D7B60"/>
    <w:rsid w:val="002E20AB"/>
    <w:rsid w:val="002E2C2B"/>
    <w:rsid w:val="002F4761"/>
    <w:rsid w:val="002F5C79"/>
    <w:rsid w:val="003019E2"/>
    <w:rsid w:val="0031413F"/>
    <w:rsid w:val="003148BB"/>
    <w:rsid w:val="00317976"/>
    <w:rsid w:val="00322F15"/>
    <w:rsid w:val="00333111"/>
    <w:rsid w:val="00334CD4"/>
    <w:rsid w:val="00335FC7"/>
    <w:rsid w:val="0034256A"/>
    <w:rsid w:val="00355EA9"/>
    <w:rsid w:val="003578DE"/>
    <w:rsid w:val="003726C5"/>
    <w:rsid w:val="00396257"/>
    <w:rsid w:val="00397EB8"/>
    <w:rsid w:val="003A4FD0"/>
    <w:rsid w:val="003A594E"/>
    <w:rsid w:val="003A69D1"/>
    <w:rsid w:val="003A7705"/>
    <w:rsid w:val="003A77F1"/>
    <w:rsid w:val="003B1545"/>
    <w:rsid w:val="003B30F6"/>
    <w:rsid w:val="003B3152"/>
    <w:rsid w:val="003C409D"/>
    <w:rsid w:val="003C5BA6"/>
    <w:rsid w:val="003D50CB"/>
    <w:rsid w:val="003D6D9A"/>
    <w:rsid w:val="003E4C9D"/>
    <w:rsid w:val="003F0E85"/>
    <w:rsid w:val="003F1D30"/>
    <w:rsid w:val="003F2C7A"/>
    <w:rsid w:val="003F7440"/>
    <w:rsid w:val="0041081A"/>
    <w:rsid w:val="00410C55"/>
    <w:rsid w:val="00416854"/>
    <w:rsid w:val="00417600"/>
    <w:rsid w:val="00417725"/>
    <w:rsid w:val="00417A0F"/>
    <w:rsid w:val="00436B6A"/>
    <w:rsid w:val="00437F26"/>
    <w:rsid w:val="00444097"/>
    <w:rsid w:val="00445487"/>
    <w:rsid w:val="00451DB2"/>
    <w:rsid w:val="00454769"/>
    <w:rsid w:val="00461A6E"/>
    <w:rsid w:val="00466991"/>
    <w:rsid w:val="0047064C"/>
    <w:rsid w:val="004830DC"/>
    <w:rsid w:val="004A42E1"/>
    <w:rsid w:val="004A56D1"/>
    <w:rsid w:val="004B162C"/>
    <w:rsid w:val="004C3DBE"/>
    <w:rsid w:val="004C5C96"/>
    <w:rsid w:val="004D06A4"/>
    <w:rsid w:val="004E32CF"/>
    <w:rsid w:val="004F1A81"/>
    <w:rsid w:val="00517861"/>
    <w:rsid w:val="00521825"/>
    <w:rsid w:val="005218D9"/>
    <w:rsid w:val="00536186"/>
    <w:rsid w:val="00544CBB"/>
    <w:rsid w:val="00557652"/>
    <w:rsid w:val="0057315F"/>
    <w:rsid w:val="00576104"/>
    <w:rsid w:val="005834EC"/>
    <w:rsid w:val="005C67C8"/>
    <w:rsid w:val="005D0249"/>
    <w:rsid w:val="005D6E8C"/>
    <w:rsid w:val="005F100C"/>
    <w:rsid w:val="005F609B"/>
    <w:rsid w:val="005F68DA"/>
    <w:rsid w:val="00606059"/>
    <w:rsid w:val="0060773B"/>
    <w:rsid w:val="00611A56"/>
    <w:rsid w:val="00611FCB"/>
    <w:rsid w:val="006157B5"/>
    <w:rsid w:val="0062009F"/>
    <w:rsid w:val="00624347"/>
    <w:rsid w:val="00626FC6"/>
    <w:rsid w:val="006303B4"/>
    <w:rsid w:val="00633D3D"/>
    <w:rsid w:val="00641703"/>
    <w:rsid w:val="006431A6"/>
    <w:rsid w:val="00643A3F"/>
    <w:rsid w:val="006459F6"/>
    <w:rsid w:val="006501AD"/>
    <w:rsid w:val="00651BFA"/>
    <w:rsid w:val="00654475"/>
    <w:rsid w:val="0065528C"/>
    <w:rsid w:val="006600AD"/>
    <w:rsid w:val="00665A4B"/>
    <w:rsid w:val="00671ADF"/>
    <w:rsid w:val="00692E2A"/>
    <w:rsid w:val="006A76F2"/>
    <w:rsid w:val="006D7EFB"/>
    <w:rsid w:val="006E6672"/>
    <w:rsid w:val="006E6722"/>
    <w:rsid w:val="007027B9"/>
    <w:rsid w:val="00714E08"/>
    <w:rsid w:val="00715E88"/>
    <w:rsid w:val="00734CAA"/>
    <w:rsid w:val="0074149B"/>
    <w:rsid w:val="00743629"/>
    <w:rsid w:val="00745118"/>
    <w:rsid w:val="0075533C"/>
    <w:rsid w:val="00757581"/>
    <w:rsid w:val="007611A0"/>
    <w:rsid w:val="00796D3F"/>
    <w:rsid w:val="007A1683"/>
    <w:rsid w:val="007A5C12"/>
    <w:rsid w:val="007A7CB0"/>
    <w:rsid w:val="007B68A3"/>
    <w:rsid w:val="007B6B3F"/>
    <w:rsid w:val="007C2541"/>
    <w:rsid w:val="007D66A8"/>
    <w:rsid w:val="007E003F"/>
    <w:rsid w:val="007F3540"/>
    <w:rsid w:val="007F6126"/>
    <w:rsid w:val="008034CE"/>
    <w:rsid w:val="008164F2"/>
    <w:rsid w:val="00821395"/>
    <w:rsid w:val="00830E26"/>
    <w:rsid w:val="00843576"/>
    <w:rsid w:val="00843B64"/>
    <w:rsid w:val="008478FC"/>
    <w:rsid w:val="008610E3"/>
    <w:rsid w:val="00867BFF"/>
    <w:rsid w:val="008829D3"/>
    <w:rsid w:val="0088480A"/>
    <w:rsid w:val="0088690D"/>
    <w:rsid w:val="0088757A"/>
    <w:rsid w:val="008957DD"/>
    <w:rsid w:val="00897D98"/>
    <w:rsid w:val="008A6DF2"/>
    <w:rsid w:val="008A7807"/>
    <w:rsid w:val="008B4CC9"/>
    <w:rsid w:val="008D5655"/>
    <w:rsid w:val="008D64A7"/>
    <w:rsid w:val="008D7C99"/>
    <w:rsid w:val="008E0849"/>
    <w:rsid w:val="008E0FCB"/>
    <w:rsid w:val="009173B9"/>
    <w:rsid w:val="00920EC7"/>
    <w:rsid w:val="0092178C"/>
    <w:rsid w:val="00930B38"/>
    <w:rsid w:val="00930B88"/>
    <w:rsid w:val="00940DCC"/>
    <w:rsid w:val="0094179A"/>
    <w:rsid w:val="009441A9"/>
    <w:rsid w:val="0094459E"/>
    <w:rsid w:val="00944DBC"/>
    <w:rsid w:val="0094617E"/>
    <w:rsid w:val="00950977"/>
    <w:rsid w:val="00950B6F"/>
    <w:rsid w:val="00951A7B"/>
    <w:rsid w:val="009527C6"/>
    <w:rsid w:val="009564A6"/>
    <w:rsid w:val="00964967"/>
    <w:rsid w:val="0096595F"/>
    <w:rsid w:val="00967621"/>
    <w:rsid w:val="00967E6A"/>
    <w:rsid w:val="00980F87"/>
    <w:rsid w:val="00984A20"/>
    <w:rsid w:val="00985ADF"/>
    <w:rsid w:val="009A04E2"/>
    <w:rsid w:val="009A5A54"/>
    <w:rsid w:val="009B35F6"/>
    <w:rsid w:val="009B4A0F"/>
    <w:rsid w:val="009C11D2"/>
    <w:rsid w:val="009C1A96"/>
    <w:rsid w:val="009C6C70"/>
    <w:rsid w:val="009D0B63"/>
    <w:rsid w:val="009E307E"/>
    <w:rsid w:val="009E78C3"/>
    <w:rsid w:val="009F3D34"/>
    <w:rsid w:val="00A004B6"/>
    <w:rsid w:val="00A07870"/>
    <w:rsid w:val="00A07F19"/>
    <w:rsid w:val="00A12487"/>
    <w:rsid w:val="00A1348D"/>
    <w:rsid w:val="00A232EE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73687"/>
    <w:rsid w:val="00A80611"/>
    <w:rsid w:val="00A92289"/>
    <w:rsid w:val="00AA0C30"/>
    <w:rsid w:val="00AA1C27"/>
    <w:rsid w:val="00AB5340"/>
    <w:rsid w:val="00AC0A89"/>
    <w:rsid w:val="00AC7C96"/>
    <w:rsid w:val="00AD1320"/>
    <w:rsid w:val="00AE237D"/>
    <w:rsid w:val="00AE4E10"/>
    <w:rsid w:val="00AE502A"/>
    <w:rsid w:val="00AF7C07"/>
    <w:rsid w:val="00B2116E"/>
    <w:rsid w:val="00B22C93"/>
    <w:rsid w:val="00B27589"/>
    <w:rsid w:val="00B405B7"/>
    <w:rsid w:val="00B50B38"/>
    <w:rsid w:val="00B52222"/>
    <w:rsid w:val="00B522BA"/>
    <w:rsid w:val="00B54FE7"/>
    <w:rsid w:val="00B57FCC"/>
    <w:rsid w:val="00B66901"/>
    <w:rsid w:val="00B71E6D"/>
    <w:rsid w:val="00B72070"/>
    <w:rsid w:val="00B779E1"/>
    <w:rsid w:val="00B8597A"/>
    <w:rsid w:val="00B91EE1"/>
    <w:rsid w:val="00BA0090"/>
    <w:rsid w:val="00BA1A67"/>
    <w:rsid w:val="00BD669B"/>
    <w:rsid w:val="00BD6F73"/>
    <w:rsid w:val="00BE5B5F"/>
    <w:rsid w:val="00BF6F99"/>
    <w:rsid w:val="00C26F55"/>
    <w:rsid w:val="00C30C63"/>
    <w:rsid w:val="00C36B8B"/>
    <w:rsid w:val="00C415C1"/>
    <w:rsid w:val="00C47DBF"/>
    <w:rsid w:val="00C552FF"/>
    <w:rsid w:val="00C558DA"/>
    <w:rsid w:val="00C55AF3"/>
    <w:rsid w:val="00C576B7"/>
    <w:rsid w:val="00C70845"/>
    <w:rsid w:val="00C84759"/>
    <w:rsid w:val="00C8789F"/>
    <w:rsid w:val="00CA15FC"/>
    <w:rsid w:val="00CA6C7F"/>
    <w:rsid w:val="00CB150D"/>
    <w:rsid w:val="00CC10A6"/>
    <w:rsid w:val="00CD05E0"/>
    <w:rsid w:val="00CD5EB8"/>
    <w:rsid w:val="00CD7044"/>
    <w:rsid w:val="00CE08B9"/>
    <w:rsid w:val="00CE524C"/>
    <w:rsid w:val="00CF141F"/>
    <w:rsid w:val="00CF4777"/>
    <w:rsid w:val="00CF77D3"/>
    <w:rsid w:val="00D067BB"/>
    <w:rsid w:val="00D1352A"/>
    <w:rsid w:val="00D169AF"/>
    <w:rsid w:val="00D25249"/>
    <w:rsid w:val="00D44172"/>
    <w:rsid w:val="00D57CDF"/>
    <w:rsid w:val="00D60C76"/>
    <w:rsid w:val="00D6179E"/>
    <w:rsid w:val="00D62DAC"/>
    <w:rsid w:val="00D63625"/>
    <w:rsid w:val="00D63B8C"/>
    <w:rsid w:val="00D66D9B"/>
    <w:rsid w:val="00D739CC"/>
    <w:rsid w:val="00D8093D"/>
    <w:rsid w:val="00D8108C"/>
    <w:rsid w:val="00D842AE"/>
    <w:rsid w:val="00D86974"/>
    <w:rsid w:val="00D87566"/>
    <w:rsid w:val="00D9211C"/>
    <w:rsid w:val="00D92DE0"/>
    <w:rsid w:val="00D92FEF"/>
    <w:rsid w:val="00D93A0F"/>
    <w:rsid w:val="00DA1BCA"/>
    <w:rsid w:val="00DC45C7"/>
    <w:rsid w:val="00DC46FF"/>
    <w:rsid w:val="00DC5254"/>
    <w:rsid w:val="00DD1A4F"/>
    <w:rsid w:val="00DD2838"/>
    <w:rsid w:val="00DD3107"/>
    <w:rsid w:val="00DD7C2C"/>
    <w:rsid w:val="00DF05AB"/>
    <w:rsid w:val="00E06797"/>
    <w:rsid w:val="00E1265B"/>
    <w:rsid w:val="00E13B48"/>
    <w:rsid w:val="00E1404F"/>
    <w:rsid w:val="00E15666"/>
    <w:rsid w:val="00E21C83"/>
    <w:rsid w:val="00E24ADA"/>
    <w:rsid w:val="00E32F59"/>
    <w:rsid w:val="00E346FA"/>
    <w:rsid w:val="00E4188D"/>
    <w:rsid w:val="00E44A5A"/>
    <w:rsid w:val="00E46D9A"/>
    <w:rsid w:val="00E565FF"/>
    <w:rsid w:val="00E56AF0"/>
    <w:rsid w:val="00E65388"/>
    <w:rsid w:val="00E85B7D"/>
    <w:rsid w:val="00E9121B"/>
    <w:rsid w:val="00EA0AE2"/>
    <w:rsid w:val="00EA39E5"/>
    <w:rsid w:val="00EA5E72"/>
    <w:rsid w:val="00EB32C8"/>
    <w:rsid w:val="00EC5A46"/>
    <w:rsid w:val="00EC63E2"/>
    <w:rsid w:val="00EF22B3"/>
    <w:rsid w:val="00F03B69"/>
    <w:rsid w:val="00F07A50"/>
    <w:rsid w:val="00F113DA"/>
    <w:rsid w:val="00F24AB6"/>
    <w:rsid w:val="00F343AB"/>
    <w:rsid w:val="00F351C8"/>
    <w:rsid w:val="00F37DC8"/>
    <w:rsid w:val="00F439B3"/>
    <w:rsid w:val="00F60DF3"/>
    <w:rsid w:val="00F650C3"/>
    <w:rsid w:val="00F65D85"/>
    <w:rsid w:val="00F8091E"/>
    <w:rsid w:val="00F8615C"/>
    <w:rsid w:val="00F94214"/>
    <w:rsid w:val="00F969E5"/>
    <w:rsid w:val="00FA3208"/>
    <w:rsid w:val="00FA5BA4"/>
    <w:rsid w:val="00FA6BB0"/>
    <w:rsid w:val="00FA6E3E"/>
    <w:rsid w:val="00FD5860"/>
    <w:rsid w:val="00FD6314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E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CD05E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CD05E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CD05E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CD05E0"/>
    <w:pPr>
      <w:keepNext/>
      <w:outlineLvl w:val="3"/>
    </w:pPr>
  </w:style>
  <w:style w:type="paragraph" w:styleId="Heading5">
    <w:name w:val="heading 5"/>
    <w:basedOn w:val="Normal"/>
    <w:next w:val="Normal"/>
    <w:qFormat/>
    <w:rsid w:val="00CD05E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CD05E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CD05E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CD05E0"/>
    <w:pPr>
      <w:keepNext/>
      <w:widowControl w:val="0"/>
      <w:numPr>
        <w:numId w:val="2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CD05E0"/>
    <w:pPr>
      <w:keepNext/>
      <w:widowControl w:val="0"/>
      <w:numPr>
        <w:numId w:val="2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CD05E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CD05E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CD05E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CD05E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CD05E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CD05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CD05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CD05E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CD05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CD05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CD05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CD05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CD05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CD05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CD05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styleId="FootnoteReference">
    <w:name w:val="footnote reference"/>
    <w:aliases w:val="16 Point,Superscript 6 Point,number,SUPERS,Footnote Reference Superscript"/>
    <w:rsid w:val="00CD05E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CD05E0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CD05E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CD05E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CD05E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CD05E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CD05E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CD05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CD05E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CD05E0"/>
    <w:pPr>
      <w:numPr>
        <w:numId w:val="3"/>
      </w:numPr>
    </w:pPr>
  </w:style>
  <w:style w:type="paragraph" w:customStyle="1" w:styleId="NormalNonumber">
    <w:name w:val="Normal_No_number"/>
    <w:basedOn w:val="Normalpool"/>
    <w:rsid w:val="00CD05E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CD05E0"/>
    <w:pPr>
      <w:numPr>
        <w:numId w:val="25"/>
      </w:numPr>
      <w:spacing w:after="120"/>
    </w:pPr>
  </w:style>
  <w:style w:type="paragraph" w:customStyle="1" w:styleId="Titletable">
    <w:name w:val="Title_table"/>
    <w:basedOn w:val="Normalpool"/>
    <w:rsid w:val="00CD05E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CD05E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CD05E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CD05E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CD05E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CD05E0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CD05E0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rsid w:val="009E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numberChar">
    <w:name w:val="Normal_number Char"/>
    <w:link w:val="Normalnumber"/>
    <w:rsid w:val="009441A9"/>
    <w:rPr>
      <w:lang w:val="fr-CA"/>
    </w:rPr>
  </w:style>
  <w:style w:type="character" w:customStyle="1" w:styleId="Normal-poolChar">
    <w:name w:val="Normal-pool Char"/>
    <w:link w:val="Normal-pool"/>
    <w:rsid w:val="009441A9"/>
    <w:rPr>
      <w:lang w:val="fr-CA"/>
    </w:rPr>
  </w:style>
  <w:style w:type="character" w:customStyle="1" w:styleId="CH2Char">
    <w:name w:val="CH2 Char"/>
    <w:link w:val="CH2"/>
    <w:rsid w:val="009441A9"/>
    <w:rPr>
      <w:b/>
      <w:sz w:val="24"/>
      <w:szCs w:val="24"/>
      <w:lang w:val="fr-CA"/>
    </w:rPr>
  </w:style>
  <w:style w:type="character" w:customStyle="1" w:styleId="HeaderChar">
    <w:name w:val="Header Char"/>
    <w:link w:val="Header"/>
    <w:rsid w:val="009441A9"/>
    <w:rPr>
      <w:b/>
      <w:sz w:val="18"/>
      <w:lang w:val="fr-FR"/>
    </w:rPr>
  </w:style>
  <w:style w:type="character" w:customStyle="1" w:styleId="FooterChar">
    <w:name w:val="Footer Char"/>
    <w:link w:val="Footer"/>
    <w:rsid w:val="009441A9"/>
    <w:rPr>
      <w:sz w:val="18"/>
      <w:lang w:val="fr-FR"/>
    </w:rPr>
  </w:style>
  <w:style w:type="paragraph" w:styleId="Title">
    <w:name w:val="Title"/>
    <w:basedOn w:val="BBTitle"/>
    <w:next w:val="Normal"/>
    <w:link w:val="TitleChar"/>
    <w:qFormat/>
    <w:rsid w:val="009441A9"/>
    <w:pPr>
      <w:tabs>
        <w:tab w:val="clear" w:pos="4082"/>
      </w:tabs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9441A9"/>
    <w:rPr>
      <w:b/>
      <w:sz w:val="28"/>
      <w:szCs w:val="28"/>
    </w:rPr>
  </w:style>
  <w:style w:type="paragraph" w:customStyle="1" w:styleId="AgendaItemTitle">
    <w:name w:val="AgendaItem_Title"/>
    <w:basedOn w:val="Normal-pool"/>
    <w:qFormat/>
    <w:rsid w:val="009441A9"/>
    <w:pPr>
      <w:keepNext/>
      <w:keepLines/>
      <w:tabs>
        <w:tab w:val="clear" w:pos="4082"/>
      </w:tabs>
      <w:suppressAutoHyphens/>
      <w:ind w:right="3402"/>
    </w:pPr>
    <w:rPr>
      <w:b/>
    </w:rPr>
  </w:style>
  <w:style w:type="paragraph" w:customStyle="1" w:styleId="AnnexTitle">
    <w:name w:val="Annex Title"/>
    <w:basedOn w:val="Normal-pool"/>
    <w:qFormat/>
    <w:rsid w:val="009441A9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NormalPlain">
    <w:name w:val="Normal_Plain"/>
    <w:basedOn w:val="Normal"/>
    <w:qFormat/>
    <w:rsid w:val="00BD6F73"/>
    <w:pPr>
      <w:ind w:left="1260"/>
    </w:pPr>
    <w:rPr>
      <w:lang w:val="en-GB" w:eastAsia="ko-KR"/>
    </w:rPr>
  </w:style>
  <w:style w:type="table" w:styleId="TableGrid">
    <w:name w:val="Table Grid"/>
    <w:basedOn w:val="TableNormal"/>
    <w:rsid w:val="0033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834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4EC"/>
  </w:style>
  <w:style w:type="character" w:customStyle="1" w:styleId="CommentTextChar">
    <w:name w:val="Comment Text Char"/>
    <w:basedOn w:val="DefaultParagraphFont"/>
    <w:link w:val="CommentText"/>
    <w:semiHidden/>
    <w:rsid w:val="005834EC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4EC"/>
    <w:rPr>
      <w:rFonts w:ascii="Calibri" w:eastAsia="MS Mincho" w:hAnsi="Calibri"/>
      <w:b/>
      <w:bCs/>
    </w:rPr>
  </w:style>
  <w:style w:type="paragraph" w:styleId="Revision">
    <w:name w:val="Revision"/>
    <w:hidden/>
    <w:uiPriority w:val="99"/>
    <w:semiHidden/>
    <w:rsid w:val="009B35F6"/>
    <w:rPr>
      <w:rFonts w:ascii="Calibri" w:eastAsia="MS Mincho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E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CD05E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CD05E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CD05E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CD05E0"/>
    <w:pPr>
      <w:keepNext/>
      <w:outlineLvl w:val="3"/>
    </w:pPr>
  </w:style>
  <w:style w:type="paragraph" w:styleId="Heading5">
    <w:name w:val="heading 5"/>
    <w:basedOn w:val="Normal"/>
    <w:next w:val="Normal"/>
    <w:qFormat/>
    <w:rsid w:val="00CD05E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CD05E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CD05E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CD05E0"/>
    <w:pPr>
      <w:keepNext/>
      <w:widowControl w:val="0"/>
      <w:numPr>
        <w:numId w:val="2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CD05E0"/>
    <w:pPr>
      <w:keepNext/>
      <w:widowControl w:val="0"/>
      <w:numPr>
        <w:numId w:val="2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CD05E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CD05E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CD05E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CD05E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CD05E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CD05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CD05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CD05E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CD05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CD05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CD05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CD05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CD05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CD05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CD05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styleId="FootnoteReference">
    <w:name w:val="footnote reference"/>
    <w:aliases w:val="16 Point,Superscript 6 Point,number,SUPERS,Footnote Reference Superscript"/>
    <w:rsid w:val="00CD05E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CD05E0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CD05E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CD05E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CD05E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CD05E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CD05E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CD05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CD05E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CD05E0"/>
    <w:pPr>
      <w:numPr>
        <w:numId w:val="3"/>
      </w:numPr>
    </w:pPr>
  </w:style>
  <w:style w:type="paragraph" w:customStyle="1" w:styleId="NormalNonumber">
    <w:name w:val="Normal_No_number"/>
    <w:basedOn w:val="Normalpool"/>
    <w:rsid w:val="00CD05E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CD05E0"/>
    <w:pPr>
      <w:numPr>
        <w:numId w:val="25"/>
      </w:numPr>
      <w:spacing w:after="120"/>
    </w:pPr>
  </w:style>
  <w:style w:type="paragraph" w:customStyle="1" w:styleId="Titletable">
    <w:name w:val="Title_table"/>
    <w:basedOn w:val="Normalpool"/>
    <w:rsid w:val="00CD05E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CD05E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CD05E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CD05E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CD05E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CD05E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CD05E0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CD05E0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rsid w:val="009E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numberChar">
    <w:name w:val="Normal_number Char"/>
    <w:link w:val="Normalnumber"/>
    <w:rsid w:val="009441A9"/>
    <w:rPr>
      <w:lang w:val="fr-CA"/>
    </w:rPr>
  </w:style>
  <w:style w:type="character" w:customStyle="1" w:styleId="Normal-poolChar">
    <w:name w:val="Normal-pool Char"/>
    <w:link w:val="Normal-pool"/>
    <w:rsid w:val="009441A9"/>
    <w:rPr>
      <w:lang w:val="fr-CA"/>
    </w:rPr>
  </w:style>
  <w:style w:type="character" w:customStyle="1" w:styleId="CH2Char">
    <w:name w:val="CH2 Char"/>
    <w:link w:val="CH2"/>
    <w:rsid w:val="009441A9"/>
    <w:rPr>
      <w:b/>
      <w:sz w:val="24"/>
      <w:szCs w:val="24"/>
      <w:lang w:val="fr-CA"/>
    </w:rPr>
  </w:style>
  <w:style w:type="character" w:customStyle="1" w:styleId="HeaderChar">
    <w:name w:val="Header Char"/>
    <w:link w:val="Header"/>
    <w:rsid w:val="009441A9"/>
    <w:rPr>
      <w:b/>
      <w:sz w:val="18"/>
      <w:lang w:val="fr-FR"/>
    </w:rPr>
  </w:style>
  <w:style w:type="character" w:customStyle="1" w:styleId="FooterChar">
    <w:name w:val="Footer Char"/>
    <w:link w:val="Footer"/>
    <w:rsid w:val="009441A9"/>
    <w:rPr>
      <w:sz w:val="18"/>
      <w:lang w:val="fr-FR"/>
    </w:rPr>
  </w:style>
  <w:style w:type="paragraph" w:styleId="Title">
    <w:name w:val="Title"/>
    <w:basedOn w:val="BBTitle"/>
    <w:next w:val="Normal"/>
    <w:link w:val="TitleChar"/>
    <w:qFormat/>
    <w:rsid w:val="009441A9"/>
    <w:pPr>
      <w:tabs>
        <w:tab w:val="clear" w:pos="4082"/>
      </w:tabs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9441A9"/>
    <w:rPr>
      <w:b/>
      <w:sz w:val="28"/>
      <w:szCs w:val="28"/>
    </w:rPr>
  </w:style>
  <w:style w:type="paragraph" w:customStyle="1" w:styleId="AgendaItemTitle">
    <w:name w:val="AgendaItem_Title"/>
    <w:basedOn w:val="Normal-pool"/>
    <w:qFormat/>
    <w:rsid w:val="009441A9"/>
    <w:pPr>
      <w:keepNext/>
      <w:keepLines/>
      <w:tabs>
        <w:tab w:val="clear" w:pos="4082"/>
      </w:tabs>
      <w:suppressAutoHyphens/>
      <w:ind w:right="3402"/>
    </w:pPr>
    <w:rPr>
      <w:b/>
    </w:rPr>
  </w:style>
  <w:style w:type="paragraph" w:customStyle="1" w:styleId="AnnexTitle">
    <w:name w:val="Annex Title"/>
    <w:basedOn w:val="Normal-pool"/>
    <w:qFormat/>
    <w:rsid w:val="009441A9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NormalPlain">
    <w:name w:val="Normal_Plain"/>
    <w:basedOn w:val="Normal"/>
    <w:qFormat/>
    <w:rsid w:val="00BD6F73"/>
    <w:pPr>
      <w:ind w:left="1260"/>
    </w:pPr>
    <w:rPr>
      <w:lang w:val="en-GB" w:eastAsia="ko-KR"/>
    </w:rPr>
  </w:style>
  <w:style w:type="table" w:styleId="TableGrid">
    <w:name w:val="Table Grid"/>
    <w:basedOn w:val="TableNormal"/>
    <w:rsid w:val="0033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834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4EC"/>
  </w:style>
  <w:style w:type="character" w:customStyle="1" w:styleId="CommentTextChar">
    <w:name w:val="Comment Text Char"/>
    <w:basedOn w:val="DefaultParagraphFont"/>
    <w:link w:val="CommentText"/>
    <w:semiHidden/>
    <w:rsid w:val="005834EC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4EC"/>
    <w:rPr>
      <w:rFonts w:ascii="Calibri" w:eastAsia="MS Mincho" w:hAnsi="Calibri"/>
      <w:b/>
      <w:bCs/>
    </w:rPr>
  </w:style>
  <w:style w:type="paragraph" w:styleId="Revision">
    <w:name w:val="Revision"/>
    <w:hidden/>
    <w:uiPriority w:val="99"/>
    <w:semiHidden/>
    <w:rsid w:val="009B35F6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nterm.un.org/DGAACS/unterm.nsf/WebView/89752D0EE42F5EDF852575EC006B64B1?OpenDocument" TargetMode="External"/><Relationship Id="rId20" Type="http://schemas.openxmlformats.org/officeDocument/2006/relationships/footer" Target="footer2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CEAA-892B-4B9A-8FF0-CF794745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1733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Thomas Lieven</cp:lastModifiedBy>
  <cp:revision>3</cp:revision>
  <cp:lastPrinted>2016-12-28T11:36:00Z</cp:lastPrinted>
  <dcterms:created xsi:type="dcterms:W3CDTF">2017-01-23T05:16:00Z</dcterms:created>
  <dcterms:modified xsi:type="dcterms:W3CDTF">2017-01-23T06:30:00Z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1/6/2017 9:12:52 AM</vt:lpwstr>
  </property>
  <property fmtid="{D5CDD505-2E9C-101B-9397-08002B2CF9AE}" pid="5" name="OriginalDocID">
    <vt:lpwstr>f19bc9b8-952d-40f9-83f4-8f4aec65414d</vt:lpwstr>
  </property>
</Properties>
</file>