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Layout w:type="fixed"/>
        <w:tblLook w:val="0000" w:firstRow="0" w:lastRow="0" w:firstColumn="0" w:lastColumn="0" w:noHBand="0" w:noVBand="0"/>
      </w:tblPr>
      <w:tblGrid>
        <w:gridCol w:w="1668"/>
        <w:gridCol w:w="708"/>
        <w:gridCol w:w="291"/>
        <w:gridCol w:w="1129"/>
        <w:gridCol w:w="1129"/>
        <w:gridCol w:w="1129"/>
        <w:gridCol w:w="1129"/>
        <w:gridCol w:w="13"/>
        <w:gridCol w:w="709"/>
        <w:gridCol w:w="1808"/>
      </w:tblGrid>
      <w:tr w:rsidR="00F32068" w:rsidRPr="007D4232">
        <w:trPr>
          <w:cantSplit/>
          <w:trHeight w:val="1079"/>
          <w:jc w:val="right"/>
        </w:trPr>
        <w:tc>
          <w:tcPr>
            <w:tcW w:w="1668" w:type="dxa"/>
          </w:tcPr>
          <w:p w:rsidR="00F32068" w:rsidRPr="007D4232" w:rsidRDefault="00DB010B" w:rsidP="00617821">
            <w:pPr>
              <w:pStyle w:val="Heading2"/>
              <w:spacing w:before="40" w:after="0"/>
              <w:ind w:left="0" w:firstLine="0"/>
              <w:rPr>
                <w:rFonts w:ascii="Arial" w:hAnsi="Arial" w:cs="Arial"/>
                <w:b w:val="0"/>
                <w:sz w:val="27"/>
                <w:szCs w:val="27"/>
                <w:lang w:val="es-ES_tradnl"/>
              </w:rPr>
            </w:pPr>
            <w:bookmarkStart w:id="0" w:name="_GoBack"/>
            <w:bookmarkEnd w:id="0"/>
            <w:r w:rsidRPr="007D4232">
              <w:rPr>
                <w:rFonts w:ascii="Arial" w:hAnsi="Arial" w:cs="Arial"/>
                <w:sz w:val="27"/>
                <w:szCs w:val="27"/>
                <w:lang w:val="es-ES_tradnl"/>
              </w:rPr>
              <w:t>NACIONES UNIDAS</w:t>
            </w:r>
          </w:p>
        </w:tc>
        <w:tc>
          <w:tcPr>
            <w:tcW w:w="999" w:type="dxa"/>
            <w:gridSpan w:val="2"/>
            <w:tcBorders>
              <w:left w:val="nil"/>
            </w:tcBorders>
            <w:vAlign w:val="center"/>
          </w:tcPr>
          <w:p w:rsidR="00F32068" w:rsidRPr="007D4232" w:rsidRDefault="008352BC" w:rsidP="00617821">
            <w:pPr>
              <w:jc w:val="center"/>
              <w:rPr>
                <w:lang w:val="es-ES_tradnl"/>
              </w:rPr>
            </w:pPr>
            <w:r w:rsidRPr="007D4232">
              <w:rPr>
                <w:noProof/>
                <w:lang w:val="en-US"/>
              </w:rPr>
              <w:drawing>
                <wp:inline distT="0" distB="0" distL="0" distR="0" wp14:anchorId="3563DFAA" wp14:editId="53884A9C">
                  <wp:extent cx="588010" cy="553085"/>
                  <wp:effectExtent l="0" t="0" r="2540" b="0"/>
                  <wp:docPr id="1" name="Picture 1"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553085"/>
                          </a:xfrm>
                          <a:prstGeom prst="rect">
                            <a:avLst/>
                          </a:prstGeom>
                          <a:noFill/>
                          <a:ln>
                            <a:noFill/>
                          </a:ln>
                        </pic:spPr>
                      </pic:pic>
                    </a:graphicData>
                  </a:graphic>
                </wp:inline>
              </w:drawing>
            </w:r>
          </w:p>
        </w:tc>
        <w:tc>
          <w:tcPr>
            <w:tcW w:w="1129" w:type="dxa"/>
            <w:tcBorders>
              <w:left w:val="nil"/>
            </w:tcBorders>
            <w:vAlign w:val="center"/>
          </w:tcPr>
          <w:p w:rsidR="00F32068" w:rsidRPr="007D4232" w:rsidRDefault="008352BC" w:rsidP="00617821">
            <w:pPr>
              <w:jc w:val="center"/>
              <w:rPr>
                <w:lang w:val="es-ES_tradnl"/>
              </w:rPr>
            </w:pPr>
            <w:r w:rsidRPr="007D4232">
              <w:rPr>
                <w:noProof/>
                <w:lang w:val="en-US"/>
              </w:rPr>
              <w:drawing>
                <wp:inline distT="0" distB="0" distL="0" distR="0" wp14:anchorId="2EA311F3" wp14:editId="40F4517F">
                  <wp:extent cx="582295" cy="629285"/>
                  <wp:effectExtent l="0" t="0" r="8255" b="0"/>
                  <wp:docPr id="2" name="Picture 2" descr="Description: 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295" cy="629285"/>
                          </a:xfrm>
                          <a:prstGeom prst="rect">
                            <a:avLst/>
                          </a:prstGeom>
                          <a:noFill/>
                          <a:ln>
                            <a:noFill/>
                          </a:ln>
                        </pic:spPr>
                      </pic:pic>
                    </a:graphicData>
                  </a:graphic>
                </wp:inline>
              </w:drawing>
            </w:r>
          </w:p>
        </w:tc>
        <w:tc>
          <w:tcPr>
            <w:tcW w:w="1129" w:type="dxa"/>
            <w:tcBorders>
              <w:left w:val="nil"/>
            </w:tcBorders>
            <w:vAlign w:val="center"/>
          </w:tcPr>
          <w:p w:rsidR="00F32068" w:rsidRPr="007D4232" w:rsidRDefault="008352BC" w:rsidP="00617821">
            <w:pPr>
              <w:jc w:val="center"/>
              <w:rPr>
                <w:lang w:val="es-ES_tradnl"/>
              </w:rPr>
            </w:pPr>
            <w:r w:rsidRPr="007D4232">
              <w:rPr>
                <w:noProof/>
                <w:lang w:val="en-US"/>
              </w:rPr>
              <w:drawing>
                <wp:inline distT="0" distB="0" distL="0" distR="0" wp14:anchorId="77E75425" wp14:editId="0093F593">
                  <wp:extent cx="640715" cy="495300"/>
                  <wp:effectExtent l="0" t="0" r="6985" b="0"/>
                  <wp:docPr id="3" name="Picture 59"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715" cy="495300"/>
                          </a:xfrm>
                          <a:prstGeom prst="rect">
                            <a:avLst/>
                          </a:prstGeom>
                          <a:noFill/>
                          <a:ln>
                            <a:noFill/>
                          </a:ln>
                        </pic:spPr>
                      </pic:pic>
                    </a:graphicData>
                  </a:graphic>
                </wp:inline>
              </w:drawing>
            </w:r>
          </w:p>
        </w:tc>
        <w:tc>
          <w:tcPr>
            <w:tcW w:w="1129" w:type="dxa"/>
            <w:tcBorders>
              <w:left w:val="nil"/>
            </w:tcBorders>
            <w:vAlign w:val="center"/>
          </w:tcPr>
          <w:p w:rsidR="00F32068" w:rsidRPr="007D4232" w:rsidRDefault="008352BC" w:rsidP="00617821">
            <w:pPr>
              <w:jc w:val="center"/>
              <w:rPr>
                <w:lang w:val="es-ES_tradnl"/>
              </w:rPr>
            </w:pPr>
            <w:r w:rsidRPr="007D4232">
              <w:rPr>
                <w:noProof/>
                <w:lang w:val="en-US"/>
              </w:rPr>
              <w:drawing>
                <wp:inline distT="0" distB="0" distL="0" distR="0" wp14:anchorId="4740ABB2" wp14:editId="17079459">
                  <wp:extent cx="547370" cy="547370"/>
                  <wp:effectExtent l="0" t="0" r="5080" b="5080"/>
                  <wp:docPr id="4" name="Picture 3"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370" cy="547370"/>
                          </a:xfrm>
                          <a:prstGeom prst="rect">
                            <a:avLst/>
                          </a:prstGeom>
                          <a:noFill/>
                          <a:ln>
                            <a:noFill/>
                          </a:ln>
                        </pic:spPr>
                      </pic:pic>
                    </a:graphicData>
                  </a:graphic>
                </wp:inline>
              </w:drawing>
            </w:r>
          </w:p>
        </w:tc>
        <w:tc>
          <w:tcPr>
            <w:tcW w:w="1129" w:type="dxa"/>
            <w:tcBorders>
              <w:left w:val="nil"/>
            </w:tcBorders>
            <w:vAlign w:val="center"/>
          </w:tcPr>
          <w:p w:rsidR="00F32068" w:rsidRPr="007D4232" w:rsidRDefault="008352BC" w:rsidP="00617821">
            <w:pPr>
              <w:rPr>
                <w:lang w:val="es-ES_tradnl"/>
              </w:rPr>
            </w:pPr>
            <w:r w:rsidRPr="007D4232">
              <w:rPr>
                <w:noProof/>
                <w:lang w:val="en-US"/>
              </w:rPr>
              <w:drawing>
                <wp:inline distT="0" distB="0" distL="0" distR="0" wp14:anchorId="18D2E09E" wp14:editId="6CFFCF68">
                  <wp:extent cx="326390" cy="640715"/>
                  <wp:effectExtent l="0" t="0" r="0" b="6985"/>
                  <wp:docPr id="5" name="Picture 63"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390" cy="640715"/>
                          </a:xfrm>
                          <a:prstGeom prst="rect">
                            <a:avLst/>
                          </a:prstGeom>
                          <a:noFill/>
                          <a:ln>
                            <a:noFill/>
                          </a:ln>
                        </pic:spPr>
                      </pic:pic>
                    </a:graphicData>
                  </a:graphic>
                </wp:inline>
              </w:drawing>
            </w:r>
          </w:p>
        </w:tc>
        <w:tc>
          <w:tcPr>
            <w:tcW w:w="722" w:type="dxa"/>
            <w:gridSpan w:val="2"/>
            <w:tcBorders>
              <w:left w:val="nil"/>
            </w:tcBorders>
            <w:vAlign w:val="center"/>
          </w:tcPr>
          <w:p w:rsidR="00F32068" w:rsidRPr="007D4232" w:rsidRDefault="00F32068" w:rsidP="00617821">
            <w:pPr>
              <w:jc w:val="center"/>
              <w:rPr>
                <w:lang w:val="es-ES_tradnl"/>
              </w:rPr>
            </w:pPr>
          </w:p>
        </w:tc>
        <w:tc>
          <w:tcPr>
            <w:tcW w:w="1808" w:type="dxa"/>
          </w:tcPr>
          <w:p w:rsidR="00F32068" w:rsidRPr="007D4232" w:rsidRDefault="00F32068" w:rsidP="00617821">
            <w:pPr>
              <w:pStyle w:val="Heading2"/>
              <w:spacing w:before="40" w:after="0"/>
              <w:ind w:left="0" w:firstLine="0"/>
              <w:jc w:val="right"/>
              <w:rPr>
                <w:rFonts w:ascii="Arial" w:hAnsi="Arial" w:cs="Arial"/>
                <w:sz w:val="64"/>
                <w:szCs w:val="64"/>
                <w:lang w:val="es-ES_tradnl"/>
              </w:rPr>
            </w:pPr>
            <w:r w:rsidRPr="007D4232">
              <w:rPr>
                <w:rFonts w:ascii="Arial" w:hAnsi="Arial" w:cs="Arial"/>
                <w:sz w:val="64"/>
                <w:szCs w:val="64"/>
                <w:lang w:val="es-ES_tradnl"/>
              </w:rPr>
              <w:t>BES</w:t>
            </w:r>
          </w:p>
        </w:tc>
      </w:tr>
      <w:tr w:rsidR="00F32068" w:rsidRPr="007D4232">
        <w:trPr>
          <w:cantSplit/>
          <w:trHeight w:val="282"/>
          <w:jc w:val="right"/>
        </w:trPr>
        <w:tc>
          <w:tcPr>
            <w:tcW w:w="1668" w:type="dxa"/>
            <w:tcBorders>
              <w:bottom w:val="single" w:sz="2" w:space="0" w:color="auto"/>
            </w:tcBorders>
          </w:tcPr>
          <w:p w:rsidR="00F32068" w:rsidRPr="007D4232" w:rsidRDefault="00F32068" w:rsidP="00617821">
            <w:pPr>
              <w:rPr>
                <w:lang w:val="es-ES_tradnl"/>
              </w:rPr>
            </w:pPr>
          </w:p>
        </w:tc>
        <w:tc>
          <w:tcPr>
            <w:tcW w:w="5528" w:type="dxa"/>
            <w:gridSpan w:val="7"/>
            <w:tcBorders>
              <w:bottom w:val="single" w:sz="2" w:space="0" w:color="auto"/>
            </w:tcBorders>
          </w:tcPr>
          <w:p w:rsidR="00F32068" w:rsidRPr="007D4232" w:rsidRDefault="00F32068" w:rsidP="00617821">
            <w:pPr>
              <w:rPr>
                <w:rFonts w:ascii="Univers" w:hAnsi="Univers"/>
                <w:b/>
                <w:sz w:val="24"/>
                <w:lang w:val="es-ES_tradnl"/>
              </w:rPr>
            </w:pPr>
          </w:p>
        </w:tc>
        <w:tc>
          <w:tcPr>
            <w:tcW w:w="2517" w:type="dxa"/>
            <w:gridSpan w:val="2"/>
            <w:tcBorders>
              <w:bottom w:val="single" w:sz="2" w:space="0" w:color="auto"/>
            </w:tcBorders>
          </w:tcPr>
          <w:p w:rsidR="00F32068" w:rsidRPr="007D4232" w:rsidRDefault="00F32068" w:rsidP="00815493">
            <w:pPr>
              <w:rPr>
                <w:b/>
                <w:sz w:val="24"/>
                <w:szCs w:val="24"/>
                <w:lang w:val="es-ES_tradnl"/>
              </w:rPr>
            </w:pPr>
            <w:r w:rsidRPr="007D4232">
              <w:rPr>
                <w:b/>
                <w:sz w:val="24"/>
                <w:szCs w:val="24"/>
                <w:lang w:val="es-ES_tradnl"/>
              </w:rPr>
              <w:t>IPBES</w:t>
            </w:r>
            <w:r w:rsidRPr="007D4232">
              <w:rPr>
                <w:lang w:val="es-ES_tradnl"/>
              </w:rPr>
              <w:t>/</w:t>
            </w:r>
            <w:r w:rsidR="002F2924" w:rsidRPr="007D4232">
              <w:rPr>
                <w:lang w:val="es-ES_tradnl"/>
              </w:rPr>
              <w:t>4</w:t>
            </w:r>
            <w:r w:rsidRPr="007D4232">
              <w:rPr>
                <w:lang w:val="es-ES_tradnl"/>
              </w:rPr>
              <w:t>/</w:t>
            </w:r>
            <w:r w:rsidR="00815493" w:rsidRPr="007D4232">
              <w:rPr>
                <w:lang w:val="es-ES_tradnl"/>
              </w:rPr>
              <w:t>2</w:t>
            </w:r>
          </w:p>
        </w:tc>
      </w:tr>
      <w:tr w:rsidR="00F32068" w:rsidRPr="007D4232">
        <w:trPr>
          <w:cantSplit/>
          <w:trHeight w:val="1433"/>
          <w:jc w:val="right"/>
        </w:trPr>
        <w:tc>
          <w:tcPr>
            <w:tcW w:w="2376" w:type="dxa"/>
            <w:gridSpan w:val="2"/>
            <w:tcBorders>
              <w:top w:val="single" w:sz="2" w:space="0" w:color="auto"/>
              <w:bottom w:val="single" w:sz="24" w:space="0" w:color="auto"/>
            </w:tcBorders>
          </w:tcPr>
          <w:p w:rsidR="00F32068" w:rsidRPr="007D4232" w:rsidRDefault="008352BC" w:rsidP="00617821">
            <w:pPr>
              <w:spacing w:before="240" w:after="240"/>
              <w:rPr>
                <w:rFonts w:ascii="Arial" w:hAnsi="Arial" w:cs="Arial"/>
                <w:b/>
                <w:sz w:val="28"/>
                <w:szCs w:val="28"/>
                <w:lang w:val="es-ES_tradnl"/>
              </w:rPr>
            </w:pPr>
            <w:r w:rsidRPr="007D4232">
              <w:rPr>
                <w:rFonts w:ascii="Arial" w:hAnsi="Arial" w:cs="Arial"/>
                <w:b/>
                <w:noProof/>
                <w:sz w:val="28"/>
                <w:szCs w:val="28"/>
                <w:lang w:val="en-US"/>
              </w:rPr>
              <w:drawing>
                <wp:inline distT="0" distB="0" distL="0" distR="0" wp14:anchorId="2CC4C9F6" wp14:editId="14849B8A">
                  <wp:extent cx="1368425" cy="763270"/>
                  <wp:effectExtent l="0" t="0" r="317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8425" cy="763270"/>
                          </a:xfrm>
                          <a:prstGeom prst="rect">
                            <a:avLst/>
                          </a:prstGeom>
                          <a:noFill/>
                          <a:ln>
                            <a:noFill/>
                          </a:ln>
                        </pic:spPr>
                      </pic:pic>
                    </a:graphicData>
                  </a:graphic>
                </wp:inline>
              </w:drawing>
            </w:r>
          </w:p>
        </w:tc>
        <w:tc>
          <w:tcPr>
            <w:tcW w:w="4820" w:type="dxa"/>
            <w:gridSpan w:val="6"/>
            <w:tcBorders>
              <w:top w:val="single" w:sz="2" w:space="0" w:color="auto"/>
              <w:bottom w:val="single" w:sz="24" w:space="0" w:color="auto"/>
            </w:tcBorders>
          </w:tcPr>
          <w:p w:rsidR="00F32068" w:rsidRPr="007D4232" w:rsidRDefault="001F3DF2" w:rsidP="001F3DF2">
            <w:pPr>
              <w:spacing w:before="360"/>
              <w:rPr>
                <w:rFonts w:ascii="Arial" w:hAnsi="Arial" w:cs="Arial"/>
                <w:b/>
                <w:sz w:val="28"/>
                <w:szCs w:val="28"/>
                <w:lang w:val="es-ES_tradnl"/>
              </w:rPr>
            </w:pPr>
            <w:r w:rsidRPr="007D4232">
              <w:rPr>
                <w:rFonts w:ascii="Arial" w:hAnsi="Arial" w:cs="Arial"/>
                <w:b/>
                <w:sz w:val="28"/>
                <w:szCs w:val="28"/>
                <w:lang w:val="es-ES_tradnl"/>
              </w:rPr>
              <w:t>Plataforma Intergubernamental Científico</w:t>
            </w:r>
            <w:r w:rsidR="00A901AD" w:rsidRPr="007D4232">
              <w:rPr>
                <w:rFonts w:ascii="Arial" w:hAnsi="Arial" w:cs="Arial"/>
                <w:b/>
                <w:sz w:val="28"/>
                <w:szCs w:val="28"/>
                <w:lang w:val="es-ES_tradnl"/>
              </w:rPr>
              <w:noBreakHyphen/>
            </w:r>
            <w:r w:rsidRPr="007D4232">
              <w:rPr>
                <w:rFonts w:ascii="Arial" w:hAnsi="Arial" w:cs="Arial"/>
                <w:b/>
                <w:sz w:val="28"/>
                <w:szCs w:val="28"/>
                <w:lang w:val="es-ES_tradnl"/>
              </w:rPr>
              <w:t>normativa sobre Diversidad Biológica y Servicios de los Ecosistemas</w:t>
            </w:r>
          </w:p>
        </w:tc>
        <w:tc>
          <w:tcPr>
            <w:tcW w:w="2517" w:type="dxa"/>
            <w:gridSpan w:val="2"/>
            <w:tcBorders>
              <w:top w:val="single" w:sz="2" w:space="0" w:color="auto"/>
              <w:bottom w:val="single" w:sz="24" w:space="0" w:color="auto"/>
            </w:tcBorders>
          </w:tcPr>
          <w:p w:rsidR="00F32068" w:rsidRPr="007D4232" w:rsidRDefault="00F32068" w:rsidP="00617821">
            <w:pPr>
              <w:spacing w:before="120"/>
              <w:rPr>
                <w:lang w:val="es-ES_tradnl"/>
              </w:rPr>
            </w:pPr>
            <w:r w:rsidRPr="007D4232">
              <w:rPr>
                <w:lang w:val="es-ES_tradnl"/>
              </w:rPr>
              <w:t xml:space="preserve">Distr. </w:t>
            </w:r>
            <w:r w:rsidR="001F3DF2" w:rsidRPr="007D4232">
              <w:rPr>
                <w:lang w:val="es-ES_tradnl"/>
              </w:rPr>
              <w:t>g</w:t>
            </w:r>
            <w:r w:rsidRPr="007D4232">
              <w:rPr>
                <w:lang w:val="es-ES_tradnl"/>
              </w:rPr>
              <w:t>eneral</w:t>
            </w:r>
            <w:r w:rsidRPr="007D4232">
              <w:rPr>
                <w:lang w:val="es-ES_tradnl"/>
              </w:rPr>
              <w:br/>
            </w:r>
            <w:r w:rsidR="00036AFD" w:rsidRPr="007D4232">
              <w:rPr>
                <w:lang w:val="es-ES_tradnl"/>
              </w:rPr>
              <w:t xml:space="preserve">12 </w:t>
            </w:r>
            <w:r w:rsidR="001F3DF2" w:rsidRPr="007D4232">
              <w:rPr>
                <w:lang w:val="es-ES_tradnl"/>
              </w:rPr>
              <w:t>de noviembre de</w:t>
            </w:r>
            <w:r w:rsidR="00036AFD" w:rsidRPr="007D4232">
              <w:rPr>
                <w:lang w:val="es-ES_tradnl"/>
              </w:rPr>
              <w:t xml:space="preserve"> </w:t>
            </w:r>
            <w:r w:rsidRPr="007D4232">
              <w:rPr>
                <w:lang w:val="es-ES_tradnl"/>
              </w:rPr>
              <w:t>201</w:t>
            </w:r>
            <w:r w:rsidR="00A5374A" w:rsidRPr="007D4232">
              <w:rPr>
                <w:lang w:val="es-ES_tradnl"/>
              </w:rPr>
              <w:t>5</w:t>
            </w:r>
          </w:p>
          <w:p w:rsidR="00F32068" w:rsidRPr="007D4232" w:rsidRDefault="001F3DF2" w:rsidP="007D11F2">
            <w:pPr>
              <w:spacing w:before="120" w:after="120"/>
              <w:rPr>
                <w:lang w:val="es-ES_tradnl"/>
              </w:rPr>
            </w:pPr>
            <w:r w:rsidRPr="007D4232">
              <w:rPr>
                <w:lang w:val="es-ES_tradnl"/>
              </w:rPr>
              <w:t>Español</w:t>
            </w:r>
            <w:r w:rsidR="007D11F2" w:rsidRPr="007D4232">
              <w:rPr>
                <w:lang w:val="es-ES_tradnl"/>
              </w:rPr>
              <w:br/>
            </w:r>
            <w:r w:rsidR="00F32068" w:rsidRPr="007D4232">
              <w:rPr>
                <w:lang w:val="es-ES_tradnl"/>
              </w:rPr>
              <w:t xml:space="preserve">Original: </w:t>
            </w:r>
            <w:r w:rsidRPr="007D4232">
              <w:rPr>
                <w:lang w:val="es-ES_tradnl"/>
              </w:rPr>
              <w:t>inglés</w:t>
            </w:r>
          </w:p>
        </w:tc>
      </w:tr>
    </w:tbl>
    <w:p w:rsidR="001F3DF2" w:rsidRPr="009859D6" w:rsidRDefault="001F3DF2" w:rsidP="00F32068">
      <w:pPr>
        <w:pStyle w:val="AATitle"/>
        <w:keepNext w:val="0"/>
        <w:keepLines w:val="0"/>
        <w:rPr>
          <w:lang w:val="es-ES"/>
        </w:rPr>
      </w:pPr>
      <w:r w:rsidRPr="009859D6">
        <w:rPr>
          <w:lang w:val="es-ES"/>
        </w:rPr>
        <w:t>Plenario de la Plataforma Intergubernamental Científico</w:t>
      </w:r>
      <w:r w:rsidR="00A901AD" w:rsidRPr="009859D6">
        <w:rPr>
          <w:lang w:val="es-ES"/>
        </w:rPr>
        <w:noBreakHyphen/>
      </w:r>
      <w:r w:rsidRPr="009859D6">
        <w:rPr>
          <w:lang w:val="es-ES"/>
        </w:rPr>
        <w:t>normativa sobre Diversidad Biológica y Servicios de los Ecosistemas</w:t>
      </w:r>
    </w:p>
    <w:p w:rsidR="00F32068" w:rsidRPr="009859D6" w:rsidRDefault="001F3DF2" w:rsidP="00F32068">
      <w:pPr>
        <w:pStyle w:val="AATitle"/>
        <w:keepNext w:val="0"/>
        <w:keepLines w:val="0"/>
        <w:rPr>
          <w:lang w:val="es-ES"/>
        </w:rPr>
      </w:pPr>
      <w:r w:rsidRPr="009859D6">
        <w:rPr>
          <w:lang w:val="es-ES"/>
        </w:rPr>
        <w:t xml:space="preserve">Cuarto período de sesiones </w:t>
      </w:r>
    </w:p>
    <w:p w:rsidR="00F32068" w:rsidRPr="009859D6" w:rsidRDefault="006E2B20" w:rsidP="00F32068">
      <w:pPr>
        <w:pStyle w:val="AATitle"/>
        <w:keepNext w:val="0"/>
        <w:keepLines w:val="0"/>
        <w:rPr>
          <w:b w:val="0"/>
          <w:lang w:val="es-ES" w:eastAsia="ja-JP"/>
        </w:rPr>
      </w:pPr>
      <w:r w:rsidRPr="009859D6">
        <w:rPr>
          <w:b w:val="0"/>
          <w:lang w:val="es-ES" w:eastAsia="ja-JP"/>
        </w:rPr>
        <w:t>Kuala Lumpur</w:t>
      </w:r>
      <w:r w:rsidR="00F32068" w:rsidRPr="009859D6">
        <w:rPr>
          <w:b w:val="0"/>
          <w:lang w:val="es-ES" w:eastAsia="ja-JP"/>
        </w:rPr>
        <w:t xml:space="preserve">, </w:t>
      </w:r>
      <w:r w:rsidRPr="009859D6">
        <w:rPr>
          <w:b w:val="0"/>
          <w:lang w:val="es-ES" w:eastAsia="ja-JP"/>
        </w:rPr>
        <w:t>22</w:t>
      </w:r>
      <w:r w:rsidR="001F3DF2" w:rsidRPr="009859D6">
        <w:rPr>
          <w:b w:val="0"/>
          <w:lang w:val="es-ES" w:eastAsia="ja-JP"/>
        </w:rPr>
        <w:t xml:space="preserve"> a </w:t>
      </w:r>
      <w:r w:rsidRPr="009859D6">
        <w:rPr>
          <w:b w:val="0"/>
          <w:lang w:val="es-ES" w:eastAsia="ja-JP"/>
        </w:rPr>
        <w:t xml:space="preserve">28 </w:t>
      </w:r>
      <w:r w:rsidR="001F3DF2" w:rsidRPr="009859D6">
        <w:rPr>
          <w:b w:val="0"/>
          <w:lang w:val="es-ES" w:eastAsia="ja-JP"/>
        </w:rPr>
        <w:t xml:space="preserve">de febrero de </w:t>
      </w:r>
      <w:r w:rsidR="00F32068" w:rsidRPr="009859D6">
        <w:rPr>
          <w:b w:val="0"/>
          <w:lang w:val="es-ES" w:eastAsia="ja-JP"/>
        </w:rPr>
        <w:t>201</w:t>
      </w:r>
      <w:r w:rsidRPr="009859D6">
        <w:rPr>
          <w:b w:val="0"/>
          <w:lang w:val="es-ES" w:eastAsia="ja-JP"/>
        </w:rPr>
        <w:t>6</w:t>
      </w:r>
    </w:p>
    <w:p w:rsidR="00715E94" w:rsidRPr="009859D6" w:rsidRDefault="001F3DF2" w:rsidP="00715E94">
      <w:pPr>
        <w:pStyle w:val="AATitle"/>
        <w:rPr>
          <w:b w:val="0"/>
          <w:bCs/>
          <w:lang w:val="es-ES"/>
        </w:rPr>
      </w:pPr>
      <w:r w:rsidRPr="009859D6">
        <w:rPr>
          <w:b w:val="0"/>
          <w:bCs/>
          <w:lang w:val="es-ES"/>
        </w:rPr>
        <w:t>Tema 4 del programa provisional</w:t>
      </w:r>
      <w:r w:rsidR="00715E94" w:rsidRPr="009859D6">
        <w:rPr>
          <w:rStyle w:val="FootnoteReference"/>
          <w:b w:val="0"/>
          <w:bCs/>
          <w:spacing w:val="4"/>
          <w:w w:val="103"/>
          <w:szCs w:val="20"/>
          <w:vertAlign w:val="baseline"/>
          <w:lang w:val="es-ES"/>
        </w:rPr>
        <w:footnoteReference w:customMarkFollows="1" w:id="1"/>
        <w:t>*</w:t>
      </w:r>
    </w:p>
    <w:p w:rsidR="00715E94" w:rsidRPr="009859D6" w:rsidRDefault="001F3DF2" w:rsidP="00CF3639">
      <w:pPr>
        <w:pStyle w:val="AATitle2"/>
        <w:spacing w:before="60"/>
        <w:ind w:right="4536"/>
        <w:rPr>
          <w:lang w:val="es-ES"/>
        </w:rPr>
      </w:pPr>
      <w:r w:rsidRPr="009859D6">
        <w:rPr>
          <w:lang w:val="es-ES"/>
        </w:rPr>
        <w:t>Informe de la Secretaria Ejecutiva sobre la aplicación del programa de trabajo para 2014</w:t>
      </w:r>
      <w:r w:rsidR="00A901AD" w:rsidRPr="009859D6">
        <w:rPr>
          <w:lang w:val="es-ES"/>
        </w:rPr>
        <w:noBreakHyphen/>
      </w:r>
      <w:r w:rsidRPr="009859D6">
        <w:rPr>
          <w:lang w:val="es-ES"/>
        </w:rPr>
        <w:t>2018</w:t>
      </w:r>
    </w:p>
    <w:p w:rsidR="00715E94" w:rsidRPr="009859D6" w:rsidRDefault="001F3DF2" w:rsidP="00C064A7">
      <w:pPr>
        <w:pStyle w:val="BBTitle"/>
        <w:rPr>
          <w:lang w:val="es-ES"/>
        </w:rPr>
      </w:pPr>
      <w:r w:rsidRPr="009859D6">
        <w:rPr>
          <w:lang w:val="es-ES"/>
        </w:rPr>
        <w:t>Ejecución del programa de trabajo para 2014</w:t>
      </w:r>
      <w:r w:rsidR="00A901AD" w:rsidRPr="009859D6">
        <w:rPr>
          <w:lang w:val="es-ES"/>
        </w:rPr>
        <w:noBreakHyphen/>
      </w:r>
      <w:r w:rsidR="00715E94" w:rsidRPr="009859D6">
        <w:rPr>
          <w:lang w:val="es-ES"/>
        </w:rPr>
        <w:t>2018</w:t>
      </w:r>
    </w:p>
    <w:p w:rsidR="00715E94" w:rsidRPr="009859D6" w:rsidRDefault="00715E94" w:rsidP="00C064A7">
      <w:pPr>
        <w:pStyle w:val="CH2"/>
        <w:rPr>
          <w:lang w:val="es-ES"/>
        </w:rPr>
      </w:pPr>
      <w:r w:rsidRPr="009859D6">
        <w:rPr>
          <w:lang w:val="es-ES"/>
        </w:rPr>
        <w:tab/>
      </w:r>
      <w:r w:rsidRPr="009859D6">
        <w:rPr>
          <w:lang w:val="es-ES"/>
        </w:rPr>
        <w:tab/>
      </w:r>
      <w:r w:rsidR="001F3DF2" w:rsidRPr="009859D6">
        <w:rPr>
          <w:lang w:val="es-ES"/>
        </w:rPr>
        <w:t xml:space="preserve">Informe </w:t>
      </w:r>
      <w:r w:rsidR="00052731" w:rsidRPr="009859D6">
        <w:rPr>
          <w:lang w:val="es-ES"/>
        </w:rPr>
        <w:t>de la Secretaria Ejecutiva</w:t>
      </w:r>
    </w:p>
    <w:p w:rsidR="00715E94" w:rsidRPr="009859D6" w:rsidRDefault="009C5EE8" w:rsidP="00E71A76">
      <w:pPr>
        <w:pStyle w:val="CH1"/>
        <w:rPr>
          <w:b w:val="0"/>
          <w:lang w:val="es-ES"/>
        </w:rPr>
      </w:pPr>
      <w:r w:rsidRPr="009859D6">
        <w:rPr>
          <w:lang w:val="es-ES"/>
        </w:rPr>
        <w:tab/>
        <w:t>I.</w:t>
      </w:r>
      <w:r w:rsidRPr="009859D6">
        <w:rPr>
          <w:lang w:val="es-ES"/>
        </w:rPr>
        <w:tab/>
      </w:r>
      <w:r w:rsidR="00715E94" w:rsidRPr="009859D6">
        <w:rPr>
          <w:lang w:val="es-ES"/>
        </w:rPr>
        <w:t>Introduc</w:t>
      </w:r>
      <w:r w:rsidR="001F3DF2" w:rsidRPr="009859D6">
        <w:rPr>
          <w:lang w:val="es-ES"/>
        </w:rPr>
        <w:t>ció</w:t>
      </w:r>
      <w:r w:rsidR="00715E94" w:rsidRPr="009859D6">
        <w:rPr>
          <w:lang w:val="es-ES"/>
        </w:rPr>
        <w:t>n</w:t>
      </w:r>
    </w:p>
    <w:p w:rsidR="002F2924" w:rsidRPr="009859D6" w:rsidRDefault="001F3DF2" w:rsidP="00CF3639">
      <w:pPr>
        <w:pStyle w:val="Normalnumber"/>
        <w:numPr>
          <w:ilvl w:val="0"/>
          <w:numId w:val="4"/>
        </w:numPr>
        <w:tabs>
          <w:tab w:val="clear" w:pos="1247"/>
          <w:tab w:val="clear" w:pos="1814"/>
          <w:tab w:val="clear" w:pos="2381"/>
          <w:tab w:val="clear" w:pos="2948"/>
          <w:tab w:val="clear" w:pos="3515"/>
          <w:tab w:val="left" w:pos="624"/>
          <w:tab w:val="num" w:pos="1134"/>
        </w:tabs>
        <w:ind w:left="1247" w:firstLine="0"/>
        <w:rPr>
          <w:lang w:val="es-ES"/>
        </w:rPr>
      </w:pPr>
      <w:r w:rsidRPr="009859D6">
        <w:rPr>
          <w:lang w:val="es-ES"/>
        </w:rPr>
        <w:t>En su segundo período de sesiones, el Plenario de la Plataforma Intergubernamental Científico</w:t>
      </w:r>
      <w:r w:rsidR="00A901AD" w:rsidRPr="009859D6">
        <w:rPr>
          <w:lang w:val="es-ES"/>
        </w:rPr>
        <w:noBreakHyphen/>
      </w:r>
      <w:r w:rsidRPr="009859D6">
        <w:rPr>
          <w:lang w:val="es-ES"/>
        </w:rPr>
        <w:t>normativa sobre Diversidad Biológica y Servicios de los Ecosistemas adoptó la decisión IPBES</w:t>
      </w:r>
      <w:r w:rsidR="00A901AD" w:rsidRPr="009859D6">
        <w:rPr>
          <w:lang w:val="es-ES"/>
        </w:rPr>
        <w:noBreakHyphen/>
      </w:r>
      <w:r w:rsidRPr="009859D6">
        <w:rPr>
          <w:lang w:val="es-ES"/>
        </w:rPr>
        <w:t>2/5, en la que se aprob</w:t>
      </w:r>
      <w:r w:rsidR="008C5F15" w:rsidRPr="009859D6">
        <w:rPr>
          <w:lang w:val="es-ES"/>
        </w:rPr>
        <w:t>aba</w:t>
      </w:r>
      <w:r w:rsidRPr="009859D6">
        <w:rPr>
          <w:lang w:val="es-ES"/>
        </w:rPr>
        <w:t xml:space="preserve"> un ambicioso programa de trabajo con un conjunto escalonado de productos previstos para el período 2014</w:t>
      </w:r>
      <w:r w:rsidR="00A901AD" w:rsidRPr="009859D6">
        <w:rPr>
          <w:lang w:val="es-ES"/>
        </w:rPr>
        <w:noBreakHyphen/>
      </w:r>
      <w:r w:rsidRPr="009859D6">
        <w:rPr>
          <w:lang w:val="es-ES"/>
        </w:rPr>
        <w:t>2018.</w:t>
      </w:r>
      <w:r w:rsidR="00715E94" w:rsidRPr="009859D6">
        <w:rPr>
          <w:lang w:val="es-ES"/>
        </w:rPr>
        <w:t xml:space="preserve"> </w:t>
      </w:r>
      <w:r w:rsidR="001901B3" w:rsidRPr="009859D6">
        <w:rPr>
          <w:lang w:val="es-ES"/>
        </w:rPr>
        <w:t xml:space="preserve">El programa de trabajo se aprobó en el entendimiento de que la labor sobre </w:t>
      </w:r>
      <w:r w:rsidR="008C5F15" w:rsidRPr="009859D6">
        <w:rPr>
          <w:lang w:val="es-ES"/>
        </w:rPr>
        <w:t xml:space="preserve">los </w:t>
      </w:r>
      <w:r w:rsidR="001901B3" w:rsidRPr="009859D6">
        <w:rPr>
          <w:lang w:val="es-ES"/>
        </w:rPr>
        <w:t>productos previstos se iniciaría siguiendo las decisiones en vigencia del Plenario, de conformidad con los procedimientos para la preparación de productos previstos de la Plataforma.</w:t>
      </w:r>
      <w:r w:rsidR="00715E94" w:rsidRPr="009859D6">
        <w:rPr>
          <w:lang w:val="es-ES"/>
        </w:rPr>
        <w:t xml:space="preserve"> </w:t>
      </w:r>
      <w:r w:rsidR="001901B3" w:rsidRPr="009859D6">
        <w:rPr>
          <w:lang w:val="es-ES"/>
        </w:rPr>
        <w:t>En esa decisión, el Plenario también inició y guió la labor sobre todos excepto uno de los productos previstos del programa de trabajo, con la intención de retomar la cuestión durante su tercer período de sesiones</w:t>
      </w:r>
      <w:r w:rsidR="00415C05" w:rsidRPr="009859D6">
        <w:rPr>
          <w:lang w:val="es-ES"/>
        </w:rPr>
        <w:t>.</w:t>
      </w:r>
    </w:p>
    <w:p w:rsidR="002F2924" w:rsidRPr="009859D6" w:rsidRDefault="001901B3" w:rsidP="00CF3639">
      <w:pPr>
        <w:pStyle w:val="Normalnumber"/>
        <w:numPr>
          <w:ilvl w:val="0"/>
          <w:numId w:val="4"/>
        </w:numPr>
        <w:tabs>
          <w:tab w:val="clear" w:pos="1247"/>
          <w:tab w:val="clear" w:pos="1814"/>
          <w:tab w:val="clear" w:pos="2381"/>
          <w:tab w:val="clear" w:pos="2948"/>
          <w:tab w:val="clear" w:pos="3515"/>
          <w:tab w:val="left" w:pos="624"/>
          <w:tab w:val="num" w:pos="1134"/>
        </w:tabs>
        <w:ind w:left="1247" w:firstLine="0"/>
        <w:rPr>
          <w:lang w:val="es-ES"/>
        </w:rPr>
      </w:pPr>
      <w:r w:rsidRPr="009859D6">
        <w:rPr>
          <w:lang w:val="es-ES"/>
        </w:rPr>
        <w:t xml:space="preserve">En su tercer período de sesiones, el Plenario aprobó la decisión </w:t>
      </w:r>
      <w:r w:rsidR="002F2924" w:rsidRPr="009859D6">
        <w:rPr>
          <w:lang w:val="es-ES"/>
        </w:rPr>
        <w:t>IPBES</w:t>
      </w:r>
      <w:r w:rsidR="00A901AD" w:rsidRPr="009859D6">
        <w:rPr>
          <w:lang w:val="es-ES"/>
        </w:rPr>
        <w:noBreakHyphen/>
      </w:r>
      <w:r w:rsidR="002F2924" w:rsidRPr="009859D6">
        <w:rPr>
          <w:lang w:val="es-ES"/>
        </w:rPr>
        <w:t>3/1,</w:t>
      </w:r>
      <w:r w:rsidRPr="009859D6">
        <w:rPr>
          <w:lang w:val="es-ES"/>
        </w:rPr>
        <w:t xml:space="preserve"> con la que proporcionaba más orientación sobre la aplicación de los 18 productos previstos del programa de trabajo, incluida una atención especial a los productos previstos de evaluación contemplados en los objetivos 2 y 3</w:t>
      </w:r>
      <w:r w:rsidR="006E2E86" w:rsidRPr="009859D6">
        <w:rPr>
          <w:lang w:val="es-ES"/>
        </w:rPr>
        <w:t>.</w:t>
      </w:r>
    </w:p>
    <w:p w:rsidR="00715E94" w:rsidRPr="009859D6" w:rsidRDefault="001901B3" w:rsidP="00415C05">
      <w:pPr>
        <w:pStyle w:val="Normalnumber"/>
        <w:numPr>
          <w:ilvl w:val="0"/>
          <w:numId w:val="4"/>
        </w:numPr>
        <w:tabs>
          <w:tab w:val="clear" w:pos="1247"/>
          <w:tab w:val="clear" w:pos="1814"/>
          <w:tab w:val="clear" w:pos="2381"/>
          <w:tab w:val="clear" w:pos="2948"/>
          <w:tab w:val="clear" w:pos="3515"/>
          <w:tab w:val="left" w:pos="624"/>
          <w:tab w:val="num" w:pos="1134"/>
        </w:tabs>
        <w:ind w:left="1247" w:firstLine="0"/>
        <w:rPr>
          <w:lang w:val="es-ES"/>
        </w:rPr>
      </w:pPr>
      <w:r w:rsidRPr="009859D6">
        <w:rPr>
          <w:lang w:val="es-ES"/>
        </w:rPr>
        <w:t xml:space="preserve">El presente informe ha sido preparado por </w:t>
      </w:r>
      <w:r w:rsidR="00052731" w:rsidRPr="009859D6">
        <w:rPr>
          <w:lang w:val="es-ES"/>
        </w:rPr>
        <w:t xml:space="preserve">la </w:t>
      </w:r>
      <w:r w:rsidRPr="009859D6">
        <w:rPr>
          <w:lang w:val="es-ES"/>
        </w:rPr>
        <w:t>Secretari</w:t>
      </w:r>
      <w:r w:rsidR="00052731" w:rsidRPr="009859D6">
        <w:rPr>
          <w:lang w:val="es-ES"/>
        </w:rPr>
        <w:t>a</w:t>
      </w:r>
      <w:r w:rsidRPr="009859D6">
        <w:rPr>
          <w:lang w:val="es-ES"/>
        </w:rPr>
        <w:t xml:space="preserve"> Ejecutiv</w:t>
      </w:r>
      <w:r w:rsidR="00052731" w:rsidRPr="009859D6">
        <w:rPr>
          <w:lang w:val="es-ES"/>
        </w:rPr>
        <w:t>a</w:t>
      </w:r>
      <w:r w:rsidRPr="009859D6">
        <w:rPr>
          <w:lang w:val="es-ES"/>
        </w:rPr>
        <w:t xml:space="preserve">, en consulta con la Mesa y el Grupo Multidisciplinario de Expertos, para facilitar la consideración por parte del Plenario de la aplicación del programa de trabajo. </w:t>
      </w:r>
      <w:r w:rsidR="008C5F15" w:rsidRPr="009859D6">
        <w:rPr>
          <w:lang w:val="es-ES"/>
        </w:rPr>
        <w:t>Como</w:t>
      </w:r>
      <w:r w:rsidRPr="009859D6">
        <w:rPr>
          <w:lang w:val="es-ES"/>
        </w:rPr>
        <w:t xml:space="preserve"> base </w:t>
      </w:r>
      <w:r w:rsidR="008C5F15" w:rsidRPr="009859D6">
        <w:rPr>
          <w:lang w:val="es-ES"/>
        </w:rPr>
        <w:t>para el examen, se ha brindado a</w:t>
      </w:r>
      <w:r w:rsidRPr="009859D6">
        <w:rPr>
          <w:lang w:val="es-ES"/>
        </w:rPr>
        <w:t xml:space="preserve">l </w:t>
      </w:r>
      <w:r w:rsidR="008C5F15" w:rsidRPr="009859D6">
        <w:rPr>
          <w:lang w:val="es-ES"/>
        </w:rPr>
        <w:t>P</w:t>
      </w:r>
      <w:r w:rsidRPr="009859D6">
        <w:rPr>
          <w:lang w:val="es-ES"/>
        </w:rPr>
        <w:t>lenario información sobre las cuestiones siguientes:</w:t>
      </w:r>
    </w:p>
    <w:p w:rsidR="00715E94" w:rsidRPr="009859D6" w:rsidRDefault="001901B3" w:rsidP="001423AB">
      <w:pPr>
        <w:pStyle w:val="Normalnumber"/>
        <w:numPr>
          <w:ilvl w:val="1"/>
          <w:numId w:val="5"/>
        </w:numPr>
        <w:tabs>
          <w:tab w:val="clear" w:pos="1247"/>
          <w:tab w:val="clear" w:pos="1814"/>
          <w:tab w:val="clear" w:pos="2381"/>
          <w:tab w:val="clear" w:pos="2948"/>
          <w:tab w:val="clear" w:pos="3515"/>
          <w:tab w:val="left" w:pos="624"/>
        </w:tabs>
        <w:ind w:left="1247" w:firstLine="624"/>
        <w:rPr>
          <w:lang w:val="es-ES"/>
        </w:rPr>
      </w:pPr>
      <w:r w:rsidRPr="009859D6">
        <w:rPr>
          <w:lang w:val="es-ES"/>
        </w:rPr>
        <w:t xml:space="preserve">Progreso en la aplicación de los productos previstos establecidos en el programa de trabajo iniciado a partir de las decisiones </w:t>
      </w:r>
      <w:r w:rsidR="00715E94" w:rsidRPr="009859D6">
        <w:rPr>
          <w:lang w:val="es-ES"/>
        </w:rPr>
        <w:t>IPBES</w:t>
      </w:r>
      <w:r w:rsidR="00A901AD" w:rsidRPr="009859D6">
        <w:rPr>
          <w:lang w:val="es-ES"/>
        </w:rPr>
        <w:noBreakHyphen/>
      </w:r>
      <w:r w:rsidR="00715E94" w:rsidRPr="009859D6">
        <w:rPr>
          <w:lang w:val="es-ES"/>
        </w:rPr>
        <w:t>2/5</w:t>
      </w:r>
      <w:r w:rsidR="00415C05" w:rsidRPr="009859D6">
        <w:rPr>
          <w:lang w:val="es-ES"/>
        </w:rPr>
        <w:t xml:space="preserve"> </w:t>
      </w:r>
      <w:r w:rsidRPr="009859D6">
        <w:rPr>
          <w:lang w:val="es-ES"/>
        </w:rPr>
        <w:t xml:space="preserve">e </w:t>
      </w:r>
      <w:r w:rsidR="00415C05" w:rsidRPr="009859D6">
        <w:rPr>
          <w:lang w:val="es-ES"/>
        </w:rPr>
        <w:t>IPBES</w:t>
      </w:r>
      <w:r w:rsidR="00A901AD" w:rsidRPr="009859D6">
        <w:rPr>
          <w:lang w:val="es-ES"/>
        </w:rPr>
        <w:noBreakHyphen/>
      </w:r>
      <w:r w:rsidR="00415C05" w:rsidRPr="009859D6">
        <w:rPr>
          <w:lang w:val="es-ES"/>
        </w:rPr>
        <w:t>3/1</w:t>
      </w:r>
      <w:r w:rsidR="00692B5E" w:rsidRPr="009859D6">
        <w:rPr>
          <w:lang w:val="es-ES"/>
        </w:rPr>
        <w:t>;</w:t>
      </w:r>
    </w:p>
    <w:p w:rsidR="00715E94" w:rsidRPr="009859D6" w:rsidRDefault="001901B3" w:rsidP="00CF3639">
      <w:pPr>
        <w:pStyle w:val="Normalnumber"/>
        <w:numPr>
          <w:ilvl w:val="1"/>
          <w:numId w:val="5"/>
        </w:numPr>
        <w:tabs>
          <w:tab w:val="clear" w:pos="1247"/>
          <w:tab w:val="clear" w:pos="1814"/>
          <w:tab w:val="clear" w:pos="2381"/>
          <w:tab w:val="clear" w:pos="2948"/>
          <w:tab w:val="clear" w:pos="3515"/>
          <w:tab w:val="left" w:pos="624"/>
        </w:tabs>
        <w:ind w:left="1247" w:firstLine="624"/>
        <w:rPr>
          <w:lang w:val="es-ES"/>
        </w:rPr>
      </w:pPr>
      <w:r w:rsidRPr="009859D6">
        <w:rPr>
          <w:lang w:val="es-ES"/>
        </w:rPr>
        <w:t>Otras lecciones aprendidas por la Mesa, el Grupo Multidisciplinario de Expertos y la Secretaría a lo largo de 2015, el segundo año de aplicación del programa de trabajo, aprovechando las lecciones aprendidas en 2014</w:t>
      </w:r>
      <w:r w:rsidR="00173349" w:rsidRPr="009859D6">
        <w:rPr>
          <w:lang w:val="es-ES"/>
        </w:rPr>
        <w:t>.</w:t>
      </w:r>
    </w:p>
    <w:p w:rsidR="00715E94" w:rsidRPr="009859D6" w:rsidRDefault="00715E94" w:rsidP="00CF3639">
      <w:pPr>
        <w:pStyle w:val="CH1"/>
        <w:keepNext w:val="0"/>
        <w:keepLines w:val="0"/>
        <w:rPr>
          <w:lang w:val="es-ES"/>
        </w:rPr>
      </w:pPr>
      <w:r w:rsidRPr="009859D6">
        <w:rPr>
          <w:lang w:val="es-ES"/>
        </w:rPr>
        <w:tab/>
      </w:r>
      <w:r w:rsidR="00692B5E" w:rsidRPr="009859D6">
        <w:rPr>
          <w:lang w:val="es-ES"/>
        </w:rPr>
        <w:t>I</w:t>
      </w:r>
      <w:r w:rsidRPr="009859D6">
        <w:rPr>
          <w:lang w:val="es-ES"/>
        </w:rPr>
        <w:t>I.</w:t>
      </w:r>
      <w:r w:rsidRPr="009859D6">
        <w:rPr>
          <w:lang w:val="es-ES"/>
        </w:rPr>
        <w:tab/>
      </w:r>
      <w:r w:rsidR="001901B3" w:rsidRPr="009859D6">
        <w:rPr>
          <w:lang w:val="es-ES"/>
        </w:rPr>
        <w:t xml:space="preserve">Progreso en la aplicación de las decisiones </w:t>
      </w:r>
      <w:r w:rsidRPr="009859D6">
        <w:rPr>
          <w:lang w:val="es-ES"/>
        </w:rPr>
        <w:t>IPBES</w:t>
      </w:r>
      <w:r w:rsidR="00A901AD" w:rsidRPr="009859D6">
        <w:rPr>
          <w:lang w:val="es-ES"/>
        </w:rPr>
        <w:noBreakHyphen/>
      </w:r>
      <w:r w:rsidRPr="009859D6">
        <w:rPr>
          <w:lang w:val="es-ES"/>
        </w:rPr>
        <w:t>2/5</w:t>
      </w:r>
      <w:r w:rsidR="005D0AF2" w:rsidRPr="009859D6">
        <w:rPr>
          <w:lang w:val="es-ES"/>
        </w:rPr>
        <w:t xml:space="preserve"> </w:t>
      </w:r>
      <w:r w:rsidR="001901B3" w:rsidRPr="009859D6">
        <w:rPr>
          <w:lang w:val="es-ES"/>
        </w:rPr>
        <w:t>e</w:t>
      </w:r>
      <w:r w:rsidR="005D0AF2" w:rsidRPr="009859D6">
        <w:rPr>
          <w:lang w:val="es-ES"/>
        </w:rPr>
        <w:t xml:space="preserve"> IPBES</w:t>
      </w:r>
      <w:r w:rsidR="00A901AD" w:rsidRPr="009859D6">
        <w:rPr>
          <w:lang w:val="es-ES"/>
        </w:rPr>
        <w:noBreakHyphen/>
      </w:r>
      <w:r w:rsidR="005D0AF2" w:rsidRPr="009859D6">
        <w:rPr>
          <w:lang w:val="es-ES"/>
        </w:rPr>
        <w:t>3/1</w:t>
      </w:r>
      <w:r w:rsidR="00014CB2" w:rsidRPr="009859D6">
        <w:rPr>
          <w:lang w:val="es-ES"/>
        </w:rPr>
        <w:t xml:space="preserve"> relativas al </w:t>
      </w:r>
      <w:r w:rsidR="001901B3" w:rsidRPr="009859D6">
        <w:rPr>
          <w:lang w:val="es-ES"/>
        </w:rPr>
        <w:t>programa de trabajo para 2014</w:t>
      </w:r>
      <w:r w:rsidR="00A901AD" w:rsidRPr="009859D6">
        <w:rPr>
          <w:lang w:val="es-ES"/>
        </w:rPr>
        <w:noBreakHyphen/>
      </w:r>
      <w:r w:rsidR="00DE7B01" w:rsidRPr="009859D6">
        <w:rPr>
          <w:lang w:val="es-ES"/>
        </w:rPr>
        <w:t>2018</w:t>
      </w:r>
    </w:p>
    <w:p w:rsidR="00715E94" w:rsidRPr="009859D6" w:rsidRDefault="00F81457" w:rsidP="00CF3639">
      <w:pPr>
        <w:pStyle w:val="Normalnumber"/>
        <w:numPr>
          <w:ilvl w:val="0"/>
          <w:numId w:val="4"/>
        </w:numPr>
        <w:tabs>
          <w:tab w:val="clear" w:pos="1247"/>
          <w:tab w:val="clear" w:pos="1814"/>
          <w:tab w:val="clear" w:pos="2381"/>
          <w:tab w:val="clear" w:pos="2948"/>
          <w:tab w:val="clear" w:pos="3515"/>
          <w:tab w:val="left" w:pos="624"/>
          <w:tab w:val="num" w:pos="1134"/>
        </w:tabs>
        <w:ind w:left="1247" w:firstLine="0"/>
        <w:rPr>
          <w:lang w:val="es-ES"/>
        </w:rPr>
      </w:pPr>
      <w:r w:rsidRPr="009859D6">
        <w:rPr>
          <w:lang w:val="es-ES"/>
        </w:rPr>
        <w:t>E</w:t>
      </w:r>
      <w:r w:rsidR="00014CB2" w:rsidRPr="009859D6">
        <w:rPr>
          <w:lang w:val="es-ES"/>
        </w:rPr>
        <w:t>n 2015 se establecieron cinco grupos de autores de evaluaciones y un grupo</w:t>
      </w:r>
      <w:r w:rsidR="001E4CD5" w:rsidRPr="009859D6">
        <w:rPr>
          <w:lang w:val="es-ES"/>
        </w:rPr>
        <w:t xml:space="preserve"> temporal de análisis </w:t>
      </w:r>
      <w:r w:rsidR="00052731" w:rsidRPr="009859D6">
        <w:rPr>
          <w:lang w:val="es-ES"/>
        </w:rPr>
        <w:t>inicial</w:t>
      </w:r>
      <w:r w:rsidR="005D0AF2" w:rsidRPr="009859D6">
        <w:rPr>
          <w:lang w:val="es-ES"/>
        </w:rPr>
        <w:t>.</w:t>
      </w:r>
      <w:r w:rsidR="00592FCA" w:rsidRPr="009859D6">
        <w:rPr>
          <w:lang w:val="es-ES"/>
        </w:rPr>
        <w:t xml:space="preserve"> </w:t>
      </w:r>
      <w:r w:rsidR="001E4CD5" w:rsidRPr="009859D6">
        <w:rPr>
          <w:lang w:val="es-ES"/>
        </w:rPr>
        <w:t xml:space="preserve">Tres </w:t>
      </w:r>
      <w:r w:rsidR="000E25B2" w:rsidRPr="009859D6">
        <w:rPr>
          <w:lang w:val="es-ES"/>
        </w:rPr>
        <w:t>equipos de tareas</w:t>
      </w:r>
      <w:r w:rsidR="001E4CD5" w:rsidRPr="009859D6">
        <w:rPr>
          <w:lang w:val="es-ES"/>
        </w:rPr>
        <w:t>, dos grupos de autores de evaluaciones y tres grupos temporales de expertos establecidos en 2014 continuaron su labor en 2015</w:t>
      </w:r>
      <w:r w:rsidR="00715E94" w:rsidRPr="009859D6">
        <w:rPr>
          <w:lang w:val="es-ES"/>
        </w:rPr>
        <w:t>.</w:t>
      </w:r>
      <w:r w:rsidR="001E4CD5" w:rsidRPr="009859D6">
        <w:rPr>
          <w:lang w:val="es-ES"/>
        </w:rPr>
        <w:t xml:space="preserve"> En conjunto,</w:t>
      </w:r>
      <w:r w:rsidR="00715E94" w:rsidRPr="009859D6">
        <w:rPr>
          <w:lang w:val="es-ES"/>
        </w:rPr>
        <w:t xml:space="preserve"> </w:t>
      </w:r>
      <w:r w:rsidR="001E4CD5" w:rsidRPr="009859D6">
        <w:rPr>
          <w:lang w:val="es-ES"/>
        </w:rPr>
        <w:t xml:space="preserve">en estos grupos </w:t>
      </w:r>
      <w:r w:rsidR="001E4CD5" w:rsidRPr="009859D6">
        <w:rPr>
          <w:lang w:val="es-ES"/>
        </w:rPr>
        <w:lastRenderedPageBreak/>
        <w:t>colaboraron cerca de 1.000 expertos seleccionados y se celebraron 24 reuniones</w:t>
      </w:r>
      <w:r w:rsidR="00715E94" w:rsidRPr="009859D6">
        <w:rPr>
          <w:rStyle w:val="FootnoteReference"/>
          <w:szCs w:val="20"/>
          <w:lang w:val="es-ES"/>
        </w:rPr>
        <w:footnoteReference w:id="2"/>
      </w:r>
      <w:r w:rsidR="00052731" w:rsidRPr="009859D6">
        <w:rPr>
          <w:lang w:val="es-ES"/>
        </w:rPr>
        <w:t>.</w:t>
      </w:r>
      <w:r w:rsidR="00715E94" w:rsidRPr="009859D6">
        <w:rPr>
          <w:lang w:val="es-ES"/>
        </w:rPr>
        <w:t xml:space="preserve"> </w:t>
      </w:r>
      <w:r w:rsidR="00A72873" w:rsidRPr="009859D6">
        <w:rPr>
          <w:lang w:val="es-ES"/>
        </w:rPr>
        <w:t>Se</w:t>
      </w:r>
      <w:r w:rsidR="001E4CD5" w:rsidRPr="009859D6">
        <w:rPr>
          <w:lang w:val="es-ES"/>
        </w:rPr>
        <w:t xml:space="preserve"> establecieron siete nuevos arreglos institucionales, con seis dependencias de apoyo técnico y un consultor, gracias a las ofertas en especie recibidas de gobiernos y organizaciones. Estos se suman a los seis arreglos concluidos en 2014</w:t>
      </w:r>
      <w:r w:rsidR="00E92A44" w:rsidRPr="009859D6">
        <w:rPr>
          <w:lang w:val="es-ES"/>
        </w:rPr>
        <w:t xml:space="preserve">. </w:t>
      </w:r>
      <w:r w:rsidR="001E4CD5" w:rsidRPr="009859D6">
        <w:rPr>
          <w:lang w:val="es-ES"/>
        </w:rPr>
        <w:t xml:space="preserve">En el documento </w:t>
      </w:r>
      <w:r w:rsidR="00715E94" w:rsidRPr="009859D6">
        <w:rPr>
          <w:lang w:val="es-ES"/>
        </w:rPr>
        <w:t>IPBES/</w:t>
      </w:r>
      <w:r w:rsidR="00E92A44" w:rsidRPr="009859D6">
        <w:rPr>
          <w:lang w:val="es-ES"/>
        </w:rPr>
        <w:t>4</w:t>
      </w:r>
      <w:r w:rsidR="00715E94" w:rsidRPr="009859D6">
        <w:rPr>
          <w:lang w:val="es-ES"/>
        </w:rPr>
        <w:t>/</w:t>
      </w:r>
      <w:r w:rsidR="00864231" w:rsidRPr="009859D6">
        <w:rPr>
          <w:lang w:val="es-ES"/>
        </w:rPr>
        <w:t>INF/</w:t>
      </w:r>
      <w:r w:rsidR="00392F2D" w:rsidRPr="009859D6">
        <w:rPr>
          <w:lang w:val="es-ES"/>
        </w:rPr>
        <w:t>18</w:t>
      </w:r>
      <w:r w:rsidR="001E4CD5" w:rsidRPr="009859D6">
        <w:rPr>
          <w:lang w:val="es-ES"/>
        </w:rPr>
        <w:t xml:space="preserve"> puede encontrarse más información sobre los arreglos institucionales</w:t>
      </w:r>
      <w:r w:rsidR="00715E94" w:rsidRPr="009859D6">
        <w:rPr>
          <w:lang w:val="es-ES"/>
        </w:rPr>
        <w:t xml:space="preserve">. </w:t>
      </w:r>
    </w:p>
    <w:p w:rsidR="00E71A76" w:rsidRPr="009859D6" w:rsidRDefault="00D776E2" w:rsidP="00CF3639">
      <w:pPr>
        <w:pStyle w:val="CH2"/>
        <w:tabs>
          <w:tab w:val="clear" w:pos="624"/>
          <w:tab w:val="left" w:pos="4082"/>
        </w:tabs>
        <w:spacing w:before="80" w:after="60"/>
        <w:ind w:left="1247"/>
        <w:rPr>
          <w:sz w:val="20"/>
          <w:szCs w:val="20"/>
          <w:lang w:val="es-ES"/>
        </w:rPr>
      </w:pPr>
      <w:r w:rsidRPr="009859D6">
        <w:rPr>
          <w:lang w:val="es-ES"/>
        </w:rPr>
        <w:tab/>
      </w:r>
      <w:r w:rsidR="00692B5E" w:rsidRPr="009859D6">
        <w:rPr>
          <w:lang w:val="es-ES"/>
        </w:rPr>
        <w:tab/>
      </w:r>
      <w:r w:rsidR="007427F3" w:rsidRPr="009859D6">
        <w:rPr>
          <w:sz w:val="20"/>
          <w:szCs w:val="20"/>
          <w:lang w:val="es-ES"/>
        </w:rPr>
        <w:t xml:space="preserve">Objetivo </w:t>
      </w:r>
      <w:r w:rsidR="00715E94" w:rsidRPr="009859D6">
        <w:rPr>
          <w:sz w:val="20"/>
          <w:szCs w:val="20"/>
          <w:lang w:val="es-ES"/>
        </w:rPr>
        <w:t>1</w:t>
      </w:r>
    </w:p>
    <w:p w:rsidR="007427F3" w:rsidRPr="009859D6" w:rsidRDefault="00E71A76" w:rsidP="007427F3">
      <w:pPr>
        <w:pStyle w:val="CH2"/>
        <w:tabs>
          <w:tab w:val="clear" w:pos="624"/>
          <w:tab w:val="left" w:pos="4082"/>
        </w:tabs>
        <w:spacing w:before="80"/>
        <w:ind w:left="1247"/>
        <w:rPr>
          <w:sz w:val="16"/>
          <w:szCs w:val="20"/>
          <w:lang w:val="es-ES"/>
        </w:rPr>
      </w:pPr>
      <w:r w:rsidRPr="009859D6">
        <w:rPr>
          <w:sz w:val="20"/>
          <w:szCs w:val="20"/>
          <w:lang w:val="es-ES"/>
        </w:rPr>
        <w:tab/>
      </w:r>
      <w:r w:rsidRPr="009859D6">
        <w:rPr>
          <w:sz w:val="20"/>
          <w:szCs w:val="20"/>
          <w:lang w:val="es-ES"/>
        </w:rPr>
        <w:tab/>
      </w:r>
      <w:r w:rsidR="007427F3" w:rsidRPr="009859D6">
        <w:rPr>
          <w:sz w:val="20"/>
          <w:lang w:val="es-ES"/>
        </w:rPr>
        <w:t>Fortalecer los fundamentos de la interfaz científico</w:t>
      </w:r>
      <w:r w:rsidR="00A901AD" w:rsidRPr="009859D6">
        <w:rPr>
          <w:sz w:val="20"/>
          <w:lang w:val="es-ES"/>
        </w:rPr>
        <w:noBreakHyphen/>
      </w:r>
      <w:r w:rsidR="007427F3" w:rsidRPr="009859D6">
        <w:rPr>
          <w:sz w:val="20"/>
          <w:lang w:val="es-ES"/>
        </w:rPr>
        <w:t>normativa en materia de capacidad y conocimientos para el desempeño de las principales funciones de la Plataforma</w:t>
      </w:r>
    </w:p>
    <w:p w:rsidR="00715E94" w:rsidRPr="009859D6" w:rsidRDefault="001E4CD5" w:rsidP="001423AB">
      <w:pPr>
        <w:pStyle w:val="Normalnumber"/>
        <w:numPr>
          <w:ilvl w:val="0"/>
          <w:numId w:val="4"/>
        </w:numPr>
        <w:tabs>
          <w:tab w:val="clear" w:pos="1247"/>
          <w:tab w:val="clear" w:pos="1814"/>
          <w:tab w:val="clear" w:pos="2381"/>
          <w:tab w:val="clear" w:pos="2948"/>
          <w:tab w:val="clear" w:pos="3515"/>
          <w:tab w:val="left" w:pos="624"/>
          <w:tab w:val="num" w:pos="1134"/>
        </w:tabs>
        <w:ind w:left="1247" w:firstLine="0"/>
        <w:rPr>
          <w:lang w:val="es-ES"/>
        </w:rPr>
      </w:pPr>
      <w:r w:rsidRPr="009859D6">
        <w:rPr>
          <w:lang w:val="es-ES"/>
        </w:rPr>
        <w:t xml:space="preserve">En 2014 se establecieron tres </w:t>
      </w:r>
      <w:r w:rsidR="000E25B2" w:rsidRPr="009859D6">
        <w:rPr>
          <w:lang w:val="es-ES"/>
        </w:rPr>
        <w:t>equipos de tareas</w:t>
      </w:r>
      <w:r w:rsidRPr="009859D6">
        <w:rPr>
          <w:lang w:val="es-ES"/>
        </w:rPr>
        <w:t xml:space="preserve"> con dependencias de apoyo técnico para el periodo 2014</w:t>
      </w:r>
      <w:r w:rsidR="00A901AD" w:rsidRPr="009859D6">
        <w:rPr>
          <w:lang w:val="es-ES"/>
        </w:rPr>
        <w:noBreakHyphen/>
      </w:r>
      <w:r w:rsidRPr="009859D6">
        <w:rPr>
          <w:lang w:val="es-ES"/>
        </w:rPr>
        <w:t>2018</w:t>
      </w:r>
      <w:r w:rsidR="00715E94" w:rsidRPr="009859D6">
        <w:rPr>
          <w:lang w:val="es-ES"/>
        </w:rPr>
        <w:t xml:space="preserve">. </w:t>
      </w:r>
      <w:r w:rsidRPr="009859D6">
        <w:rPr>
          <w:lang w:val="es-ES"/>
        </w:rPr>
        <w:t>En 2015 se han registrado progresos en los ámbitos siguientes</w:t>
      </w:r>
      <w:r w:rsidR="00715E94" w:rsidRPr="009859D6">
        <w:rPr>
          <w:lang w:val="es-ES"/>
        </w:rPr>
        <w:t>:</w:t>
      </w:r>
    </w:p>
    <w:p w:rsidR="00715E94" w:rsidRPr="009859D6" w:rsidRDefault="001E4CD5" w:rsidP="00FE4CDA">
      <w:pPr>
        <w:pStyle w:val="Normalnumber"/>
        <w:numPr>
          <w:ilvl w:val="1"/>
          <w:numId w:val="4"/>
        </w:numPr>
        <w:tabs>
          <w:tab w:val="clear" w:pos="1247"/>
          <w:tab w:val="clear" w:pos="1814"/>
          <w:tab w:val="clear" w:pos="2381"/>
          <w:tab w:val="clear" w:pos="2948"/>
          <w:tab w:val="clear" w:pos="3515"/>
          <w:tab w:val="left" w:pos="624"/>
        </w:tabs>
        <w:ind w:left="1247" w:firstLine="624"/>
        <w:rPr>
          <w:lang w:val="es-ES"/>
        </w:rPr>
      </w:pPr>
      <w:r w:rsidRPr="009859D6">
        <w:rPr>
          <w:lang w:val="es-ES"/>
        </w:rPr>
        <w:t xml:space="preserve">El equipo de tareas sobre creación de capacidad (productos previstos 1 </w:t>
      </w:r>
      <w:r w:rsidR="00715E94" w:rsidRPr="009859D6">
        <w:rPr>
          <w:lang w:val="es-ES"/>
        </w:rPr>
        <w:t>a</w:t>
      </w:r>
      <w:r w:rsidR="00692B5E" w:rsidRPr="009859D6">
        <w:rPr>
          <w:lang w:val="es-ES"/>
        </w:rPr>
        <w:t>)</w:t>
      </w:r>
      <w:r w:rsidR="00715E94" w:rsidRPr="009859D6">
        <w:rPr>
          <w:lang w:val="es-ES"/>
        </w:rPr>
        <w:t xml:space="preserve"> </w:t>
      </w:r>
      <w:r w:rsidRPr="009859D6">
        <w:rPr>
          <w:lang w:val="es-ES"/>
        </w:rPr>
        <w:t xml:space="preserve">y </w:t>
      </w:r>
      <w:r w:rsidR="00715E94" w:rsidRPr="009859D6">
        <w:rPr>
          <w:lang w:val="es-ES"/>
        </w:rPr>
        <w:t>b</w:t>
      </w:r>
      <w:r w:rsidR="00692B5E" w:rsidRPr="009859D6">
        <w:rPr>
          <w:lang w:val="es-ES"/>
        </w:rPr>
        <w:t>)</w:t>
      </w:r>
      <w:r w:rsidR="00715E94" w:rsidRPr="009859D6">
        <w:rPr>
          <w:lang w:val="es-ES"/>
        </w:rPr>
        <w:t>)</w:t>
      </w:r>
      <w:r w:rsidRPr="009859D6">
        <w:rPr>
          <w:lang w:val="es-ES"/>
        </w:rPr>
        <w:t xml:space="preserve"> abordó las necesidades prioritarias en materia de creación de capacidad descritas en el documento </w:t>
      </w:r>
      <w:r w:rsidR="00F214A3" w:rsidRPr="009859D6">
        <w:rPr>
          <w:lang w:val="es-ES"/>
        </w:rPr>
        <w:t>IPBES</w:t>
      </w:r>
      <w:r w:rsidR="00A901AD" w:rsidRPr="009859D6">
        <w:rPr>
          <w:lang w:val="es-ES"/>
        </w:rPr>
        <w:noBreakHyphen/>
      </w:r>
      <w:r w:rsidR="00F214A3" w:rsidRPr="009859D6">
        <w:rPr>
          <w:lang w:val="es-ES"/>
        </w:rPr>
        <w:t xml:space="preserve">3/1, </w:t>
      </w:r>
      <w:r w:rsidR="00D55334" w:rsidRPr="009859D6">
        <w:rPr>
          <w:lang w:val="es-ES"/>
        </w:rPr>
        <w:t xml:space="preserve">entre </w:t>
      </w:r>
      <w:r w:rsidR="00052731" w:rsidRPr="009859D6">
        <w:rPr>
          <w:lang w:val="es-ES"/>
        </w:rPr>
        <w:t xml:space="preserve">otras cosas mediante </w:t>
      </w:r>
      <w:r w:rsidR="00D55334" w:rsidRPr="009859D6">
        <w:rPr>
          <w:lang w:val="es-ES"/>
        </w:rPr>
        <w:t xml:space="preserve">la aplicación </w:t>
      </w:r>
      <w:r w:rsidR="00052731" w:rsidRPr="009859D6">
        <w:rPr>
          <w:lang w:val="es-ES"/>
        </w:rPr>
        <w:t xml:space="preserve">experimental </w:t>
      </w:r>
      <w:r w:rsidR="00D55334" w:rsidRPr="009859D6">
        <w:rPr>
          <w:lang w:val="es-ES"/>
        </w:rPr>
        <w:t xml:space="preserve">del proyecto de programa de becas, intercambio y capacitación que se solicitaba en esa decisión. La aplicación </w:t>
      </w:r>
      <w:r w:rsidR="00052731" w:rsidRPr="009859D6">
        <w:rPr>
          <w:lang w:val="es-ES"/>
        </w:rPr>
        <w:t xml:space="preserve">experimental </w:t>
      </w:r>
      <w:r w:rsidR="00D55334" w:rsidRPr="009859D6">
        <w:rPr>
          <w:lang w:val="es-ES"/>
        </w:rPr>
        <w:t>ha incluido un programa de becas para l</w:t>
      </w:r>
      <w:r w:rsidR="000E25B2" w:rsidRPr="009859D6">
        <w:rPr>
          <w:lang w:val="es-ES"/>
        </w:rPr>
        <w:t>as</w:t>
      </w:r>
      <w:r w:rsidR="00D55334" w:rsidRPr="009859D6">
        <w:rPr>
          <w:lang w:val="es-ES"/>
        </w:rPr>
        <w:t xml:space="preserve"> cuatro evaluaciones regionales y la evaluación temática sobre la degradación y la restauración de la tierra, en el que se escogieron 33 </w:t>
      </w:r>
      <w:r w:rsidR="00052731" w:rsidRPr="009859D6">
        <w:rPr>
          <w:lang w:val="es-ES"/>
        </w:rPr>
        <w:t xml:space="preserve">becarios </w:t>
      </w:r>
      <w:r w:rsidR="00D55334" w:rsidRPr="009859D6">
        <w:rPr>
          <w:lang w:val="es-ES"/>
        </w:rPr>
        <w:t xml:space="preserve">jóvenes </w:t>
      </w:r>
      <w:r w:rsidR="00052731" w:rsidRPr="009859D6">
        <w:rPr>
          <w:lang w:val="es-ES"/>
        </w:rPr>
        <w:t xml:space="preserve">o profesionales principiantes </w:t>
      </w:r>
      <w:r w:rsidR="00D55334" w:rsidRPr="009859D6">
        <w:rPr>
          <w:lang w:val="es-ES"/>
        </w:rPr>
        <w:t xml:space="preserve">de entre las 446 solicitudes recibidas. Durante 2015 se celebraron sesiones de formación y familiarización en relación con cada una de las cinco primeras reuniones de autores para las </w:t>
      </w:r>
      <w:r w:rsidR="008B448D" w:rsidRPr="009859D6">
        <w:rPr>
          <w:lang w:val="es-ES"/>
        </w:rPr>
        <w:t xml:space="preserve">evaluaciones </w:t>
      </w:r>
      <w:r w:rsidR="00D55334" w:rsidRPr="009859D6">
        <w:rPr>
          <w:lang w:val="es-ES"/>
        </w:rPr>
        <w:t xml:space="preserve">regionales, </w:t>
      </w:r>
      <w:r w:rsidR="00FC3AC8" w:rsidRPr="009859D6">
        <w:rPr>
          <w:lang w:val="es-ES"/>
        </w:rPr>
        <w:t xml:space="preserve">y están en marcha nuevas actividades de formación. El </w:t>
      </w:r>
      <w:r w:rsidR="000F5D49" w:rsidRPr="009859D6">
        <w:rPr>
          <w:lang w:val="es-ES"/>
        </w:rPr>
        <w:t>equipo de tareas</w:t>
      </w:r>
      <w:r w:rsidR="00FC3AC8" w:rsidRPr="009859D6">
        <w:rPr>
          <w:lang w:val="es-ES"/>
        </w:rPr>
        <w:t xml:space="preserve"> ha ayudado a la Mesa y la Secretaría a convocar el primer foro </w:t>
      </w:r>
      <w:r w:rsidR="00030635" w:rsidRPr="009859D6">
        <w:rPr>
          <w:lang w:val="es-ES"/>
        </w:rPr>
        <w:t xml:space="preserve">sobre </w:t>
      </w:r>
      <w:r w:rsidR="00FC3AC8" w:rsidRPr="009859D6">
        <w:rPr>
          <w:lang w:val="es-ES"/>
        </w:rPr>
        <w:t xml:space="preserve">creación de capacidad con representantes de fuentes convencionales y posibles de financiación, según se solicita </w:t>
      </w:r>
      <w:r w:rsidR="000E25B2" w:rsidRPr="009859D6">
        <w:rPr>
          <w:lang w:val="es-ES"/>
        </w:rPr>
        <w:t xml:space="preserve">en </w:t>
      </w:r>
      <w:r w:rsidR="00FC3AC8" w:rsidRPr="009859D6">
        <w:rPr>
          <w:lang w:val="es-ES"/>
        </w:rPr>
        <w:t>la decisión</w:t>
      </w:r>
      <w:r w:rsidR="00B3086F" w:rsidRPr="009859D6">
        <w:rPr>
          <w:iCs/>
          <w:lang w:val="es-ES" w:eastAsia="nb-NO"/>
        </w:rPr>
        <w:t xml:space="preserve"> IPBES</w:t>
      </w:r>
      <w:r w:rsidR="00A901AD" w:rsidRPr="009859D6">
        <w:rPr>
          <w:iCs/>
          <w:lang w:val="es-ES" w:eastAsia="nb-NO"/>
        </w:rPr>
        <w:noBreakHyphen/>
      </w:r>
      <w:r w:rsidR="00B3086F" w:rsidRPr="009859D6">
        <w:rPr>
          <w:iCs/>
          <w:lang w:val="es-ES" w:eastAsia="nb-NO"/>
        </w:rPr>
        <w:t xml:space="preserve">3/1. </w:t>
      </w:r>
      <w:r w:rsidR="00FC3AC8" w:rsidRPr="009859D6">
        <w:rPr>
          <w:iCs/>
          <w:lang w:val="es-ES" w:eastAsia="nb-NO"/>
        </w:rPr>
        <w:t>Tal y como se prevé en esa decisión,</w:t>
      </w:r>
      <w:r w:rsidR="008B448D" w:rsidRPr="009859D6">
        <w:rPr>
          <w:iCs/>
          <w:lang w:val="es-ES" w:eastAsia="nb-NO"/>
        </w:rPr>
        <w:t xml:space="preserve"> se ha desarrollado un prototipo de </w:t>
      </w:r>
      <w:r w:rsidR="00052731" w:rsidRPr="009859D6">
        <w:rPr>
          <w:iCs/>
          <w:lang w:val="es-ES" w:eastAsia="nb-NO"/>
        </w:rPr>
        <w:t xml:space="preserve">servicio de vinculación entre interesados </w:t>
      </w:r>
      <w:r w:rsidR="008B448D" w:rsidRPr="009859D6">
        <w:rPr>
          <w:iCs/>
          <w:lang w:val="es-ES" w:eastAsia="nb-NO"/>
        </w:rPr>
        <w:t xml:space="preserve">con el apoyo del portal de Internet </w:t>
      </w:r>
      <w:r w:rsidR="00B97885" w:rsidRPr="009859D6">
        <w:rPr>
          <w:iCs/>
          <w:lang w:val="es-ES" w:eastAsia="nb-NO"/>
        </w:rPr>
        <w:t xml:space="preserve">de la </w:t>
      </w:r>
      <w:r w:rsidR="00B97885" w:rsidRPr="009859D6">
        <w:rPr>
          <w:lang w:val="es-ES"/>
        </w:rPr>
        <w:t>Plataforma Intergubernamental Científico</w:t>
      </w:r>
      <w:r w:rsidR="00A901AD" w:rsidRPr="009859D6">
        <w:rPr>
          <w:lang w:val="es-ES"/>
        </w:rPr>
        <w:noBreakHyphen/>
      </w:r>
      <w:r w:rsidR="00B97885" w:rsidRPr="009859D6">
        <w:rPr>
          <w:lang w:val="es-ES"/>
        </w:rPr>
        <w:t>normativa sobre Diversidad Biológica y Servicios de los Ecosistemas del PNUMA</w:t>
      </w:r>
      <w:r w:rsidR="00B3086F" w:rsidRPr="009859D6">
        <w:rPr>
          <w:shd w:val="clear" w:color="auto" w:fill="FFFFFF"/>
          <w:lang w:val="es-ES"/>
        </w:rPr>
        <w:t xml:space="preserve">. </w:t>
      </w:r>
      <w:r w:rsidR="00B97885" w:rsidRPr="009859D6">
        <w:rPr>
          <w:shd w:val="clear" w:color="auto" w:fill="FFFFFF"/>
          <w:lang w:val="es-ES"/>
        </w:rPr>
        <w:t xml:space="preserve">La petición de asistencia técnica o económica para la planificación o aplicación de proyectos de creación de capacidad que pudiesen </w:t>
      </w:r>
      <w:r w:rsidR="00052731" w:rsidRPr="009859D6">
        <w:rPr>
          <w:shd w:val="clear" w:color="auto" w:fill="FFFFFF"/>
          <w:lang w:val="es-ES"/>
        </w:rPr>
        <w:t>someterse a prueba</w:t>
      </w:r>
      <w:r w:rsidR="00B97885" w:rsidRPr="009859D6">
        <w:rPr>
          <w:shd w:val="clear" w:color="auto" w:fill="FFFFFF"/>
          <w:lang w:val="es-ES"/>
        </w:rPr>
        <w:t xml:space="preserve"> en el prototipo </w:t>
      </w:r>
      <w:r w:rsidR="000E25B2" w:rsidRPr="009859D6">
        <w:rPr>
          <w:shd w:val="clear" w:color="auto" w:fill="FFFFFF"/>
          <w:lang w:val="es-ES"/>
        </w:rPr>
        <w:t xml:space="preserve">tuvo </w:t>
      </w:r>
      <w:r w:rsidR="00B97885" w:rsidRPr="009859D6">
        <w:rPr>
          <w:shd w:val="clear" w:color="auto" w:fill="FFFFFF"/>
          <w:lang w:val="es-ES"/>
        </w:rPr>
        <w:t>como resultado unas 80 propuestas. Las recomendaciones para actividades futuras figuran en el documento</w:t>
      </w:r>
      <w:r w:rsidR="00A032CA" w:rsidRPr="009859D6">
        <w:rPr>
          <w:lang w:val="es-ES"/>
        </w:rPr>
        <w:t xml:space="preserve"> IPBES/4/6</w:t>
      </w:r>
      <w:r w:rsidR="00F21686" w:rsidRPr="009859D6">
        <w:rPr>
          <w:lang w:val="es-ES"/>
        </w:rPr>
        <w:t>,</w:t>
      </w:r>
      <w:r w:rsidR="00B3086F" w:rsidRPr="009859D6">
        <w:rPr>
          <w:lang w:val="es-ES"/>
        </w:rPr>
        <w:t xml:space="preserve"> </w:t>
      </w:r>
      <w:r w:rsidR="00B97885" w:rsidRPr="009859D6">
        <w:rPr>
          <w:lang w:val="es-ES"/>
        </w:rPr>
        <w:t xml:space="preserve">que contó con el apoyo de información adicional, como el informe del primer foro sobre creación de capacidad </w:t>
      </w:r>
      <w:r w:rsidR="00F21686" w:rsidRPr="009859D6">
        <w:rPr>
          <w:lang w:val="es-ES"/>
        </w:rPr>
        <w:t>(</w:t>
      </w:r>
      <w:r w:rsidR="00B97885" w:rsidRPr="009859D6">
        <w:rPr>
          <w:lang w:val="es-ES"/>
        </w:rPr>
        <w:t xml:space="preserve">véase </w:t>
      </w:r>
      <w:r w:rsidR="00B3086F" w:rsidRPr="009859D6">
        <w:rPr>
          <w:lang w:val="es-ES"/>
        </w:rPr>
        <w:t>IPBES/4/INF/5</w:t>
      </w:r>
      <w:r w:rsidR="00F21686" w:rsidRPr="009859D6">
        <w:rPr>
          <w:lang w:val="es-ES"/>
        </w:rPr>
        <w:t>)</w:t>
      </w:r>
      <w:r w:rsidR="00A032CA" w:rsidRPr="009859D6">
        <w:rPr>
          <w:lang w:val="es-ES"/>
        </w:rPr>
        <w:t>;</w:t>
      </w:r>
    </w:p>
    <w:p w:rsidR="00DE1B46" w:rsidRPr="009859D6" w:rsidRDefault="000F5D49" w:rsidP="00DE1B46">
      <w:pPr>
        <w:pStyle w:val="Normalnumber"/>
        <w:numPr>
          <w:ilvl w:val="1"/>
          <w:numId w:val="4"/>
        </w:numPr>
        <w:tabs>
          <w:tab w:val="clear" w:pos="1247"/>
          <w:tab w:val="clear" w:pos="1814"/>
          <w:tab w:val="clear" w:pos="2381"/>
          <w:tab w:val="clear" w:pos="2948"/>
          <w:tab w:val="clear" w:pos="3515"/>
          <w:tab w:val="left" w:pos="624"/>
        </w:tabs>
        <w:ind w:left="1247" w:firstLine="624"/>
        <w:rPr>
          <w:lang w:val="es-ES"/>
        </w:rPr>
      </w:pPr>
      <w:r w:rsidRPr="009859D6">
        <w:rPr>
          <w:lang w:val="es-ES"/>
        </w:rPr>
        <w:t xml:space="preserve">El equipo de tareas sobre conocimientos indígenas y locales </w:t>
      </w:r>
      <w:r w:rsidR="00DE1B46" w:rsidRPr="009859D6">
        <w:rPr>
          <w:lang w:val="es-ES"/>
        </w:rPr>
        <w:t>(</w:t>
      </w:r>
      <w:r w:rsidRPr="009859D6">
        <w:rPr>
          <w:lang w:val="es-ES"/>
        </w:rPr>
        <w:t xml:space="preserve">producto previsto </w:t>
      </w:r>
      <w:r w:rsidR="00DE1B46" w:rsidRPr="009859D6">
        <w:rPr>
          <w:lang w:val="es-ES"/>
        </w:rPr>
        <w:t>1 c</w:t>
      </w:r>
      <w:r w:rsidR="00584498" w:rsidRPr="009859D6">
        <w:rPr>
          <w:lang w:val="es-ES"/>
        </w:rPr>
        <w:t>))</w:t>
      </w:r>
      <w:r w:rsidRPr="009859D6">
        <w:rPr>
          <w:lang w:val="es-ES"/>
        </w:rPr>
        <w:t xml:space="preserve"> ha desarrollado proyectos de procedimientos para la labor con los conocimientos </w:t>
      </w:r>
      <w:r w:rsidR="00C3115F" w:rsidRPr="009859D6">
        <w:rPr>
          <w:lang w:val="es-ES"/>
        </w:rPr>
        <w:t>indígenas</w:t>
      </w:r>
      <w:r w:rsidRPr="009859D6">
        <w:rPr>
          <w:lang w:val="es-ES"/>
        </w:rPr>
        <w:t xml:space="preserve"> y locales</w:t>
      </w:r>
      <w:r w:rsidRPr="009859D6">
        <w:rPr>
          <w:rFonts w:eastAsia="SimSun"/>
          <w:lang w:val="es-ES" w:eastAsia="zh-CN"/>
        </w:rPr>
        <w:t xml:space="preserve"> basado</w:t>
      </w:r>
      <w:r w:rsidR="000E25B2" w:rsidRPr="009859D6">
        <w:rPr>
          <w:rFonts w:eastAsia="SimSun"/>
          <w:lang w:val="es-ES" w:eastAsia="zh-CN"/>
        </w:rPr>
        <w:t>s</w:t>
      </w:r>
      <w:r w:rsidRPr="009859D6">
        <w:rPr>
          <w:rFonts w:eastAsia="SimSun"/>
          <w:lang w:val="es-ES" w:eastAsia="zh-CN"/>
        </w:rPr>
        <w:t>, entre otras cosas, en el</w:t>
      </w:r>
      <w:r w:rsidRPr="009859D6">
        <w:rPr>
          <w:lang w:val="es-ES"/>
        </w:rPr>
        <w:t xml:space="preserve"> proceso piloto de diálogo mundial sobre conocimientos indígenas y locales para la evaluación de</w:t>
      </w:r>
      <w:r w:rsidR="00C3115F" w:rsidRPr="009859D6">
        <w:rPr>
          <w:lang w:val="es-ES"/>
        </w:rPr>
        <w:t xml:space="preserve"> los polinizadores,</w:t>
      </w:r>
      <w:r w:rsidRPr="009859D6">
        <w:rPr>
          <w:lang w:val="es-ES"/>
        </w:rPr>
        <w:t xml:space="preserve"> la polinización y la producción de alimentos</w:t>
      </w:r>
      <w:r w:rsidR="00FB4BE0" w:rsidRPr="009859D6">
        <w:rPr>
          <w:rFonts w:eastAsia="SimSun"/>
          <w:lang w:val="es-ES" w:eastAsia="zh-CN"/>
        </w:rPr>
        <w:t xml:space="preserve">. </w:t>
      </w:r>
      <w:r w:rsidRPr="009859D6">
        <w:rPr>
          <w:rFonts w:eastAsia="SimSun"/>
          <w:lang w:val="es-ES" w:eastAsia="zh-CN"/>
        </w:rPr>
        <w:t>También ha continuado el proceso piloto de diálogo mundial para movilizar los conocimientos indígenas y locales en el contexto de la evaluación regional de África. Se han desarrollado criterios y directrices operativas para la creación de una lista de expertos</w:t>
      </w:r>
      <w:r w:rsidR="008631C6" w:rsidRPr="009859D6">
        <w:rPr>
          <w:spacing w:val="4"/>
          <w:w w:val="103"/>
          <w:kern w:val="14"/>
          <w:lang w:val="es-ES"/>
        </w:rPr>
        <w:t>,</w:t>
      </w:r>
      <w:r w:rsidR="00FB4BE0" w:rsidRPr="009859D6">
        <w:rPr>
          <w:spacing w:val="4"/>
          <w:w w:val="103"/>
          <w:kern w:val="14"/>
          <w:lang w:val="es-ES"/>
        </w:rPr>
        <w:t xml:space="preserve"> </w:t>
      </w:r>
      <w:r w:rsidRPr="009859D6">
        <w:rPr>
          <w:spacing w:val="4"/>
          <w:w w:val="103"/>
          <w:kern w:val="14"/>
          <w:lang w:val="es-ES"/>
        </w:rPr>
        <w:t xml:space="preserve">junto con un enfoque para la creación del mecanismo de participación para la labor con sistemas de conocimientos indígenas, locales y de otro tipo. Las recomendaciones para la adopción de más medidas figuran en el documento </w:t>
      </w:r>
      <w:r w:rsidR="00DE1B46" w:rsidRPr="009859D6">
        <w:rPr>
          <w:rFonts w:eastAsia="SimSun"/>
          <w:lang w:val="es-ES" w:eastAsia="zh-CN"/>
        </w:rPr>
        <w:t>IPBES/4/</w:t>
      </w:r>
      <w:r w:rsidR="00A032CA" w:rsidRPr="009859D6">
        <w:rPr>
          <w:rFonts w:eastAsia="SimSun"/>
          <w:lang w:val="es-ES" w:eastAsia="zh-CN"/>
        </w:rPr>
        <w:t>7</w:t>
      </w:r>
      <w:r w:rsidR="002B0B9B" w:rsidRPr="009859D6">
        <w:rPr>
          <w:rFonts w:eastAsia="SimSun"/>
          <w:lang w:val="es-ES" w:eastAsia="zh-CN"/>
        </w:rPr>
        <w:t>,</w:t>
      </w:r>
      <w:r w:rsidR="00DE1B46" w:rsidRPr="009859D6">
        <w:rPr>
          <w:rFonts w:eastAsia="SimSun"/>
          <w:lang w:val="es-ES" w:eastAsia="zh-CN"/>
        </w:rPr>
        <w:t xml:space="preserve"> </w:t>
      </w:r>
      <w:r w:rsidRPr="009859D6">
        <w:rPr>
          <w:rFonts w:eastAsia="SimSun"/>
          <w:lang w:val="es-ES" w:eastAsia="zh-CN"/>
        </w:rPr>
        <w:t xml:space="preserve">que contó con el apoyo de información adicional </w:t>
      </w:r>
      <w:r w:rsidR="002B0B9B" w:rsidRPr="009859D6">
        <w:rPr>
          <w:rFonts w:eastAsia="SimSun"/>
          <w:lang w:val="es-ES" w:eastAsia="zh-CN"/>
        </w:rPr>
        <w:t>(</w:t>
      </w:r>
      <w:r w:rsidRPr="009859D6">
        <w:rPr>
          <w:rFonts w:eastAsia="SimSun"/>
          <w:lang w:val="es-ES" w:eastAsia="zh-CN"/>
        </w:rPr>
        <w:t xml:space="preserve">véase </w:t>
      </w:r>
      <w:r w:rsidR="00DE1B46" w:rsidRPr="009859D6">
        <w:rPr>
          <w:rFonts w:eastAsia="SimSun"/>
          <w:lang w:val="es-ES" w:eastAsia="zh-CN"/>
        </w:rPr>
        <w:t>IPBES/4/INF/6</w:t>
      </w:r>
      <w:r w:rsidR="002B0B9B" w:rsidRPr="009859D6">
        <w:rPr>
          <w:rFonts w:eastAsia="SimSun"/>
          <w:lang w:val="es-ES" w:eastAsia="zh-CN"/>
        </w:rPr>
        <w:t>)</w:t>
      </w:r>
      <w:r w:rsidR="00246338" w:rsidRPr="009859D6">
        <w:rPr>
          <w:rFonts w:eastAsia="SimSun"/>
          <w:lang w:val="es-ES" w:eastAsia="zh-CN"/>
        </w:rPr>
        <w:t xml:space="preserve">. </w:t>
      </w:r>
      <w:r w:rsidRPr="009859D6">
        <w:rPr>
          <w:rFonts w:eastAsia="SimSun"/>
          <w:lang w:val="es-ES" w:eastAsia="zh-CN"/>
        </w:rPr>
        <w:t xml:space="preserve">En el párrafo </w:t>
      </w:r>
      <w:r w:rsidR="00246338" w:rsidRPr="009859D6">
        <w:rPr>
          <w:rFonts w:eastAsia="SimSun"/>
          <w:lang w:val="es-ES" w:eastAsia="zh-CN"/>
        </w:rPr>
        <w:t>9</w:t>
      </w:r>
      <w:r w:rsidR="002B0B9B" w:rsidRPr="009859D6">
        <w:rPr>
          <w:rFonts w:eastAsia="SimSun"/>
          <w:lang w:val="es-ES" w:eastAsia="zh-CN"/>
        </w:rPr>
        <w:t xml:space="preserve"> </w:t>
      </w:r>
      <w:r w:rsidR="00246338" w:rsidRPr="009859D6">
        <w:rPr>
          <w:rFonts w:eastAsia="SimSun"/>
          <w:lang w:val="es-ES" w:eastAsia="zh-CN"/>
        </w:rPr>
        <w:t>c</w:t>
      </w:r>
      <w:r w:rsidR="002B0B9B" w:rsidRPr="009859D6">
        <w:rPr>
          <w:rFonts w:eastAsia="SimSun"/>
          <w:lang w:val="es-ES" w:eastAsia="zh-CN"/>
        </w:rPr>
        <w:t>)</w:t>
      </w:r>
      <w:r w:rsidRPr="009859D6">
        <w:rPr>
          <w:rFonts w:eastAsia="SimSun"/>
          <w:lang w:val="es-ES" w:eastAsia="zh-CN"/>
        </w:rPr>
        <w:t xml:space="preserve"> de la sección </w:t>
      </w:r>
      <w:r w:rsidR="008631C6" w:rsidRPr="009859D6">
        <w:rPr>
          <w:rFonts w:eastAsia="SimSun"/>
          <w:lang w:val="es-ES" w:eastAsia="zh-CN"/>
        </w:rPr>
        <w:t>III</w:t>
      </w:r>
      <w:r w:rsidR="00DF61FB" w:rsidRPr="009859D6">
        <w:rPr>
          <w:rFonts w:eastAsia="SimSun"/>
          <w:lang w:val="es-ES" w:eastAsia="zh-CN"/>
        </w:rPr>
        <w:t xml:space="preserve"> se detallan las lecciones</w:t>
      </w:r>
      <w:r w:rsidR="00BF30F2" w:rsidRPr="009859D6">
        <w:rPr>
          <w:rFonts w:eastAsia="SimSun"/>
          <w:lang w:val="es-ES" w:eastAsia="zh-CN"/>
        </w:rPr>
        <w:t xml:space="preserve"> aprendidas</w:t>
      </w:r>
      <w:r w:rsidR="00DF61FB" w:rsidRPr="009859D6">
        <w:rPr>
          <w:rFonts w:eastAsia="SimSun"/>
          <w:lang w:val="es-ES" w:eastAsia="zh-CN"/>
        </w:rPr>
        <w:t xml:space="preserve"> y </w:t>
      </w:r>
      <w:r w:rsidR="00BF30F2" w:rsidRPr="009859D6">
        <w:rPr>
          <w:rFonts w:eastAsia="SimSun"/>
          <w:lang w:val="es-ES" w:eastAsia="zh-CN"/>
        </w:rPr>
        <w:t xml:space="preserve">los </w:t>
      </w:r>
      <w:r w:rsidR="00DF61FB" w:rsidRPr="009859D6">
        <w:rPr>
          <w:rFonts w:eastAsia="SimSun"/>
          <w:lang w:val="es-ES" w:eastAsia="zh-CN"/>
        </w:rPr>
        <w:t>retos relativos al trabajo con sistemas de conocimientos indígenas y locales</w:t>
      </w:r>
      <w:r w:rsidR="00DE1B46" w:rsidRPr="009859D6">
        <w:rPr>
          <w:rFonts w:eastAsia="SimSun"/>
          <w:lang w:val="es-ES" w:eastAsia="zh-CN"/>
        </w:rPr>
        <w:t>;</w:t>
      </w:r>
    </w:p>
    <w:p w:rsidR="00974C34" w:rsidRPr="009859D6" w:rsidRDefault="00975C01" w:rsidP="00974C34">
      <w:pPr>
        <w:pStyle w:val="Normalnumber"/>
        <w:numPr>
          <w:ilvl w:val="1"/>
          <w:numId w:val="4"/>
        </w:numPr>
        <w:tabs>
          <w:tab w:val="clear" w:pos="1247"/>
          <w:tab w:val="clear" w:pos="1814"/>
          <w:tab w:val="clear" w:pos="2381"/>
          <w:tab w:val="clear" w:pos="2948"/>
          <w:tab w:val="clear" w:pos="3515"/>
          <w:tab w:val="left" w:pos="624"/>
        </w:tabs>
        <w:ind w:left="1247" w:firstLine="624"/>
        <w:rPr>
          <w:rFonts w:eastAsia="Calibri"/>
          <w:lang w:val="es-ES"/>
        </w:rPr>
      </w:pPr>
      <w:r w:rsidRPr="009859D6">
        <w:rPr>
          <w:lang w:val="es-ES"/>
        </w:rPr>
        <w:t>E</w:t>
      </w:r>
      <w:r w:rsidR="00DF61FB" w:rsidRPr="009859D6">
        <w:rPr>
          <w:lang w:val="es-ES"/>
        </w:rPr>
        <w:t xml:space="preserve">l equipo de tareas sobre conocimientos y datos </w:t>
      </w:r>
      <w:r w:rsidR="00974C34" w:rsidRPr="009859D6">
        <w:rPr>
          <w:lang w:val="es-ES"/>
        </w:rPr>
        <w:t>(</w:t>
      </w:r>
      <w:r w:rsidR="00DF61FB" w:rsidRPr="009859D6">
        <w:rPr>
          <w:lang w:val="es-ES"/>
        </w:rPr>
        <w:t xml:space="preserve">productos previstos </w:t>
      </w:r>
      <w:r w:rsidR="00974C34" w:rsidRPr="009859D6">
        <w:rPr>
          <w:lang w:val="es-ES"/>
        </w:rPr>
        <w:t xml:space="preserve">1 d) </w:t>
      </w:r>
      <w:r w:rsidR="00DF61FB" w:rsidRPr="009859D6">
        <w:rPr>
          <w:lang w:val="es-ES"/>
        </w:rPr>
        <w:t xml:space="preserve">y </w:t>
      </w:r>
      <w:r w:rsidR="00974C34" w:rsidRPr="009859D6">
        <w:rPr>
          <w:lang w:val="es-ES"/>
        </w:rPr>
        <w:t>4 b))</w:t>
      </w:r>
      <w:r w:rsidR="00C41905" w:rsidRPr="009859D6">
        <w:rPr>
          <w:lang w:val="es-ES"/>
        </w:rPr>
        <w:t xml:space="preserve"> </w:t>
      </w:r>
      <w:r w:rsidRPr="009859D6">
        <w:rPr>
          <w:lang w:val="es-ES"/>
        </w:rPr>
        <w:t>ha seguido desarrollando la estrategia de conocimientos y datos y la orientación sobre planes de gestión de datos e información para las evaluaciones de la Plataforma, según se incluye</w:t>
      </w:r>
      <w:r w:rsidR="00222A4E" w:rsidRPr="009859D6">
        <w:rPr>
          <w:lang w:val="es-ES"/>
        </w:rPr>
        <w:t xml:space="preserve"> </w:t>
      </w:r>
      <w:r w:rsidR="00222A4E" w:rsidRPr="009859D6">
        <w:rPr>
          <w:rFonts w:eastAsia="Calibri"/>
          <w:lang w:val="es-ES"/>
        </w:rPr>
        <w:t>en la guía para evaluaciones que debe usarse en todas las regiones. Entre los puntos más salientes de los avances en la aplicación está la propuesta de un conjunto básico de indicadores aplicables a las cuatro regiones</w:t>
      </w:r>
      <w:r w:rsidR="00974C34" w:rsidRPr="009859D6">
        <w:rPr>
          <w:rFonts w:eastAsia="Calibri"/>
          <w:lang w:val="es-ES"/>
        </w:rPr>
        <w:t xml:space="preserve">; </w:t>
      </w:r>
      <w:r w:rsidR="00222A4E" w:rsidRPr="009859D6">
        <w:rPr>
          <w:rFonts w:eastAsia="Calibri"/>
          <w:lang w:val="es-ES"/>
        </w:rPr>
        <w:t>una encuesta en línea sobre el acceso a la documentación e iniciativas para incrementar el acceso a la documentación</w:t>
      </w:r>
      <w:r w:rsidR="00974C34" w:rsidRPr="009859D6">
        <w:rPr>
          <w:rFonts w:eastAsia="Calibri"/>
          <w:lang w:val="es-ES"/>
        </w:rPr>
        <w:t>;</w:t>
      </w:r>
      <w:r w:rsidR="00222A4E" w:rsidRPr="009859D6">
        <w:rPr>
          <w:rFonts w:eastAsia="Calibri"/>
          <w:lang w:val="es-ES"/>
        </w:rPr>
        <w:t xml:space="preserve"> la creación de un depósito en el que almacenar la documentación y compartirla entre los expertos de la evaluación</w:t>
      </w:r>
      <w:r w:rsidR="00974C34" w:rsidRPr="009859D6">
        <w:rPr>
          <w:rFonts w:eastAsia="Calibri"/>
          <w:lang w:val="es-ES"/>
        </w:rPr>
        <w:t xml:space="preserve">; </w:t>
      </w:r>
      <w:r w:rsidR="00222A4E" w:rsidRPr="009859D6">
        <w:rPr>
          <w:rFonts w:eastAsia="Calibri"/>
          <w:lang w:val="es-ES"/>
        </w:rPr>
        <w:t>y un sistema de gestión de la documentación con el que generar listas de referencias que puedan ser compartidas públicamente. Un informe completo sobre la marcha de los trabajos figura</w:t>
      </w:r>
      <w:r w:rsidR="00C9622B" w:rsidRPr="009859D6">
        <w:rPr>
          <w:rFonts w:eastAsia="Calibri"/>
          <w:lang w:val="es-ES"/>
        </w:rPr>
        <w:t xml:space="preserve"> en</w:t>
      </w:r>
      <w:r w:rsidR="00222A4E" w:rsidRPr="009859D6">
        <w:rPr>
          <w:rFonts w:eastAsia="Calibri"/>
          <w:lang w:val="es-ES"/>
        </w:rPr>
        <w:t xml:space="preserve"> el documento </w:t>
      </w:r>
      <w:r w:rsidR="00974C34" w:rsidRPr="009859D6">
        <w:rPr>
          <w:rFonts w:eastAsia="Calibri"/>
          <w:lang w:val="es-ES"/>
        </w:rPr>
        <w:t>IPBES/4/INF/7.</w:t>
      </w:r>
    </w:p>
    <w:p w:rsidR="00E5295F" w:rsidRPr="009859D6" w:rsidRDefault="00D776E2" w:rsidP="00CF3639">
      <w:pPr>
        <w:pStyle w:val="CH2"/>
        <w:tabs>
          <w:tab w:val="clear" w:pos="624"/>
          <w:tab w:val="left" w:pos="4082"/>
        </w:tabs>
        <w:spacing w:before="80" w:after="60"/>
        <w:ind w:left="1247"/>
        <w:rPr>
          <w:bCs/>
          <w:sz w:val="20"/>
          <w:szCs w:val="20"/>
          <w:lang w:val="es-ES"/>
        </w:rPr>
      </w:pPr>
      <w:r w:rsidRPr="009859D6">
        <w:rPr>
          <w:bCs/>
          <w:lang w:val="es-ES"/>
        </w:rPr>
        <w:tab/>
      </w:r>
      <w:r w:rsidR="00C0377A" w:rsidRPr="009859D6">
        <w:rPr>
          <w:bCs/>
          <w:lang w:val="es-ES"/>
        </w:rPr>
        <w:tab/>
      </w:r>
      <w:r w:rsidR="00222A4E" w:rsidRPr="009859D6">
        <w:rPr>
          <w:bCs/>
          <w:sz w:val="20"/>
          <w:szCs w:val="20"/>
          <w:lang w:val="es-ES"/>
        </w:rPr>
        <w:t xml:space="preserve">Objetivo </w:t>
      </w:r>
      <w:r w:rsidR="00715E94" w:rsidRPr="009859D6">
        <w:rPr>
          <w:bCs/>
          <w:sz w:val="20"/>
          <w:szCs w:val="20"/>
          <w:lang w:val="es-ES"/>
        </w:rPr>
        <w:t>2</w:t>
      </w:r>
    </w:p>
    <w:p w:rsidR="00715E94" w:rsidRPr="009859D6" w:rsidRDefault="00E5295F" w:rsidP="000A3CBC">
      <w:pPr>
        <w:pStyle w:val="CH2"/>
        <w:tabs>
          <w:tab w:val="clear" w:pos="624"/>
          <w:tab w:val="left" w:pos="4082"/>
        </w:tabs>
        <w:spacing w:before="80"/>
        <w:ind w:left="1247"/>
        <w:rPr>
          <w:bCs/>
          <w:sz w:val="20"/>
          <w:szCs w:val="20"/>
          <w:lang w:val="es-ES"/>
        </w:rPr>
      </w:pPr>
      <w:r w:rsidRPr="009859D6">
        <w:rPr>
          <w:bCs/>
          <w:sz w:val="20"/>
          <w:szCs w:val="20"/>
          <w:lang w:val="es-ES"/>
        </w:rPr>
        <w:tab/>
      </w:r>
      <w:r w:rsidRPr="009859D6">
        <w:rPr>
          <w:bCs/>
          <w:sz w:val="20"/>
          <w:szCs w:val="20"/>
          <w:lang w:val="es-ES"/>
        </w:rPr>
        <w:tab/>
      </w:r>
      <w:r w:rsidR="00222A4E" w:rsidRPr="009859D6">
        <w:rPr>
          <w:sz w:val="20"/>
          <w:szCs w:val="20"/>
          <w:lang w:val="es-ES"/>
        </w:rPr>
        <w:t>Fortalecer la interfaz científico</w:t>
      </w:r>
      <w:r w:rsidR="00A901AD" w:rsidRPr="009859D6">
        <w:rPr>
          <w:sz w:val="20"/>
          <w:szCs w:val="20"/>
          <w:lang w:val="es-ES"/>
        </w:rPr>
        <w:noBreakHyphen/>
      </w:r>
      <w:r w:rsidR="00222A4E" w:rsidRPr="009859D6">
        <w:rPr>
          <w:sz w:val="20"/>
          <w:szCs w:val="20"/>
          <w:lang w:val="es-ES"/>
        </w:rPr>
        <w:t>normativa sobre diversidad biológica y servicios de los ecosistemas en los niveles subregional, regional y mundial y entre ellos</w:t>
      </w:r>
    </w:p>
    <w:p w:rsidR="00715E94" w:rsidRPr="009859D6" w:rsidRDefault="00222A4E" w:rsidP="001423AB">
      <w:pPr>
        <w:pStyle w:val="Normalnumber"/>
        <w:numPr>
          <w:ilvl w:val="0"/>
          <w:numId w:val="4"/>
        </w:numPr>
        <w:tabs>
          <w:tab w:val="clear" w:pos="1247"/>
          <w:tab w:val="clear" w:pos="1814"/>
          <w:tab w:val="clear" w:pos="2381"/>
          <w:tab w:val="clear" w:pos="2948"/>
          <w:tab w:val="clear" w:pos="3515"/>
          <w:tab w:val="left" w:pos="624"/>
          <w:tab w:val="num" w:pos="1134"/>
        </w:tabs>
        <w:ind w:left="1247" w:firstLine="0"/>
        <w:rPr>
          <w:lang w:val="es-ES"/>
        </w:rPr>
      </w:pPr>
      <w:r w:rsidRPr="009859D6">
        <w:rPr>
          <w:lang w:val="es-ES"/>
        </w:rPr>
        <w:t>En el marco del objetivo</w:t>
      </w:r>
      <w:r w:rsidR="00C9622B" w:rsidRPr="009859D6">
        <w:rPr>
          <w:lang w:val="es-ES"/>
        </w:rPr>
        <w:t xml:space="preserve"> </w:t>
      </w:r>
      <w:r w:rsidRPr="009859D6">
        <w:rPr>
          <w:lang w:val="es-ES"/>
        </w:rPr>
        <w:t>2, el progreso comprende la elaboración de:</w:t>
      </w:r>
    </w:p>
    <w:p w:rsidR="00715E94" w:rsidRPr="009859D6" w:rsidRDefault="00222A4E" w:rsidP="001423AB">
      <w:pPr>
        <w:pStyle w:val="Normalnumber"/>
        <w:numPr>
          <w:ilvl w:val="1"/>
          <w:numId w:val="4"/>
        </w:numPr>
        <w:tabs>
          <w:tab w:val="clear" w:pos="1247"/>
          <w:tab w:val="clear" w:pos="1814"/>
          <w:tab w:val="clear" w:pos="2381"/>
          <w:tab w:val="clear" w:pos="2948"/>
          <w:tab w:val="clear" w:pos="3515"/>
          <w:tab w:val="left" w:pos="624"/>
        </w:tabs>
        <w:ind w:left="1247" w:firstLine="624"/>
        <w:rPr>
          <w:iCs/>
          <w:color w:val="000000"/>
          <w:lang w:val="es-ES"/>
        </w:rPr>
      </w:pPr>
      <w:r w:rsidRPr="009859D6">
        <w:rPr>
          <w:lang w:val="es-ES"/>
        </w:rPr>
        <w:lastRenderedPageBreak/>
        <w:t>Una guía de producción e integración de las evaluaciones generadas en todas las escalas, elaborada por el Grupo Multidisciplinario de Expertos, en consulta con la Mesa, con el apoyo de un grupo de expertos para tareas específicas de duración determinada (producto previsto 2 a))</w:t>
      </w:r>
      <w:r w:rsidR="00BF30F2" w:rsidRPr="009859D6">
        <w:rPr>
          <w:lang w:val="es-ES"/>
        </w:rPr>
        <w:t xml:space="preserve"> (véase IPBES/4/INF/9)</w:t>
      </w:r>
      <w:r w:rsidRPr="009859D6">
        <w:rPr>
          <w:lang w:val="es-ES"/>
        </w:rPr>
        <w:t>.</w:t>
      </w:r>
      <w:r w:rsidR="00715E94" w:rsidRPr="009859D6">
        <w:rPr>
          <w:iCs/>
          <w:color w:val="000000"/>
          <w:lang w:val="es-ES"/>
        </w:rPr>
        <w:t xml:space="preserve"> </w:t>
      </w:r>
      <w:r w:rsidRPr="009859D6">
        <w:rPr>
          <w:lang w:val="es-ES"/>
        </w:rPr>
        <w:t xml:space="preserve">La guía es un documento vivo que se </w:t>
      </w:r>
      <w:r w:rsidR="003E3391" w:rsidRPr="009859D6">
        <w:rPr>
          <w:lang w:val="es-ES"/>
        </w:rPr>
        <w:t xml:space="preserve">ha actualizado a lo largo de 2015 </w:t>
      </w:r>
      <w:r w:rsidRPr="009859D6">
        <w:rPr>
          <w:lang w:val="es-ES"/>
        </w:rPr>
        <w:t xml:space="preserve">a medida que los diferentes equipos de tareas y grupos de expertos </w:t>
      </w:r>
      <w:r w:rsidR="003E3391" w:rsidRPr="009859D6">
        <w:rPr>
          <w:lang w:val="es-ES"/>
        </w:rPr>
        <w:t xml:space="preserve">han ido completando </w:t>
      </w:r>
      <w:r w:rsidRPr="009859D6">
        <w:rPr>
          <w:lang w:val="es-ES"/>
        </w:rPr>
        <w:t>su labor</w:t>
      </w:r>
      <w:r w:rsidR="008646F3" w:rsidRPr="009859D6">
        <w:rPr>
          <w:iCs/>
          <w:color w:val="000000"/>
          <w:lang w:val="es-ES"/>
        </w:rPr>
        <w:t xml:space="preserve">. </w:t>
      </w:r>
      <w:r w:rsidR="003E3391" w:rsidRPr="009859D6">
        <w:rPr>
          <w:color w:val="000000"/>
          <w:lang w:val="es-ES"/>
        </w:rPr>
        <w:t>Durante</w:t>
      </w:r>
      <w:r w:rsidR="00A901AD" w:rsidRPr="009859D6">
        <w:rPr>
          <w:color w:val="000000"/>
          <w:lang w:val="es-ES"/>
        </w:rPr>
        <w:t> </w:t>
      </w:r>
      <w:r w:rsidR="008646F3" w:rsidRPr="009859D6">
        <w:rPr>
          <w:color w:val="000000"/>
          <w:lang w:val="es-ES"/>
        </w:rPr>
        <w:t>2015,</w:t>
      </w:r>
      <w:r w:rsidR="003E3391" w:rsidRPr="009859D6">
        <w:rPr>
          <w:color w:val="000000"/>
          <w:lang w:val="es-ES"/>
        </w:rPr>
        <w:t xml:space="preserve"> la guía ha sido utilizada como base para informar </w:t>
      </w:r>
      <w:r w:rsidR="00052731" w:rsidRPr="009859D6">
        <w:rPr>
          <w:color w:val="000000"/>
          <w:lang w:val="es-ES"/>
        </w:rPr>
        <w:t xml:space="preserve">a </w:t>
      </w:r>
      <w:r w:rsidR="003E3391" w:rsidRPr="009859D6">
        <w:rPr>
          <w:color w:val="000000"/>
          <w:lang w:val="es-ES"/>
        </w:rPr>
        <w:t>las primeras reuniones de autores de</w:t>
      </w:r>
      <w:r w:rsidR="0019758C" w:rsidRPr="009859D6">
        <w:rPr>
          <w:color w:val="000000"/>
          <w:lang w:val="es-ES"/>
        </w:rPr>
        <w:t> </w:t>
      </w:r>
      <w:r w:rsidR="003E3391" w:rsidRPr="009859D6">
        <w:rPr>
          <w:color w:val="000000"/>
          <w:lang w:val="es-ES"/>
        </w:rPr>
        <w:t>las cuatro evaluaciones regionales y la evaluación temática de la degradación y la restauración de la</w:t>
      </w:r>
      <w:r w:rsidR="0019758C" w:rsidRPr="009859D6">
        <w:rPr>
          <w:color w:val="000000"/>
          <w:lang w:val="es-ES"/>
        </w:rPr>
        <w:t> </w:t>
      </w:r>
      <w:r w:rsidR="003E3391" w:rsidRPr="009859D6">
        <w:rPr>
          <w:color w:val="000000"/>
          <w:lang w:val="es-ES"/>
        </w:rPr>
        <w:t>tierra</w:t>
      </w:r>
      <w:r w:rsidR="00715E94" w:rsidRPr="009859D6">
        <w:rPr>
          <w:iCs/>
          <w:color w:val="000000"/>
          <w:lang w:val="es-ES"/>
        </w:rPr>
        <w:t>;</w:t>
      </w:r>
    </w:p>
    <w:p w:rsidR="00715E94" w:rsidRPr="009859D6" w:rsidRDefault="003E3391" w:rsidP="001423AB">
      <w:pPr>
        <w:pStyle w:val="Normalnumber"/>
        <w:numPr>
          <w:ilvl w:val="1"/>
          <w:numId w:val="4"/>
        </w:numPr>
        <w:tabs>
          <w:tab w:val="clear" w:pos="1247"/>
          <w:tab w:val="clear" w:pos="1814"/>
          <w:tab w:val="clear" w:pos="2381"/>
          <w:tab w:val="clear" w:pos="2948"/>
          <w:tab w:val="clear" w:pos="3515"/>
          <w:tab w:val="left" w:pos="624"/>
        </w:tabs>
        <w:ind w:left="1247" w:firstLine="624"/>
        <w:rPr>
          <w:iCs/>
          <w:lang w:val="es-ES"/>
        </w:rPr>
      </w:pPr>
      <w:r w:rsidRPr="009859D6">
        <w:rPr>
          <w:iCs/>
          <w:lang w:val="es-ES"/>
        </w:rPr>
        <w:t xml:space="preserve">Cuatro </w:t>
      </w:r>
      <w:r w:rsidR="00D57BCC" w:rsidRPr="009859D6">
        <w:rPr>
          <w:iCs/>
          <w:lang w:val="es-ES"/>
        </w:rPr>
        <w:t>evaluaciones regionales y subregionales, de las que los</w:t>
      </w:r>
      <w:r w:rsidR="000E25B2" w:rsidRPr="009859D6">
        <w:rPr>
          <w:iCs/>
          <w:lang w:val="es-ES"/>
        </w:rPr>
        <w:t xml:space="preserve"> </w:t>
      </w:r>
      <w:r w:rsidR="00D57BCC" w:rsidRPr="009859D6">
        <w:rPr>
          <w:iCs/>
          <w:lang w:val="es-ES"/>
        </w:rPr>
        <w:t xml:space="preserve">resúmenes </w:t>
      </w:r>
      <w:r w:rsidR="00052731" w:rsidRPr="009859D6">
        <w:rPr>
          <w:iCs/>
          <w:lang w:val="es-ES"/>
        </w:rPr>
        <w:t xml:space="preserve">para los responsables de formular políticas </w:t>
      </w:r>
      <w:r w:rsidR="00D57BCC" w:rsidRPr="009859D6">
        <w:rPr>
          <w:iCs/>
          <w:lang w:val="es-ES"/>
        </w:rPr>
        <w:t>y versiones finales de los proyecto</w:t>
      </w:r>
      <w:r w:rsidR="00DB010B" w:rsidRPr="009859D6">
        <w:rPr>
          <w:iCs/>
          <w:lang w:val="es-ES"/>
        </w:rPr>
        <w:t>s estarán listos a comienzos de </w:t>
      </w:r>
      <w:r w:rsidR="00B81B54" w:rsidRPr="009859D6">
        <w:rPr>
          <w:iCs/>
          <w:lang w:val="es-ES"/>
        </w:rPr>
        <w:t>2018,</w:t>
      </w:r>
      <w:r w:rsidR="00D57BCC" w:rsidRPr="009859D6">
        <w:rPr>
          <w:lang w:val="es-ES"/>
        </w:rPr>
        <w:t xml:space="preserve"> y las primeras versiones a mediados de</w:t>
      </w:r>
      <w:r w:rsidR="00A901AD" w:rsidRPr="009859D6">
        <w:rPr>
          <w:lang w:val="es-ES"/>
        </w:rPr>
        <w:t> </w:t>
      </w:r>
      <w:r w:rsidR="00EB6A64" w:rsidRPr="009859D6">
        <w:rPr>
          <w:lang w:val="es-ES"/>
        </w:rPr>
        <w:t xml:space="preserve">2016 </w:t>
      </w:r>
      <w:r w:rsidR="00822B77" w:rsidRPr="009859D6">
        <w:rPr>
          <w:iCs/>
          <w:lang w:val="es-ES"/>
        </w:rPr>
        <w:t>(</w:t>
      </w:r>
      <w:r w:rsidR="00D57BCC" w:rsidRPr="009859D6">
        <w:rPr>
          <w:iCs/>
          <w:lang w:val="es-ES"/>
        </w:rPr>
        <w:t xml:space="preserve">producto previsto </w:t>
      </w:r>
      <w:r w:rsidR="00822B77" w:rsidRPr="009859D6">
        <w:rPr>
          <w:iCs/>
          <w:lang w:val="es-ES"/>
        </w:rPr>
        <w:t>2 b))</w:t>
      </w:r>
      <w:r w:rsidR="00B81B54" w:rsidRPr="009859D6">
        <w:rPr>
          <w:lang w:val="es-ES"/>
        </w:rPr>
        <w:t xml:space="preserve">; </w:t>
      </w:r>
      <w:r w:rsidR="00D57BCC" w:rsidRPr="009859D6">
        <w:rPr>
          <w:lang w:val="es-ES"/>
        </w:rPr>
        <w:t xml:space="preserve">la creación de cuatro dependencias de apoyo técnico en África </w:t>
      </w:r>
      <w:r w:rsidR="000E25B2" w:rsidRPr="009859D6">
        <w:rPr>
          <w:lang w:val="es-ES"/>
        </w:rPr>
        <w:t>(</w:t>
      </w:r>
      <w:r w:rsidR="00C9622B" w:rsidRPr="009859D6">
        <w:rPr>
          <w:lang w:val="es-ES"/>
        </w:rPr>
        <w:t>Consejo de Investigaciones Científicas e Industriales</w:t>
      </w:r>
      <w:r w:rsidR="00052731" w:rsidRPr="009859D6">
        <w:rPr>
          <w:lang w:val="es-ES"/>
        </w:rPr>
        <w:t xml:space="preserve"> (</w:t>
      </w:r>
      <w:r w:rsidR="00C9622B" w:rsidRPr="009859D6">
        <w:rPr>
          <w:lang w:val="es-ES"/>
        </w:rPr>
        <w:t>Sudáfrica</w:t>
      </w:r>
      <w:r w:rsidR="00052731" w:rsidRPr="009859D6">
        <w:rPr>
          <w:lang w:val="es-ES"/>
        </w:rPr>
        <w:t>)</w:t>
      </w:r>
      <w:r w:rsidR="001A46B7" w:rsidRPr="009859D6">
        <w:rPr>
          <w:lang w:val="es-ES"/>
        </w:rPr>
        <w:t>)</w:t>
      </w:r>
      <w:r w:rsidR="00A57F02" w:rsidRPr="009859D6">
        <w:rPr>
          <w:lang w:val="es-ES"/>
        </w:rPr>
        <w:t>, Asia</w:t>
      </w:r>
      <w:r w:rsidR="00052731" w:rsidRPr="009859D6">
        <w:rPr>
          <w:lang w:val="es-ES"/>
        </w:rPr>
        <w:t xml:space="preserve"> y el </w:t>
      </w:r>
      <w:r w:rsidR="00C9622B" w:rsidRPr="009859D6">
        <w:rPr>
          <w:lang w:val="es-ES"/>
        </w:rPr>
        <w:t>Pacífico (</w:t>
      </w:r>
      <w:r w:rsidR="00D57BCC" w:rsidRPr="009859D6">
        <w:rPr>
          <w:lang w:val="es-ES"/>
        </w:rPr>
        <w:t>Instituto de Estrategias Ambientales Mundiales</w:t>
      </w:r>
      <w:r w:rsidR="00052731" w:rsidRPr="009859D6">
        <w:rPr>
          <w:lang w:val="es-ES"/>
        </w:rPr>
        <w:t xml:space="preserve"> (</w:t>
      </w:r>
      <w:r w:rsidR="001A46B7" w:rsidRPr="009859D6">
        <w:rPr>
          <w:lang w:val="es-ES"/>
        </w:rPr>
        <w:t>Jap</w:t>
      </w:r>
      <w:r w:rsidR="00D57BCC" w:rsidRPr="009859D6">
        <w:rPr>
          <w:lang w:val="es-ES"/>
        </w:rPr>
        <w:t>ó</w:t>
      </w:r>
      <w:r w:rsidR="001A46B7" w:rsidRPr="009859D6">
        <w:rPr>
          <w:lang w:val="es-ES"/>
        </w:rPr>
        <w:t>n</w:t>
      </w:r>
      <w:r w:rsidR="00052731" w:rsidRPr="009859D6">
        <w:rPr>
          <w:lang w:val="es-ES"/>
        </w:rPr>
        <w:t>)</w:t>
      </w:r>
      <w:r w:rsidR="001A46B7" w:rsidRPr="009859D6">
        <w:rPr>
          <w:lang w:val="es-ES"/>
        </w:rPr>
        <w:t>)</w:t>
      </w:r>
      <w:r w:rsidR="00A57F02" w:rsidRPr="009859D6">
        <w:rPr>
          <w:lang w:val="es-ES"/>
        </w:rPr>
        <w:t xml:space="preserve">, </w:t>
      </w:r>
      <w:r w:rsidR="00C9622B" w:rsidRPr="009859D6">
        <w:rPr>
          <w:lang w:val="es-ES"/>
        </w:rPr>
        <w:t xml:space="preserve">las Américas </w:t>
      </w:r>
      <w:r w:rsidR="001A46B7" w:rsidRPr="009859D6">
        <w:rPr>
          <w:lang w:val="es-ES"/>
        </w:rPr>
        <w:t>(</w:t>
      </w:r>
      <w:r w:rsidR="00C9622B" w:rsidRPr="009859D6">
        <w:rPr>
          <w:lang w:val="es-ES"/>
        </w:rPr>
        <w:t xml:space="preserve">Instituto de Investigación de Recursos Biológicos Alexander Von Humboldt </w:t>
      </w:r>
      <w:r w:rsidR="00052731" w:rsidRPr="009859D6">
        <w:rPr>
          <w:lang w:val="es-ES"/>
        </w:rPr>
        <w:t>(</w:t>
      </w:r>
      <w:r w:rsidR="00C9622B" w:rsidRPr="009859D6">
        <w:rPr>
          <w:lang w:val="es-ES"/>
        </w:rPr>
        <w:t>Colombia</w:t>
      </w:r>
      <w:r w:rsidR="00052731" w:rsidRPr="009859D6">
        <w:rPr>
          <w:lang w:val="es-ES"/>
        </w:rPr>
        <w:t>)</w:t>
      </w:r>
      <w:r w:rsidR="001A46B7" w:rsidRPr="009859D6">
        <w:rPr>
          <w:lang w:val="es-ES"/>
        </w:rPr>
        <w:t xml:space="preserve">) </w:t>
      </w:r>
      <w:r w:rsidR="00C9622B" w:rsidRPr="009859D6">
        <w:rPr>
          <w:lang w:val="es-ES"/>
        </w:rPr>
        <w:t>y Europa y Asia Central</w:t>
      </w:r>
      <w:r w:rsidR="000E25B2" w:rsidRPr="009859D6">
        <w:rPr>
          <w:lang w:val="es-ES"/>
        </w:rPr>
        <w:t xml:space="preserve"> </w:t>
      </w:r>
      <w:r w:rsidR="00A57F02" w:rsidRPr="009859D6">
        <w:rPr>
          <w:lang w:val="es-ES"/>
        </w:rPr>
        <w:t>(</w:t>
      </w:r>
      <w:r w:rsidR="001A46B7" w:rsidRPr="009859D6">
        <w:rPr>
          <w:lang w:val="es-ES"/>
        </w:rPr>
        <w:t>U</w:t>
      </w:r>
      <w:r w:rsidR="00B81B54" w:rsidRPr="009859D6">
        <w:rPr>
          <w:lang w:val="es-ES"/>
        </w:rPr>
        <w:t>niversi</w:t>
      </w:r>
      <w:r w:rsidR="00C9622B" w:rsidRPr="009859D6">
        <w:rPr>
          <w:lang w:val="es-ES"/>
        </w:rPr>
        <w:t>dad de Berna</w:t>
      </w:r>
      <w:r w:rsidR="00052731" w:rsidRPr="009859D6">
        <w:rPr>
          <w:lang w:val="es-ES"/>
        </w:rPr>
        <w:t xml:space="preserve"> (</w:t>
      </w:r>
      <w:r w:rsidR="00C9622B" w:rsidRPr="009859D6">
        <w:rPr>
          <w:lang w:val="es-ES"/>
        </w:rPr>
        <w:t>Suiza</w:t>
      </w:r>
      <w:r w:rsidR="00052731" w:rsidRPr="009859D6">
        <w:rPr>
          <w:lang w:val="es-ES"/>
        </w:rPr>
        <w:t>)</w:t>
      </w:r>
      <w:r w:rsidR="00C9622B" w:rsidRPr="009859D6">
        <w:rPr>
          <w:lang w:val="es-ES"/>
        </w:rPr>
        <w:t>)</w:t>
      </w:r>
      <w:r w:rsidR="00822B77" w:rsidRPr="009859D6">
        <w:rPr>
          <w:lang w:val="es-ES"/>
        </w:rPr>
        <w:t>;</w:t>
      </w:r>
      <w:r w:rsidR="00592FCA" w:rsidRPr="009859D6">
        <w:rPr>
          <w:lang w:val="es-ES"/>
        </w:rPr>
        <w:t xml:space="preserve"> </w:t>
      </w:r>
      <w:r w:rsidR="00C9622B" w:rsidRPr="009859D6">
        <w:rPr>
          <w:lang w:val="es-ES"/>
        </w:rPr>
        <w:t xml:space="preserve">la selección de los cuatro grupos de autores </w:t>
      </w:r>
      <w:r w:rsidR="00052731" w:rsidRPr="009859D6">
        <w:rPr>
          <w:lang w:val="es-ES"/>
        </w:rPr>
        <w:t xml:space="preserve">de </w:t>
      </w:r>
      <w:r w:rsidR="00C9622B" w:rsidRPr="009859D6">
        <w:rPr>
          <w:lang w:val="es-ES"/>
        </w:rPr>
        <w:t>las evaluaciones; y la convocatoria de una primera reunión de autores en cada región</w:t>
      </w:r>
      <w:r w:rsidR="00822B77" w:rsidRPr="009859D6">
        <w:rPr>
          <w:iCs/>
          <w:lang w:val="es-ES"/>
        </w:rPr>
        <w:t>.</w:t>
      </w:r>
      <w:r w:rsidR="00C9622B" w:rsidRPr="009859D6">
        <w:rPr>
          <w:rFonts w:eastAsia="Calibri"/>
          <w:lang w:val="es-ES"/>
        </w:rPr>
        <w:t xml:space="preserve"> Pueden encontrarse informes completos sobre </w:t>
      </w:r>
      <w:r w:rsidR="00052731" w:rsidRPr="009859D6">
        <w:rPr>
          <w:rFonts w:eastAsia="Calibri"/>
          <w:lang w:val="es-ES"/>
        </w:rPr>
        <w:t xml:space="preserve">los progresos realizados en relación con </w:t>
      </w:r>
      <w:r w:rsidR="00C9622B" w:rsidRPr="009859D6">
        <w:rPr>
          <w:rFonts w:eastAsia="Calibri"/>
          <w:lang w:val="es-ES"/>
        </w:rPr>
        <w:t xml:space="preserve">las evaluaciones regionales y los arreglos institucionales en los documentos </w:t>
      </w:r>
      <w:r w:rsidR="00822B77" w:rsidRPr="009859D6">
        <w:rPr>
          <w:iCs/>
          <w:lang w:val="es-ES"/>
        </w:rPr>
        <w:t>IPBES/4/INF/10</w:t>
      </w:r>
      <w:r w:rsidR="00C9622B" w:rsidRPr="009859D6">
        <w:rPr>
          <w:iCs/>
          <w:lang w:val="es-ES"/>
        </w:rPr>
        <w:t xml:space="preserve"> </w:t>
      </w:r>
      <w:r w:rsidR="000E25B2" w:rsidRPr="009859D6">
        <w:rPr>
          <w:iCs/>
          <w:lang w:val="es-ES"/>
        </w:rPr>
        <w:t>e</w:t>
      </w:r>
      <w:r w:rsidR="00C9622B" w:rsidRPr="009859D6">
        <w:rPr>
          <w:iCs/>
          <w:lang w:val="es-ES"/>
        </w:rPr>
        <w:t xml:space="preserve"> </w:t>
      </w:r>
      <w:r w:rsidR="00A032CA" w:rsidRPr="009859D6">
        <w:rPr>
          <w:iCs/>
          <w:lang w:val="es-ES"/>
        </w:rPr>
        <w:t>IPBES/4/INF/</w:t>
      </w:r>
      <w:r w:rsidR="00B176C0" w:rsidRPr="009859D6">
        <w:rPr>
          <w:iCs/>
          <w:lang w:val="es-ES"/>
        </w:rPr>
        <w:t>18</w:t>
      </w:r>
      <w:r w:rsidR="00C9622B" w:rsidRPr="009859D6">
        <w:rPr>
          <w:iCs/>
          <w:lang w:val="es-ES"/>
        </w:rPr>
        <w:t>, respectivamente</w:t>
      </w:r>
      <w:r w:rsidR="00BF30F2" w:rsidRPr="009859D6">
        <w:rPr>
          <w:iCs/>
          <w:lang w:val="es-ES"/>
        </w:rPr>
        <w:t>;</w:t>
      </w:r>
    </w:p>
    <w:p w:rsidR="00715E94" w:rsidRPr="009859D6" w:rsidRDefault="00C9622B" w:rsidP="001423AB">
      <w:pPr>
        <w:pStyle w:val="Normalnumber"/>
        <w:numPr>
          <w:ilvl w:val="1"/>
          <w:numId w:val="4"/>
        </w:numPr>
        <w:tabs>
          <w:tab w:val="clear" w:pos="1247"/>
          <w:tab w:val="clear" w:pos="1814"/>
          <w:tab w:val="clear" w:pos="2381"/>
          <w:tab w:val="clear" w:pos="2948"/>
          <w:tab w:val="clear" w:pos="3515"/>
          <w:tab w:val="left" w:pos="624"/>
        </w:tabs>
        <w:ind w:left="1247" w:firstLine="624"/>
        <w:rPr>
          <w:iCs/>
          <w:lang w:val="es-ES"/>
        </w:rPr>
      </w:pPr>
      <w:r w:rsidRPr="009859D6">
        <w:rPr>
          <w:lang w:val="es-ES"/>
        </w:rPr>
        <w:t xml:space="preserve">Un informe </w:t>
      </w:r>
      <w:r w:rsidR="00052731" w:rsidRPr="009859D6">
        <w:rPr>
          <w:lang w:val="es-ES"/>
        </w:rPr>
        <w:t xml:space="preserve">completo </w:t>
      </w:r>
      <w:r w:rsidRPr="009859D6">
        <w:rPr>
          <w:lang w:val="es-ES"/>
        </w:rPr>
        <w:t xml:space="preserve">de análisis </w:t>
      </w:r>
      <w:r w:rsidR="00052731" w:rsidRPr="009859D6">
        <w:rPr>
          <w:lang w:val="es-ES"/>
        </w:rPr>
        <w:t xml:space="preserve">inicial respecto </w:t>
      </w:r>
      <w:r w:rsidRPr="009859D6">
        <w:rPr>
          <w:lang w:val="es-ES"/>
        </w:rPr>
        <w:t xml:space="preserve">de una evaluación mundial sobre la diversidad biológica y los servicios de los ecosistemas preparado por un grupo de expertos </w:t>
      </w:r>
      <w:r w:rsidR="00715E94" w:rsidRPr="009859D6">
        <w:rPr>
          <w:iCs/>
          <w:lang w:val="es-ES"/>
        </w:rPr>
        <w:t>(</w:t>
      </w:r>
      <w:r w:rsidRPr="009859D6">
        <w:rPr>
          <w:iCs/>
          <w:lang w:val="es-ES"/>
        </w:rPr>
        <w:t xml:space="preserve">producto previsto </w:t>
      </w:r>
      <w:r w:rsidR="00B03240" w:rsidRPr="009859D6">
        <w:rPr>
          <w:iCs/>
          <w:lang w:val="es-ES"/>
        </w:rPr>
        <w:t xml:space="preserve">2 </w:t>
      </w:r>
      <w:r w:rsidR="00715E94" w:rsidRPr="009859D6">
        <w:rPr>
          <w:iCs/>
          <w:lang w:val="es-ES"/>
        </w:rPr>
        <w:t>c</w:t>
      </w:r>
      <w:r w:rsidR="00C519E5" w:rsidRPr="009859D6">
        <w:rPr>
          <w:iCs/>
          <w:lang w:val="es-ES"/>
        </w:rPr>
        <w:t>)</w:t>
      </w:r>
      <w:r w:rsidR="00715E94" w:rsidRPr="009859D6">
        <w:rPr>
          <w:iCs/>
          <w:lang w:val="es-ES"/>
        </w:rPr>
        <w:t>)</w:t>
      </w:r>
      <w:r w:rsidR="00BD4F66" w:rsidRPr="009859D6">
        <w:rPr>
          <w:iCs/>
          <w:lang w:val="es-ES"/>
        </w:rPr>
        <w:t xml:space="preserve">, </w:t>
      </w:r>
      <w:r w:rsidR="000E25B2" w:rsidRPr="009859D6">
        <w:rPr>
          <w:iCs/>
          <w:lang w:val="es-ES"/>
        </w:rPr>
        <w:t>para ser presentado a</w:t>
      </w:r>
      <w:r w:rsidRPr="009859D6">
        <w:rPr>
          <w:iCs/>
          <w:lang w:val="es-ES"/>
        </w:rPr>
        <w:t>l Plenario para su consideración durante su cuart</w:t>
      </w:r>
      <w:r w:rsidR="009C556B" w:rsidRPr="009859D6">
        <w:rPr>
          <w:iCs/>
          <w:lang w:val="es-ES"/>
        </w:rPr>
        <w:t>o</w:t>
      </w:r>
      <w:r w:rsidRPr="009859D6">
        <w:rPr>
          <w:iCs/>
          <w:lang w:val="es-ES"/>
        </w:rPr>
        <w:t xml:space="preserve"> </w:t>
      </w:r>
      <w:r w:rsidR="009C556B" w:rsidRPr="009859D6">
        <w:rPr>
          <w:iCs/>
          <w:lang w:val="es-ES"/>
        </w:rPr>
        <w:t xml:space="preserve">período </w:t>
      </w:r>
      <w:r w:rsidRPr="009859D6">
        <w:rPr>
          <w:iCs/>
          <w:lang w:val="es-ES"/>
        </w:rPr>
        <w:t xml:space="preserve">de sesiones </w:t>
      </w:r>
      <w:r w:rsidR="00C519E5" w:rsidRPr="009859D6">
        <w:rPr>
          <w:iCs/>
          <w:lang w:val="es-ES"/>
        </w:rPr>
        <w:t>(</w:t>
      </w:r>
      <w:r w:rsidR="00715E94" w:rsidRPr="009859D6">
        <w:rPr>
          <w:iCs/>
          <w:lang w:val="es-ES"/>
        </w:rPr>
        <w:t>IPBES/</w:t>
      </w:r>
      <w:r w:rsidR="00B81B54" w:rsidRPr="009859D6">
        <w:rPr>
          <w:iCs/>
          <w:lang w:val="es-ES"/>
        </w:rPr>
        <w:t>4</w:t>
      </w:r>
      <w:r w:rsidR="00715E94" w:rsidRPr="009859D6">
        <w:rPr>
          <w:iCs/>
          <w:lang w:val="es-ES"/>
        </w:rPr>
        <w:t>/</w:t>
      </w:r>
      <w:r w:rsidR="00D07FF7" w:rsidRPr="009859D6">
        <w:rPr>
          <w:iCs/>
          <w:lang w:val="es-ES"/>
        </w:rPr>
        <w:t>8</w:t>
      </w:r>
      <w:r w:rsidR="00C519E5" w:rsidRPr="009859D6">
        <w:rPr>
          <w:iCs/>
          <w:lang w:val="es-ES"/>
        </w:rPr>
        <w:t>)</w:t>
      </w:r>
      <w:r w:rsidR="00822B77" w:rsidRPr="009859D6">
        <w:rPr>
          <w:iCs/>
          <w:lang w:val="es-ES"/>
        </w:rPr>
        <w:t>;</w:t>
      </w:r>
      <w:r w:rsidRPr="009859D6">
        <w:rPr>
          <w:iCs/>
          <w:lang w:val="es-ES"/>
        </w:rPr>
        <w:t xml:space="preserve"> </w:t>
      </w:r>
      <w:r w:rsidR="00305088" w:rsidRPr="009859D6">
        <w:rPr>
          <w:iCs/>
          <w:lang w:val="es-ES"/>
        </w:rPr>
        <w:t xml:space="preserve">una petición </w:t>
      </w:r>
      <w:r w:rsidRPr="009859D6">
        <w:rPr>
          <w:iCs/>
          <w:lang w:val="es-ES"/>
        </w:rPr>
        <w:t xml:space="preserve">de observaciones por parte de </w:t>
      </w:r>
      <w:r w:rsidR="00305088" w:rsidRPr="009859D6">
        <w:rPr>
          <w:iCs/>
          <w:lang w:val="es-ES"/>
        </w:rPr>
        <w:t xml:space="preserve">los </w:t>
      </w:r>
      <w:r w:rsidRPr="009859D6">
        <w:rPr>
          <w:iCs/>
          <w:lang w:val="es-ES"/>
        </w:rPr>
        <w:t xml:space="preserve">gobiernos interesados sobre el informe de análisis inicial, que debería entregarse entre el 13 de octubre y el 6 de noviembre de </w:t>
      </w:r>
      <w:r w:rsidR="00514D42" w:rsidRPr="009859D6">
        <w:rPr>
          <w:iCs/>
          <w:lang w:val="es-ES"/>
        </w:rPr>
        <w:t xml:space="preserve">2015; </w:t>
      </w:r>
      <w:r w:rsidRPr="009859D6">
        <w:rPr>
          <w:iCs/>
          <w:lang w:val="es-ES"/>
        </w:rPr>
        <w:t xml:space="preserve">y una reflexión sobre estas observaciones en el informe </w:t>
      </w:r>
      <w:r w:rsidR="00305088" w:rsidRPr="009859D6">
        <w:rPr>
          <w:iCs/>
          <w:lang w:val="es-ES"/>
        </w:rPr>
        <w:t xml:space="preserve">definitivo </w:t>
      </w:r>
      <w:r w:rsidRPr="009859D6">
        <w:rPr>
          <w:iCs/>
          <w:lang w:val="es-ES"/>
        </w:rPr>
        <w:t>de análisis</w:t>
      </w:r>
      <w:r w:rsidR="00305088" w:rsidRPr="009859D6">
        <w:rPr>
          <w:iCs/>
          <w:lang w:val="es-ES"/>
        </w:rPr>
        <w:t xml:space="preserve"> inicial</w:t>
      </w:r>
      <w:r w:rsidR="00587CB2" w:rsidRPr="009859D6">
        <w:rPr>
          <w:iCs/>
          <w:lang w:val="es-ES"/>
        </w:rPr>
        <w:t>.</w:t>
      </w:r>
    </w:p>
    <w:p w:rsidR="00681E8C" w:rsidRPr="009859D6" w:rsidRDefault="00D776E2" w:rsidP="00CF3639">
      <w:pPr>
        <w:pStyle w:val="CH2"/>
        <w:tabs>
          <w:tab w:val="clear" w:pos="624"/>
          <w:tab w:val="left" w:pos="4082"/>
        </w:tabs>
        <w:spacing w:before="80" w:after="60"/>
        <w:ind w:left="1247"/>
        <w:rPr>
          <w:sz w:val="20"/>
          <w:szCs w:val="20"/>
          <w:lang w:val="es-ES"/>
        </w:rPr>
      </w:pPr>
      <w:r w:rsidRPr="009859D6">
        <w:rPr>
          <w:lang w:val="es-ES"/>
        </w:rPr>
        <w:tab/>
      </w:r>
      <w:r w:rsidR="00C0377A" w:rsidRPr="009859D6">
        <w:rPr>
          <w:lang w:val="es-ES"/>
        </w:rPr>
        <w:tab/>
      </w:r>
      <w:r w:rsidR="007427F3" w:rsidRPr="009859D6">
        <w:rPr>
          <w:sz w:val="20"/>
          <w:szCs w:val="20"/>
          <w:lang w:val="es-ES"/>
        </w:rPr>
        <w:t xml:space="preserve">Objetivo </w:t>
      </w:r>
      <w:r w:rsidR="00715E94" w:rsidRPr="009859D6">
        <w:rPr>
          <w:sz w:val="20"/>
          <w:szCs w:val="20"/>
          <w:lang w:val="es-ES"/>
        </w:rPr>
        <w:t>3</w:t>
      </w:r>
    </w:p>
    <w:p w:rsidR="00715E94" w:rsidRPr="009859D6" w:rsidRDefault="00681E8C" w:rsidP="00D776E2">
      <w:pPr>
        <w:pStyle w:val="CH2"/>
        <w:tabs>
          <w:tab w:val="clear" w:pos="624"/>
          <w:tab w:val="left" w:pos="4082"/>
        </w:tabs>
        <w:spacing w:before="80"/>
        <w:ind w:left="1247"/>
        <w:rPr>
          <w:sz w:val="20"/>
          <w:szCs w:val="20"/>
          <w:lang w:val="es-ES"/>
        </w:rPr>
      </w:pPr>
      <w:r w:rsidRPr="009859D6">
        <w:rPr>
          <w:sz w:val="20"/>
          <w:szCs w:val="20"/>
          <w:lang w:val="es-ES"/>
        </w:rPr>
        <w:tab/>
      </w:r>
      <w:r w:rsidRPr="009859D6">
        <w:rPr>
          <w:sz w:val="20"/>
          <w:szCs w:val="20"/>
          <w:lang w:val="es-ES"/>
        </w:rPr>
        <w:tab/>
      </w:r>
      <w:r w:rsidR="00505AF5" w:rsidRPr="009859D6">
        <w:rPr>
          <w:sz w:val="20"/>
          <w:szCs w:val="20"/>
          <w:lang w:val="es-ES"/>
        </w:rPr>
        <w:t>Fortalecer la interfaz científico</w:t>
      </w:r>
      <w:r w:rsidR="00A901AD" w:rsidRPr="009859D6">
        <w:rPr>
          <w:sz w:val="20"/>
          <w:szCs w:val="20"/>
          <w:lang w:val="es-ES"/>
        </w:rPr>
        <w:noBreakHyphen/>
      </w:r>
      <w:r w:rsidR="00505AF5" w:rsidRPr="009859D6">
        <w:rPr>
          <w:sz w:val="20"/>
          <w:szCs w:val="20"/>
          <w:lang w:val="es-ES"/>
        </w:rPr>
        <w:t>normativa sobre diversidad biológica y servicios de los ecosistemas respecto de las cuestiones temáticas y metodológicas</w:t>
      </w:r>
    </w:p>
    <w:p w:rsidR="00715E94" w:rsidRPr="009859D6" w:rsidRDefault="00505AF5" w:rsidP="001423AB">
      <w:pPr>
        <w:pStyle w:val="Normalnumber"/>
        <w:numPr>
          <w:ilvl w:val="0"/>
          <w:numId w:val="4"/>
        </w:numPr>
        <w:tabs>
          <w:tab w:val="clear" w:pos="1247"/>
          <w:tab w:val="clear" w:pos="1814"/>
          <w:tab w:val="clear" w:pos="2381"/>
          <w:tab w:val="clear" w:pos="2948"/>
          <w:tab w:val="clear" w:pos="3515"/>
          <w:tab w:val="left" w:pos="624"/>
          <w:tab w:val="num" w:pos="1134"/>
        </w:tabs>
        <w:ind w:left="1247" w:firstLine="0"/>
        <w:rPr>
          <w:lang w:val="es-ES"/>
        </w:rPr>
      </w:pPr>
      <w:r w:rsidRPr="009859D6">
        <w:rPr>
          <w:lang w:val="es-ES"/>
        </w:rPr>
        <w:t>En el marco del objetivo 3, el progreso comprende la elaboración de</w:t>
      </w:r>
      <w:r w:rsidR="00715E94" w:rsidRPr="009859D6">
        <w:rPr>
          <w:lang w:val="es-ES"/>
        </w:rPr>
        <w:t>:</w:t>
      </w:r>
    </w:p>
    <w:p w:rsidR="00715E94" w:rsidRPr="009859D6" w:rsidRDefault="00505AF5" w:rsidP="001423AB">
      <w:pPr>
        <w:pStyle w:val="Normalnumber"/>
        <w:numPr>
          <w:ilvl w:val="1"/>
          <w:numId w:val="4"/>
        </w:numPr>
        <w:tabs>
          <w:tab w:val="clear" w:pos="1247"/>
          <w:tab w:val="clear" w:pos="1814"/>
          <w:tab w:val="clear" w:pos="2381"/>
          <w:tab w:val="clear" w:pos="2948"/>
          <w:tab w:val="clear" w:pos="3515"/>
          <w:tab w:val="left" w:pos="624"/>
        </w:tabs>
        <w:ind w:left="1247" w:firstLine="624"/>
        <w:rPr>
          <w:iCs/>
          <w:lang w:val="es-ES"/>
        </w:rPr>
      </w:pPr>
      <w:r w:rsidRPr="009859D6">
        <w:rPr>
          <w:iCs/>
          <w:lang w:val="es-ES"/>
        </w:rPr>
        <w:t xml:space="preserve">El informe final de </w:t>
      </w:r>
      <w:r w:rsidR="00052731" w:rsidRPr="009859D6">
        <w:rPr>
          <w:iCs/>
          <w:lang w:val="es-ES"/>
        </w:rPr>
        <w:t xml:space="preserve">la </w:t>
      </w:r>
      <w:r w:rsidRPr="009859D6">
        <w:rPr>
          <w:iCs/>
          <w:lang w:val="es-ES"/>
        </w:rPr>
        <w:t>evaluación</w:t>
      </w:r>
      <w:r w:rsidR="00052731" w:rsidRPr="009859D6">
        <w:rPr>
          <w:iCs/>
          <w:lang w:val="es-ES"/>
        </w:rPr>
        <w:t xml:space="preserve"> temática</w:t>
      </w:r>
      <w:r w:rsidRPr="009859D6">
        <w:rPr>
          <w:iCs/>
          <w:lang w:val="es-ES"/>
        </w:rPr>
        <w:t xml:space="preserve"> sobre </w:t>
      </w:r>
      <w:r w:rsidRPr="009859D6">
        <w:rPr>
          <w:lang w:val="es-ES"/>
        </w:rPr>
        <w:t>los polinizadores</w:t>
      </w:r>
      <w:r w:rsidR="00C3115F" w:rsidRPr="009859D6">
        <w:rPr>
          <w:lang w:val="es-ES"/>
        </w:rPr>
        <w:t>, la polinización y</w:t>
      </w:r>
      <w:r w:rsidRPr="009859D6">
        <w:rPr>
          <w:lang w:val="es-ES"/>
        </w:rPr>
        <w:t xml:space="preserve"> la producción de alimentos (producto previsto 3 a)), que incluye un informe técnico</w:t>
      </w:r>
      <w:r w:rsidR="0019758C" w:rsidRPr="009859D6">
        <w:rPr>
          <w:lang w:val="es-ES"/>
        </w:rPr>
        <w:t xml:space="preserve"> </w:t>
      </w:r>
      <w:r w:rsidR="00BF30F2" w:rsidRPr="009859D6">
        <w:rPr>
          <w:iCs/>
          <w:lang w:val="es-ES"/>
        </w:rPr>
        <w:t xml:space="preserve">(IPBES/4/INF/1) </w:t>
      </w:r>
      <w:r w:rsidRPr="009859D6">
        <w:rPr>
          <w:lang w:val="es-ES"/>
        </w:rPr>
        <w:t>y un resumen para</w:t>
      </w:r>
      <w:r w:rsidR="001945ED" w:rsidRPr="009859D6">
        <w:rPr>
          <w:lang w:val="es-ES"/>
        </w:rPr>
        <w:t xml:space="preserve"> </w:t>
      </w:r>
      <w:r w:rsidR="00052731" w:rsidRPr="009859D6">
        <w:rPr>
          <w:lang w:val="es-ES"/>
        </w:rPr>
        <w:t>responsables de formular</w:t>
      </w:r>
      <w:r w:rsidR="001945ED" w:rsidRPr="009859D6">
        <w:rPr>
          <w:lang w:val="es-ES"/>
        </w:rPr>
        <w:t xml:space="preserve"> políticas</w:t>
      </w:r>
      <w:r w:rsidR="00BF30F2" w:rsidRPr="009859D6">
        <w:rPr>
          <w:lang w:val="es-ES"/>
        </w:rPr>
        <w:t xml:space="preserve"> </w:t>
      </w:r>
      <w:r w:rsidR="00BF30F2" w:rsidRPr="009859D6">
        <w:rPr>
          <w:iCs/>
          <w:lang w:val="es-ES"/>
        </w:rPr>
        <w:t>(IPBES/4/3)</w:t>
      </w:r>
      <w:r w:rsidR="000E25B2" w:rsidRPr="009859D6">
        <w:rPr>
          <w:lang w:val="es-ES"/>
        </w:rPr>
        <w:t xml:space="preserve"> </w:t>
      </w:r>
      <w:r w:rsidRPr="009859D6">
        <w:rPr>
          <w:lang w:val="es-ES"/>
        </w:rPr>
        <w:t>realizad</w:t>
      </w:r>
      <w:r w:rsidR="001945ED" w:rsidRPr="009859D6">
        <w:rPr>
          <w:lang w:val="es-ES"/>
        </w:rPr>
        <w:t>o</w:t>
      </w:r>
      <w:r w:rsidRPr="009859D6">
        <w:rPr>
          <w:lang w:val="es-ES"/>
        </w:rPr>
        <w:t xml:space="preserve"> por un grupo de autores de la evaluación,</w:t>
      </w:r>
      <w:r w:rsidRPr="009859D6">
        <w:rPr>
          <w:iCs/>
          <w:lang w:val="es-ES"/>
        </w:rPr>
        <w:t xml:space="preserve"> </w:t>
      </w:r>
      <w:r w:rsidR="001945ED" w:rsidRPr="009859D6">
        <w:rPr>
          <w:iCs/>
          <w:lang w:val="es-ES"/>
        </w:rPr>
        <w:t>para ser sometido a la consideración del Plenario para su aceptación</w:t>
      </w:r>
      <w:r w:rsidR="00E354E6" w:rsidRPr="009859D6">
        <w:rPr>
          <w:iCs/>
          <w:lang w:val="es-ES"/>
        </w:rPr>
        <w:t xml:space="preserve"> </w:t>
      </w:r>
      <w:r w:rsidR="001945ED" w:rsidRPr="009859D6">
        <w:rPr>
          <w:iCs/>
          <w:lang w:val="es-ES"/>
        </w:rPr>
        <w:t>y adopción durante su cuart</w:t>
      </w:r>
      <w:r w:rsidR="009C556B" w:rsidRPr="009859D6">
        <w:rPr>
          <w:iCs/>
          <w:lang w:val="es-ES"/>
        </w:rPr>
        <w:t>o</w:t>
      </w:r>
      <w:r w:rsidR="001945ED" w:rsidRPr="009859D6">
        <w:rPr>
          <w:iCs/>
          <w:lang w:val="es-ES"/>
        </w:rPr>
        <w:t xml:space="preserve"> </w:t>
      </w:r>
      <w:r w:rsidR="009C556B" w:rsidRPr="009859D6">
        <w:rPr>
          <w:iCs/>
          <w:lang w:val="es-ES"/>
        </w:rPr>
        <w:t xml:space="preserve">período </w:t>
      </w:r>
      <w:r w:rsidR="001945ED" w:rsidRPr="009859D6">
        <w:rPr>
          <w:iCs/>
          <w:lang w:val="es-ES"/>
        </w:rPr>
        <w:t>de sesiones</w:t>
      </w:r>
      <w:r w:rsidR="00C519E5" w:rsidRPr="009859D6">
        <w:rPr>
          <w:iCs/>
          <w:lang w:val="es-ES"/>
        </w:rPr>
        <w:t>;</w:t>
      </w:r>
      <w:r w:rsidR="009859D6">
        <w:rPr>
          <w:iCs/>
          <w:lang w:val="es-ES"/>
        </w:rPr>
        <w:t xml:space="preserve"> </w:t>
      </w:r>
    </w:p>
    <w:p w:rsidR="00715E94" w:rsidRPr="009859D6" w:rsidRDefault="001945ED" w:rsidP="001945ED">
      <w:pPr>
        <w:pStyle w:val="Normalnumber"/>
        <w:numPr>
          <w:ilvl w:val="1"/>
          <w:numId w:val="4"/>
        </w:numPr>
        <w:tabs>
          <w:tab w:val="clear" w:pos="1247"/>
          <w:tab w:val="clear" w:pos="1814"/>
          <w:tab w:val="clear" w:pos="2381"/>
          <w:tab w:val="clear" w:pos="2948"/>
          <w:tab w:val="clear" w:pos="3515"/>
          <w:tab w:val="left" w:pos="624"/>
        </w:tabs>
        <w:ind w:left="1247" w:firstLine="624"/>
        <w:rPr>
          <w:iCs/>
          <w:lang w:val="es-ES"/>
        </w:rPr>
      </w:pPr>
      <w:r w:rsidRPr="009859D6">
        <w:rPr>
          <w:iCs/>
          <w:lang w:val="es-ES"/>
        </w:rPr>
        <w:t xml:space="preserve">Un informe de evaluación temática sobre degradación y restauración de la tierra (producto previsto </w:t>
      </w:r>
      <w:r w:rsidR="00715E94" w:rsidRPr="009859D6">
        <w:rPr>
          <w:iCs/>
          <w:lang w:val="es-ES"/>
        </w:rPr>
        <w:t>3</w:t>
      </w:r>
      <w:r w:rsidR="00C519E5" w:rsidRPr="009859D6">
        <w:rPr>
          <w:iCs/>
          <w:lang w:val="es-ES"/>
        </w:rPr>
        <w:t xml:space="preserve"> </w:t>
      </w:r>
      <w:r w:rsidR="00715E94" w:rsidRPr="009859D6">
        <w:rPr>
          <w:iCs/>
          <w:lang w:val="es-ES"/>
        </w:rPr>
        <w:t>b</w:t>
      </w:r>
      <w:r w:rsidR="00C519E5" w:rsidRPr="009859D6">
        <w:rPr>
          <w:iCs/>
          <w:lang w:val="es-ES"/>
        </w:rPr>
        <w:t xml:space="preserve">) </w:t>
      </w:r>
      <w:r w:rsidR="00715E94" w:rsidRPr="009859D6">
        <w:rPr>
          <w:iCs/>
          <w:lang w:val="es-ES"/>
        </w:rPr>
        <w:t>i)</w:t>
      </w:r>
      <w:r w:rsidR="00C519E5" w:rsidRPr="009859D6">
        <w:rPr>
          <w:iCs/>
          <w:lang w:val="es-ES"/>
        </w:rPr>
        <w:t>)</w:t>
      </w:r>
      <w:r w:rsidR="00942D0C" w:rsidRPr="009859D6">
        <w:rPr>
          <w:iCs/>
          <w:lang w:val="es-ES"/>
        </w:rPr>
        <w:t>,</w:t>
      </w:r>
      <w:r w:rsidR="00715E94" w:rsidRPr="009859D6">
        <w:rPr>
          <w:iCs/>
          <w:lang w:val="es-ES"/>
        </w:rPr>
        <w:t xml:space="preserve"> </w:t>
      </w:r>
      <w:r w:rsidRPr="009859D6">
        <w:rPr>
          <w:iCs/>
          <w:lang w:val="es-ES"/>
        </w:rPr>
        <w:t xml:space="preserve">preparado por un grupo de autores de la evaluación, del que un informe técnico y un resumen para </w:t>
      </w:r>
      <w:r w:rsidR="00052731" w:rsidRPr="009859D6">
        <w:rPr>
          <w:iCs/>
          <w:lang w:val="es-ES"/>
        </w:rPr>
        <w:t>responsables de formular</w:t>
      </w:r>
      <w:r w:rsidRPr="009859D6">
        <w:rPr>
          <w:iCs/>
          <w:lang w:val="es-ES"/>
        </w:rPr>
        <w:t xml:space="preserve"> políticas estarán listos a comienzos de 2018</w:t>
      </w:r>
      <w:r w:rsidR="00305088" w:rsidRPr="009859D6">
        <w:rPr>
          <w:iCs/>
          <w:lang w:val="es-ES"/>
        </w:rPr>
        <w:t xml:space="preserve"> </w:t>
      </w:r>
      <w:r w:rsidR="00DB010B" w:rsidRPr="009859D6">
        <w:rPr>
          <w:lang w:val="es-ES"/>
        </w:rPr>
        <w:t>y una </w:t>
      </w:r>
      <w:r w:rsidRPr="009859D6">
        <w:rPr>
          <w:lang w:val="es-ES"/>
        </w:rPr>
        <w:t>primera versión a mediados de 2016</w:t>
      </w:r>
      <w:r w:rsidR="00715E94" w:rsidRPr="009859D6">
        <w:rPr>
          <w:iCs/>
          <w:lang w:val="es-ES"/>
        </w:rPr>
        <w:t xml:space="preserve">. </w:t>
      </w:r>
      <w:r w:rsidRPr="009859D6">
        <w:rPr>
          <w:iCs/>
          <w:lang w:val="es-ES"/>
        </w:rPr>
        <w:t>A fin de elaborar un enfoque</w:t>
      </w:r>
      <w:r w:rsidR="00DB010B" w:rsidRPr="009859D6">
        <w:rPr>
          <w:iCs/>
          <w:lang w:val="es-ES"/>
        </w:rPr>
        <w:t xml:space="preserve"> coordinado entre la evaluación </w:t>
      </w:r>
      <w:r w:rsidRPr="009859D6">
        <w:rPr>
          <w:iCs/>
          <w:lang w:val="es-ES"/>
        </w:rPr>
        <w:t xml:space="preserve">temática y las evaluaciones regionales, la mitad del grupo de autores de la evaluación contribuirá como autores a la evaluación temática, y la otra mitad contribuirá como autores a las evaluaciones regionales; dos expertos adicionales por región contribuirán tanto a las evaluaciones </w:t>
      </w:r>
      <w:r w:rsidR="00052731" w:rsidRPr="009859D6">
        <w:rPr>
          <w:iCs/>
          <w:lang w:val="es-ES"/>
        </w:rPr>
        <w:t xml:space="preserve">regionales </w:t>
      </w:r>
      <w:r w:rsidR="00DB010B" w:rsidRPr="009859D6">
        <w:rPr>
          <w:iCs/>
          <w:lang w:val="es-ES"/>
        </w:rPr>
        <w:t>como a </w:t>
      </w:r>
      <w:r w:rsidRPr="009859D6">
        <w:rPr>
          <w:iCs/>
          <w:lang w:val="es-ES"/>
        </w:rPr>
        <w:t>la temática.</w:t>
      </w:r>
      <w:r w:rsidR="00027595" w:rsidRPr="009859D6">
        <w:rPr>
          <w:iCs/>
          <w:lang w:val="es-ES"/>
        </w:rPr>
        <w:t xml:space="preserve"> </w:t>
      </w:r>
      <w:r w:rsidRPr="009859D6">
        <w:rPr>
          <w:rFonts w:eastAsia="Calibri"/>
          <w:lang w:val="es-ES"/>
        </w:rPr>
        <w:t xml:space="preserve">Un informe completo sobre la marcha de los </w:t>
      </w:r>
      <w:r w:rsidR="00DB010B" w:rsidRPr="009859D6">
        <w:rPr>
          <w:rFonts w:eastAsia="Calibri"/>
          <w:lang w:val="es-ES"/>
        </w:rPr>
        <w:t>trabajos figura en el documento </w:t>
      </w:r>
      <w:r w:rsidRPr="009859D6">
        <w:rPr>
          <w:rFonts w:eastAsia="Calibri"/>
          <w:lang w:val="es-ES"/>
        </w:rPr>
        <w:t>IPBES/4/INF/11</w:t>
      </w:r>
      <w:r w:rsidR="00BF30F2" w:rsidRPr="009859D6">
        <w:rPr>
          <w:rFonts w:eastAsia="Calibri"/>
          <w:lang w:val="es-ES"/>
        </w:rPr>
        <w:t>;</w:t>
      </w:r>
      <w:r w:rsidR="007D4232" w:rsidRPr="009859D6">
        <w:rPr>
          <w:rFonts w:eastAsia="Calibri"/>
          <w:lang w:val="es-ES"/>
        </w:rPr>
        <w:t xml:space="preserve"> </w:t>
      </w:r>
    </w:p>
    <w:p w:rsidR="00715E94" w:rsidRPr="009859D6" w:rsidRDefault="001945ED" w:rsidP="001423AB">
      <w:pPr>
        <w:pStyle w:val="Normalnumber"/>
        <w:numPr>
          <w:ilvl w:val="1"/>
          <w:numId w:val="4"/>
        </w:numPr>
        <w:tabs>
          <w:tab w:val="clear" w:pos="1247"/>
          <w:tab w:val="clear" w:pos="1814"/>
          <w:tab w:val="clear" w:pos="2381"/>
          <w:tab w:val="clear" w:pos="2948"/>
          <w:tab w:val="clear" w:pos="3515"/>
          <w:tab w:val="left" w:pos="624"/>
        </w:tabs>
        <w:ind w:left="1247" w:firstLine="624"/>
        <w:rPr>
          <w:iCs/>
          <w:lang w:val="es-ES"/>
        </w:rPr>
      </w:pPr>
      <w:r w:rsidRPr="009859D6">
        <w:rPr>
          <w:iCs/>
          <w:lang w:val="es-ES"/>
        </w:rPr>
        <w:t xml:space="preserve">Informes de análisis inicial </w:t>
      </w:r>
      <w:r w:rsidR="00052731" w:rsidRPr="009859D6">
        <w:rPr>
          <w:iCs/>
          <w:lang w:val="es-ES"/>
        </w:rPr>
        <w:t xml:space="preserve">respecto de </w:t>
      </w:r>
      <w:r w:rsidRPr="009859D6">
        <w:rPr>
          <w:iCs/>
          <w:lang w:val="es-ES"/>
        </w:rPr>
        <w:t>una evaluación temática de las especies exóticas invasoras</w:t>
      </w:r>
      <w:r w:rsidR="00715E94" w:rsidRPr="009859D6">
        <w:rPr>
          <w:iCs/>
          <w:lang w:val="es-ES"/>
        </w:rPr>
        <w:t xml:space="preserve"> (</w:t>
      </w:r>
      <w:r w:rsidRPr="009859D6">
        <w:rPr>
          <w:iCs/>
          <w:lang w:val="es-ES"/>
        </w:rPr>
        <w:t xml:space="preserve">producto previsto </w:t>
      </w:r>
      <w:r w:rsidR="00715E94" w:rsidRPr="009859D6">
        <w:rPr>
          <w:iCs/>
          <w:lang w:val="es-ES"/>
        </w:rPr>
        <w:t>3</w:t>
      </w:r>
      <w:r w:rsidR="00CF3639" w:rsidRPr="009859D6">
        <w:rPr>
          <w:iCs/>
          <w:lang w:val="es-ES"/>
        </w:rPr>
        <w:t> </w:t>
      </w:r>
      <w:r w:rsidR="00715E94" w:rsidRPr="009859D6">
        <w:rPr>
          <w:iCs/>
          <w:lang w:val="es-ES"/>
        </w:rPr>
        <w:t>b</w:t>
      </w:r>
      <w:r w:rsidR="001E1A19" w:rsidRPr="009859D6">
        <w:rPr>
          <w:iCs/>
          <w:lang w:val="es-ES"/>
        </w:rPr>
        <w:t xml:space="preserve">) </w:t>
      </w:r>
      <w:r w:rsidR="00715E94" w:rsidRPr="009859D6">
        <w:rPr>
          <w:iCs/>
          <w:lang w:val="es-ES"/>
        </w:rPr>
        <w:t>ii)</w:t>
      </w:r>
      <w:r w:rsidR="001E1A19" w:rsidRPr="009859D6">
        <w:rPr>
          <w:iCs/>
          <w:lang w:val="es-ES"/>
        </w:rPr>
        <w:t>)</w:t>
      </w:r>
      <w:r w:rsidR="00715E94" w:rsidRPr="009859D6">
        <w:rPr>
          <w:iCs/>
          <w:lang w:val="es-ES"/>
        </w:rPr>
        <w:t xml:space="preserve"> </w:t>
      </w:r>
      <w:r w:rsidRPr="009859D6">
        <w:rPr>
          <w:iCs/>
          <w:lang w:val="es-ES"/>
        </w:rPr>
        <w:t>y una evaluación temática del uso sostenible y la conservación de la biodiversidad</w:t>
      </w:r>
      <w:r w:rsidR="00715E94" w:rsidRPr="009859D6">
        <w:rPr>
          <w:iCs/>
          <w:lang w:val="es-ES"/>
        </w:rPr>
        <w:t xml:space="preserve"> (</w:t>
      </w:r>
      <w:r w:rsidRPr="009859D6">
        <w:rPr>
          <w:iCs/>
          <w:lang w:val="es-ES"/>
        </w:rPr>
        <w:t xml:space="preserve">producto previsto </w:t>
      </w:r>
      <w:r w:rsidR="00715E94" w:rsidRPr="009859D6">
        <w:rPr>
          <w:iCs/>
          <w:lang w:val="es-ES"/>
        </w:rPr>
        <w:t>3</w:t>
      </w:r>
      <w:r w:rsidR="00572C2B" w:rsidRPr="009859D6">
        <w:rPr>
          <w:iCs/>
          <w:lang w:val="es-ES"/>
        </w:rPr>
        <w:t> </w:t>
      </w:r>
      <w:r w:rsidR="00715E94" w:rsidRPr="009859D6">
        <w:rPr>
          <w:iCs/>
          <w:lang w:val="es-ES"/>
        </w:rPr>
        <w:t>b</w:t>
      </w:r>
      <w:r w:rsidR="001E1A19" w:rsidRPr="009859D6">
        <w:rPr>
          <w:iCs/>
          <w:lang w:val="es-ES"/>
        </w:rPr>
        <w:t xml:space="preserve">) </w:t>
      </w:r>
      <w:r w:rsidR="00715E94" w:rsidRPr="009859D6">
        <w:rPr>
          <w:iCs/>
          <w:lang w:val="es-ES"/>
        </w:rPr>
        <w:t>iii)</w:t>
      </w:r>
      <w:r w:rsidR="001E1A19" w:rsidRPr="009859D6">
        <w:rPr>
          <w:iCs/>
          <w:lang w:val="es-ES"/>
        </w:rPr>
        <w:t>)</w:t>
      </w:r>
      <w:r w:rsidR="003C2CA6" w:rsidRPr="009859D6">
        <w:rPr>
          <w:iCs/>
          <w:lang w:val="es-ES"/>
        </w:rPr>
        <w:t>,</w:t>
      </w:r>
      <w:r w:rsidR="00715E94" w:rsidRPr="009859D6">
        <w:rPr>
          <w:iCs/>
          <w:lang w:val="es-ES"/>
        </w:rPr>
        <w:t xml:space="preserve"> </w:t>
      </w:r>
      <w:r w:rsidRPr="009859D6">
        <w:rPr>
          <w:iCs/>
          <w:lang w:val="es-ES"/>
        </w:rPr>
        <w:t xml:space="preserve">elaborado </w:t>
      </w:r>
      <w:r w:rsidR="009C556B" w:rsidRPr="009859D6">
        <w:rPr>
          <w:iCs/>
          <w:lang w:val="es-ES"/>
        </w:rPr>
        <w:t xml:space="preserve">mediante el uso de enfoques virtuales (conferencias electrónicas) y presentado al Plenario para su adopción durante su cuarto periodo de sesiones </w:t>
      </w:r>
      <w:r w:rsidR="00217A8E" w:rsidRPr="009859D6">
        <w:rPr>
          <w:iCs/>
          <w:lang w:val="es-ES"/>
        </w:rPr>
        <w:t>(</w:t>
      </w:r>
      <w:r w:rsidR="00217A8E" w:rsidRPr="009859D6">
        <w:rPr>
          <w:lang w:val="es-ES"/>
        </w:rPr>
        <w:t>IPBES/4/</w:t>
      </w:r>
      <w:r w:rsidR="00D07FF7" w:rsidRPr="009859D6">
        <w:rPr>
          <w:lang w:val="es-ES"/>
        </w:rPr>
        <w:t>10</w:t>
      </w:r>
      <w:r w:rsidR="00027595" w:rsidRPr="009859D6">
        <w:rPr>
          <w:lang w:val="es-ES"/>
        </w:rPr>
        <w:t xml:space="preserve"> </w:t>
      </w:r>
      <w:r w:rsidR="00305088" w:rsidRPr="009859D6">
        <w:rPr>
          <w:lang w:val="es-ES"/>
        </w:rPr>
        <w:t>e</w:t>
      </w:r>
      <w:r w:rsidR="009C556B" w:rsidRPr="009859D6">
        <w:rPr>
          <w:lang w:val="es-ES"/>
        </w:rPr>
        <w:t xml:space="preserve"> </w:t>
      </w:r>
      <w:r w:rsidR="00027595" w:rsidRPr="009859D6">
        <w:rPr>
          <w:lang w:val="es-ES"/>
        </w:rPr>
        <w:t>IPBES/4/1</w:t>
      </w:r>
      <w:r w:rsidR="00D07FF7" w:rsidRPr="009859D6">
        <w:rPr>
          <w:lang w:val="es-ES"/>
        </w:rPr>
        <w:t>1</w:t>
      </w:r>
      <w:r w:rsidR="009C556B" w:rsidRPr="009859D6">
        <w:rPr>
          <w:lang w:val="es-ES"/>
        </w:rPr>
        <w:t>, respectivamente</w:t>
      </w:r>
      <w:r w:rsidR="00217A8E" w:rsidRPr="009859D6">
        <w:rPr>
          <w:lang w:val="es-ES"/>
        </w:rPr>
        <w:t>)</w:t>
      </w:r>
      <w:r w:rsidR="00027595" w:rsidRPr="009859D6">
        <w:rPr>
          <w:iCs/>
          <w:lang w:val="es-ES"/>
        </w:rPr>
        <w:t>.</w:t>
      </w:r>
      <w:r w:rsidR="00592FCA" w:rsidRPr="009859D6">
        <w:rPr>
          <w:iCs/>
          <w:lang w:val="es-ES"/>
        </w:rPr>
        <w:t xml:space="preserve"> </w:t>
      </w:r>
      <w:r w:rsidR="009C556B" w:rsidRPr="009859D6">
        <w:rPr>
          <w:iCs/>
          <w:lang w:val="es-ES"/>
        </w:rPr>
        <w:t>Se han seleccionado expertos en los dos temas que participan en cada una de las evaluaciones regionales a fin de garantizar un enfoque coordinado entre las evaluaciones regionales y las</w:t>
      </w:r>
      <w:r w:rsidR="00305088" w:rsidRPr="009859D6">
        <w:rPr>
          <w:iCs/>
          <w:lang w:val="es-ES"/>
        </w:rPr>
        <w:t xml:space="preserve"> </w:t>
      </w:r>
      <w:r w:rsidR="009C556B" w:rsidRPr="009859D6">
        <w:rPr>
          <w:iCs/>
          <w:lang w:val="es-ES"/>
        </w:rPr>
        <w:t>dos posibles evaluaciones temáticas nuevas.</w:t>
      </w:r>
      <w:r w:rsidR="00027595" w:rsidRPr="009859D6">
        <w:rPr>
          <w:iCs/>
          <w:lang w:val="es-ES"/>
        </w:rPr>
        <w:t xml:space="preserve"> </w:t>
      </w:r>
      <w:r w:rsidR="009C556B" w:rsidRPr="009859D6">
        <w:rPr>
          <w:rFonts w:eastAsia="Calibri"/>
          <w:lang w:val="es-ES"/>
        </w:rPr>
        <w:t>Un informe completo sobre el proceso de análisis inicial figura en el documento</w:t>
      </w:r>
      <w:r w:rsidR="00027595" w:rsidRPr="009859D6">
        <w:rPr>
          <w:iCs/>
          <w:lang w:val="es-ES"/>
        </w:rPr>
        <w:t xml:space="preserve"> IPBES/4/INF/12</w:t>
      </w:r>
      <w:r w:rsidR="00BF30F2" w:rsidRPr="009859D6">
        <w:rPr>
          <w:iCs/>
          <w:lang w:val="es-ES"/>
        </w:rPr>
        <w:t>;</w:t>
      </w:r>
    </w:p>
    <w:p w:rsidR="009E7739" w:rsidRPr="009859D6" w:rsidRDefault="009C556B" w:rsidP="00FD67B7">
      <w:pPr>
        <w:pStyle w:val="Normalnumber"/>
        <w:numPr>
          <w:ilvl w:val="1"/>
          <w:numId w:val="4"/>
        </w:numPr>
        <w:tabs>
          <w:tab w:val="clear" w:pos="1247"/>
          <w:tab w:val="clear" w:pos="1814"/>
          <w:tab w:val="clear" w:pos="2381"/>
          <w:tab w:val="clear" w:pos="2948"/>
          <w:tab w:val="clear" w:pos="3515"/>
          <w:tab w:val="left" w:pos="624"/>
        </w:tabs>
        <w:ind w:left="1247" w:firstLine="624"/>
        <w:rPr>
          <w:iCs/>
          <w:lang w:val="es-ES"/>
        </w:rPr>
      </w:pPr>
      <w:r w:rsidRPr="009859D6">
        <w:rPr>
          <w:iCs/>
          <w:lang w:val="es-ES"/>
        </w:rPr>
        <w:t xml:space="preserve">El informe </w:t>
      </w:r>
      <w:r w:rsidR="00F44718" w:rsidRPr="009859D6">
        <w:rPr>
          <w:iCs/>
          <w:lang w:val="es-ES"/>
        </w:rPr>
        <w:t xml:space="preserve">final </w:t>
      </w:r>
      <w:r w:rsidRPr="009859D6">
        <w:rPr>
          <w:iCs/>
          <w:lang w:val="es-ES"/>
        </w:rPr>
        <w:t xml:space="preserve">de evaluación </w:t>
      </w:r>
      <w:r w:rsidR="00021567" w:rsidRPr="009859D6">
        <w:rPr>
          <w:iCs/>
          <w:lang w:val="es-ES"/>
        </w:rPr>
        <w:t xml:space="preserve">metodológica </w:t>
      </w:r>
      <w:r w:rsidR="00F44718" w:rsidRPr="009859D6">
        <w:rPr>
          <w:iCs/>
          <w:lang w:val="es-ES"/>
        </w:rPr>
        <w:t xml:space="preserve">sobre </w:t>
      </w:r>
      <w:r w:rsidR="00F44718" w:rsidRPr="009859D6">
        <w:rPr>
          <w:lang w:val="es-ES"/>
        </w:rPr>
        <w:t>hipótesis y</w:t>
      </w:r>
      <w:r w:rsidR="007D4232" w:rsidRPr="009859D6">
        <w:rPr>
          <w:lang w:val="es-ES"/>
        </w:rPr>
        <w:t xml:space="preserve"> </w:t>
      </w:r>
      <w:r w:rsidR="00F44718" w:rsidRPr="009859D6">
        <w:rPr>
          <w:lang w:val="es-ES"/>
        </w:rPr>
        <w:t xml:space="preserve">modelos en materia de diversidad biológica y servicios de los ecosistemas (producto previsto 3 c)), preparado por un grupo de autores de las evaluaciones y que incluye un informe técnico </w:t>
      </w:r>
      <w:r w:rsidR="00BF30F2" w:rsidRPr="009859D6">
        <w:rPr>
          <w:iCs/>
          <w:lang w:val="es-ES"/>
        </w:rPr>
        <w:t xml:space="preserve">(IPBES/4/INF/3) </w:t>
      </w:r>
      <w:r w:rsidR="00F44718" w:rsidRPr="009859D6">
        <w:rPr>
          <w:lang w:val="es-ES"/>
        </w:rPr>
        <w:t xml:space="preserve">y un resumen para </w:t>
      </w:r>
      <w:r w:rsidR="00021567" w:rsidRPr="009859D6">
        <w:rPr>
          <w:lang w:val="es-ES"/>
        </w:rPr>
        <w:t>responsables de formular</w:t>
      </w:r>
      <w:r w:rsidR="00F44718" w:rsidRPr="009859D6">
        <w:rPr>
          <w:lang w:val="es-ES"/>
        </w:rPr>
        <w:t xml:space="preserve"> políticas</w:t>
      </w:r>
      <w:r w:rsidR="00BF30F2" w:rsidRPr="009859D6">
        <w:rPr>
          <w:lang w:val="es-ES"/>
        </w:rPr>
        <w:t xml:space="preserve"> </w:t>
      </w:r>
      <w:r w:rsidR="00BF30F2" w:rsidRPr="009859D6">
        <w:rPr>
          <w:iCs/>
          <w:lang w:val="es-ES"/>
        </w:rPr>
        <w:t>(IPBES/4/4)</w:t>
      </w:r>
      <w:r w:rsidR="00F44718" w:rsidRPr="009859D6">
        <w:rPr>
          <w:lang w:val="es-ES"/>
        </w:rPr>
        <w:t>,</w:t>
      </w:r>
      <w:r w:rsidR="00F44718" w:rsidRPr="009859D6">
        <w:rPr>
          <w:iCs/>
          <w:lang w:val="es-ES"/>
        </w:rPr>
        <w:t xml:space="preserve"> para ser sometido a la consideración del Plenario para su aceptación</w:t>
      </w:r>
      <w:r w:rsidR="00EA0A1F" w:rsidRPr="009859D6">
        <w:rPr>
          <w:iCs/>
          <w:lang w:val="es-ES"/>
        </w:rPr>
        <w:t xml:space="preserve"> </w:t>
      </w:r>
      <w:r w:rsidR="00F44718" w:rsidRPr="009859D6">
        <w:rPr>
          <w:iCs/>
          <w:lang w:val="es-ES"/>
        </w:rPr>
        <w:t>y adopción durante su cuarto período de sesiones</w:t>
      </w:r>
      <w:r w:rsidR="00942D0C" w:rsidRPr="009859D6">
        <w:rPr>
          <w:iCs/>
          <w:lang w:val="es-ES"/>
        </w:rPr>
        <w:t xml:space="preserve">. </w:t>
      </w:r>
      <w:r w:rsidR="00F44718" w:rsidRPr="009859D6">
        <w:rPr>
          <w:iCs/>
          <w:lang w:val="es-ES"/>
        </w:rPr>
        <w:t xml:space="preserve">En el anexo I de la decisión </w:t>
      </w:r>
      <w:r w:rsidR="00213F6F" w:rsidRPr="009859D6">
        <w:rPr>
          <w:color w:val="000000"/>
          <w:kern w:val="24"/>
          <w:lang w:val="es-ES" w:eastAsia="nb-NO"/>
        </w:rPr>
        <w:t>IPBES</w:t>
      </w:r>
      <w:r w:rsidR="00A901AD" w:rsidRPr="009859D6">
        <w:rPr>
          <w:color w:val="000000"/>
          <w:kern w:val="24"/>
          <w:lang w:val="es-ES" w:eastAsia="nb-NO"/>
        </w:rPr>
        <w:noBreakHyphen/>
      </w:r>
      <w:r w:rsidR="00213F6F" w:rsidRPr="009859D6">
        <w:rPr>
          <w:color w:val="000000"/>
          <w:kern w:val="24"/>
          <w:lang w:val="es-ES" w:eastAsia="nb-NO"/>
        </w:rPr>
        <w:t xml:space="preserve">2/5 </w:t>
      </w:r>
      <w:r w:rsidR="00F44718" w:rsidRPr="009859D6">
        <w:rPr>
          <w:color w:val="000000"/>
          <w:kern w:val="24"/>
          <w:lang w:val="es-ES" w:eastAsia="nb-NO"/>
        </w:rPr>
        <w:t>se establece que, s</w:t>
      </w:r>
      <w:r w:rsidR="00F44718" w:rsidRPr="009859D6">
        <w:rPr>
          <w:lang w:val="es-ES"/>
        </w:rPr>
        <w:t>obre la base de las conclusiones de la evaluación metodológica, este producto previsto se traducirá en una guía dinámica, que se complementará con las actividades que disponga el Plenario para catalizar</w:t>
      </w:r>
      <w:r w:rsidR="00021567" w:rsidRPr="009859D6">
        <w:rPr>
          <w:lang w:val="es-ES"/>
        </w:rPr>
        <w:t>, entre otras cosas,</w:t>
      </w:r>
      <w:r w:rsidR="00F44718" w:rsidRPr="009859D6">
        <w:rPr>
          <w:lang w:val="es-ES"/>
        </w:rPr>
        <w:t xml:space="preserve"> la creación de instrumentos y metodologías para </w:t>
      </w:r>
      <w:r w:rsidR="00F44718" w:rsidRPr="009859D6">
        <w:rPr>
          <w:lang w:val="es-ES"/>
        </w:rPr>
        <w:lastRenderedPageBreak/>
        <w:t>el análisis de hipótesis y la elaboración de modelos</w:t>
      </w:r>
      <w:r w:rsidR="00213F6F" w:rsidRPr="009859D6">
        <w:rPr>
          <w:color w:val="000000"/>
          <w:kern w:val="24"/>
          <w:lang w:val="es-ES" w:eastAsia="nb-NO"/>
        </w:rPr>
        <w:t xml:space="preserve">. </w:t>
      </w:r>
      <w:r w:rsidR="00F44718" w:rsidRPr="009859D6">
        <w:rPr>
          <w:color w:val="000000"/>
          <w:kern w:val="24"/>
          <w:lang w:val="es-ES" w:eastAsia="nb-NO"/>
        </w:rPr>
        <w:t>Consecuentemente, se invitará al Plenario a considerar una propuesta sobre la elaboración ulterior de instrumentos y metodologías para el análisis de hipótesis y la elaboración de modelos</w:t>
      </w:r>
      <w:r w:rsidR="009E7739" w:rsidRPr="009859D6">
        <w:rPr>
          <w:color w:val="000000"/>
          <w:kern w:val="24"/>
          <w:lang w:val="es-ES" w:eastAsia="nb-NO"/>
        </w:rPr>
        <w:t xml:space="preserve"> (IPBES/4/5</w:t>
      </w:r>
      <w:r w:rsidR="00FD67B7" w:rsidRPr="009859D6">
        <w:rPr>
          <w:color w:val="000000"/>
          <w:kern w:val="24"/>
          <w:lang w:val="es-ES" w:eastAsia="nb-NO"/>
        </w:rPr>
        <w:t>)</w:t>
      </w:r>
      <w:r w:rsidR="00BF30F2" w:rsidRPr="009859D6">
        <w:rPr>
          <w:color w:val="000000"/>
          <w:kern w:val="24"/>
          <w:lang w:val="es-ES" w:eastAsia="nb-NO"/>
        </w:rPr>
        <w:t>;</w:t>
      </w:r>
      <w:r w:rsidR="007D4232" w:rsidRPr="009859D6">
        <w:rPr>
          <w:color w:val="000000"/>
          <w:kern w:val="24"/>
          <w:lang w:val="es-ES" w:eastAsia="nb-NO"/>
        </w:rPr>
        <w:t xml:space="preserve"> </w:t>
      </w:r>
    </w:p>
    <w:p w:rsidR="00715E94" w:rsidRPr="009859D6" w:rsidRDefault="00F44718" w:rsidP="001423AB">
      <w:pPr>
        <w:pStyle w:val="Normalnumber"/>
        <w:numPr>
          <w:ilvl w:val="1"/>
          <w:numId w:val="4"/>
        </w:numPr>
        <w:tabs>
          <w:tab w:val="clear" w:pos="1247"/>
          <w:tab w:val="clear" w:pos="1814"/>
          <w:tab w:val="clear" w:pos="2381"/>
          <w:tab w:val="clear" w:pos="2948"/>
          <w:tab w:val="clear" w:pos="3515"/>
          <w:tab w:val="left" w:pos="624"/>
        </w:tabs>
        <w:ind w:left="1247" w:firstLine="624"/>
        <w:rPr>
          <w:lang w:val="es-ES"/>
        </w:rPr>
      </w:pPr>
      <w:r w:rsidRPr="009859D6">
        <w:rPr>
          <w:iCs/>
          <w:lang w:val="es-ES"/>
        </w:rPr>
        <w:t>Un informe revisado de análisis inicial</w:t>
      </w:r>
      <w:r w:rsidR="000E25B2" w:rsidRPr="009859D6">
        <w:rPr>
          <w:iCs/>
          <w:lang w:val="es-ES"/>
        </w:rPr>
        <w:t xml:space="preserve"> </w:t>
      </w:r>
      <w:r w:rsidR="00021567" w:rsidRPr="009859D6">
        <w:rPr>
          <w:lang w:val="es-ES"/>
        </w:rPr>
        <w:t xml:space="preserve">respecto de </w:t>
      </w:r>
      <w:r w:rsidR="007E1C63" w:rsidRPr="009859D6">
        <w:rPr>
          <w:lang w:val="es-ES"/>
        </w:rPr>
        <w:t>una evaluación metodológica sobre las diferentes conceptualizaciones de los valores de la diversidad biológica y los beneficios de la naturaleza para las personas (producto previsto 3 d)), elaborado por el Grupo Multidisciplinario de Expertos y la Mesa, con el apoyo de un grupo de expertos, que se presentará al Plenario para que lo apruebe en su cuarto período de sesiones (IPBES/4/9)</w:t>
      </w:r>
      <w:r w:rsidR="00715E94" w:rsidRPr="009859D6">
        <w:rPr>
          <w:lang w:val="es-ES"/>
        </w:rPr>
        <w:t xml:space="preserve">. </w:t>
      </w:r>
      <w:r w:rsidR="007E1C63" w:rsidRPr="009859D6">
        <w:rPr>
          <w:lang w:val="es-ES"/>
        </w:rPr>
        <w:t xml:space="preserve">El grupo ha revisado también la guía preliminar </w:t>
      </w:r>
      <w:r w:rsidR="00BF30F2" w:rsidRPr="009859D6">
        <w:rPr>
          <w:lang w:val="es-ES"/>
        </w:rPr>
        <w:t xml:space="preserve">relativa a la diversa conceptualización de los múltiples valores de la naturaleza y sus beneficios, incluidos la biodiversidad y las funciones y servicios de los ecosistemas </w:t>
      </w:r>
      <w:r w:rsidR="001E1A19" w:rsidRPr="009859D6">
        <w:rPr>
          <w:lang w:val="es-ES"/>
        </w:rPr>
        <w:t>(</w:t>
      </w:r>
      <w:r w:rsidR="00715E94" w:rsidRPr="009859D6">
        <w:rPr>
          <w:lang w:val="es-ES"/>
        </w:rPr>
        <w:t>IPBES/</w:t>
      </w:r>
      <w:r w:rsidR="00875645" w:rsidRPr="009859D6">
        <w:rPr>
          <w:lang w:val="es-ES"/>
        </w:rPr>
        <w:t>4</w:t>
      </w:r>
      <w:r w:rsidR="00715E94" w:rsidRPr="009859D6">
        <w:rPr>
          <w:lang w:val="es-ES"/>
        </w:rPr>
        <w:t>/INF/</w:t>
      </w:r>
      <w:r w:rsidR="00A47155" w:rsidRPr="009859D6">
        <w:rPr>
          <w:lang w:val="es-ES"/>
        </w:rPr>
        <w:t>13</w:t>
      </w:r>
      <w:r w:rsidR="001E1A19" w:rsidRPr="009859D6">
        <w:rPr>
          <w:lang w:val="es-ES"/>
        </w:rPr>
        <w:t>)</w:t>
      </w:r>
      <w:r w:rsidR="00715E94" w:rsidRPr="009859D6">
        <w:rPr>
          <w:lang w:val="es-ES"/>
        </w:rPr>
        <w:t>.</w:t>
      </w:r>
    </w:p>
    <w:p w:rsidR="00DE74A8" w:rsidRPr="009859D6" w:rsidRDefault="00D776E2" w:rsidP="00CF3639">
      <w:pPr>
        <w:pStyle w:val="CH2"/>
        <w:tabs>
          <w:tab w:val="clear" w:pos="624"/>
          <w:tab w:val="left" w:pos="4082"/>
        </w:tabs>
        <w:spacing w:before="80" w:after="60"/>
        <w:ind w:left="1247"/>
        <w:rPr>
          <w:bCs/>
          <w:sz w:val="20"/>
          <w:szCs w:val="20"/>
          <w:lang w:val="es-ES"/>
        </w:rPr>
      </w:pPr>
      <w:r w:rsidRPr="009859D6">
        <w:rPr>
          <w:bCs/>
          <w:lang w:val="es-ES"/>
        </w:rPr>
        <w:tab/>
      </w:r>
      <w:r w:rsidR="001E1A19" w:rsidRPr="009859D6">
        <w:rPr>
          <w:bCs/>
          <w:lang w:val="es-ES"/>
        </w:rPr>
        <w:tab/>
      </w:r>
      <w:r w:rsidR="007E1C63" w:rsidRPr="009859D6">
        <w:rPr>
          <w:bCs/>
          <w:sz w:val="20"/>
          <w:szCs w:val="20"/>
          <w:lang w:val="es-ES"/>
        </w:rPr>
        <w:t>Objetivo</w:t>
      </w:r>
      <w:r w:rsidR="00715E94" w:rsidRPr="009859D6">
        <w:rPr>
          <w:bCs/>
          <w:sz w:val="20"/>
          <w:szCs w:val="20"/>
          <w:lang w:val="es-ES"/>
        </w:rPr>
        <w:t xml:space="preserve"> 4</w:t>
      </w:r>
    </w:p>
    <w:p w:rsidR="00715E94" w:rsidRPr="009859D6" w:rsidRDefault="00DE74A8" w:rsidP="00D776E2">
      <w:pPr>
        <w:pStyle w:val="CH2"/>
        <w:tabs>
          <w:tab w:val="clear" w:pos="624"/>
          <w:tab w:val="left" w:pos="4082"/>
        </w:tabs>
        <w:spacing w:before="80"/>
        <w:ind w:left="1247"/>
        <w:rPr>
          <w:bCs/>
          <w:sz w:val="20"/>
          <w:szCs w:val="20"/>
          <w:lang w:val="es-ES"/>
        </w:rPr>
      </w:pPr>
      <w:r w:rsidRPr="009859D6">
        <w:rPr>
          <w:bCs/>
          <w:sz w:val="20"/>
          <w:szCs w:val="20"/>
          <w:lang w:val="es-ES"/>
        </w:rPr>
        <w:tab/>
      </w:r>
      <w:r w:rsidRPr="009859D6">
        <w:rPr>
          <w:bCs/>
          <w:sz w:val="20"/>
          <w:szCs w:val="20"/>
          <w:lang w:val="es-ES"/>
        </w:rPr>
        <w:tab/>
      </w:r>
      <w:r w:rsidR="00505AF5" w:rsidRPr="009859D6">
        <w:rPr>
          <w:sz w:val="20"/>
          <w:szCs w:val="20"/>
          <w:lang w:val="es-ES"/>
        </w:rPr>
        <w:t>Comunicar y evaluar las actividades, los productos previstos y los resultados de la Plataforma</w:t>
      </w:r>
    </w:p>
    <w:p w:rsidR="00715E94" w:rsidRPr="009859D6" w:rsidRDefault="00505AF5" w:rsidP="001423AB">
      <w:pPr>
        <w:pStyle w:val="Normalnumber"/>
        <w:numPr>
          <w:ilvl w:val="0"/>
          <w:numId w:val="4"/>
        </w:numPr>
        <w:tabs>
          <w:tab w:val="clear" w:pos="1247"/>
          <w:tab w:val="clear" w:pos="1814"/>
          <w:tab w:val="clear" w:pos="2381"/>
          <w:tab w:val="clear" w:pos="2948"/>
          <w:tab w:val="clear" w:pos="3515"/>
          <w:tab w:val="left" w:pos="624"/>
          <w:tab w:val="num" w:pos="1134"/>
        </w:tabs>
        <w:ind w:left="1247" w:firstLine="0"/>
        <w:rPr>
          <w:lang w:val="es-ES"/>
        </w:rPr>
      </w:pPr>
      <w:r w:rsidRPr="009859D6">
        <w:rPr>
          <w:lang w:val="es-ES"/>
        </w:rPr>
        <w:t>En el marco del objetivo 4, el progreso comprende la elaboración de</w:t>
      </w:r>
      <w:r w:rsidR="00715E94" w:rsidRPr="009859D6">
        <w:rPr>
          <w:lang w:val="es-ES"/>
        </w:rPr>
        <w:t>:</w:t>
      </w:r>
    </w:p>
    <w:p w:rsidR="00715E94" w:rsidRPr="009859D6" w:rsidRDefault="007E1C63" w:rsidP="001423AB">
      <w:pPr>
        <w:pStyle w:val="Normalnumber"/>
        <w:numPr>
          <w:ilvl w:val="1"/>
          <w:numId w:val="4"/>
        </w:numPr>
        <w:tabs>
          <w:tab w:val="clear" w:pos="1247"/>
          <w:tab w:val="clear" w:pos="1814"/>
          <w:tab w:val="clear" w:pos="2381"/>
          <w:tab w:val="clear" w:pos="2948"/>
          <w:tab w:val="clear" w:pos="3515"/>
          <w:tab w:val="left" w:pos="624"/>
        </w:tabs>
        <w:ind w:left="1247" w:firstLine="624"/>
        <w:rPr>
          <w:iCs/>
          <w:lang w:val="es-ES"/>
        </w:rPr>
      </w:pPr>
      <w:r w:rsidRPr="009859D6">
        <w:rPr>
          <w:lang w:val="es-ES"/>
        </w:rPr>
        <w:t>El catálogo en línea de las evaluaciones pertinentes (producto previsto 4 a))</w:t>
      </w:r>
      <w:r w:rsidR="00CA2F51" w:rsidRPr="009859D6">
        <w:rPr>
          <w:iCs/>
          <w:lang w:val="es-ES"/>
        </w:rPr>
        <w:t>,</w:t>
      </w:r>
      <w:r w:rsidR="00715E94" w:rsidRPr="009859D6">
        <w:rPr>
          <w:iCs/>
          <w:lang w:val="es-ES"/>
        </w:rPr>
        <w:t xml:space="preserve"> </w:t>
      </w:r>
      <w:r w:rsidRPr="009859D6">
        <w:rPr>
          <w:iCs/>
          <w:lang w:val="es-ES"/>
        </w:rPr>
        <w:t xml:space="preserve">actualizado con regularidad y disponible en la dirección </w:t>
      </w:r>
      <w:hyperlink r:id="rId14" w:history="1">
        <w:r w:rsidR="00375D1D" w:rsidRPr="009859D6">
          <w:rPr>
            <w:rStyle w:val="Hyperlink"/>
            <w:lang w:val="es-ES"/>
          </w:rPr>
          <w:t>http://catalog.ipbes.net/</w:t>
        </w:r>
      </w:hyperlink>
      <w:r w:rsidR="001E1A19" w:rsidRPr="009859D6">
        <w:rPr>
          <w:iCs/>
          <w:lang w:val="es-ES"/>
        </w:rPr>
        <w:t>;</w:t>
      </w:r>
    </w:p>
    <w:p w:rsidR="00715E94" w:rsidRPr="009859D6" w:rsidRDefault="007E1C63" w:rsidP="00792880">
      <w:pPr>
        <w:pStyle w:val="Normalnumber"/>
        <w:numPr>
          <w:ilvl w:val="1"/>
          <w:numId w:val="4"/>
        </w:numPr>
        <w:tabs>
          <w:tab w:val="clear" w:pos="1247"/>
          <w:tab w:val="clear" w:pos="1814"/>
          <w:tab w:val="clear" w:pos="2381"/>
          <w:tab w:val="clear" w:pos="2948"/>
          <w:tab w:val="clear" w:pos="3515"/>
          <w:tab w:val="left" w:pos="624"/>
        </w:tabs>
        <w:ind w:left="1247" w:firstLine="624"/>
        <w:rPr>
          <w:iCs/>
          <w:lang w:val="es-ES"/>
        </w:rPr>
      </w:pPr>
      <w:r w:rsidRPr="009859D6">
        <w:rPr>
          <w:iCs/>
          <w:lang w:val="es-ES"/>
        </w:rPr>
        <w:t>Un catálogo revisado de instrumentos de apoyo normativo y metodologías</w:t>
      </w:r>
      <w:r w:rsidR="00BF30F2" w:rsidRPr="009859D6">
        <w:rPr>
          <w:iCs/>
          <w:lang w:val="es-ES"/>
        </w:rPr>
        <w:t xml:space="preserve"> (producto previsto 4 c))</w:t>
      </w:r>
      <w:r w:rsidRPr="009859D6">
        <w:rPr>
          <w:iCs/>
          <w:lang w:val="es-ES"/>
        </w:rPr>
        <w:t xml:space="preserve">, basado en un examen realizado por miembros de la Plataforma, observadores e interesados, y una </w:t>
      </w:r>
      <w:r w:rsidR="002417C3" w:rsidRPr="009859D6">
        <w:rPr>
          <w:iCs/>
          <w:lang w:val="es-ES"/>
        </w:rPr>
        <w:t xml:space="preserve">versión </w:t>
      </w:r>
      <w:r w:rsidR="00305088" w:rsidRPr="009859D6">
        <w:rPr>
          <w:iCs/>
          <w:lang w:val="es-ES"/>
        </w:rPr>
        <w:t xml:space="preserve">en línea </w:t>
      </w:r>
      <w:r w:rsidR="002417C3" w:rsidRPr="009859D6">
        <w:rPr>
          <w:iCs/>
          <w:lang w:val="es-ES"/>
        </w:rPr>
        <w:t>de prueba</w:t>
      </w:r>
      <w:r w:rsidR="000E25B2" w:rsidRPr="009859D6">
        <w:rPr>
          <w:iCs/>
          <w:lang w:val="es-ES"/>
        </w:rPr>
        <w:t xml:space="preserve"> </w:t>
      </w:r>
      <w:r w:rsidR="002417C3" w:rsidRPr="009859D6">
        <w:rPr>
          <w:iCs/>
          <w:lang w:val="es-ES"/>
        </w:rPr>
        <w:t>del catálogo</w:t>
      </w:r>
      <w:r w:rsidR="003D6A75" w:rsidRPr="009859D6">
        <w:rPr>
          <w:iCs/>
          <w:lang w:val="es-ES"/>
        </w:rPr>
        <w:t xml:space="preserve"> (IPBES/4/INF/</w:t>
      </w:r>
      <w:r w:rsidR="00375D1D" w:rsidRPr="009859D6">
        <w:rPr>
          <w:iCs/>
          <w:lang w:val="es-ES"/>
        </w:rPr>
        <w:t>14</w:t>
      </w:r>
      <w:r w:rsidR="003D6A75" w:rsidRPr="009859D6">
        <w:rPr>
          <w:iCs/>
          <w:lang w:val="es-ES"/>
        </w:rPr>
        <w:t xml:space="preserve">); </w:t>
      </w:r>
      <w:r w:rsidR="002417C3" w:rsidRPr="009859D6">
        <w:rPr>
          <w:iCs/>
          <w:lang w:val="es-ES"/>
        </w:rPr>
        <w:t>y una orientación revisada, elaborada por el Grupo Multidisciplinario de Expertos y la Mesa, sobre la forma de promover y catalizar los instrumentos de apoyo normativo y las metodologías en el contexto de la Plataforma, sobre la base de un examen</w:t>
      </w:r>
      <w:r w:rsidR="000E25B2" w:rsidRPr="009859D6">
        <w:rPr>
          <w:iCs/>
          <w:lang w:val="es-ES"/>
        </w:rPr>
        <w:t xml:space="preserve"> </w:t>
      </w:r>
      <w:r w:rsidR="002417C3" w:rsidRPr="009859D6">
        <w:rPr>
          <w:iCs/>
          <w:lang w:val="es-ES"/>
        </w:rPr>
        <w:t>realizado por miembros de la Plataforma, observadores e interesados</w:t>
      </w:r>
      <w:r w:rsidR="00792880" w:rsidRPr="009859D6">
        <w:rPr>
          <w:iCs/>
          <w:lang w:val="es-ES"/>
        </w:rPr>
        <w:t>,</w:t>
      </w:r>
      <w:r w:rsidR="002417C3" w:rsidRPr="009859D6">
        <w:rPr>
          <w:iCs/>
          <w:lang w:val="es-ES"/>
        </w:rPr>
        <w:t xml:space="preserve"> </w:t>
      </w:r>
      <w:r w:rsidR="00305088" w:rsidRPr="009859D6">
        <w:rPr>
          <w:iCs/>
          <w:lang w:val="es-ES"/>
        </w:rPr>
        <w:t>para ser considerado por el</w:t>
      </w:r>
      <w:r w:rsidR="002417C3" w:rsidRPr="009859D6">
        <w:rPr>
          <w:iCs/>
          <w:lang w:val="es-ES"/>
        </w:rPr>
        <w:t xml:space="preserve"> Plenario para su aprobación durante su cuarto período de sesiones</w:t>
      </w:r>
      <w:r w:rsidR="00582BCC" w:rsidRPr="009859D6">
        <w:rPr>
          <w:iCs/>
          <w:lang w:val="es-ES"/>
        </w:rPr>
        <w:t xml:space="preserve"> (</w:t>
      </w:r>
      <w:r w:rsidR="003D6A75" w:rsidRPr="009859D6">
        <w:rPr>
          <w:iCs/>
          <w:lang w:val="es-ES"/>
        </w:rPr>
        <w:t>IPBES/4/</w:t>
      </w:r>
      <w:r w:rsidR="00D07FF7" w:rsidRPr="009859D6">
        <w:rPr>
          <w:iCs/>
          <w:lang w:val="es-ES"/>
        </w:rPr>
        <w:t>12</w:t>
      </w:r>
      <w:r w:rsidR="003D6A75" w:rsidRPr="009859D6">
        <w:rPr>
          <w:iCs/>
          <w:lang w:val="es-ES"/>
        </w:rPr>
        <w:t>)</w:t>
      </w:r>
      <w:r w:rsidR="00FD67B7" w:rsidRPr="009859D6">
        <w:rPr>
          <w:iCs/>
          <w:lang w:val="es-ES"/>
        </w:rPr>
        <w:t xml:space="preserve">. </w:t>
      </w:r>
      <w:r w:rsidR="002417C3" w:rsidRPr="009859D6">
        <w:rPr>
          <w:iCs/>
          <w:lang w:val="es-ES"/>
        </w:rPr>
        <w:t>La labor contó con el apoyo de un grupo de expertos</w:t>
      </w:r>
      <w:r w:rsidR="00BF30F2" w:rsidRPr="009859D6">
        <w:rPr>
          <w:iCs/>
          <w:lang w:val="es-ES"/>
        </w:rPr>
        <w:t>;</w:t>
      </w:r>
    </w:p>
    <w:p w:rsidR="00715E94" w:rsidRPr="009859D6" w:rsidRDefault="002417C3" w:rsidP="001423AB">
      <w:pPr>
        <w:pStyle w:val="Normalnumber"/>
        <w:numPr>
          <w:ilvl w:val="1"/>
          <w:numId w:val="4"/>
        </w:numPr>
        <w:tabs>
          <w:tab w:val="clear" w:pos="1247"/>
          <w:tab w:val="clear" w:pos="1814"/>
          <w:tab w:val="clear" w:pos="2381"/>
          <w:tab w:val="clear" w:pos="2948"/>
          <w:tab w:val="clear" w:pos="3515"/>
          <w:tab w:val="left" w:pos="624"/>
        </w:tabs>
        <w:ind w:left="1247" w:firstLine="624"/>
        <w:rPr>
          <w:iCs/>
          <w:lang w:val="es-ES"/>
        </w:rPr>
      </w:pPr>
      <w:r w:rsidRPr="009859D6">
        <w:rPr>
          <w:iCs/>
          <w:lang w:val="es-ES"/>
        </w:rPr>
        <w:t xml:space="preserve">Actividades en el contexto de la estrategia de comunicaciones y divulgación y de la estrategia para la participación de los interesados </w:t>
      </w:r>
      <w:r w:rsidR="006B40C3" w:rsidRPr="009859D6">
        <w:rPr>
          <w:iCs/>
          <w:lang w:val="es-ES"/>
        </w:rPr>
        <w:t>(</w:t>
      </w:r>
      <w:r w:rsidRPr="009859D6">
        <w:rPr>
          <w:iCs/>
          <w:lang w:val="es-ES"/>
        </w:rPr>
        <w:t xml:space="preserve">producto previsto </w:t>
      </w:r>
      <w:r w:rsidR="00715E94" w:rsidRPr="009859D6">
        <w:rPr>
          <w:iCs/>
          <w:lang w:val="es-ES"/>
        </w:rPr>
        <w:t>4</w:t>
      </w:r>
      <w:r w:rsidR="00572C2B" w:rsidRPr="009859D6">
        <w:rPr>
          <w:iCs/>
          <w:lang w:val="es-ES"/>
        </w:rPr>
        <w:t> </w:t>
      </w:r>
      <w:r w:rsidR="00715E94" w:rsidRPr="009859D6">
        <w:rPr>
          <w:iCs/>
          <w:lang w:val="es-ES"/>
        </w:rPr>
        <w:t>d</w:t>
      </w:r>
      <w:r w:rsidR="001E1A19" w:rsidRPr="009859D6">
        <w:rPr>
          <w:iCs/>
          <w:lang w:val="es-ES"/>
        </w:rPr>
        <w:t>)</w:t>
      </w:r>
      <w:r w:rsidR="00616A9B" w:rsidRPr="009859D6">
        <w:rPr>
          <w:iCs/>
          <w:lang w:val="es-ES"/>
        </w:rPr>
        <w:t>) (</w:t>
      </w:r>
      <w:r w:rsidR="003D6E9B" w:rsidRPr="009859D6">
        <w:rPr>
          <w:iCs/>
          <w:lang w:val="es-ES"/>
        </w:rPr>
        <w:t>IPBES/4/18</w:t>
      </w:r>
      <w:r w:rsidR="006A308D" w:rsidRPr="009859D6">
        <w:rPr>
          <w:iCs/>
          <w:lang w:val="es-ES"/>
        </w:rPr>
        <w:t xml:space="preserve">, </w:t>
      </w:r>
      <w:r w:rsidR="006B40C3" w:rsidRPr="009859D6">
        <w:rPr>
          <w:iCs/>
          <w:lang w:val="es-ES"/>
        </w:rPr>
        <w:t>IPBES/4/INF/</w:t>
      </w:r>
      <w:r w:rsidR="003D6E9B" w:rsidRPr="009859D6">
        <w:rPr>
          <w:iCs/>
          <w:lang w:val="es-ES"/>
        </w:rPr>
        <w:t>15</w:t>
      </w:r>
      <w:r w:rsidR="006A308D" w:rsidRPr="009859D6">
        <w:rPr>
          <w:iCs/>
          <w:lang w:val="es-ES"/>
        </w:rPr>
        <w:t xml:space="preserve"> </w:t>
      </w:r>
      <w:r w:rsidRPr="009859D6">
        <w:rPr>
          <w:iCs/>
          <w:lang w:val="es-ES"/>
        </w:rPr>
        <w:t xml:space="preserve">e </w:t>
      </w:r>
      <w:r w:rsidR="006A308D" w:rsidRPr="009859D6">
        <w:rPr>
          <w:iCs/>
          <w:lang w:val="es-ES"/>
        </w:rPr>
        <w:t>IPBES/4/INF</w:t>
      </w:r>
      <w:r w:rsidR="006B56DB" w:rsidRPr="009859D6">
        <w:rPr>
          <w:iCs/>
          <w:lang w:val="es-ES"/>
        </w:rPr>
        <w:t>/</w:t>
      </w:r>
      <w:r w:rsidR="006A308D" w:rsidRPr="009859D6">
        <w:rPr>
          <w:iCs/>
          <w:lang w:val="es-ES"/>
        </w:rPr>
        <w:t>16</w:t>
      </w:r>
      <w:r w:rsidR="006B40C3" w:rsidRPr="009859D6">
        <w:rPr>
          <w:iCs/>
          <w:lang w:val="es-ES"/>
        </w:rPr>
        <w:t>)</w:t>
      </w:r>
      <w:r w:rsidR="00616A9B" w:rsidRPr="009859D6">
        <w:rPr>
          <w:iCs/>
          <w:lang w:val="es-ES"/>
        </w:rPr>
        <w:t>,</w:t>
      </w:r>
      <w:r w:rsidR="00054652" w:rsidRPr="009859D6">
        <w:rPr>
          <w:iCs/>
          <w:lang w:val="es-ES"/>
        </w:rPr>
        <w:t xml:space="preserve"> </w:t>
      </w:r>
      <w:r w:rsidR="00D97096" w:rsidRPr="009859D6">
        <w:rPr>
          <w:iCs/>
          <w:lang w:val="es-ES"/>
        </w:rPr>
        <w:t>según se describe en el documento</w:t>
      </w:r>
      <w:r w:rsidR="00054652" w:rsidRPr="009859D6">
        <w:rPr>
          <w:iCs/>
          <w:lang w:val="es-ES"/>
        </w:rPr>
        <w:t xml:space="preserve"> IPBES</w:t>
      </w:r>
      <w:r w:rsidR="00A901AD" w:rsidRPr="009859D6">
        <w:rPr>
          <w:iCs/>
          <w:lang w:val="es-ES"/>
        </w:rPr>
        <w:noBreakHyphen/>
      </w:r>
      <w:r w:rsidR="00054652" w:rsidRPr="009859D6">
        <w:rPr>
          <w:iCs/>
          <w:lang w:val="es-ES"/>
        </w:rPr>
        <w:t>3/4</w:t>
      </w:r>
      <w:r w:rsidR="00FA0B0E" w:rsidRPr="009859D6">
        <w:rPr>
          <w:iCs/>
          <w:lang w:val="es-ES"/>
        </w:rPr>
        <w:t>;</w:t>
      </w:r>
      <w:r w:rsidR="006B40C3" w:rsidRPr="009859D6">
        <w:rPr>
          <w:iCs/>
          <w:lang w:val="es-ES"/>
        </w:rPr>
        <w:t xml:space="preserve"> </w:t>
      </w:r>
      <w:r w:rsidR="00D97096" w:rsidRPr="009859D6">
        <w:rPr>
          <w:iCs/>
          <w:lang w:val="es-ES"/>
        </w:rPr>
        <w:t xml:space="preserve">la implantación de acuerdos institucionales para hacer operativo el apoyo técnico a distintos productos previstos </w:t>
      </w:r>
      <w:r w:rsidR="006B40C3" w:rsidRPr="009859D6">
        <w:rPr>
          <w:iCs/>
          <w:lang w:val="es-ES"/>
        </w:rPr>
        <w:t>(IPBES/4/</w:t>
      </w:r>
      <w:r w:rsidR="00CD5FC3" w:rsidRPr="009859D6">
        <w:rPr>
          <w:iCs/>
          <w:lang w:val="es-ES"/>
        </w:rPr>
        <w:t xml:space="preserve">18 </w:t>
      </w:r>
      <w:r w:rsidR="00D97096" w:rsidRPr="009859D6">
        <w:rPr>
          <w:iCs/>
          <w:lang w:val="es-ES"/>
        </w:rPr>
        <w:t xml:space="preserve">e </w:t>
      </w:r>
      <w:r w:rsidR="00CD5FC3" w:rsidRPr="009859D6">
        <w:rPr>
          <w:iCs/>
          <w:lang w:val="es-ES"/>
        </w:rPr>
        <w:t>IPBES/4/</w:t>
      </w:r>
      <w:r w:rsidR="000020B7" w:rsidRPr="009859D6">
        <w:rPr>
          <w:iCs/>
          <w:lang w:val="es-ES"/>
        </w:rPr>
        <w:t>INF/</w:t>
      </w:r>
      <w:r w:rsidR="003D6E9B" w:rsidRPr="009859D6">
        <w:rPr>
          <w:iCs/>
          <w:lang w:val="es-ES"/>
        </w:rPr>
        <w:t>18</w:t>
      </w:r>
      <w:r w:rsidR="00CD5FC3" w:rsidRPr="009859D6">
        <w:rPr>
          <w:iCs/>
          <w:lang w:val="es-ES"/>
        </w:rPr>
        <w:t xml:space="preserve">); </w:t>
      </w:r>
      <w:r w:rsidR="00D97096" w:rsidRPr="009859D6">
        <w:rPr>
          <w:iCs/>
          <w:lang w:val="es-ES"/>
        </w:rPr>
        <w:t xml:space="preserve">la elaboración de un proyecto de memorando de cooperación con los acuerdos ambientales multilaterales relacionados con la biodiversidad y los servicios de los ecosistemas, según se describe en el párrafo </w:t>
      </w:r>
      <w:r w:rsidR="00305088" w:rsidRPr="009859D6">
        <w:rPr>
          <w:iCs/>
          <w:lang w:val="es-ES"/>
        </w:rPr>
        <w:t>7</w:t>
      </w:r>
      <w:r w:rsidR="00D97096" w:rsidRPr="009859D6">
        <w:rPr>
          <w:iCs/>
          <w:lang w:val="es-ES"/>
        </w:rPr>
        <w:t xml:space="preserve"> de la decisión </w:t>
      </w:r>
      <w:r w:rsidR="00CD5FC3" w:rsidRPr="009859D6">
        <w:rPr>
          <w:iCs/>
          <w:lang w:val="es-ES"/>
        </w:rPr>
        <w:t>IPBES</w:t>
      </w:r>
      <w:r w:rsidR="00A901AD" w:rsidRPr="009859D6">
        <w:rPr>
          <w:iCs/>
          <w:lang w:val="es-ES"/>
        </w:rPr>
        <w:noBreakHyphen/>
      </w:r>
      <w:r w:rsidR="00CD5FC3" w:rsidRPr="009859D6">
        <w:rPr>
          <w:iCs/>
          <w:lang w:val="es-ES"/>
        </w:rPr>
        <w:t>3/4</w:t>
      </w:r>
      <w:r w:rsidR="003D6E9B" w:rsidRPr="009859D6">
        <w:rPr>
          <w:iCs/>
          <w:lang w:val="es-ES"/>
        </w:rPr>
        <w:t xml:space="preserve"> (IPBES/4/18</w:t>
      </w:r>
      <w:r w:rsidR="00556BD4" w:rsidRPr="009859D6">
        <w:rPr>
          <w:iCs/>
          <w:lang w:val="es-ES"/>
        </w:rPr>
        <w:t xml:space="preserve">, </w:t>
      </w:r>
      <w:r w:rsidR="00D97096" w:rsidRPr="009859D6">
        <w:rPr>
          <w:iCs/>
          <w:lang w:val="es-ES"/>
        </w:rPr>
        <w:t xml:space="preserve">anexo </w:t>
      </w:r>
      <w:r w:rsidR="00556BD4" w:rsidRPr="009859D6">
        <w:rPr>
          <w:iCs/>
          <w:lang w:val="es-ES"/>
        </w:rPr>
        <w:t>I</w:t>
      </w:r>
      <w:r w:rsidR="003D6E9B" w:rsidRPr="009859D6">
        <w:rPr>
          <w:iCs/>
          <w:lang w:val="es-ES"/>
        </w:rPr>
        <w:t>)</w:t>
      </w:r>
      <w:r w:rsidR="00CD5FC3" w:rsidRPr="009859D6">
        <w:rPr>
          <w:iCs/>
          <w:lang w:val="es-ES"/>
        </w:rPr>
        <w:t xml:space="preserve">; </w:t>
      </w:r>
      <w:r w:rsidR="00D97096" w:rsidRPr="009859D6">
        <w:rPr>
          <w:iCs/>
          <w:lang w:val="es-ES"/>
        </w:rPr>
        <w:t xml:space="preserve">y pasos encaminados a establecer otras alianzas estratégicas, que serán examinadas por el Plenario </w:t>
      </w:r>
      <w:r w:rsidR="003D6E9B" w:rsidRPr="009859D6">
        <w:rPr>
          <w:iCs/>
          <w:lang w:val="es-ES"/>
        </w:rPr>
        <w:t>(IPBES/4/18</w:t>
      </w:r>
      <w:r w:rsidR="00556BD4" w:rsidRPr="009859D6">
        <w:rPr>
          <w:iCs/>
          <w:lang w:val="es-ES"/>
        </w:rPr>
        <w:t xml:space="preserve">, </w:t>
      </w:r>
      <w:r w:rsidR="00D97096" w:rsidRPr="009859D6">
        <w:rPr>
          <w:iCs/>
          <w:lang w:val="es-ES"/>
        </w:rPr>
        <w:t xml:space="preserve">anexo </w:t>
      </w:r>
      <w:r w:rsidR="00556BD4" w:rsidRPr="009859D6">
        <w:rPr>
          <w:iCs/>
          <w:lang w:val="es-ES"/>
        </w:rPr>
        <w:t>II</w:t>
      </w:r>
      <w:r w:rsidR="003D6E9B" w:rsidRPr="009859D6">
        <w:rPr>
          <w:iCs/>
          <w:lang w:val="es-ES"/>
        </w:rPr>
        <w:t>)</w:t>
      </w:r>
      <w:r w:rsidR="00BF30F2" w:rsidRPr="009859D6">
        <w:rPr>
          <w:iCs/>
          <w:lang w:val="es-ES"/>
        </w:rPr>
        <w:t>;</w:t>
      </w:r>
      <w:r w:rsidR="00CD5FC3" w:rsidRPr="009859D6">
        <w:rPr>
          <w:iCs/>
          <w:lang w:val="es-ES"/>
        </w:rPr>
        <w:t xml:space="preserve"> </w:t>
      </w:r>
    </w:p>
    <w:p w:rsidR="00715E94" w:rsidRPr="009859D6" w:rsidRDefault="00D97096" w:rsidP="001423AB">
      <w:pPr>
        <w:pStyle w:val="Normalnumber"/>
        <w:numPr>
          <w:ilvl w:val="1"/>
          <w:numId w:val="4"/>
        </w:numPr>
        <w:tabs>
          <w:tab w:val="clear" w:pos="1247"/>
          <w:tab w:val="clear" w:pos="1814"/>
          <w:tab w:val="clear" w:pos="2381"/>
          <w:tab w:val="clear" w:pos="2948"/>
          <w:tab w:val="clear" w:pos="3515"/>
          <w:tab w:val="left" w:pos="624"/>
        </w:tabs>
        <w:ind w:left="1247" w:firstLine="624"/>
        <w:rPr>
          <w:iCs/>
          <w:lang w:val="es-ES"/>
        </w:rPr>
      </w:pPr>
      <w:r w:rsidRPr="009859D6">
        <w:rPr>
          <w:rFonts w:eastAsia="Calibri"/>
          <w:iCs/>
          <w:spacing w:val="4"/>
          <w:w w:val="103"/>
          <w:kern w:val="14"/>
          <w:lang w:val="es-ES"/>
        </w:rPr>
        <w:t xml:space="preserve">Un </w:t>
      </w:r>
      <w:r w:rsidRPr="009859D6">
        <w:rPr>
          <w:lang w:val="es-ES"/>
        </w:rPr>
        <w:t xml:space="preserve">procedimiento </w:t>
      </w:r>
      <w:r w:rsidR="00305088" w:rsidRPr="009859D6">
        <w:rPr>
          <w:lang w:val="es-ES"/>
        </w:rPr>
        <w:t xml:space="preserve">para </w:t>
      </w:r>
      <w:r w:rsidR="00347A0C" w:rsidRPr="009859D6">
        <w:rPr>
          <w:lang w:val="es-ES"/>
        </w:rPr>
        <w:t xml:space="preserve">el examen de </w:t>
      </w:r>
      <w:r w:rsidRPr="009859D6">
        <w:rPr>
          <w:lang w:val="es-ES"/>
        </w:rPr>
        <w:t>la eficacia de las funciones administrativa y científica de la Plataforma</w:t>
      </w:r>
      <w:r w:rsidR="00715E94" w:rsidRPr="009859D6">
        <w:rPr>
          <w:iCs/>
          <w:lang w:val="es-ES"/>
        </w:rPr>
        <w:t xml:space="preserve"> (</w:t>
      </w:r>
      <w:r w:rsidR="00347A0C" w:rsidRPr="009859D6">
        <w:rPr>
          <w:iCs/>
          <w:lang w:val="es-ES"/>
        </w:rPr>
        <w:t xml:space="preserve">producto previsto </w:t>
      </w:r>
      <w:r w:rsidR="00715E94" w:rsidRPr="009859D6">
        <w:rPr>
          <w:iCs/>
          <w:lang w:val="es-ES"/>
        </w:rPr>
        <w:t>4</w:t>
      </w:r>
      <w:r w:rsidR="001E1A19" w:rsidRPr="009859D6">
        <w:rPr>
          <w:iCs/>
          <w:lang w:val="es-ES"/>
        </w:rPr>
        <w:t xml:space="preserve"> </w:t>
      </w:r>
      <w:r w:rsidR="00715E94" w:rsidRPr="009859D6">
        <w:rPr>
          <w:iCs/>
          <w:lang w:val="es-ES"/>
        </w:rPr>
        <w:t>e</w:t>
      </w:r>
      <w:r w:rsidR="001E1A19" w:rsidRPr="009859D6">
        <w:rPr>
          <w:iCs/>
          <w:lang w:val="es-ES"/>
        </w:rPr>
        <w:t>)</w:t>
      </w:r>
      <w:r w:rsidR="000F7AAF" w:rsidRPr="009859D6">
        <w:rPr>
          <w:iCs/>
          <w:lang w:val="es-ES"/>
        </w:rPr>
        <w:t>)</w:t>
      </w:r>
      <w:r w:rsidR="00347A0C" w:rsidRPr="009859D6">
        <w:rPr>
          <w:iCs/>
          <w:lang w:val="es-ES"/>
        </w:rPr>
        <w:t xml:space="preserve"> </w:t>
      </w:r>
      <w:r w:rsidR="00347A0C" w:rsidRPr="009859D6">
        <w:rPr>
          <w:lang w:val="es-ES"/>
        </w:rPr>
        <w:t xml:space="preserve">por parte del Grupo Multidisciplinario de Expertos, en consulta con la Mesa </w:t>
      </w:r>
      <w:r w:rsidR="00347A0C" w:rsidRPr="009859D6">
        <w:rPr>
          <w:rFonts w:eastAsia="Calibri"/>
          <w:iCs/>
          <w:spacing w:val="4"/>
          <w:w w:val="103"/>
          <w:kern w:val="14"/>
          <w:lang w:val="es-ES"/>
        </w:rPr>
        <w:t>(</w:t>
      </w:r>
      <w:r w:rsidR="00347A0C" w:rsidRPr="009859D6">
        <w:rPr>
          <w:iCs/>
          <w:lang w:val="es-ES"/>
        </w:rPr>
        <w:t>IPBES/4/16)</w:t>
      </w:r>
      <w:r w:rsidR="00347A0C" w:rsidRPr="009859D6">
        <w:rPr>
          <w:lang w:val="es-ES"/>
        </w:rPr>
        <w:t>,</w:t>
      </w:r>
      <w:r w:rsidR="004B662B" w:rsidRPr="009859D6">
        <w:rPr>
          <w:iCs/>
          <w:lang w:val="es-ES"/>
        </w:rPr>
        <w:t xml:space="preserve"> </w:t>
      </w:r>
      <w:r w:rsidR="00347A0C" w:rsidRPr="009859D6">
        <w:rPr>
          <w:iCs/>
          <w:lang w:val="es-ES"/>
        </w:rPr>
        <w:t>para ser considerado por el P</w:t>
      </w:r>
      <w:r w:rsidR="00DB010B" w:rsidRPr="009859D6">
        <w:rPr>
          <w:iCs/>
          <w:lang w:val="es-ES"/>
        </w:rPr>
        <w:t>lenario en su cuarto período de </w:t>
      </w:r>
      <w:r w:rsidR="00347A0C" w:rsidRPr="009859D6">
        <w:rPr>
          <w:iCs/>
          <w:lang w:val="es-ES"/>
        </w:rPr>
        <w:t>sesiones</w:t>
      </w:r>
      <w:r w:rsidR="00715E94" w:rsidRPr="009859D6">
        <w:rPr>
          <w:iCs/>
          <w:lang w:val="es-ES"/>
        </w:rPr>
        <w:t>.</w:t>
      </w:r>
    </w:p>
    <w:p w:rsidR="00715E94" w:rsidRPr="009859D6" w:rsidRDefault="00D776E2" w:rsidP="00906106">
      <w:pPr>
        <w:pStyle w:val="CH1"/>
        <w:spacing w:before="200"/>
        <w:rPr>
          <w:lang w:val="es-ES"/>
        </w:rPr>
      </w:pPr>
      <w:r w:rsidRPr="009859D6">
        <w:rPr>
          <w:lang w:val="es-ES"/>
        </w:rPr>
        <w:tab/>
      </w:r>
      <w:r w:rsidR="00715E94" w:rsidRPr="009859D6">
        <w:rPr>
          <w:lang w:val="es-ES"/>
        </w:rPr>
        <w:t>I</w:t>
      </w:r>
      <w:r w:rsidR="002E380F" w:rsidRPr="009859D6">
        <w:rPr>
          <w:lang w:val="es-ES"/>
        </w:rPr>
        <w:t>I</w:t>
      </w:r>
      <w:r w:rsidR="00715E94" w:rsidRPr="009859D6">
        <w:rPr>
          <w:lang w:val="es-ES"/>
        </w:rPr>
        <w:t xml:space="preserve">I. </w:t>
      </w:r>
      <w:r w:rsidRPr="009859D6">
        <w:rPr>
          <w:lang w:val="es-ES"/>
        </w:rPr>
        <w:tab/>
      </w:r>
      <w:r w:rsidR="002D26DB" w:rsidRPr="009859D6">
        <w:rPr>
          <w:lang w:val="es-ES"/>
        </w:rPr>
        <w:t xml:space="preserve">Lecciones </w:t>
      </w:r>
      <w:r w:rsidR="00BF30F2" w:rsidRPr="009859D6">
        <w:rPr>
          <w:lang w:val="es-ES"/>
        </w:rPr>
        <w:t xml:space="preserve">aprendidas </w:t>
      </w:r>
      <w:r w:rsidR="002D26DB" w:rsidRPr="009859D6">
        <w:rPr>
          <w:lang w:val="es-ES"/>
        </w:rPr>
        <w:t xml:space="preserve">y retos durante el segundo año de la aplicación </w:t>
      </w:r>
      <w:r w:rsidR="00715E94" w:rsidRPr="009859D6">
        <w:rPr>
          <w:lang w:val="es-ES"/>
        </w:rPr>
        <w:t>(201</w:t>
      </w:r>
      <w:r w:rsidR="004B662B" w:rsidRPr="009859D6">
        <w:rPr>
          <w:lang w:val="es-ES"/>
        </w:rPr>
        <w:t>5</w:t>
      </w:r>
      <w:r w:rsidR="00715E94" w:rsidRPr="009859D6">
        <w:rPr>
          <w:lang w:val="es-ES"/>
        </w:rPr>
        <w:t>)</w:t>
      </w:r>
    </w:p>
    <w:p w:rsidR="00715E94" w:rsidRPr="009859D6" w:rsidRDefault="002D26DB" w:rsidP="001423AB">
      <w:pPr>
        <w:pStyle w:val="Normalnumber"/>
        <w:numPr>
          <w:ilvl w:val="0"/>
          <w:numId w:val="4"/>
        </w:numPr>
        <w:tabs>
          <w:tab w:val="clear" w:pos="1247"/>
          <w:tab w:val="clear" w:pos="1814"/>
          <w:tab w:val="clear" w:pos="2381"/>
          <w:tab w:val="clear" w:pos="2948"/>
          <w:tab w:val="clear" w:pos="3515"/>
          <w:tab w:val="left" w:pos="624"/>
          <w:tab w:val="num" w:pos="1134"/>
        </w:tabs>
        <w:ind w:left="1247" w:firstLine="0"/>
        <w:rPr>
          <w:lang w:val="es-ES"/>
        </w:rPr>
      </w:pPr>
      <w:r w:rsidRPr="009859D6">
        <w:rPr>
          <w:lang w:val="es-ES"/>
        </w:rPr>
        <w:t>Las lecciones aprendidas de la aplicación de los productos previstos</w:t>
      </w:r>
      <w:r w:rsidR="000E25B2" w:rsidRPr="009859D6">
        <w:rPr>
          <w:lang w:val="es-ES"/>
        </w:rPr>
        <w:t xml:space="preserve"> </w:t>
      </w:r>
      <w:r w:rsidRPr="009859D6">
        <w:rPr>
          <w:lang w:val="es-ES"/>
        </w:rPr>
        <w:t>y los retos se relacionan, en particular, con las siguientes actividades:</w:t>
      </w:r>
    </w:p>
    <w:p w:rsidR="00815493" w:rsidRPr="009859D6" w:rsidRDefault="00352311" w:rsidP="00C72D2D">
      <w:pPr>
        <w:pStyle w:val="Normalnumber"/>
        <w:numPr>
          <w:ilvl w:val="1"/>
          <w:numId w:val="4"/>
        </w:numPr>
        <w:tabs>
          <w:tab w:val="clear" w:pos="1247"/>
          <w:tab w:val="clear" w:pos="1814"/>
          <w:tab w:val="clear" w:pos="2381"/>
          <w:tab w:val="clear" w:pos="2948"/>
          <w:tab w:val="clear" w:pos="3515"/>
          <w:tab w:val="left" w:pos="624"/>
        </w:tabs>
        <w:ind w:left="1247" w:firstLine="624"/>
        <w:rPr>
          <w:lang w:val="es-ES"/>
        </w:rPr>
      </w:pPr>
      <w:r w:rsidRPr="009859D6">
        <w:rPr>
          <w:bCs/>
          <w:i/>
          <w:iCs/>
          <w:lang w:val="es-ES"/>
        </w:rPr>
        <w:t>Cubrir lagunas en los conocimientos</w:t>
      </w:r>
      <w:r w:rsidR="00C0377A" w:rsidRPr="009859D6">
        <w:rPr>
          <w:bCs/>
          <w:i/>
          <w:iCs/>
          <w:lang w:val="es-ES"/>
        </w:rPr>
        <w:t>.</w:t>
      </w:r>
      <w:r w:rsidR="00715E94" w:rsidRPr="009859D6">
        <w:rPr>
          <w:lang w:val="es-ES"/>
        </w:rPr>
        <w:t xml:space="preserve"> </w:t>
      </w:r>
      <w:r w:rsidRPr="009859D6">
        <w:rPr>
          <w:lang w:val="es-ES"/>
        </w:rPr>
        <w:t xml:space="preserve">En el contexto de la selección de expertos para las cuatro evaluaciones regionales y la evaluación de la degradación y la restauración de la tierra fue necesario pedir a </w:t>
      </w:r>
      <w:r w:rsidR="0019758C" w:rsidRPr="009859D6">
        <w:rPr>
          <w:lang w:val="es-ES"/>
        </w:rPr>
        <w:t>g</w:t>
      </w:r>
      <w:r w:rsidRPr="009859D6">
        <w:rPr>
          <w:lang w:val="es-ES"/>
        </w:rPr>
        <w:t xml:space="preserve">obiernos e interesados que realizaran nombramientos adicionales </w:t>
      </w:r>
      <w:r w:rsidR="00FE7608" w:rsidRPr="009859D6">
        <w:rPr>
          <w:lang w:val="es-ES"/>
        </w:rPr>
        <w:t>a fin de garantizar el equilibrio geográfico, disciplinario y de género entre los expertos</w:t>
      </w:r>
      <w:r w:rsidR="00A77767" w:rsidRPr="009859D6">
        <w:rPr>
          <w:rStyle w:val="FootnoteReference"/>
          <w:szCs w:val="20"/>
          <w:lang w:val="es-ES"/>
        </w:rPr>
        <w:footnoteReference w:id="3"/>
      </w:r>
      <w:r w:rsidR="00021567" w:rsidRPr="009859D6">
        <w:rPr>
          <w:lang w:val="es-ES"/>
        </w:rPr>
        <w:t>,</w:t>
      </w:r>
      <w:r w:rsidR="00715E94" w:rsidRPr="009859D6">
        <w:rPr>
          <w:lang w:val="es-ES"/>
        </w:rPr>
        <w:t xml:space="preserve"> </w:t>
      </w:r>
      <w:r w:rsidR="00FE7608" w:rsidRPr="009859D6">
        <w:rPr>
          <w:lang w:val="es-ES"/>
        </w:rPr>
        <w:t xml:space="preserve">en particular en relación con la selección de expertos de la región de Europa Oriental y para la selección de expertos de ciencias sociales, poseedores de conocimientos </w:t>
      </w:r>
      <w:r w:rsidR="00021567" w:rsidRPr="009859D6">
        <w:rPr>
          <w:lang w:val="es-ES"/>
        </w:rPr>
        <w:t xml:space="preserve">indígenas </w:t>
      </w:r>
      <w:r w:rsidR="00FE7608" w:rsidRPr="009859D6">
        <w:rPr>
          <w:lang w:val="es-ES"/>
        </w:rPr>
        <w:t>y locales y profesionales expertos en normativas.</w:t>
      </w:r>
      <w:r w:rsidR="00D42A79" w:rsidRPr="009859D6">
        <w:rPr>
          <w:lang w:val="es-ES"/>
        </w:rPr>
        <w:t xml:space="preserve"> </w:t>
      </w:r>
      <w:r w:rsidR="00FE7608" w:rsidRPr="009859D6">
        <w:rPr>
          <w:lang w:val="es-ES"/>
        </w:rPr>
        <w:t>En</w:t>
      </w:r>
      <w:r w:rsidR="00A901AD" w:rsidRPr="009859D6">
        <w:rPr>
          <w:lang w:val="es-ES"/>
        </w:rPr>
        <w:t> </w:t>
      </w:r>
      <w:r w:rsidR="00FE7608" w:rsidRPr="009859D6">
        <w:rPr>
          <w:lang w:val="es-ES"/>
        </w:rPr>
        <w:t xml:space="preserve">2014 fue preciso obtener candidaturas adicionales </w:t>
      </w:r>
      <w:r w:rsidR="00815493" w:rsidRPr="009859D6">
        <w:rPr>
          <w:lang w:val="es-ES"/>
        </w:rPr>
        <w:t>(</w:t>
      </w:r>
      <w:r w:rsidR="00BF30F2" w:rsidRPr="009859D6">
        <w:rPr>
          <w:lang w:val="es-ES"/>
        </w:rPr>
        <w:t xml:space="preserve">véase </w:t>
      </w:r>
      <w:r w:rsidR="00815493" w:rsidRPr="009859D6">
        <w:rPr>
          <w:lang w:val="es-ES"/>
        </w:rPr>
        <w:t>IPBES/3/2)</w:t>
      </w:r>
      <w:r w:rsidR="00B05AAC" w:rsidRPr="009859D6">
        <w:rPr>
          <w:lang w:val="es-ES"/>
        </w:rPr>
        <w:t xml:space="preserve"> en relación con las candidaturas presentadas por los gobiernos para la evaluación de la </w:t>
      </w:r>
      <w:r w:rsidR="000E3E1D" w:rsidRPr="009859D6">
        <w:rPr>
          <w:lang w:val="es-ES"/>
        </w:rPr>
        <w:t xml:space="preserve">polinización y las evaluaciones de </w:t>
      </w:r>
      <w:r w:rsidR="000E3E1D" w:rsidRPr="009859D6">
        <w:rPr>
          <w:lang w:val="es-ES"/>
        </w:rPr>
        <w:lastRenderedPageBreak/>
        <w:t>las hipótesis y los modelos. Consecuentemente, la Mesa, siguiendo el consejo del Grupo Multidisciplinario de Expertos, ha decidido invitar al Plenario a considerar un procedimiento con el que cubrir las lagunas como parte adicional de los procedimientos para la preparación de los productos previstos de la Plataforma en lo relativo al nombramiento de expertos, a fin de garantizar la total transparencia del procedimiento para cubrir esas lagunas</w:t>
      </w:r>
      <w:r w:rsidR="00815493" w:rsidRPr="009859D6">
        <w:rPr>
          <w:lang w:val="es-ES"/>
        </w:rPr>
        <w:t xml:space="preserve">. </w:t>
      </w:r>
      <w:r w:rsidR="000E3E1D" w:rsidRPr="009859D6">
        <w:rPr>
          <w:lang w:val="es-ES"/>
        </w:rPr>
        <w:t xml:space="preserve">El procedimiento será considerado en el tema 7 </w:t>
      </w:r>
      <w:r w:rsidR="009814C9" w:rsidRPr="009859D6">
        <w:rPr>
          <w:lang w:val="es-ES"/>
        </w:rPr>
        <w:t>b</w:t>
      </w:r>
      <w:r w:rsidR="00817EA1" w:rsidRPr="009859D6">
        <w:rPr>
          <w:lang w:val="es-ES"/>
        </w:rPr>
        <w:t>)</w:t>
      </w:r>
      <w:r w:rsidR="000E3E1D" w:rsidRPr="009859D6">
        <w:rPr>
          <w:lang w:val="es-ES"/>
        </w:rPr>
        <w:t xml:space="preserve"> y aparece descrito en el documento </w:t>
      </w:r>
      <w:r w:rsidR="00D07FF7" w:rsidRPr="009859D6">
        <w:rPr>
          <w:lang w:val="es-ES"/>
        </w:rPr>
        <w:t>IPBES/4/15</w:t>
      </w:r>
      <w:r w:rsidR="00BF30F2" w:rsidRPr="009859D6">
        <w:rPr>
          <w:lang w:val="es-ES"/>
        </w:rPr>
        <w:t>;</w:t>
      </w:r>
    </w:p>
    <w:p w:rsidR="00715E94" w:rsidRPr="009859D6" w:rsidRDefault="000E3E1D" w:rsidP="00C72D2D">
      <w:pPr>
        <w:pStyle w:val="Normalnumber"/>
        <w:numPr>
          <w:ilvl w:val="1"/>
          <w:numId w:val="4"/>
        </w:numPr>
        <w:tabs>
          <w:tab w:val="clear" w:pos="1247"/>
          <w:tab w:val="clear" w:pos="1814"/>
          <w:tab w:val="clear" w:pos="2381"/>
          <w:tab w:val="clear" w:pos="2948"/>
          <w:tab w:val="clear" w:pos="3515"/>
          <w:tab w:val="left" w:pos="624"/>
        </w:tabs>
        <w:ind w:left="1247" w:firstLine="624"/>
        <w:rPr>
          <w:lang w:val="es-ES"/>
        </w:rPr>
      </w:pPr>
      <w:r w:rsidRPr="009859D6">
        <w:rPr>
          <w:i/>
          <w:lang w:val="es-ES"/>
        </w:rPr>
        <w:t>Asistencia a los expertos de países desarrollados</w:t>
      </w:r>
      <w:r w:rsidR="00C72D2D" w:rsidRPr="009859D6">
        <w:rPr>
          <w:lang w:val="es-ES"/>
        </w:rPr>
        <w:t xml:space="preserve">. </w:t>
      </w:r>
      <w:r w:rsidRPr="009859D6">
        <w:rPr>
          <w:lang w:val="es-ES"/>
        </w:rPr>
        <w:t>Los expertos de países desarrollados habían manifestado sus reservas en relación con sus nombramientos, habida cuenta de la falta de apoyo para los viajes</w:t>
      </w:r>
      <w:r w:rsidR="00E73D6D" w:rsidRPr="009859D6">
        <w:rPr>
          <w:lang w:val="es-ES"/>
        </w:rPr>
        <w:t xml:space="preserve">, </w:t>
      </w:r>
      <w:r w:rsidRPr="009859D6">
        <w:rPr>
          <w:lang w:val="es-ES"/>
        </w:rPr>
        <w:t>en especial los expertos procedentes de América del Norte, Europa del Sur y de los países de Europa Oriental</w:t>
      </w:r>
      <w:r w:rsidR="005B2C31" w:rsidRPr="009859D6">
        <w:rPr>
          <w:lang w:val="es-ES"/>
        </w:rPr>
        <w:t>,</w:t>
      </w:r>
      <w:r w:rsidRPr="009859D6">
        <w:rPr>
          <w:lang w:val="es-ES"/>
        </w:rPr>
        <w:t xml:space="preserve"> que no contaban con el apoyo del </w:t>
      </w:r>
      <w:r w:rsidR="00021567" w:rsidRPr="009859D6">
        <w:rPr>
          <w:lang w:val="es-ES"/>
        </w:rPr>
        <w:t>f</w:t>
      </w:r>
      <w:r w:rsidRPr="009859D6">
        <w:rPr>
          <w:lang w:val="es-ES"/>
        </w:rPr>
        <w:t xml:space="preserve">ondo </w:t>
      </w:r>
      <w:r w:rsidR="00021567" w:rsidRPr="009859D6">
        <w:rPr>
          <w:lang w:val="es-ES"/>
        </w:rPr>
        <w:t>f</w:t>
      </w:r>
      <w:r w:rsidRPr="009859D6">
        <w:rPr>
          <w:lang w:val="es-ES"/>
        </w:rPr>
        <w:t xml:space="preserve">iduciario. </w:t>
      </w:r>
      <w:r w:rsidR="005B2C31" w:rsidRPr="009859D6">
        <w:rPr>
          <w:lang w:val="es-ES"/>
        </w:rPr>
        <w:t>La Mesa desea</w:t>
      </w:r>
      <w:r w:rsidRPr="009859D6">
        <w:rPr>
          <w:lang w:val="es-ES"/>
        </w:rPr>
        <w:t xml:space="preserve"> llamar la atención del Plenario acerca de esta grave situación e invita al Plenario a que anime a los países desarrollados miembros a que aporten apoyos para los desplazamientos de los expertos desde sus países, y a todas las instituciones a que apoyen a los expertos que estén participando en labores por cuenta de la </w:t>
      </w:r>
      <w:r w:rsidR="0096180E" w:rsidRPr="009859D6">
        <w:rPr>
          <w:lang w:val="es-ES"/>
        </w:rPr>
        <w:t>Plataforma</w:t>
      </w:r>
      <w:r w:rsidR="00BF30F2" w:rsidRPr="009859D6">
        <w:rPr>
          <w:lang w:val="es-ES"/>
        </w:rPr>
        <w:t>;</w:t>
      </w:r>
    </w:p>
    <w:p w:rsidR="00E156C9" w:rsidRPr="009859D6" w:rsidRDefault="000E3E1D" w:rsidP="00C72D2D">
      <w:pPr>
        <w:pStyle w:val="Normalnumber"/>
        <w:numPr>
          <w:ilvl w:val="1"/>
          <w:numId w:val="4"/>
        </w:numPr>
        <w:tabs>
          <w:tab w:val="clear" w:pos="1247"/>
          <w:tab w:val="clear" w:pos="1814"/>
          <w:tab w:val="clear" w:pos="2381"/>
          <w:tab w:val="clear" w:pos="2948"/>
          <w:tab w:val="clear" w:pos="3515"/>
          <w:tab w:val="left" w:pos="624"/>
        </w:tabs>
        <w:ind w:left="1247" w:firstLine="624"/>
        <w:rPr>
          <w:lang w:val="es-ES"/>
        </w:rPr>
      </w:pPr>
      <w:r w:rsidRPr="009859D6">
        <w:rPr>
          <w:i/>
          <w:lang w:val="es-ES"/>
        </w:rPr>
        <w:t xml:space="preserve">Labor relativa a los sistemas de conocimientos </w:t>
      </w:r>
      <w:r w:rsidR="00021567" w:rsidRPr="009859D6">
        <w:rPr>
          <w:i/>
          <w:lang w:val="es-ES"/>
        </w:rPr>
        <w:t xml:space="preserve">indígenas </w:t>
      </w:r>
      <w:r w:rsidRPr="009859D6">
        <w:rPr>
          <w:i/>
          <w:lang w:val="es-ES"/>
        </w:rPr>
        <w:t>y locales</w:t>
      </w:r>
      <w:r w:rsidR="00E156C9" w:rsidRPr="009859D6">
        <w:rPr>
          <w:lang w:val="es-ES"/>
        </w:rPr>
        <w:t>.</w:t>
      </w:r>
      <w:r w:rsidR="00442732" w:rsidRPr="009859D6">
        <w:rPr>
          <w:lang w:val="es-ES"/>
        </w:rPr>
        <w:t xml:space="preserve"> El Grupo Multidisciplinario de Expertos y la Mesa</w:t>
      </w:r>
      <w:r w:rsidR="00E156C9" w:rsidRPr="009859D6">
        <w:rPr>
          <w:lang w:val="es-ES"/>
        </w:rPr>
        <w:t xml:space="preserve">, </w:t>
      </w:r>
      <w:r w:rsidR="00442732" w:rsidRPr="009859D6">
        <w:rPr>
          <w:lang w:val="es-ES"/>
        </w:rPr>
        <w:t>en sus respectivas sextas reuniones celebradas en octubre de</w:t>
      </w:r>
      <w:r w:rsidR="00A901AD" w:rsidRPr="009859D6">
        <w:rPr>
          <w:lang w:val="es-ES"/>
        </w:rPr>
        <w:t> </w:t>
      </w:r>
      <w:r w:rsidR="00442732" w:rsidRPr="009859D6">
        <w:rPr>
          <w:lang w:val="es-ES"/>
        </w:rPr>
        <w:t xml:space="preserve">2015, decidieron que estaban </w:t>
      </w:r>
      <w:r w:rsidR="00021567" w:rsidRPr="009859D6">
        <w:rPr>
          <w:lang w:val="es-ES"/>
        </w:rPr>
        <w:t xml:space="preserve">preparados </w:t>
      </w:r>
      <w:r w:rsidR="00442732" w:rsidRPr="009859D6">
        <w:rPr>
          <w:lang w:val="es-ES"/>
        </w:rPr>
        <w:t xml:space="preserve">para presentar durante </w:t>
      </w:r>
      <w:r w:rsidR="005B2C31" w:rsidRPr="009859D6">
        <w:rPr>
          <w:lang w:val="es-ES"/>
        </w:rPr>
        <w:t>el cuarto</w:t>
      </w:r>
      <w:r w:rsidR="00442732" w:rsidRPr="009859D6">
        <w:rPr>
          <w:lang w:val="es-ES"/>
        </w:rPr>
        <w:t xml:space="preserve"> </w:t>
      </w:r>
      <w:r w:rsidR="001901B3" w:rsidRPr="009859D6">
        <w:rPr>
          <w:lang w:val="es-ES"/>
        </w:rPr>
        <w:t>período de sesiones</w:t>
      </w:r>
      <w:r w:rsidR="00442732" w:rsidRPr="009859D6">
        <w:rPr>
          <w:lang w:val="es-ES"/>
        </w:rPr>
        <w:t xml:space="preserve"> del Plenario un primer grupo de proyectos de procedimientos y enfoques para trabajar con sistemas de conocimientos indígenas y locales, tal y como se solicitaba</w:t>
      </w:r>
      <w:r w:rsidR="005B2C31" w:rsidRPr="009859D6">
        <w:rPr>
          <w:lang w:val="es-ES"/>
        </w:rPr>
        <w:t xml:space="preserve"> e</w:t>
      </w:r>
      <w:r w:rsidR="00442732" w:rsidRPr="009859D6">
        <w:rPr>
          <w:lang w:val="es-ES"/>
        </w:rPr>
        <w:t>n la decisión</w:t>
      </w:r>
      <w:r w:rsidR="00E156C9" w:rsidRPr="009859D6">
        <w:rPr>
          <w:lang w:val="es-ES"/>
        </w:rPr>
        <w:t xml:space="preserve"> IPBES</w:t>
      </w:r>
      <w:r w:rsidR="00A901AD" w:rsidRPr="009859D6">
        <w:rPr>
          <w:lang w:val="es-ES"/>
        </w:rPr>
        <w:noBreakHyphen/>
      </w:r>
      <w:r w:rsidR="00E156C9" w:rsidRPr="009859D6">
        <w:rPr>
          <w:lang w:val="es-ES"/>
        </w:rPr>
        <w:t>2/</w:t>
      </w:r>
      <w:r w:rsidR="008C56ED" w:rsidRPr="009859D6">
        <w:rPr>
          <w:lang w:val="es-ES"/>
        </w:rPr>
        <w:t>5</w:t>
      </w:r>
      <w:r w:rsidR="002A0081" w:rsidRPr="009859D6">
        <w:rPr>
          <w:lang w:val="es-ES"/>
        </w:rPr>
        <w:t xml:space="preserve">. </w:t>
      </w:r>
      <w:r w:rsidR="00442732" w:rsidRPr="009859D6">
        <w:rPr>
          <w:lang w:val="es-ES"/>
        </w:rPr>
        <w:t>Hasta la fecha, solo se ha sometido a pruebas un enfoque, concretamente un llamamiento global a los expertos en conocimientos indígenas y locales por medios electrónicos;</w:t>
      </w:r>
      <w:r w:rsidR="008C56ED" w:rsidRPr="009859D6">
        <w:rPr>
          <w:lang w:val="es-ES"/>
        </w:rPr>
        <w:t xml:space="preserve"> </w:t>
      </w:r>
      <w:r w:rsidR="00442732" w:rsidRPr="009859D6">
        <w:rPr>
          <w:lang w:val="es-ES"/>
        </w:rPr>
        <w:t xml:space="preserve">la convocatoria de un </w:t>
      </w:r>
      <w:r w:rsidR="00A73CA5" w:rsidRPr="009859D6">
        <w:rPr>
          <w:lang w:val="es-ES"/>
        </w:rPr>
        <w:t>seminario de</w:t>
      </w:r>
      <w:r w:rsidR="00442732" w:rsidRPr="009859D6">
        <w:rPr>
          <w:lang w:val="es-ES"/>
        </w:rPr>
        <w:t xml:space="preserve"> diálogo que reúna a una selección de poseedores de conocimientos indígenas y locales y expertos en los mismos; </w:t>
      </w:r>
      <w:r w:rsidR="00A73CA5" w:rsidRPr="009859D6">
        <w:rPr>
          <w:lang w:val="es-ES"/>
        </w:rPr>
        <w:t>la publicación de los resultados del seminario; y el uso de esos resultados por parte de los expertos. También se celebró un seminario de diálogo bajo el mismo procedimiento para la evaluación regional de África. El Grupo Multidisciplinario de Expertos y la Mesa evalúan en la actualidad los puntos fuertes y las limitaciones de la etapa de ensayo.</w:t>
      </w:r>
      <w:r w:rsidR="002A0081" w:rsidRPr="009859D6">
        <w:rPr>
          <w:lang w:val="es-ES"/>
        </w:rPr>
        <w:t xml:space="preserve"> </w:t>
      </w:r>
      <w:r w:rsidR="00A73CA5" w:rsidRPr="009859D6">
        <w:rPr>
          <w:lang w:val="es-ES"/>
        </w:rPr>
        <w:t>Trabaja</w:t>
      </w:r>
      <w:r w:rsidR="000F5D49" w:rsidRPr="009859D6">
        <w:rPr>
          <w:lang w:val="es-ES"/>
        </w:rPr>
        <w:t>n</w:t>
      </w:r>
      <w:r w:rsidR="00A73CA5" w:rsidRPr="009859D6">
        <w:rPr>
          <w:lang w:val="es-ES"/>
        </w:rPr>
        <w:t xml:space="preserve"> junto </w:t>
      </w:r>
      <w:r w:rsidR="005B2C31" w:rsidRPr="009859D6">
        <w:rPr>
          <w:lang w:val="es-ES"/>
        </w:rPr>
        <w:t>a</w:t>
      </w:r>
      <w:r w:rsidR="00A73CA5" w:rsidRPr="009859D6">
        <w:rPr>
          <w:lang w:val="es-ES"/>
        </w:rPr>
        <w:t xml:space="preserve">l </w:t>
      </w:r>
      <w:r w:rsidR="000F5D49" w:rsidRPr="009859D6">
        <w:rPr>
          <w:lang w:val="es-ES"/>
        </w:rPr>
        <w:t>equipo de tareas</w:t>
      </w:r>
      <w:r w:rsidR="00A73CA5" w:rsidRPr="009859D6">
        <w:rPr>
          <w:lang w:val="es-ES"/>
        </w:rPr>
        <w:t xml:space="preserve"> y los expertos en polinización para aprender de la experiencia, y consideran nuevos enfoques en 2016 dentro del marco de las evaluaciones regionales y de la evaluación de la degradación y </w:t>
      </w:r>
      <w:r w:rsidR="003E3391" w:rsidRPr="009859D6">
        <w:rPr>
          <w:lang w:val="es-ES"/>
        </w:rPr>
        <w:t xml:space="preserve">la </w:t>
      </w:r>
      <w:r w:rsidR="00A73CA5" w:rsidRPr="009859D6">
        <w:rPr>
          <w:lang w:val="es-ES"/>
        </w:rPr>
        <w:t>restauración de la tierra</w:t>
      </w:r>
      <w:r w:rsidR="002A0081" w:rsidRPr="009859D6">
        <w:rPr>
          <w:lang w:val="es-ES"/>
        </w:rPr>
        <w:t>.</w:t>
      </w:r>
      <w:r w:rsidR="00592FCA" w:rsidRPr="009859D6">
        <w:rPr>
          <w:lang w:val="es-ES"/>
        </w:rPr>
        <w:t xml:space="preserve"> </w:t>
      </w:r>
      <w:r w:rsidR="00A73CA5" w:rsidRPr="009859D6">
        <w:rPr>
          <w:lang w:val="es-ES"/>
        </w:rPr>
        <w:t>El Grupo Multidisciplinario de Expertos y la Mesa consideraron que sería prematuro hacer extensivo a todas las evaluaciones un enfoque puesto a prueba en una sola evaluación sin haber llevado a cabo antes más pruebas y análisis</w:t>
      </w:r>
      <w:r w:rsidR="00BF30F2" w:rsidRPr="009859D6">
        <w:rPr>
          <w:lang w:val="es-ES"/>
        </w:rPr>
        <w:t>;</w:t>
      </w:r>
    </w:p>
    <w:p w:rsidR="00715E94" w:rsidRPr="009859D6" w:rsidRDefault="00A73CA5" w:rsidP="001423AB">
      <w:pPr>
        <w:pStyle w:val="Normalnumber"/>
        <w:numPr>
          <w:ilvl w:val="1"/>
          <w:numId w:val="4"/>
        </w:numPr>
        <w:tabs>
          <w:tab w:val="clear" w:pos="1247"/>
          <w:tab w:val="clear" w:pos="1814"/>
          <w:tab w:val="clear" w:pos="2381"/>
          <w:tab w:val="clear" w:pos="2948"/>
          <w:tab w:val="clear" w:pos="3515"/>
          <w:tab w:val="left" w:pos="624"/>
        </w:tabs>
        <w:ind w:left="1247" w:firstLine="624"/>
        <w:rPr>
          <w:lang w:val="es-ES"/>
        </w:rPr>
      </w:pPr>
      <w:r w:rsidRPr="009859D6">
        <w:rPr>
          <w:bCs/>
          <w:i/>
          <w:iCs/>
          <w:lang w:val="es-ES"/>
        </w:rPr>
        <w:t>Reuniones de gestión para iniciar evaluaciones</w:t>
      </w:r>
      <w:r w:rsidR="00C72D2D" w:rsidRPr="009859D6">
        <w:rPr>
          <w:lang w:val="es-ES"/>
        </w:rPr>
        <w:t xml:space="preserve">. </w:t>
      </w:r>
      <w:r w:rsidRPr="009859D6">
        <w:rPr>
          <w:lang w:val="es-ES"/>
        </w:rPr>
        <w:t>Los Copresidentes, la dependencia de apoyo técnico</w:t>
      </w:r>
      <w:r w:rsidR="00715E94" w:rsidRPr="009859D6">
        <w:rPr>
          <w:lang w:val="es-ES"/>
        </w:rPr>
        <w:t xml:space="preserve">, </w:t>
      </w:r>
      <w:r w:rsidRPr="009859D6">
        <w:rPr>
          <w:lang w:val="es-ES"/>
        </w:rPr>
        <w:t xml:space="preserve">los miembros pertinentes del Grupo Multidisciplinario de Expertos y la Mesa y la Secretaría participaron en las reuniones de gestión convocadas para cada una de las cuatro evaluaciones regionales y para la evaluación de la degradación y </w:t>
      </w:r>
      <w:r w:rsidR="003E3391" w:rsidRPr="009859D6">
        <w:rPr>
          <w:lang w:val="es-ES"/>
        </w:rPr>
        <w:t xml:space="preserve">la </w:t>
      </w:r>
      <w:r w:rsidRPr="009859D6">
        <w:rPr>
          <w:lang w:val="es-ES"/>
        </w:rPr>
        <w:t xml:space="preserve">restauración de la tierra a fin de facilitar el proceso de selección y de concretar el alcance, el calendario, las atribuciones </w:t>
      </w:r>
      <w:r w:rsidR="00021567" w:rsidRPr="009859D6">
        <w:rPr>
          <w:lang w:val="es-ES"/>
        </w:rPr>
        <w:t>y</w:t>
      </w:r>
      <w:r w:rsidRPr="009859D6">
        <w:rPr>
          <w:lang w:val="es-ES"/>
        </w:rPr>
        <w:t xml:space="preserve"> las responsabilidades de todos los actores, y para preparar las primeras reuniones de autores. Esta práctica, con la que ya se experimentó en 2014 y que se hizo extensiva a otros productos </w:t>
      </w:r>
      <w:r w:rsidR="00346B42" w:rsidRPr="009859D6">
        <w:rPr>
          <w:lang w:val="es-ES"/>
        </w:rPr>
        <w:t xml:space="preserve">previstos </w:t>
      </w:r>
      <w:r w:rsidRPr="009859D6">
        <w:rPr>
          <w:lang w:val="es-ES"/>
        </w:rPr>
        <w:t>en 2015</w:t>
      </w:r>
      <w:r w:rsidR="00346B42" w:rsidRPr="009859D6">
        <w:rPr>
          <w:lang w:val="es-ES"/>
        </w:rPr>
        <w:t xml:space="preserve">, ha resultado ser </w:t>
      </w:r>
      <w:r w:rsidRPr="009859D6">
        <w:rPr>
          <w:lang w:val="es-ES"/>
        </w:rPr>
        <w:t>muy útil y será empleada también en evaluaciones futuras</w:t>
      </w:r>
      <w:r w:rsidR="00717D1F" w:rsidRPr="009859D6">
        <w:rPr>
          <w:lang w:val="es-ES"/>
        </w:rPr>
        <w:t>;</w:t>
      </w:r>
    </w:p>
    <w:p w:rsidR="00F00DD2" w:rsidRPr="009859D6" w:rsidRDefault="008D52CF" w:rsidP="004E4AD1">
      <w:pPr>
        <w:pStyle w:val="Normalnumber"/>
        <w:numPr>
          <w:ilvl w:val="1"/>
          <w:numId w:val="4"/>
        </w:numPr>
        <w:tabs>
          <w:tab w:val="clear" w:pos="1247"/>
          <w:tab w:val="clear" w:pos="1814"/>
          <w:tab w:val="clear" w:pos="2381"/>
          <w:tab w:val="clear" w:pos="2948"/>
          <w:tab w:val="clear" w:pos="3515"/>
          <w:tab w:val="left" w:pos="1276"/>
        </w:tabs>
        <w:ind w:left="1247" w:firstLine="624"/>
        <w:rPr>
          <w:lang w:val="es-ES"/>
        </w:rPr>
      </w:pPr>
      <w:r w:rsidRPr="009859D6">
        <w:rPr>
          <w:i/>
          <w:lang w:val="es-ES"/>
        </w:rPr>
        <w:t>U</w:t>
      </w:r>
      <w:r w:rsidR="00346B42" w:rsidRPr="009859D6">
        <w:rPr>
          <w:i/>
          <w:lang w:val="es-ES"/>
        </w:rPr>
        <w:t>so de las conferencias electrónicas</w:t>
      </w:r>
      <w:r w:rsidRPr="009859D6">
        <w:rPr>
          <w:i/>
          <w:lang w:val="es-ES"/>
        </w:rPr>
        <w:t xml:space="preserve"> para determinar el alcance de evaluaciones futuras</w:t>
      </w:r>
      <w:r w:rsidR="0066568D" w:rsidRPr="009859D6">
        <w:rPr>
          <w:lang w:val="es-ES"/>
        </w:rPr>
        <w:t xml:space="preserve">. </w:t>
      </w:r>
      <w:r w:rsidRPr="009859D6">
        <w:rPr>
          <w:lang w:val="es-ES"/>
        </w:rPr>
        <w:t xml:space="preserve">Se adoptaron varias iniciativas destinadas a incrementar el uso de medios virtuales en la celebración de reuniones. Se redactaron dos informes </w:t>
      </w:r>
      <w:r w:rsidR="00021567" w:rsidRPr="009859D6">
        <w:rPr>
          <w:lang w:val="es-ES"/>
        </w:rPr>
        <w:t xml:space="preserve">de análisis inicial </w:t>
      </w:r>
      <w:r w:rsidRPr="009859D6">
        <w:rPr>
          <w:lang w:val="es-ES"/>
        </w:rPr>
        <w:t xml:space="preserve">sobre especies exóticas invasoras y el uso sostenible de la biodiversidad </w:t>
      </w:r>
      <w:r w:rsidR="00E509E7" w:rsidRPr="009859D6">
        <w:rPr>
          <w:lang w:val="es-ES"/>
        </w:rPr>
        <w:t>mediante conferencias electrónicas de libre acceso a</w:t>
      </w:r>
      <w:r w:rsidR="00A901AD" w:rsidRPr="009859D6">
        <w:rPr>
          <w:lang w:val="es-ES"/>
        </w:rPr>
        <w:t> </w:t>
      </w:r>
      <w:r w:rsidR="00E509E7" w:rsidRPr="009859D6">
        <w:rPr>
          <w:lang w:val="es-ES"/>
        </w:rPr>
        <w:t>través de Internet, en lugar de dos reuniones presenciales, lo que resultaría en un ahorro total de</w:t>
      </w:r>
      <w:r w:rsidR="00A901AD" w:rsidRPr="009859D6">
        <w:rPr>
          <w:lang w:val="es-ES"/>
        </w:rPr>
        <w:t> </w:t>
      </w:r>
      <w:r w:rsidR="00E509E7" w:rsidRPr="009859D6">
        <w:rPr>
          <w:lang w:val="es-ES"/>
        </w:rPr>
        <w:t>165.000</w:t>
      </w:r>
      <w:r w:rsidR="00A901AD" w:rsidRPr="009859D6">
        <w:rPr>
          <w:lang w:val="es-ES"/>
        </w:rPr>
        <w:t xml:space="preserve"> </w:t>
      </w:r>
      <w:r w:rsidR="005B2C31" w:rsidRPr="009859D6">
        <w:rPr>
          <w:lang w:val="es-ES"/>
        </w:rPr>
        <w:t xml:space="preserve">dólares </w:t>
      </w:r>
      <w:r w:rsidR="00E509E7" w:rsidRPr="009859D6">
        <w:rPr>
          <w:lang w:val="es-ES"/>
        </w:rPr>
        <w:t xml:space="preserve">de los Estados Unidos </w:t>
      </w:r>
      <w:r w:rsidR="00DC1B85" w:rsidRPr="009859D6">
        <w:rPr>
          <w:lang w:val="es-ES"/>
        </w:rPr>
        <w:t xml:space="preserve">(IPBES/4/10 </w:t>
      </w:r>
      <w:r w:rsidR="005B2C31" w:rsidRPr="009859D6">
        <w:rPr>
          <w:lang w:val="es-ES"/>
        </w:rPr>
        <w:t xml:space="preserve">e </w:t>
      </w:r>
      <w:r w:rsidR="00DC1B85" w:rsidRPr="009859D6">
        <w:rPr>
          <w:lang w:val="es-ES"/>
        </w:rPr>
        <w:t>IPBES/4/11).</w:t>
      </w:r>
      <w:r w:rsidR="00E509E7" w:rsidRPr="009859D6">
        <w:rPr>
          <w:lang w:val="es-ES"/>
        </w:rPr>
        <w:t xml:space="preserve"> La conferencia electrónica funcionó bien en el caso de las especies exóticas invasoras</w:t>
      </w:r>
      <w:r w:rsidR="005B2C31" w:rsidRPr="009859D6">
        <w:rPr>
          <w:lang w:val="es-ES"/>
        </w:rPr>
        <w:t>,</w:t>
      </w:r>
      <w:r w:rsidR="00E509E7" w:rsidRPr="009859D6">
        <w:rPr>
          <w:lang w:val="es-ES"/>
        </w:rPr>
        <w:t xml:space="preserve"> pero no tanto en el caso del uso sostenible de la biodiversidad, un tema más amplio y complejo. El Grupo dedicó algún tiempo durante su sexta reunión a debatir los resultados de la conferencia electrónica sobre el uso sostenible de la biodiversidad y expresó la opinión de que una reunión preliminar habría sido beneficiosa</w:t>
      </w:r>
      <w:r w:rsidR="006C1E4B" w:rsidRPr="009859D6">
        <w:rPr>
          <w:lang w:val="es-ES"/>
        </w:rPr>
        <w:t>.</w:t>
      </w:r>
      <w:r w:rsidR="00E509E7" w:rsidRPr="009859D6">
        <w:rPr>
          <w:lang w:val="es-ES"/>
        </w:rPr>
        <w:t xml:space="preserve"> La recomendación del Grupo fue que las conferencias electrónicas podrían utilizarse en el futuro como parte del proceso preliminar, pero que para cuestiones más complejas debería celebrarse una reunión presencial a fin de continuar debatiendo el resultado</w:t>
      </w:r>
      <w:r w:rsidR="006C1E4B" w:rsidRPr="009859D6">
        <w:rPr>
          <w:lang w:val="es-ES"/>
        </w:rPr>
        <w:t xml:space="preserve">. </w:t>
      </w:r>
      <w:r w:rsidR="00405A40" w:rsidRPr="009859D6">
        <w:rPr>
          <w:lang w:val="es-ES"/>
        </w:rPr>
        <w:t>Debe reseñarse, sin embargo, que la gestión de las conferencias electrónicas consumió una gran cantidad de tiempo, ya que fue preciso someter a control los comentarios de varios cientos de participantes antes de su publicación, y que la Secretaría se benefició de la asistencia de cuatro internos que trabajaron por turnos con carácter voluntario</w:t>
      </w:r>
      <w:r w:rsidR="00BF30F2" w:rsidRPr="009859D6">
        <w:rPr>
          <w:lang w:val="es-ES"/>
        </w:rPr>
        <w:t>;</w:t>
      </w:r>
      <w:r w:rsidR="00335112" w:rsidRPr="009859D6">
        <w:rPr>
          <w:lang w:val="es-ES"/>
        </w:rPr>
        <w:t xml:space="preserve"> </w:t>
      </w:r>
    </w:p>
    <w:p w:rsidR="004E4AD1" w:rsidRPr="009859D6" w:rsidRDefault="00405A40" w:rsidP="004E4AD1">
      <w:pPr>
        <w:pStyle w:val="Normalnumber"/>
        <w:numPr>
          <w:ilvl w:val="1"/>
          <w:numId w:val="4"/>
        </w:numPr>
        <w:tabs>
          <w:tab w:val="clear" w:pos="1247"/>
          <w:tab w:val="clear" w:pos="1814"/>
          <w:tab w:val="clear" w:pos="2381"/>
          <w:tab w:val="clear" w:pos="2948"/>
          <w:tab w:val="clear" w:pos="3515"/>
          <w:tab w:val="left" w:pos="1276"/>
        </w:tabs>
        <w:ind w:left="1247" w:firstLine="624"/>
        <w:rPr>
          <w:lang w:val="es-ES"/>
        </w:rPr>
      </w:pPr>
      <w:r w:rsidRPr="009859D6">
        <w:rPr>
          <w:i/>
          <w:lang w:val="es-ES"/>
        </w:rPr>
        <w:t>Uso de otros medios virtuales y electrónicos</w:t>
      </w:r>
      <w:r w:rsidR="00886865" w:rsidRPr="009859D6">
        <w:rPr>
          <w:i/>
          <w:lang w:val="es-ES"/>
        </w:rPr>
        <w:t>.</w:t>
      </w:r>
      <w:r w:rsidR="00F00DD2" w:rsidRPr="009859D6">
        <w:rPr>
          <w:i/>
          <w:lang w:val="es-ES"/>
        </w:rPr>
        <w:t xml:space="preserve"> </w:t>
      </w:r>
      <w:r w:rsidRPr="009859D6">
        <w:rPr>
          <w:lang w:val="es-ES"/>
        </w:rPr>
        <w:t>La Secretaría y las dependencias de apoyo técnico convocaron con regularidad teleconferencias en las que participaron, con diferentes composiciones, el Grupo, la Mesa, interesados</w:t>
      </w:r>
      <w:r w:rsidR="00DC1B85" w:rsidRPr="009859D6">
        <w:rPr>
          <w:lang w:val="es-ES"/>
        </w:rPr>
        <w:t xml:space="preserve">, </w:t>
      </w:r>
      <w:r w:rsidRPr="009859D6">
        <w:rPr>
          <w:lang w:val="es-ES"/>
        </w:rPr>
        <w:t>Copresidentes, autores principales encargados de la coordinación y autores principales de evaluaciones</w:t>
      </w:r>
      <w:r w:rsidR="00DC1B85" w:rsidRPr="009859D6">
        <w:rPr>
          <w:lang w:val="es-ES"/>
        </w:rPr>
        <w:t xml:space="preserve">. </w:t>
      </w:r>
      <w:r w:rsidRPr="009859D6">
        <w:rPr>
          <w:lang w:val="es-ES"/>
        </w:rPr>
        <w:t xml:space="preserve">La Secretaría adquirió también un sistema de mejora de la productividad en la oficina con múltiples licencias que facilita el intercambio de </w:t>
      </w:r>
      <w:r w:rsidRPr="009859D6">
        <w:rPr>
          <w:lang w:val="es-ES"/>
        </w:rPr>
        <w:lastRenderedPageBreak/>
        <w:t>informaciones, la gestión de los programas y la colaboración entre la Secretaría, las dependencias de apoyo técnico</w:t>
      </w:r>
      <w:r w:rsidRPr="009859D6">
        <w:rPr>
          <w:bCs/>
          <w:lang w:val="es-ES"/>
        </w:rPr>
        <w:t>, los expertos y los miembros de la Mesa y el Grupo de forma segura y fiable</w:t>
      </w:r>
      <w:r w:rsidR="004E4AD1" w:rsidRPr="009859D6">
        <w:rPr>
          <w:bCs/>
          <w:lang w:val="es-ES"/>
        </w:rPr>
        <w:t xml:space="preserve">. </w:t>
      </w:r>
      <w:r w:rsidRPr="009859D6">
        <w:rPr>
          <w:bCs/>
          <w:lang w:val="es-ES"/>
        </w:rPr>
        <w:t xml:space="preserve">El sistema de productividad </w:t>
      </w:r>
      <w:r w:rsidR="00021567" w:rsidRPr="009859D6">
        <w:rPr>
          <w:bCs/>
          <w:lang w:val="es-ES"/>
        </w:rPr>
        <w:t>ayudará</w:t>
      </w:r>
      <w:r w:rsidR="005B2C31" w:rsidRPr="009859D6">
        <w:rPr>
          <w:bCs/>
          <w:lang w:val="es-ES"/>
        </w:rPr>
        <w:t xml:space="preserve"> </w:t>
      </w:r>
      <w:r w:rsidRPr="009859D6">
        <w:rPr>
          <w:bCs/>
          <w:lang w:val="es-ES"/>
        </w:rPr>
        <w:t xml:space="preserve">también </w:t>
      </w:r>
      <w:r w:rsidR="005B2C31" w:rsidRPr="009859D6">
        <w:rPr>
          <w:bCs/>
          <w:lang w:val="es-ES"/>
        </w:rPr>
        <w:t xml:space="preserve">en </w:t>
      </w:r>
      <w:r w:rsidRPr="009859D6">
        <w:rPr>
          <w:bCs/>
          <w:lang w:val="es-ES"/>
        </w:rPr>
        <w:t>la preparación, la realización y el seguimiento de las reuniones. A</w:t>
      </w:r>
      <w:r w:rsidR="005B2C31" w:rsidRPr="009859D6">
        <w:rPr>
          <w:bCs/>
          <w:lang w:val="es-ES"/>
        </w:rPr>
        <w:t>u</w:t>
      </w:r>
      <w:r w:rsidRPr="009859D6">
        <w:rPr>
          <w:bCs/>
          <w:lang w:val="es-ES"/>
        </w:rPr>
        <w:t xml:space="preserve">n cuando las teleconferencias y el sistema de productividad no supusieron un ahorro presupuestario directo en términos de reuniones evitadas, </w:t>
      </w:r>
      <w:r w:rsidR="00021567" w:rsidRPr="009859D6">
        <w:rPr>
          <w:bCs/>
          <w:lang w:val="es-ES"/>
        </w:rPr>
        <w:t xml:space="preserve">sí </w:t>
      </w:r>
      <w:r w:rsidRPr="009859D6">
        <w:rPr>
          <w:bCs/>
          <w:lang w:val="es-ES"/>
        </w:rPr>
        <w:t>reforzaron considerablemente la coherencia en la aplicación</w:t>
      </w:r>
      <w:r w:rsidRPr="009859D6">
        <w:rPr>
          <w:lang w:val="es-ES"/>
        </w:rPr>
        <w:t xml:space="preserve"> del programa de trabajo en su conjunto con un costo muy reducido</w:t>
      </w:r>
      <w:r w:rsidR="004E4AD1" w:rsidRPr="009859D6">
        <w:rPr>
          <w:lang w:val="es-ES"/>
        </w:rPr>
        <w:t>.</w:t>
      </w:r>
    </w:p>
    <w:p w:rsidR="00356F35" w:rsidRPr="009859D6" w:rsidRDefault="00F061E5" w:rsidP="007E3905">
      <w:pPr>
        <w:pStyle w:val="Normalnumber"/>
        <w:numPr>
          <w:ilvl w:val="0"/>
          <w:numId w:val="4"/>
        </w:numPr>
        <w:tabs>
          <w:tab w:val="clear" w:pos="1247"/>
          <w:tab w:val="clear" w:pos="1814"/>
          <w:tab w:val="clear" w:pos="2381"/>
          <w:tab w:val="clear" w:pos="2948"/>
          <w:tab w:val="clear" w:pos="3515"/>
        </w:tabs>
        <w:ind w:firstLine="65"/>
        <w:rPr>
          <w:lang w:val="es-ES"/>
        </w:rPr>
      </w:pPr>
      <w:r w:rsidRPr="009859D6">
        <w:rPr>
          <w:lang w:val="es-ES"/>
        </w:rPr>
        <w:t>2015 siguió planteando retos en lo relativo a la contratación en la Secretaría, tal y como se describe en la actualización siguiente</w:t>
      </w:r>
      <w:r w:rsidR="00356F35" w:rsidRPr="009859D6">
        <w:rPr>
          <w:lang w:val="es-ES"/>
        </w:rPr>
        <w:t>:</w:t>
      </w:r>
    </w:p>
    <w:p w:rsidR="00356F35" w:rsidRPr="009859D6" w:rsidRDefault="00F061E5" w:rsidP="00356F35">
      <w:pPr>
        <w:pStyle w:val="Normalnumber"/>
        <w:numPr>
          <w:ilvl w:val="1"/>
          <w:numId w:val="4"/>
        </w:numPr>
        <w:tabs>
          <w:tab w:val="clear" w:pos="1247"/>
          <w:tab w:val="clear" w:pos="1814"/>
          <w:tab w:val="clear" w:pos="2381"/>
          <w:tab w:val="clear" w:pos="2948"/>
          <w:tab w:val="clear" w:pos="3515"/>
        </w:tabs>
        <w:ind w:left="1276" w:firstLine="709"/>
        <w:rPr>
          <w:lang w:val="es-ES"/>
        </w:rPr>
      </w:pPr>
      <w:r w:rsidRPr="009859D6">
        <w:rPr>
          <w:lang w:val="es-ES"/>
        </w:rPr>
        <w:t>En 2015 se contrató a dos nuevos miembros del personal (Oficiales de Programas P</w:t>
      </w:r>
      <w:r w:rsidR="00A901AD" w:rsidRPr="009859D6">
        <w:rPr>
          <w:lang w:val="es-ES"/>
        </w:rPr>
        <w:noBreakHyphen/>
      </w:r>
      <w:r w:rsidRPr="009859D6">
        <w:rPr>
          <w:lang w:val="es-ES"/>
        </w:rPr>
        <w:t>3 y P</w:t>
      </w:r>
      <w:r w:rsidR="00A901AD" w:rsidRPr="009859D6">
        <w:rPr>
          <w:lang w:val="es-ES"/>
        </w:rPr>
        <w:noBreakHyphen/>
      </w:r>
      <w:r w:rsidRPr="009859D6">
        <w:rPr>
          <w:lang w:val="es-ES"/>
        </w:rPr>
        <w:t>4)</w:t>
      </w:r>
      <w:r w:rsidR="008845E4" w:rsidRPr="009859D6">
        <w:rPr>
          <w:lang w:val="es-ES"/>
        </w:rPr>
        <w:t xml:space="preserve">, </w:t>
      </w:r>
      <w:r w:rsidRPr="009859D6">
        <w:rPr>
          <w:lang w:val="es-ES"/>
        </w:rPr>
        <w:t>con lo que se cerraba el primer ciclo de contratación para los nueve puestos previstos inicialmente para la Secretaría</w:t>
      </w:r>
      <w:r w:rsidR="00BF30F2" w:rsidRPr="009859D6">
        <w:rPr>
          <w:lang w:val="es-ES"/>
        </w:rPr>
        <w:t>;</w:t>
      </w:r>
      <w:r w:rsidR="007E3905" w:rsidRPr="009859D6">
        <w:rPr>
          <w:lang w:val="es-ES"/>
        </w:rPr>
        <w:t xml:space="preserve"> </w:t>
      </w:r>
    </w:p>
    <w:p w:rsidR="00356F35" w:rsidRPr="009859D6" w:rsidRDefault="00F061E5" w:rsidP="00356F35">
      <w:pPr>
        <w:pStyle w:val="Normalnumber"/>
        <w:numPr>
          <w:ilvl w:val="1"/>
          <w:numId w:val="4"/>
        </w:numPr>
        <w:tabs>
          <w:tab w:val="clear" w:pos="1247"/>
          <w:tab w:val="clear" w:pos="1814"/>
          <w:tab w:val="clear" w:pos="2381"/>
          <w:tab w:val="clear" w:pos="2948"/>
          <w:tab w:val="clear" w:pos="3515"/>
        </w:tabs>
        <w:ind w:left="1276" w:firstLine="709"/>
        <w:rPr>
          <w:lang w:val="es-ES"/>
        </w:rPr>
      </w:pPr>
      <w:r w:rsidRPr="009859D6">
        <w:rPr>
          <w:lang w:val="es-ES"/>
        </w:rPr>
        <w:t xml:space="preserve">Los tres nuevos puestos acordados por el Plenario en su tercer </w:t>
      </w:r>
      <w:r w:rsidR="001901B3" w:rsidRPr="009859D6">
        <w:rPr>
          <w:lang w:val="es-ES"/>
        </w:rPr>
        <w:t>período de sesiones</w:t>
      </w:r>
      <w:r w:rsidRPr="009859D6">
        <w:rPr>
          <w:lang w:val="es-ES"/>
        </w:rPr>
        <w:t xml:space="preserve"> debían publicarse entre octubre y diciembre de 2015. En 2015, el proceso de contratación se prolongó durante más tiempo que en 2014 debido a una reforma administrativa en la Secretaría de las </w:t>
      </w:r>
      <w:r w:rsidR="00DB010B" w:rsidRPr="009859D6">
        <w:rPr>
          <w:lang w:val="es-ES"/>
        </w:rPr>
        <w:t>Naciones Unidas</w:t>
      </w:r>
      <w:r w:rsidRPr="009859D6">
        <w:rPr>
          <w:lang w:val="es-ES"/>
        </w:rPr>
        <w:t xml:space="preserve"> y a la aplicación del nuevo proyecto de planificación de los recursos institucionales (Umoja), que afectó a la gestión de las finanzas, los recursos y los activos y </w:t>
      </w:r>
      <w:r w:rsidR="00030635" w:rsidRPr="009859D6">
        <w:rPr>
          <w:lang w:val="es-ES"/>
        </w:rPr>
        <w:t xml:space="preserve">dio lugar a varios períodos </w:t>
      </w:r>
      <w:r w:rsidRPr="009859D6">
        <w:rPr>
          <w:lang w:val="es-ES"/>
        </w:rPr>
        <w:t xml:space="preserve">de inactividad del sistema, algo que obligó a todo el personal de la Oficina de </w:t>
      </w:r>
      <w:r w:rsidR="00DB010B" w:rsidRPr="009859D6">
        <w:rPr>
          <w:lang w:val="es-ES"/>
        </w:rPr>
        <w:t>Naciones Unidas</w:t>
      </w:r>
      <w:r w:rsidRPr="009859D6">
        <w:rPr>
          <w:lang w:val="es-ES"/>
        </w:rPr>
        <w:t xml:space="preserve"> en Nairobi y del Programa de las </w:t>
      </w:r>
      <w:r w:rsidR="00DB010B" w:rsidRPr="009859D6">
        <w:rPr>
          <w:lang w:val="es-ES"/>
        </w:rPr>
        <w:t>Naciones Unidas</w:t>
      </w:r>
      <w:r w:rsidRPr="009859D6">
        <w:rPr>
          <w:lang w:val="es-ES"/>
        </w:rPr>
        <w:t xml:space="preserve"> para el Medio Ambiente </w:t>
      </w:r>
      <w:r w:rsidR="00BF30F2" w:rsidRPr="009859D6">
        <w:rPr>
          <w:lang w:val="es-ES"/>
        </w:rPr>
        <w:t xml:space="preserve">(PNUMA) </w:t>
      </w:r>
      <w:r w:rsidRPr="009859D6">
        <w:rPr>
          <w:lang w:val="es-ES"/>
        </w:rPr>
        <w:t>a participar en cursos de capacitación y obtener derechos de acceso adecuados al nuevo sistema, un proceso que requirió una cantidad de tiempo considerable</w:t>
      </w:r>
      <w:r w:rsidR="00BF30F2" w:rsidRPr="009859D6">
        <w:rPr>
          <w:lang w:val="es-ES"/>
        </w:rPr>
        <w:t>;</w:t>
      </w:r>
    </w:p>
    <w:p w:rsidR="00356F35" w:rsidRPr="009859D6" w:rsidRDefault="00F061E5" w:rsidP="00356F35">
      <w:pPr>
        <w:pStyle w:val="Normalnumber"/>
        <w:numPr>
          <w:ilvl w:val="1"/>
          <w:numId w:val="4"/>
        </w:numPr>
        <w:tabs>
          <w:tab w:val="clear" w:pos="1247"/>
          <w:tab w:val="clear" w:pos="1814"/>
          <w:tab w:val="clear" w:pos="2381"/>
          <w:tab w:val="clear" w:pos="2948"/>
          <w:tab w:val="clear" w:pos="3515"/>
        </w:tabs>
        <w:ind w:left="1276" w:firstLine="709"/>
        <w:rPr>
          <w:lang w:val="es-ES"/>
        </w:rPr>
      </w:pPr>
      <w:r w:rsidRPr="009859D6">
        <w:rPr>
          <w:lang w:val="es-ES"/>
        </w:rPr>
        <w:t>Se produjo la salida de tres miembros del personal, que abandon</w:t>
      </w:r>
      <w:r w:rsidR="005B2C31" w:rsidRPr="009859D6">
        <w:rPr>
          <w:lang w:val="es-ES"/>
        </w:rPr>
        <w:t>aron</w:t>
      </w:r>
      <w:r w:rsidRPr="009859D6">
        <w:rPr>
          <w:lang w:val="es-ES"/>
        </w:rPr>
        <w:t xml:space="preserve"> la Secretaría en febrero </w:t>
      </w:r>
      <w:r w:rsidR="007E3905" w:rsidRPr="009859D6">
        <w:rPr>
          <w:lang w:val="es-ES"/>
        </w:rPr>
        <w:t>(</w:t>
      </w:r>
      <w:r w:rsidRPr="009859D6">
        <w:rPr>
          <w:lang w:val="es-ES"/>
        </w:rPr>
        <w:t xml:space="preserve">Oficial Administrativo, </w:t>
      </w:r>
      <w:r w:rsidR="007E3905" w:rsidRPr="009859D6">
        <w:rPr>
          <w:lang w:val="es-ES"/>
        </w:rPr>
        <w:t>P</w:t>
      </w:r>
      <w:r w:rsidR="00A901AD" w:rsidRPr="009859D6">
        <w:rPr>
          <w:lang w:val="es-ES"/>
        </w:rPr>
        <w:noBreakHyphen/>
      </w:r>
      <w:r w:rsidR="007E3905" w:rsidRPr="009859D6">
        <w:rPr>
          <w:lang w:val="es-ES"/>
        </w:rPr>
        <w:t xml:space="preserve">3), </w:t>
      </w:r>
      <w:r w:rsidRPr="009859D6">
        <w:rPr>
          <w:lang w:val="es-ES"/>
        </w:rPr>
        <w:t xml:space="preserve">julio </w:t>
      </w:r>
      <w:r w:rsidR="007E3905" w:rsidRPr="009859D6">
        <w:rPr>
          <w:lang w:val="es-ES"/>
        </w:rPr>
        <w:t>(</w:t>
      </w:r>
      <w:r w:rsidRPr="009859D6">
        <w:rPr>
          <w:lang w:val="es-ES"/>
        </w:rPr>
        <w:t xml:space="preserve">Oficial de Comunicaciones, </w:t>
      </w:r>
      <w:r w:rsidR="008845E4" w:rsidRPr="009859D6">
        <w:rPr>
          <w:lang w:val="es-ES"/>
        </w:rPr>
        <w:t>P</w:t>
      </w:r>
      <w:r w:rsidR="00A901AD" w:rsidRPr="009859D6">
        <w:rPr>
          <w:lang w:val="es-ES"/>
        </w:rPr>
        <w:noBreakHyphen/>
      </w:r>
      <w:r w:rsidR="008845E4" w:rsidRPr="009859D6">
        <w:rPr>
          <w:lang w:val="es-ES"/>
        </w:rPr>
        <w:t>4</w:t>
      </w:r>
      <w:r w:rsidR="007E3905" w:rsidRPr="009859D6">
        <w:rPr>
          <w:lang w:val="es-ES"/>
        </w:rPr>
        <w:t>)</w:t>
      </w:r>
      <w:r w:rsidR="008C6EB9" w:rsidRPr="009859D6">
        <w:rPr>
          <w:lang w:val="es-ES"/>
        </w:rPr>
        <w:t xml:space="preserve"> y</w:t>
      </w:r>
      <w:r w:rsidR="008845E4" w:rsidRPr="009859D6">
        <w:rPr>
          <w:lang w:val="es-ES"/>
        </w:rPr>
        <w:t xml:space="preserve"> </w:t>
      </w:r>
      <w:r w:rsidR="008C6EB9" w:rsidRPr="009859D6">
        <w:rPr>
          <w:lang w:val="es-ES"/>
        </w:rPr>
        <w:t xml:space="preserve">octubre de </w:t>
      </w:r>
      <w:r w:rsidR="007E3905" w:rsidRPr="009859D6">
        <w:rPr>
          <w:lang w:val="es-ES"/>
        </w:rPr>
        <w:t>2015 (</w:t>
      </w:r>
      <w:r w:rsidR="008C6EB9" w:rsidRPr="009859D6">
        <w:rPr>
          <w:lang w:val="es-ES"/>
        </w:rPr>
        <w:t xml:space="preserve">auxiliar administrativo, </w:t>
      </w:r>
      <w:r w:rsidR="008845E4" w:rsidRPr="009859D6">
        <w:rPr>
          <w:lang w:val="es-ES"/>
        </w:rPr>
        <w:t>G</w:t>
      </w:r>
      <w:r w:rsidR="00A901AD" w:rsidRPr="009859D6">
        <w:rPr>
          <w:lang w:val="es-ES"/>
        </w:rPr>
        <w:noBreakHyphen/>
      </w:r>
      <w:r w:rsidR="008845E4" w:rsidRPr="009859D6">
        <w:rPr>
          <w:lang w:val="es-ES"/>
        </w:rPr>
        <w:t>6</w:t>
      </w:r>
      <w:r w:rsidR="007E3905" w:rsidRPr="009859D6">
        <w:rPr>
          <w:lang w:val="es-ES"/>
        </w:rPr>
        <w:t>).</w:t>
      </w:r>
      <w:r w:rsidR="008C6EB9" w:rsidRPr="009859D6">
        <w:rPr>
          <w:lang w:val="es-ES"/>
        </w:rPr>
        <w:t xml:space="preserve"> Las entrevistas para el puesto de</w:t>
      </w:r>
      <w:r w:rsidR="007E3905" w:rsidRPr="009859D6">
        <w:rPr>
          <w:lang w:val="es-ES"/>
        </w:rPr>
        <w:t xml:space="preserve"> P</w:t>
      </w:r>
      <w:r w:rsidR="00A901AD" w:rsidRPr="009859D6">
        <w:rPr>
          <w:lang w:val="es-ES"/>
        </w:rPr>
        <w:noBreakHyphen/>
      </w:r>
      <w:r w:rsidR="007E3905" w:rsidRPr="009859D6">
        <w:rPr>
          <w:lang w:val="es-ES"/>
        </w:rPr>
        <w:t>3</w:t>
      </w:r>
      <w:r w:rsidR="008C6EB9" w:rsidRPr="009859D6">
        <w:rPr>
          <w:lang w:val="es-ES"/>
        </w:rPr>
        <w:t xml:space="preserve"> se llevaron a cabo en septiembre de 2015 y está previsto que la contratación se complete antes de la cuarta sesión del Plenario. Uno de los puestos restantes fue publicado en octubre de 2015, y está previsto que el otro sea publicado en noviembre de 2015</w:t>
      </w:r>
      <w:r w:rsidR="00BF30F2" w:rsidRPr="009859D6">
        <w:rPr>
          <w:lang w:val="es-ES"/>
        </w:rPr>
        <w:t>;</w:t>
      </w:r>
    </w:p>
    <w:p w:rsidR="00364C10" w:rsidRPr="009859D6" w:rsidRDefault="0096180E" w:rsidP="00356F35">
      <w:pPr>
        <w:pStyle w:val="Normalnumber"/>
        <w:numPr>
          <w:ilvl w:val="1"/>
          <w:numId w:val="4"/>
        </w:numPr>
        <w:tabs>
          <w:tab w:val="clear" w:pos="1247"/>
          <w:tab w:val="clear" w:pos="1814"/>
          <w:tab w:val="clear" w:pos="2381"/>
          <w:tab w:val="clear" w:pos="2948"/>
          <w:tab w:val="clear" w:pos="3515"/>
        </w:tabs>
        <w:ind w:left="1276" w:firstLine="709"/>
        <w:rPr>
          <w:lang w:val="es-ES"/>
        </w:rPr>
      </w:pPr>
      <w:r w:rsidRPr="009859D6">
        <w:rPr>
          <w:lang w:val="es-ES"/>
        </w:rPr>
        <w:t xml:space="preserve">La Secretaría superó los retos enumerados anteriormente de distintas maneras y cumplió su mandato. El puesto de Oficial Administrativo </w:t>
      </w:r>
      <w:r w:rsidR="00335112" w:rsidRPr="009859D6">
        <w:rPr>
          <w:lang w:val="es-ES"/>
        </w:rPr>
        <w:t>(P</w:t>
      </w:r>
      <w:r w:rsidR="00A901AD" w:rsidRPr="009859D6">
        <w:rPr>
          <w:lang w:val="es-ES"/>
        </w:rPr>
        <w:noBreakHyphen/>
      </w:r>
      <w:r w:rsidR="00335112" w:rsidRPr="009859D6">
        <w:rPr>
          <w:lang w:val="es-ES"/>
        </w:rPr>
        <w:t xml:space="preserve">3) </w:t>
      </w:r>
      <w:r w:rsidRPr="009859D6">
        <w:rPr>
          <w:lang w:val="es-ES"/>
        </w:rPr>
        <w:t xml:space="preserve">pudo cubrirse gracias al apoyo del personal de la Secretaría de la Convención sobre la Conservación de las Especies Migratorias de Animales Silvestres y del personal del departamento de finanzas de la División de Alerta Temprana </w:t>
      </w:r>
      <w:r w:rsidR="00030635" w:rsidRPr="009859D6">
        <w:rPr>
          <w:lang w:val="es-ES"/>
        </w:rPr>
        <w:t xml:space="preserve">y Evaluación </w:t>
      </w:r>
      <w:r w:rsidRPr="009859D6">
        <w:rPr>
          <w:lang w:val="es-ES"/>
        </w:rPr>
        <w:t xml:space="preserve">del </w:t>
      </w:r>
      <w:r w:rsidR="00BF30F2" w:rsidRPr="009859D6">
        <w:rPr>
          <w:lang w:val="es-ES"/>
        </w:rPr>
        <w:t>PNUMA</w:t>
      </w:r>
      <w:r w:rsidRPr="009859D6">
        <w:rPr>
          <w:lang w:val="es-ES"/>
        </w:rPr>
        <w:t>.</w:t>
      </w:r>
      <w:r w:rsidR="00335112" w:rsidRPr="009859D6">
        <w:rPr>
          <w:lang w:val="es-ES"/>
        </w:rPr>
        <w:t xml:space="preserve"> </w:t>
      </w:r>
      <w:r w:rsidRPr="009859D6">
        <w:rPr>
          <w:lang w:val="es-ES"/>
        </w:rPr>
        <w:t xml:space="preserve">También se obtuvo apoyo de siete internos, seleccionados de conformidad con las reglas del </w:t>
      </w:r>
      <w:r w:rsidR="006F0F0F" w:rsidRPr="009859D6">
        <w:rPr>
          <w:lang w:val="es-ES"/>
        </w:rPr>
        <w:t>PNUMA</w:t>
      </w:r>
      <w:r w:rsidRPr="009859D6">
        <w:rPr>
          <w:lang w:val="es-ES"/>
        </w:rPr>
        <w:t xml:space="preserve">, quienes trabajaron en calidad de voluntarios y contribuyeron al funcionamiento de varios proyectos, incluidas dos conferencias electrónicas. El puesto de asistente de viaje </w:t>
      </w:r>
      <w:r w:rsidR="00986D8C" w:rsidRPr="009859D6">
        <w:rPr>
          <w:lang w:val="es-ES"/>
        </w:rPr>
        <w:t>(</w:t>
      </w:r>
      <w:r w:rsidR="006A1D40" w:rsidRPr="009859D6">
        <w:rPr>
          <w:lang w:val="es-ES"/>
        </w:rPr>
        <w:t xml:space="preserve">Auxiliar </w:t>
      </w:r>
      <w:r w:rsidRPr="009859D6">
        <w:rPr>
          <w:lang w:val="es-ES"/>
        </w:rPr>
        <w:t>A</w:t>
      </w:r>
      <w:r w:rsidR="006A1D40" w:rsidRPr="009859D6">
        <w:rPr>
          <w:lang w:val="es-ES"/>
        </w:rPr>
        <w:t>dmi</w:t>
      </w:r>
      <w:r w:rsidRPr="009859D6">
        <w:rPr>
          <w:lang w:val="es-ES"/>
        </w:rPr>
        <w:t>n</w:t>
      </w:r>
      <w:r w:rsidR="006A1D40" w:rsidRPr="009859D6">
        <w:rPr>
          <w:lang w:val="es-ES"/>
        </w:rPr>
        <w:t>istrativo</w:t>
      </w:r>
      <w:r w:rsidRPr="009859D6">
        <w:rPr>
          <w:lang w:val="es-ES"/>
        </w:rPr>
        <w:t>, G</w:t>
      </w:r>
      <w:r w:rsidR="00A901AD" w:rsidRPr="009859D6">
        <w:rPr>
          <w:lang w:val="es-ES"/>
        </w:rPr>
        <w:noBreakHyphen/>
      </w:r>
      <w:r w:rsidRPr="009859D6">
        <w:rPr>
          <w:lang w:val="es-ES"/>
        </w:rPr>
        <w:t>5</w:t>
      </w:r>
      <w:r w:rsidR="00986D8C" w:rsidRPr="009859D6">
        <w:rPr>
          <w:lang w:val="es-ES"/>
        </w:rPr>
        <w:t xml:space="preserve">) </w:t>
      </w:r>
      <w:r w:rsidRPr="009859D6">
        <w:rPr>
          <w:lang w:val="es-ES"/>
        </w:rPr>
        <w:t>fue cubierto de manera temporal mediante la contratación de un consultor radicado en la Oficina de Operaciones y Servicios Corporativos del PNUMA</w:t>
      </w:r>
      <w:r w:rsidR="00986D8C" w:rsidRPr="009859D6">
        <w:rPr>
          <w:lang w:val="es-ES"/>
        </w:rPr>
        <w:t xml:space="preserve">. </w:t>
      </w:r>
    </w:p>
    <w:p w:rsidR="00364C10" w:rsidRPr="009859D6" w:rsidRDefault="00364C10" w:rsidP="00906106">
      <w:pPr>
        <w:pStyle w:val="Normalnumber"/>
        <w:keepNext/>
        <w:keepLines/>
        <w:tabs>
          <w:tab w:val="clear" w:pos="1247"/>
          <w:tab w:val="clear" w:pos="1814"/>
          <w:tab w:val="clear" w:pos="2381"/>
          <w:tab w:val="clear" w:pos="2948"/>
          <w:tab w:val="clear" w:pos="3515"/>
          <w:tab w:val="left" w:pos="624"/>
        </w:tabs>
        <w:spacing w:after="60"/>
        <w:rPr>
          <w:b/>
          <w:bCs/>
          <w:lang w:val="es-ES"/>
        </w:rPr>
      </w:pPr>
      <w:r w:rsidRPr="009859D6">
        <w:rPr>
          <w:bCs/>
          <w:lang w:val="es-ES"/>
        </w:rPr>
        <w:tab/>
      </w:r>
      <w:r w:rsidRPr="009859D6">
        <w:rPr>
          <w:bCs/>
          <w:lang w:val="es-ES"/>
        </w:rPr>
        <w:tab/>
      </w:r>
      <w:r w:rsidR="003A35B7" w:rsidRPr="009859D6">
        <w:rPr>
          <w:b/>
          <w:bCs/>
          <w:lang w:val="es-ES"/>
        </w:rPr>
        <w:t xml:space="preserve">Contratación de </w:t>
      </w:r>
      <w:r w:rsidR="00BF30F2" w:rsidRPr="009859D6">
        <w:rPr>
          <w:b/>
          <w:bCs/>
          <w:lang w:val="es-ES"/>
        </w:rPr>
        <w:t xml:space="preserve">personal en </w:t>
      </w:r>
      <w:r w:rsidR="003A35B7" w:rsidRPr="009859D6">
        <w:rPr>
          <w:b/>
          <w:bCs/>
          <w:lang w:val="es-ES"/>
        </w:rPr>
        <w:t>la Secretaría en</w:t>
      </w:r>
      <w:r w:rsidRPr="009859D6">
        <w:rPr>
          <w:b/>
          <w:bCs/>
          <w:lang w:val="es-ES"/>
        </w:rPr>
        <w:t xml:space="preserve"> 201</w:t>
      </w:r>
      <w:r w:rsidR="002774BD" w:rsidRPr="009859D6">
        <w:rPr>
          <w:b/>
          <w:bCs/>
          <w:lang w:val="es-ES"/>
        </w:rPr>
        <w:t>5</w:t>
      </w:r>
    </w:p>
    <w:tbl>
      <w:tblPr>
        <w:tblW w:w="8364" w:type="dxa"/>
        <w:tblInd w:w="1384" w:type="dxa"/>
        <w:tblLook w:val="04A0" w:firstRow="1" w:lastRow="0" w:firstColumn="1" w:lastColumn="0" w:noHBand="0" w:noVBand="1"/>
      </w:tblPr>
      <w:tblGrid>
        <w:gridCol w:w="2978"/>
        <w:gridCol w:w="1706"/>
        <w:gridCol w:w="3680"/>
      </w:tblGrid>
      <w:tr w:rsidR="00364C10" w:rsidRPr="009859D6" w:rsidTr="0072086D">
        <w:tc>
          <w:tcPr>
            <w:tcW w:w="4684" w:type="dxa"/>
            <w:gridSpan w:val="2"/>
            <w:tcBorders>
              <w:top w:val="single" w:sz="4" w:space="0" w:color="auto"/>
              <w:bottom w:val="single" w:sz="12" w:space="0" w:color="auto"/>
            </w:tcBorders>
            <w:shd w:val="clear" w:color="auto" w:fill="auto"/>
          </w:tcPr>
          <w:p w:rsidR="00364C10" w:rsidRPr="009859D6" w:rsidRDefault="006A1D40" w:rsidP="00526767">
            <w:pPr>
              <w:pStyle w:val="Normal-pool"/>
              <w:keepNext/>
              <w:keepLines/>
              <w:spacing w:before="40" w:after="40"/>
              <w:rPr>
                <w:i/>
                <w:iCs/>
                <w:sz w:val="18"/>
                <w:szCs w:val="18"/>
                <w:lang w:val="es-ES" w:eastAsia="en-CA" w:bidi="en-US"/>
              </w:rPr>
            </w:pPr>
            <w:r w:rsidRPr="009859D6">
              <w:rPr>
                <w:i/>
                <w:iCs/>
                <w:sz w:val="18"/>
                <w:szCs w:val="18"/>
                <w:lang w:val="es-ES" w:eastAsia="en-CA" w:bidi="en-US"/>
              </w:rPr>
              <w:t>Puesto</w:t>
            </w:r>
          </w:p>
        </w:tc>
        <w:tc>
          <w:tcPr>
            <w:tcW w:w="3680" w:type="dxa"/>
            <w:tcBorders>
              <w:top w:val="single" w:sz="4" w:space="0" w:color="auto"/>
              <w:bottom w:val="single" w:sz="12" w:space="0" w:color="auto"/>
            </w:tcBorders>
            <w:shd w:val="clear" w:color="auto" w:fill="auto"/>
          </w:tcPr>
          <w:p w:rsidR="00364C10" w:rsidRPr="009859D6" w:rsidRDefault="006A1D40" w:rsidP="00526767">
            <w:pPr>
              <w:pStyle w:val="Normal-pool"/>
              <w:keepNext/>
              <w:keepLines/>
              <w:spacing w:before="40" w:after="40"/>
              <w:rPr>
                <w:i/>
                <w:iCs/>
                <w:sz w:val="18"/>
                <w:szCs w:val="18"/>
                <w:lang w:val="es-ES" w:eastAsia="en-CA" w:bidi="en-US"/>
              </w:rPr>
            </w:pPr>
            <w:r w:rsidRPr="009859D6">
              <w:rPr>
                <w:i/>
                <w:iCs/>
                <w:sz w:val="18"/>
                <w:szCs w:val="18"/>
                <w:lang w:val="es-ES" w:eastAsia="en-CA" w:bidi="en-US"/>
              </w:rPr>
              <w:t>Período</w:t>
            </w:r>
          </w:p>
        </w:tc>
      </w:tr>
      <w:tr w:rsidR="00364C10" w:rsidRPr="009859D6" w:rsidTr="0072086D">
        <w:tc>
          <w:tcPr>
            <w:tcW w:w="2978" w:type="dxa"/>
            <w:tcBorders>
              <w:top w:val="single" w:sz="12" w:space="0" w:color="auto"/>
            </w:tcBorders>
            <w:shd w:val="clear" w:color="auto" w:fill="auto"/>
          </w:tcPr>
          <w:p w:rsidR="00364C10" w:rsidRPr="009859D6" w:rsidRDefault="006A1D40" w:rsidP="00526767">
            <w:pPr>
              <w:pStyle w:val="Normal-pool"/>
              <w:keepNext/>
              <w:keepLines/>
              <w:spacing w:before="40" w:after="40"/>
              <w:rPr>
                <w:sz w:val="18"/>
                <w:szCs w:val="18"/>
                <w:lang w:val="es-ES" w:eastAsia="en-CA" w:bidi="en-US"/>
              </w:rPr>
            </w:pPr>
            <w:r w:rsidRPr="009859D6">
              <w:rPr>
                <w:sz w:val="18"/>
                <w:szCs w:val="18"/>
                <w:lang w:val="es-ES" w:eastAsia="en-CA" w:bidi="en-US"/>
              </w:rPr>
              <w:t xml:space="preserve">Secretario </w:t>
            </w:r>
            <w:r w:rsidR="00364C10" w:rsidRPr="009859D6">
              <w:rPr>
                <w:sz w:val="18"/>
                <w:szCs w:val="18"/>
                <w:lang w:val="es-ES" w:eastAsia="en-CA" w:bidi="en-US"/>
              </w:rPr>
              <w:t>(D</w:t>
            </w:r>
            <w:r w:rsidR="00A901AD" w:rsidRPr="009859D6">
              <w:rPr>
                <w:sz w:val="18"/>
                <w:szCs w:val="18"/>
                <w:lang w:val="es-ES" w:eastAsia="en-CA" w:bidi="en-US"/>
              </w:rPr>
              <w:noBreakHyphen/>
            </w:r>
            <w:r w:rsidR="00364C10" w:rsidRPr="009859D6">
              <w:rPr>
                <w:sz w:val="18"/>
                <w:szCs w:val="18"/>
                <w:lang w:val="es-ES" w:eastAsia="en-CA" w:bidi="en-US"/>
              </w:rPr>
              <w:t>1)</w:t>
            </w:r>
          </w:p>
        </w:tc>
        <w:tc>
          <w:tcPr>
            <w:tcW w:w="5386" w:type="dxa"/>
            <w:gridSpan w:val="2"/>
            <w:tcBorders>
              <w:top w:val="single" w:sz="12" w:space="0" w:color="auto"/>
            </w:tcBorders>
            <w:shd w:val="clear" w:color="auto" w:fill="auto"/>
          </w:tcPr>
          <w:p w:rsidR="00364C10" w:rsidRPr="009859D6" w:rsidRDefault="006A1D40" w:rsidP="00526767">
            <w:pPr>
              <w:pStyle w:val="Normal-pool"/>
              <w:keepNext/>
              <w:keepLines/>
              <w:tabs>
                <w:tab w:val="clear" w:pos="1247"/>
                <w:tab w:val="clear" w:pos="1814"/>
                <w:tab w:val="clear" w:pos="2381"/>
                <w:tab w:val="clear" w:pos="2948"/>
                <w:tab w:val="clear" w:pos="3515"/>
              </w:tabs>
              <w:spacing w:before="40" w:after="40"/>
              <w:ind w:right="-823"/>
              <w:rPr>
                <w:sz w:val="18"/>
                <w:szCs w:val="18"/>
                <w:lang w:val="es-ES" w:eastAsia="en-CA" w:bidi="en-US"/>
              </w:rPr>
            </w:pPr>
            <w:r w:rsidRPr="009859D6">
              <w:rPr>
                <w:sz w:val="18"/>
                <w:szCs w:val="18"/>
                <w:lang w:val="es-ES" w:eastAsia="en-CA" w:bidi="en-US"/>
              </w:rPr>
              <w:t xml:space="preserve">En el puesto desde febrero de </w:t>
            </w:r>
            <w:r w:rsidR="00364C10" w:rsidRPr="009859D6">
              <w:rPr>
                <w:sz w:val="18"/>
                <w:szCs w:val="18"/>
                <w:lang w:val="es-ES" w:eastAsia="en-CA" w:bidi="en-US"/>
              </w:rPr>
              <w:t>2014</w:t>
            </w:r>
          </w:p>
        </w:tc>
      </w:tr>
      <w:tr w:rsidR="00364C10" w:rsidRPr="009859D6" w:rsidTr="0072086D">
        <w:tc>
          <w:tcPr>
            <w:tcW w:w="2978" w:type="dxa"/>
            <w:shd w:val="clear" w:color="auto" w:fill="auto"/>
          </w:tcPr>
          <w:p w:rsidR="00364C10" w:rsidRPr="009859D6" w:rsidRDefault="006A1D40" w:rsidP="00526767">
            <w:pPr>
              <w:pStyle w:val="Normal-pool"/>
              <w:keepNext/>
              <w:keepLines/>
              <w:spacing w:before="40" w:after="40"/>
              <w:rPr>
                <w:sz w:val="18"/>
                <w:szCs w:val="18"/>
                <w:lang w:val="es-ES" w:eastAsia="en-CA" w:bidi="en-US"/>
              </w:rPr>
            </w:pPr>
            <w:r w:rsidRPr="009859D6">
              <w:rPr>
                <w:sz w:val="18"/>
                <w:szCs w:val="18"/>
                <w:lang w:val="es-ES" w:eastAsia="en-CA" w:bidi="en-US"/>
              </w:rPr>
              <w:t>Oficial de Programas</w:t>
            </w:r>
            <w:r w:rsidR="00364C10" w:rsidRPr="009859D6">
              <w:rPr>
                <w:sz w:val="18"/>
                <w:szCs w:val="18"/>
                <w:lang w:val="es-ES" w:eastAsia="en-CA" w:bidi="en-US"/>
              </w:rPr>
              <w:t xml:space="preserve"> (P</w:t>
            </w:r>
            <w:r w:rsidR="00A901AD" w:rsidRPr="009859D6">
              <w:rPr>
                <w:sz w:val="18"/>
                <w:szCs w:val="18"/>
                <w:lang w:val="es-ES" w:eastAsia="en-CA" w:bidi="en-US"/>
              </w:rPr>
              <w:noBreakHyphen/>
            </w:r>
            <w:r w:rsidR="00364C10" w:rsidRPr="009859D6">
              <w:rPr>
                <w:sz w:val="18"/>
                <w:szCs w:val="18"/>
                <w:lang w:val="es-ES" w:eastAsia="en-CA" w:bidi="en-US"/>
              </w:rPr>
              <w:t>4)</w:t>
            </w:r>
          </w:p>
        </w:tc>
        <w:tc>
          <w:tcPr>
            <w:tcW w:w="5386" w:type="dxa"/>
            <w:gridSpan w:val="2"/>
            <w:shd w:val="clear" w:color="auto" w:fill="auto"/>
          </w:tcPr>
          <w:p w:rsidR="00364C10" w:rsidRPr="009859D6" w:rsidRDefault="006A1D40" w:rsidP="00526767">
            <w:pPr>
              <w:pStyle w:val="Normal-pool"/>
              <w:keepNext/>
              <w:keepLines/>
              <w:tabs>
                <w:tab w:val="clear" w:pos="1247"/>
                <w:tab w:val="clear" w:pos="1814"/>
                <w:tab w:val="clear" w:pos="2381"/>
                <w:tab w:val="clear" w:pos="2948"/>
                <w:tab w:val="clear" w:pos="3515"/>
              </w:tabs>
              <w:spacing w:before="40" w:after="40"/>
              <w:ind w:right="-823"/>
              <w:rPr>
                <w:sz w:val="18"/>
                <w:szCs w:val="18"/>
                <w:lang w:val="es-ES" w:eastAsia="en-CA" w:bidi="en-US"/>
              </w:rPr>
            </w:pPr>
            <w:r w:rsidRPr="009859D6">
              <w:rPr>
                <w:sz w:val="18"/>
                <w:szCs w:val="18"/>
                <w:lang w:val="es-ES" w:eastAsia="en-CA" w:bidi="en-US"/>
              </w:rPr>
              <w:t xml:space="preserve">En el puesto desde marzo de </w:t>
            </w:r>
            <w:r w:rsidR="002774BD" w:rsidRPr="009859D6">
              <w:rPr>
                <w:sz w:val="18"/>
                <w:szCs w:val="18"/>
                <w:lang w:val="es-ES" w:eastAsia="en-CA" w:bidi="en-US"/>
              </w:rPr>
              <w:t>2015</w:t>
            </w:r>
          </w:p>
        </w:tc>
      </w:tr>
      <w:tr w:rsidR="00364C10" w:rsidRPr="009859D6" w:rsidTr="0072086D">
        <w:tc>
          <w:tcPr>
            <w:tcW w:w="2978" w:type="dxa"/>
            <w:shd w:val="clear" w:color="auto" w:fill="auto"/>
          </w:tcPr>
          <w:p w:rsidR="00364C10" w:rsidRPr="009859D6" w:rsidRDefault="006A1D40" w:rsidP="006A1D40">
            <w:pPr>
              <w:pStyle w:val="Normal-pool"/>
              <w:spacing w:before="40" w:after="40"/>
              <w:rPr>
                <w:sz w:val="18"/>
                <w:szCs w:val="18"/>
                <w:lang w:val="es-ES" w:eastAsia="en-CA" w:bidi="en-US"/>
              </w:rPr>
            </w:pPr>
            <w:r w:rsidRPr="009859D6">
              <w:rPr>
                <w:sz w:val="18"/>
                <w:szCs w:val="18"/>
                <w:lang w:val="es-ES" w:eastAsia="en-CA" w:bidi="en-US"/>
              </w:rPr>
              <w:t xml:space="preserve">Oficial de Comunicaciones </w:t>
            </w:r>
            <w:r w:rsidR="00364C10" w:rsidRPr="009859D6">
              <w:rPr>
                <w:sz w:val="18"/>
                <w:szCs w:val="18"/>
                <w:lang w:val="es-ES" w:eastAsia="en-CA" w:bidi="en-US"/>
              </w:rPr>
              <w:t>(P</w:t>
            </w:r>
            <w:r w:rsidR="00A901AD" w:rsidRPr="009859D6">
              <w:rPr>
                <w:sz w:val="18"/>
                <w:szCs w:val="18"/>
                <w:lang w:val="es-ES" w:eastAsia="en-CA" w:bidi="en-US"/>
              </w:rPr>
              <w:noBreakHyphen/>
            </w:r>
            <w:r w:rsidR="00364C10" w:rsidRPr="009859D6">
              <w:rPr>
                <w:sz w:val="18"/>
                <w:szCs w:val="18"/>
                <w:lang w:val="es-ES" w:eastAsia="en-CA" w:bidi="en-US"/>
              </w:rPr>
              <w:t>4)</w:t>
            </w:r>
          </w:p>
        </w:tc>
        <w:tc>
          <w:tcPr>
            <w:tcW w:w="5386" w:type="dxa"/>
            <w:gridSpan w:val="2"/>
            <w:shd w:val="clear" w:color="auto" w:fill="auto"/>
          </w:tcPr>
          <w:p w:rsidR="00364C10" w:rsidRPr="009859D6" w:rsidRDefault="002774BD" w:rsidP="002949D3">
            <w:pPr>
              <w:pStyle w:val="Normal-pool"/>
              <w:tabs>
                <w:tab w:val="clear" w:pos="1247"/>
                <w:tab w:val="clear" w:pos="1814"/>
                <w:tab w:val="clear" w:pos="2381"/>
                <w:tab w:val="clear" w:pos="2948"/>
                <w:tab w:val="clear" w:pos="3515"/>
              </w:tabs>
              <w:spacing w:before="40" w:after="40"/>
              <w:ind w:right="-823"/>
              <w:rPr>
                <w:sz w:val="18"/>
                <w:szCs w:val="18"/>
                <w:lang w:val="es-ES" w:eastAsia="en-CA" w:bidi="en-US"/>
              </w:rPr>
            </w:pPr>
            <w:r w:rsidRPr="009859D6">
              <w:rPr>
                <w:sz w:val="18"/>
                <w:szCs w:val="18"/>
                <w:lang w:val="es-ES" w:eastAsia="en-CA" w:bidi="en-US"/>
              </w:rPr>
              <w:t>Vacant</w:t>
            </w:r>
            <w:r w:rsidR="002949D3" w:rsidRPr="009859D6">
              <w:rPr>
                <w:sz w:val="18"/>
                <w:szCs w:val="18"/>
                <w:lang w:val="es-ES" w:eastAsia="en-CA" w:bidi="en-US"/>
              </w:rPr>
              <w:t xml:space="preserve">e desde julio de </w:t>
            </w:r>
            <w:r w:rsidRPr="009859D6">
              <w:rPr>
                <w:sz w:val="18"/>
                <w:szCs w:val="18"/>
                <w:lang w:val="es-ES" w:eastAsia="en-CA" w:bidi="en-US"/>
              </w:rPr>
              <w:t>2015;</w:t>
            </w:r>
            <w:r w:rsidR="002949D3" w:rsidRPr="009859D6">
              <w:rPr>
                <w:sz w:val="18"/>
                <w:szCs w:val="18"/>
                <w:lang w:val="es-ES" w:eastAsia="en-CA" w:bidi="en-US"/>
              </w:rPr>
              <w:t xml:space="preserve"> anunciado en noviembre de </w:t>
            </w:r>
            <w:r w:rsidRPr="009859D6">
              <w:rPr>
                <w:sz w:val="18"/>
                <w:szCs w:val="18"/>
                <w:lang w:val="es-ES" w:eastAsia="en-CA" w:bidi="en-US"/>
              </w:rPr>
              <w:t>2015</w:t>
            </w:r>
          </w:p>
        </w:tc>
      </w:tr>
      <w:tr w:rsidR="00364C10" w:rsidRPr="009859D6" w:rsidTr="0072086D">
        <w:tc>
          <w:tcPr>
            <w:tcW w:w="2978" w:type="dxa"/>
            <w:shd w:val="clear" w:color="auto" w:fill="auto"/>
          </w:tcPr>
          <w:p w:rsidR="00364C10" w:rsidRPr="009859D6" w:rsidRDefault="006A1D40" w:rsidP="005C1363">
            <w:pPr>
              <w:pStyle w:val="Normal-pool"/>
              <w:spacing w:before="40" w:after="40"/>
              <w:rPr>
                <w:sz w:val="18"/>
                <w:szCs w:val="18"/>
                <w:lang w:val="es-ES" w:eastAsia="en-CA" w:bidi="en-US"/>
              </w:rPr>
            </w:pPr>
            <w:r w:rsidRPr="009859D6">
              <w:rPr>
                <w:sz w:val="18"/>
                <w:szCs w:val="18"/>
                <w:lang w:val="es-ES" w:eastAsia="en-CA" w:bidi="en-US"/>
              </w:rPr>
              <w:t>Oficial de Programas</w:t>
            </w:r>
            <w:r w:rsidR="00364C10" w:rsidRPr="009859D6">
              <w:rPr>
                <w:sz w:val="18"/>
                <w:szCs w:val="18"/>
                <w:lang w:val="es-ES" w:eastAsia="en-CA" w:bidi="en-US"/>
              </w:rPr>
              <w:t xml:space="preserve"> (P</w:t>
            </w:r>
            <w:r w:rsidR="00A901AD" w:rsidRPr="009859D6">
              <w:rPr>
                <w:sz w:val="18"/>
                <w:szCs w:val="18"/>
                <w:lang w:val="es-ES" w:eastAsia="en-CA" w:bidi="en-US"/>
              </w:rPr>
              <w:noBreakHyphen/>
            </w:r>
            <w:r w:rsidR="00364C10" w:rsidRPr="009859D6">
              <w:rPr>
                <w:sz w:val="18"/>
                <w:szCs w:val="18"/>
                <w:lang w:val="es-ES" w:eastAsia="en-CA" w:bidi="en-US"/>
              </w:rPr>
              <w:t>3)</w:t>
            </w:r>
          </w:p>
        </w:tc>
        <w:tc>
          <w:tcPr>
            <w:tcW w:w="5386" w:type="dxa"/>
            <w:gridSpan w:val="2"/>
            <w:shd w:val="clear" w:color="auto" w:fill="auto"/>
          </w:tcPr>
          <w:p w:rsidR="00364C10" w:rsidRPr="009859D6" w:rsidRDefault="006A1D40" w:rsidP="00C5602D">
            <w:pPr>
              <w:pStyle w:val="Normal-pool"/>
              <w:tabs>
                <w:tab w:val="clear" w:pos="1247"/>
                <w:tab w:val="clear" w:pos="1814"/>
                <w:tab w:val="clear" w:pos="2381"/>
                <w:tab w:val="clear" w:pos="2948"/>
                <w:tab w:val="clear" w:pos="3515"/>
              </w:tabs>
              <w:spacing w:before="40" w:after="40"/>
              <w:ind w:right="-823"/>
              <w:rPr>
                <w:sz w:val="18"/>
                <w:szCs w:val="18"/>
                <w:lang w:val="es-ES" w:eastAsia="en-CA" w:bidi="en-US"/>
              </w:rPr>
            </w:pPr>
            <w:r w:rsidRPr="009859D6">
              <w:rPr>
                <w:sz w:val="18"/>
                <w:szCs w:val="18"/>
                <w:lang w:val="es-ES" w:eastAsia="en-CA" w:bidi="en-US"/>
              </w:rPr>
              <w:t xml:space="preserve">En el puesto desde abril de </w:t>
            </w:r>
            <w:r w:rsidR="002774BD" w:rsidRPr="009859D6">
              <w:rPr>
                <w:sz w:val="18"/>
                <w:szCs w:val="18"/>
                <w:lang w:val="es-ES" w:eastAsia="en-CA" w:bidi="en-US"/>
              </w:rPr>
              <w:t>2015</w:t>
            </w:r>
          </w:p>
        </w:tc>
      </w:tr>
      <w:tr w:rsidR="00364C10" w:rsidRPr="009859D6" w:rsidTr="0072086D">
        <w:tc>
          <w:tcPr>
            <w:tcW w:w="2978" w:type="dxa"/>
            <w:shd w:val="clear" w:color="auto" w:fill="auto"/>
          </w:tcPr>
          <w:p w:rsidR="00364C10" w:rsidRPr="009859D6" w:rsidRDefault="006A1D40" w:rsidP="006005CB">
            <w:pPr>
              <w:pStyle w:val="Normal-pool"/>
              <w:spacing w:before="40" w:after="40"/>
              <w:rPr>
                <w:sz w:val="18"/>
                <w:szCs w:val="18"/>
                <w:lang w:val="es-ES" w:eastAsia="en-CA" w:bidi="en-US"/>
              </w:rPr>
            </w:pPr>
            <w:r w:rsidRPr="009859D6">
              <w:rPr>
                <w:sz w:val="18"/>
                <w:szCs w:val="18"/>
                <w:lang w:val="es-ES" w:eastAsia="en-CA" w:bidi="en-US"/>
              </w:rPr>
              <w:t xml:space="preserve">Oficial Administrativo </w:t>
            </w:r>
            <w:r w:rsidR="00364C10" w:rsidRPr="009859D6">
              <w:rPr>
                <w:sz w:val="18"/>
                <w:szCs w:val="18"/>
                <w:lang w:val="es-ES" w:eastAsia="en-CA" w:bidi="en-US"/>
              </w:rPr>
              <w:t>(P</w:t>
            </w:r>
            <w:r w:rsidR="00A901AD" w:rsidRPr="009859D6">
              <w:rPr>
                <w:sz w:val="18"/>
                <w:szCs w:val="18"/>
                <w:lang w:val="es-ES" w:eastAsia="en-CA" w:bidi="en-US"/>
              </w:rPr>
              <w:noBreakHyphen/>
            </w:r>
            <w:r w:rsidR="00364C10" w:rsidRPr="009859D6">
              <w:rPr>
                <w:sz w:val="18"/>
                <w:szCs w:val="18"/>
                <w:lang w:val="es-ES" w:eastAsia="en-CA" w:bidi="en-US"/>
              </w:rPr>
              <w:t>3)</w:t>
            </w:r>
          </w:p>
        </w:tc>
        <w:tc>
          <w:tcPr>
            <w:tcW w:w="5386" w:type="dxa"/>
            <w:gridSpan w:val="2"/>
            <w:shd w:val="clear" w:color="auto" w:fill="auto"/>
          </w:tcPr>
          <w:p w:rsidR="00364C10" w:rsidRPr="009859D6" w:rsidRDefault="002949D3" w:rsidP="00DB010B">
            <w:pPr>
              <w:pStyle w:val="Normal-pool"/>
              <w:tabs>
                <w:tab w:val="clear" w:pos="1247"/>
                <w:tab w:val="clear" w:pos="1814"/>
                <w:tab w:val="clear" w:pos="2381"/>
                <w:tab w:val="clear" w:pos="2948"/>
                <w:tab w:val="clear" w:pos="3515"/>
              </w:tabs>
              <w:spacing w:before="40" w:after="40"/>
              <w:ind w:right="-823"/>
              <w:rPr>
                <w:sz w:val="18"/>
                <w:szCs w:val="18"/>
                <w:lang w:val="es-ES" w:eastAsia="en-CA" w:bidi="en-US"/>
              </w:rPr>
            </w:pPr>
            <w:r w:rsidRPr="009859D6">
              <w:rPr>
                <w:sz w:val="18"/>
                <w:szCs w:val="18"/>
                <w:lang w:val="es-ES" w:eastAsia="en-CA" w:bidi="en-US"/>
              </w:rPr>
              <w:t xml:space="preserve">Vacante desde febrero de </w:t>
            </w:r>
            <w:r w:rsidR="002774BD" w:rsidRPr="009859D6">
              <w:rPr>
                <w:sz w:val="18"/>
                <w:szCs w:val="18"/>
                <w:lang w:val="es-ES" w:eastAsia="en-CA" w:bidi="en-US"/>
              </w:rPr>
              <w:t>201</w:t>
            </w:r>
            <w:r w:rsidR="00C5602D" w:rsidRPr="009859D6">
              <w:rPr>
                <w:sz w:val="18"/>
                <w:szCs w:val="18"/>
                <w:lang w:val="es-ES" w:eastAsia="en-CA" w:bidi="en-US"/>
              </w:rPr>
              <w:t>5</w:t>
            </w:r>
            <w:r w:rsidR="002774BD" w:rsidRPr="009859D6">
              <w:rPr>
                <w:sz w:val="18"/>
                <w:szCs w:val="18"/>
                <w:lang w:val="es-ES" w:eastAsia="en-CA" w:bidi="en-US"/>
              </w:rPr>
              <w:t>;</w:t>
            </w:r>
            <w:r w:rsidRPr="009859D6">
              <w:rPr>
                <w:sz w:val="18"/>
                <w:szCs w:val="18"/>
                <w:lang w:val="es-ES" w:eastAsia="en-CA" w:bidi="en-US"/>
              </w:rPr>
              <w:t xml:space="preserve"> entrevistas completadas en septiembre</w:t>
            </w:r>
            <w:r w:rsidR="00DB010B" w:rsidRPr="009859D6">
              <w:rPr>
                <w:sz w:val="18"/>
                <w:szCs w:val="18"/>
                <w:lang w:val="es-ES" w:eastAsia="en-CA" w:bidi="en-US"/>
              </w:rPr>
              <w:br/>
            </w:r>
            <w:r w:rsidRPr="009859D6">
              <w:rPr>
                <w:sz w:val="18"/>
                <w:szCs w:val="18"/>
                <w:lang w:val="es-ES" w:eastAsia="en-CA" w:bidi="en-US"/>
              </w:rPr>
              <w:t>de</w:t>
            </w:r>
            <w:r w:rsidR="00DB010B" w:rsidRPr="009859D6">
              <w:rPr>
                <w:sz w:val="18"/>
                <w:szCs w:val="18"/>
                <w:lang w:val="es-ES" w:eastAsia="en-CA" w:bidi="en-US"/>
              </w:rPr>
              <w:t> </w:t>
            </w:r>
            <w:r w:rsidR="002774BD" w:rsidRPr="009859D6">
              <w:rPr>
                <w:sz w:val="18"/>
                <w:szCs w:val="18"/>
                <w:lang w:val="es-ES" w:eastAsia="en-CA" w:bidi="en-US"/>
              </w:rPr>
              <w:t>2015</w:t>
            </w:r>
          </w:p>
        </w:tc>
      </w:tr>
      <w:tr w:rsidR="00364C10" w:rsidRPr="009859D6" w:rsidTr="0072086D">
        <w:tc>
          <w:tcPr>
            <w:tcW w:w="2978" w:type="dxa"/>
            <w:shd w:val="clear" w:color="auto" w:fill="auto"/>
          </w:tcPr>
          <w:p w:rsidR="00364C10" w:rsidRPr="009859D6" w:rsidRDefault="002949D3" w:rsidP="005C1363">
            <w:pPr>
              <w:pStyle w:val="Normal-pool"/>
              <w:spacing w:before="40" w:after="40"/>
              <w:rPr>
                <w:sz w:val="18"/>
                <w:szCs w:val="18"/>
                <w:lang w:val="es-ES" w:eastAsia="en-CA" w:bidi="en-US"/>
              </w:rPr>
            </w:pPr>
            <w:r w:rsidRPr="009859D6">
              <w:rPr>
                <w:sz w:val="18"/>
                <w:szCs w:val="18"/>
                <w:lang w:val="es-ES" w:eastAsia="en-CA" w:bidi="en-US"/>
              </w:rPr>
              <w:t>Oficial Asociado de Gestión de los Conocimientos (P</w:t>
            </w:r>
            <w:r w:rsidR="00A901AD" w:rsidRPr="009859D6">
              <w:rPr>
                <w:sz w:val="18"/>
                <w:szCs w:val="18"/>
                <w:lang w:val="es-ES" w:eastAsia="en-CA" w:bidi="en-US"/>
              </w:rPr>
              <w:noBreakHyphen/>
            </w:r>
            <w:r w:rsidRPr="009859D6">
              <w:rPr>
                <w:sz w:val="18"/>
                <w:szCs w:val="18"/>
                <w:lang w:val="es-ES" w:eastAsia="en-CA" w:bidi="en-US"/>
              </w:rPr>
              <w:t>2)</w:t>
            </w:r>
          </w:p>
          <w:p w:rsidR="002774BD" w:rsidRPr="009859D6" w:rsidRDefault="006A1D40" w:rsidP="002949D3">
            <w:pPr>
              <w:pStyle w:val="Normal-pool"/>
              <w:spacing w:before="40" w:after="40"/>
              <w:rPr>
                <w:sz w:val="18"/>
                <w:szCs w:val="18"/>
                <w:lang w:val="es-ES" w:eastAsia="en-CA" w:bidi="en-US"/>
              </w:rPr>
            </w:pPr>
            <w:r w:rsidRPr="009859D6">
              <w:rPr>
                <w:sz w:val="18"/>
                <w:szCs w:val="18"/>
                <w:lang w:val="es-ES" w:eastAsia="en-CA" w:bidi="en-US"/>
              </w:rPr>
              <w:t xml:space="preserve">Oficial </w:t>
            </w:r>
            <w:r w:rsidR="002949D3" w:rsidRPr="009859D6">
              <w:rPr>
                <w:sz w:val="18"/>
                <w:szCs w:val="18"/>
                <w:lang w:val="es-ES" w:eastAsia="en-CA" w:bidi="en-US"/>
              </w:rPr>
              <w:t xml:space="preserve">Asociado </w:t>
            </w:r>
            <w:r w:rsidRPr="009859D6">
              <w:rPr>
                <w:sz w:val="18"/>
                <w:szCs w:val="18"/>
                <w:lang w:val="es-ES" w:eastAsia="en-CA" w:bidi="en-US"/>
              </w:rPr>
              <w:t>de Programas</w:t>
            </w:r>
            <w:r w:rsidR="002774BD" w:rsidRPr="009859D6">
              <w:rPr>
                <w:sz w:val="18"/>
                <w:szCs w:val="18"/>
                <w:lang w:val="es-ES" w:eastAsia="en-CA" w:bidi="en-US"/>
              </w:rPr>
              <w:t xml:space="preserve"> (P</w:t>
            </w:r>
            <w:r w:rsidR="00A901AD" w:rsidRPr="009859D6">
              <w:rPr>
                <w:sz w:val="18"/>
                <w:szCs w:val="18"/>
                <w:lang w:val="es-ES" w:eastAsia="en-CA" w:bidi="en-US"/>
              </w:rPr>
              <w:noBreakHyphen/>
            </w:r>
            <w:r w:rsidR="002774BD" w:rsidRPr="009859D6">
              <w:rPr>
                <w:sz w:val="18"/>
                <w:szCs w:val="18"/>
                <w:lang w:val="es-ES" w:eastAsia="en-CA" w:bidi="en-US"/>
              </w:rPr>
              <w:t>2)</w:t>
            </w:r>
            <w:r w:rsidR="00C5602D" w:rsidRPr="009859D6">
              <w:rPr>
                <w:sz w:val="18"/>
                <w:szCs w:val="18"/>
                <w:lang w:val="es-ES" w:eastAsia="en-CA" w:bidi="en-US"/>
              </w:rPr>
              <w:t>*</w:t>
            </w:r>
          </w:p>
        </w:tc>
        <w:tc>
          <w:tcPr>
            <w:tcW w:w="5386" w:type="dxa"/>
            <w:gridSpan w:val="2"/>
            <w:shd w:val="clear" w:color="auto" w:fill="auto"/>
          </w:tcPr>
          <w:p w:rsidR="002949D3" w:rsidRPr="009859D6" w:rsidRDefault="002949D3" w:rsidP="002949D3">
            <w:pPr>
              <w:pStyle w:val="Normal-pool"/>
              <w:spacing w:before="40" w:after="40"/>
              <w:ind w:right="-823"/>
              <w:rPr>
                <w:sz w:val="18"/>
                <w:szCs w:val="18"/>
                <w:lang w:val="es-ES" w:eastAsia="en-CA"/>
              </w:rPr>
            </w:pPr>
            <w:r w:rsidRPr="009859D6">
              <w:rPr>
                <w:sz w:val="18"/>
                <w:szCs w:val="18"/>
                <w:lang w:val="es-ES" w:eastAsia="en-CA"/>
              </w:rPr>
              <w:t xml:space="preserve">Ocupado actualmente por un funcionario temporario; entrevistas </w:t>
            </w:r>
          </w:p>
          <w:p w:rsidR="00A539FA" w:rsidRPr="009859D6" w:rsidRDefault="002949D3" w:rsidP="002949D3">
            <w:pPr>
              <w:pStyle w:val="Normal-pool"/>
              <w:spacing w:before="40" w:after="40"/>
              <w:ind w:right="-823"/>
              <w:rPr>
                <w:sz w:val="18"/>
                <w:szCs w:val="18"/>
                <w:lang w:val="es-ES" w:eastAsia="en-CA" w:bidi="en-US"/>
              </w:rPr>
            </w:pPr>
            <w:r w:rsidRPr="009859D6">
              <w:rPr>
                <w:sz w:val="18"/>
                <w:szCs w:val="18"/>
                <w:lang w:val="es-ES" w:eastAsia="en-CA"/>
              </w:rPr>
              <w:t xml:space="preserve">completadas en noviembre de 2015 </w:t>
            </w:r>
          </w:p>
          <w:p w:rsidR="002774BD" w:rsidRPr="009859D6" w:rsidRDefault="00C5602D" w:rsidP="002949D3">
            <w:pPr>
              <w:pStyle w:val="Normal-pool"/>
              <w:tabs>
                <w:tab w:val="clear" w:pos="1247"/>
                <w:tab w:val="clear" w:pos="1814"/>
                <w:tab w:val="clear" w:pos="2381"/>
                <w:tab w:val="clear" w:pos="2948"/>
                <w:tab w:val="clear" w:pos="3515"/>
              </w:tabs>
              <w:spacing w:before="40" w:after="40"/>
              <w:ind w:right="-823"/>
              <w:rPr>
                <w:sz w:val="18"/>
                <w:szCs w:val="18"/>
                <w:lang w:val="es-ES" w:eastAsia="en-CA" w:bidi="en-US"/>
              </w:rPr>
            </w:pPr>
            <w:r w:rsidRPr="009859D6">
              <w:rPr>
                <w:sz w:val="18"/>
                <w:szCs w:val="18"/>
                <w:lang w:val="es-ES" w:eastAsia="en-CA" w:bidi="en-US"/>
              </w:rPr>
              <w:t>Vacant</w:t>
            </w:r>
            <w:r w:rsidR="002949D3" w:rsidRPr="009859D6">
              <w:rPr>
                <w:sz w:val="18"/>
                <w:szCs w:val="18"/>
                <w:lang w:val="es-ES" w:eastAsia="en-CA" w:bidi="en-US"/>
              </w:rPr>
              <w:t>e</w:t>
            </w:r>
            <w:r w:rsidR="00C85E71" w:rsidRPr="009859D6">
              <w:rPr>
                <w:sz w:val="18"/>
                <w:szCs w:val="18"/>
                <w:lang w:val="es-ES" w:eastAsia="en-CA" w:bidi="en-US"/>
              </w:rPr>
              <w:t>;</w:t>
            </w:r>
            <w:r w:rsidR="002949D3" w:rsidRPr="009859D6">
              <w:rPr>
                <w:sz w:val="18"/>
                <w:szCs w:val="18"/>
                <w:lang w:val="es-ES" w:eastAsia="en-CA" w:bidi="en-US"/>
              </w:rPr>
              <w:t xml:space="preserve"> se publicará en noviembre de </w:t>
            </w:r>
            <w:r w:rsidRPr="009859D6">
              <w:rPr>
                <w:sz w:val="18"/>
                <w:szCs w:val="18"/>
                <w:lang w:val="es-ES" w:eastAsia="en-CA" w:bidi="en-US"/>
              </w:rPr>
              <w:t>2015</w:t>
            </w:r>
          </w:p>
        </w:tc>
      </w:tr>
      <w:tr w:rsidR="00364C10" w:rsidRPr="009859D6" w:rsidTr="0072086D">
        <w:tc>
          <w:tcPr>
            <w:tcW w:w="2978" w:type="dxa"/>
            <w:shd w:val="clear" w:color="auto" w:fill="auto"/>
          </w:tcPr>
          <w:p w:rsidR="00364C10" w:rsidRPr="009859D6" w:rsidRDefault="006A1D40" w:rsidP="005C1363">
            <w:pPr>
              <w:pStyle w:val="Normal-pool"/>
              <w:spacing w:before="40" w:after="40"/>
              <w:rPr>
                <w:sz w:val="18"/>
                <w:szCs w:val="18"/>
                <w:lang w:val="es-ES" w:eastAsia="en-CA" w:bidi="en-US"/>
              </w:rPr>
            </w:pPr>
            <w:r w:rsidRPr="009859D6">
              <w:rPr>
                <w:sz w:val="18"/>
                <w:szCs w:val="18"/>
                <w:lang w:val="es-ES" w:eastAsia="en-CA" w:bidi="en-US"/>
              </w:rPr>
              <w:t>Auxiliar admi</w:t>
            </w:r>
            <w:r w:rsidR="002949D3" w:rsidRPr="009859D6">
              <w:rPr>
                <w:sz w:val="18"/>
                <w:szCs w:val="18"/>
                <w:lang w:val="es-ES" w:eastAsia="en-CA" w:bidi="en-US"/>
              </w:rPr>
              <w:t>n</w:t>
            </w:r>
            <w:r w:rsidRPr="009859D6">
              <w:rPr>
                <w:sz w:val="18"/>
                <w:szCs w:val="18"/>
                <w:lang w:val="es-ES" w:eastAsia="en-CA" w:bidi="en-US"/>
              </w:rPr>
              <w:t>istrativo</w:t>
            </w:r>
            <w:r w:rsidR="00364C10" w:rsidRPr="009859D6">
              <w:rPr>
                <w:sz w:val="18"/>
                <w:szCs w:val="18"/>
                <w:lang w:val="es-ES" w:eastAsia="en-CA" w:bidi="en-US"/>
              </w:rPr>
              <w:t xml:space="preserve"> (G</w:t>
            </w:r>
            <w:r w:rsidR="00A901AD" w:rsidRPr="009859D6">
              <w:rPr>
                <w:sz w:val="18"/>
                <w:szCs w:val="18"/>
                <w:lang w:val="es-ES" w:eastAsia="en-CA" w:bidi="en-US"/>
              </w:rPr>
              <w:noBreakHyphen/>
            </w:r>
            <w:r w:rsidR="00364C10" w:rsidRPr="009859D6">
              <w:rPr>
                <w:sz w:val="18"/>
                <w:szCs w:val="18"/>
                <w:lang w:val="es-ES" w:eastAsia="en-CA" w:bidi="en-US"/>
              </w:rPr>
              <w:t>6)</w:t>
            </w:r>
          </w:p>
          <w:p w:rsidR="00C5602D" w:rsidRPr="009859D6" w:rsidRDefault="006A1D40" w:rsidP="005C1363">
            <w:pPr>
              <w:pStyle w:val="Normal-pool"/>
              <w:spacing w:before="40" w:after="40"/>
              <w:rPr>
                <w:sz w:val="18"/>
                <w:szCs w:val="18"/>
                <w:lang w:val="es-ES" w:eastAsia="en-CA" w:bidi="en-US"/>
              </w:rPr>
            </w:pPr>
            <w:r w:rsidRPr="009859D6">
              <w:rPr>
                <w:sz w:val="18"/>
                <w:szCs w:val="18"/>
                <w:lang w:val="es-ES" w:eastAsia="en-CA" w:bidi="en-US"/>
              </w:rPr>
              <w:t>Auxiliar admi</w:t>
            </w:r>
            <w:r w:rsidR="002949D3" w:rsidRPr="009859D6">
              <w:rPr>
                <w:sz w:val="18"/>
                <w:szCs w:val="18"/>
                <w:lang w:val="es-ES" w:eastAsia="en-CA" w:bidi="en-US"/>
              </w:rPr>
              <w:t>n</w:t>
            </w:r>
            <w:r w:rsidRPr="009859D6">
              <w:rPr>
                <w:sz w:val="18"/>
                <w:szCs w:val="18"/>
                <w:lang w:val="es-ES" w:eastAsia="en-CA" w:bidi="en-US"/>
              </w:rPr>
              <w:t>istrativo</w:t>
            </w:r>
            <w:r w:rsidR="00C5602D" w:rsidRPr="009859D6">
              <w:rPr>
                <w:sz w:val="18"/>
                <w:szCs w:val="18"/>
                <w:lang w:val="es-ES" w:eastAsia="en-CA" w:bidi="en-US"/>
              </w:rPr>
              <w:t xml:space="preserve"> (G</w:t>
            </w:r>
            <w:r w:rsidR="00A901AD" w:rsidRPr="009859D6">
              <w:rPr>
                <w:sz w:val="18"/>
                <w:szCs w:val="18"/>
                <w:lang w:val="es-ES" w:eastAsia="en-CA" w:bidi="en-US"/>
              </w:rPr>
              <w:noBreakHyphen/>
            </w:r>
            <w:r w:rsidR="00C5602D" w:rsidRPr="009859D6">
              <w:rPr>
                <w:sz w:val="18"/>
                <w:szCs w:val="18"/>
                <w:lang w:val="es-ES" w:eastAsia="en-CA" w:bidi="en-US"/>
              </w:rPr>
              <w:t>6)*</w:t>
            </w:r>
          </w:p>
        </w:tc>
        <w:tc>
          <w:tcPr>
            <w:tcW w:w="5386" w:type="dxa"/>
            <w:gridSpan w:val="2"/>
            <w:shd w:val="clear" w:color="auto" w:fill="auto"/>
          </w:tcPr>
          <w:p w:rsidR="00364C10" w:rsidRPr="009859D6" w:rsidRDefault="002774BD" w:rsidP="00C5602D">
            <w:pPr>
              <w:pStyle w:val="Normal-pool"/>
              <w:tabs>
                <w:tab w:val="clear" w:pos="1247"/>
                <w:tab w:val="clear" w:pos="1814"/>
                <w:tab w:val="clear" w:pos="2381"/>
                <w:tab w:val="clear" w:pos="2948"/>
                <w:tab w:val="clear" w:pos="3515"/>
              </w:tabs>
              <w:spacing w:before="40" w:after="40"/>
              <w:ind w:right="-823"/>
              <w:rPr>
                <w:sz w:val="18"/>
                <w:szCs w:val="18"/>
                <w:lang w:val="es-ES" w:eastAsia="en-CA" w:bidi="en-US"/>
              </w:rPr>
            </w:pPr>
            <w:r w:rsidRPr="009859D6">
              <w:rPr>
                <w:sz w:val="18"/>
                <w:szCs w:val="18"/>
                <w:lang w:val="es-ES" w:eastAsia="en-CA" w:bidi="en-US"/>
              </w:rPr>
              <w:t>Vacan</w:t>
            </w:r>
            <w:r w:rsidR="002949D3" w:rsidRPr="009859D6">
              <w:rPr>
                <w:sz w:val="18"/>
                <w:szCs w:val="18"/>
                <w:lang w:val="es-ES" w:eastAsia="en-CA" w:bidi="en-US"/>
              </w:rPr>
              <w:t xml:space="preserve">te desde octubre de </w:t>
            </w:r>
            <w:r w:rsidRPr="009859D6">
              <w:rPr>
                <w:sz w:val="18"/>
                <w:szCs w:val="18"/>
                <w:lang w:val="es-ES" w:eastAsia="en-CA" w:bidi="en-US"/>
              </w:rPr>
              <w:t>2015;</w:t>
            </w:r>
            <w:r w:rsidR="002949D3" w:rsidRPr="009859D6">
              <w:rPr>
                <w:sz w:val="18"/>
                <w:szCs w:val="18"/>
                <w:lang w:val="es-ES" w:eastAsia="en-CA" w:bidi="en-US"/>
              </w:rPr>
              <w:t xml:space="preserve"> publicado en octubre de 2015 </w:t>
            </w:r>
          </w:p>
          <w:p w:rsidR="00C5602D" w:rsidRPr="009859D6" w:rsidRDefault="00C5602D" w:rsidP="002949D3">
            <w:pPr>
              <w:pStyle w:val="Normal-pool"/>
              <w:tabs>
                <w:tab w:val="clear" w:pos="1247"/>
                <w:tab w:val="clear" w:pos="1814"/>
                <w:tab w:val="clear" w:pos="2381"/>
                <w:tab w:val="clear" w:pos="2948"/>
                <w:tab w:val="clear" w:pos="3515"/>
              </w:tabs>
              <w:spacing w:before="40" w:after="40"/>
              <w:ind w:right="-823"/>
              <w:rPr>
                <w:sz w:val="18"/>
                <w:szCs w:val="18"/>
                <w:lang w:val="es-ES" w:eastAsia="en-CA" w:bidi="en-US"/>
              </w:rPr>
            </w:pPr>
            <w:r w:rsidRPr="009859D6">
              <w:rPr>
                <w:sz w:val="18"/>
                <w:szCs w:val="18"/>
                <w:lang w:val="es-ES" w:eastAsia="en-CA" w:bidi="en-US"/>
              </w:rPr>
              <w:t>Vacant</w:t>
            </w:r>
            <w:r w:rsidR="002949D3" w:rsidRPr="009859D6">
              <w:rPr>
                <w:sz w:val="18"/>
                <w:szCs w:val="18"/>
                <w:lang w:val="es-ES" w:eastAsia="en-CA" w:bidi="en-US"/>
              </w:rPr>
              <w:t>e</w:t>
            </w:r>
            <w:r w:rsidR="00A539FA" w:rsidRPr="009859D6">
              <w:rPr>
                <w:sz w:val="18"/>
                <w:szCs w:val="18"/>
                <w:lang w:val="es-ES" w:eastAsia="en-CA" w:bidi="en-US"/>
              </w:rPr>
              <w:t>;</w:t>
            </w:r>
            <w:r w:rsidR="002949D3" w:rsidRPr="009859D6">
              <w:rPr>
                <w:sz w:val="18"/>
                <w:szCs w:val="18"/>
                <w:lang w:val="es-ES" w:eastAsia="en-CA" w:bidi="en-US"/>
              </w:rPr>
              <w:t xml:space="preserve"> se publicará en diciembre de </w:t>
            </w:r>
            <w:r w:rsidRPr="009859D6">
              <w:rPr>
                <w:sz w:val="18"/>
                <w:szCs w:val="18"/>
                <w:lang w:val="es-ES" w:eastAsia="en-CA" w:bidi="en-US"/>
              </w:rPr>
              <w:t>2015</w:t>
            </w:r>
          </w:p>
        </w:tc>
      </w:tr>
      <w:tr w:rsidR="00364C10" w:rsidRPr="009859D6" w:rsidTr="0072086D">
        <w:tc>
          <w:tcPr>
            <w:tcW w:w="2978" w:type="dxa"/>
            <w:shd w:val="clear" w:color="auto" w:fill="auto"/>
          </w:tcPr>
          <w:p w:rsidR="00364C10" w:rsidRPr="009859D6" w:rsidRDefault="006A1D40" w:rsidP="005C1363">
            <w:pPr>
              <w:pStyle w:val="Normal-pool"/>
              <w:spacing w:before="40" w:after="40"/>
              <w:rPr>
                <w:sz w:val="18"/>
                <w:szCs w:val="18"/>
                <w:lang w:val="es-ES" w:eastAsia="en-CA" w:bidi="en-US"/>
              </w:rPr>
            </w:pPr>
            <w:r w:rsidRPr="009859D6">
              <w:rPr>
                <w:sz w:val="18"/>
                <w:szCs w:val="18"/>
                <w:lang w:val="es-ES" w:eastAsia="en-CA" w:bidi="en-US"/>
              </w:rPr>
              <w:t>Auxiliar admi</w:t>
            </w:r>
            <w:r w:rsidR="002949D3" w:rsidRPr="009859D6">
              <w:rPr>
                <w:sz w:val="18"/>
                <w:szCs w:val="18"/>
                <w:lang w:val="es-ES" w:eastAsia="en-CA" w:bidi="en-US"/>
              </w:rPr>
              <w:t>n</w:t>
            </w:r>
            <w:r w:rsidRPr="009859D6">
              <w:rPr>
                <w:sz w:val="18"/>
                <w:szCs w:val="18"/>
                <w:lang w:val="es-ES" w:eastAsia="en-CA" w:bidi="en-US"/>
              </w:rPr>
              <w:t>istrativo</w:t>
            </w:r>
            <w:r w:rsidR="00364C10" w:rsidRPr="009859D6">
              <w:rPr>
                <w:sz w:val="18"/>
                <w:szCs w:val="18"/>
                <w:lang w:val="es-ES" w:eastAsia="en-CA" w:bidi="en-US"/>
              </w:rPr>
              <w:t xml:space="preserve"> (G</w:t>
            </w:r>
            <w:r w:rsidR="00A901AD" w:rsidRPr="009859D6">
              <w:rPr>
                <w:sz w:val="18"/>
                <w:szCs w:val="18"/>
                <w:lang w:val="es-ES" w:eastAsia="en-CA" w:bidi="en-US"/>
              </w:rPr>
              <w:noBreakHyphen/>
            </w:r>
            <w:r w:rsidR="00364C10" w:rsidRPr="009859D6">
              <w:rPr>
                <w:sz w:val="18"/>
                <w:szCs w:val="18"/>
                <w:lang w:val="es-ES" w:eastAsia="en-CA" w:bidi="en-US"/>
              </w:rPr>
              <w:t>5)</w:t>
            </w:r>
          </w:p>
        </w:tc>
        <w:tc>
          <w:tcPr>
            <w:tcW w:w="5386" w:type="dxa"/>
            <w:gridSpan w:val="2"/>
            <w:shd w:val="clear" w:color="auto" w:fill="auto"/>
          </w:tcPr>
          <w:p w:rsidR="00364C10" w:rsidRPr="009859D6" w:rsidRDefault="006A1D40" w:rsidP="006A1D40">
            <w:pPr>
              <w:pStyle w:val="Normal-pool"/>
              <w:tabs>
                <w:tab w:val="clear" w:pos="1247"/>
                <w:tab w:val="clear" w:pos="1814"/>
                <w:tab w:val="clear" w:pos="2381"/>
                <w:tab w:val="clear" w:pos="2948"/>
                <w:tab w:val="clear" w:pos="3515"/>
              </w:tabs>
              <w:spacing w:before="40" w:after="40"/>
              <w:ind w:right="-823"/>
              <w:rPr>
                <w:sz w:val="18"/>
                <w:szCs w:val="18"/>
                <w:lang w:val="es-ES" w:eastAsia="en-CA" w:bidi="en-US"/>
              </w:rPr>
            </w:pPr>
            <w:r w:rsidRPr="009859D6">
              <w:rPr>
                <w:sz w:val="18"/>
                <w:szCs w:val="18"/>
                <w:lang w:val="es-ES" w:eastAsia="en-CA" w:bidi="en-US"/>
              </w:rPr>
              <w:t xml:space="preserve">En el puesto desde julio de </w:t>
            </w:r>
            <w:r w:rsidR="00364C10" w:rsidRPr="009859D6">
              <w:rPr>
                <w:sz w:val="18"/>
                <w:szCs w:val="18"/>
                <w:lang w:val="es-ES" w:eastAsia="en-CA" w:bidi="en-US"/>
              </w:rPr>
              <w:t>2013</w:t>
            </w:r>
          </w:p>
        </w:tc>
      </w:tr>
      <w:tr w:rsidR="00364C10" w:rsidRPr="009859D6" w:rsidTr="0072086D">
        <w:tc>
          <w:tcPr>
            <w:tcW w:w="2978" w:type="dxa"/>
            <w:tcBorders>
              <w:bottom w:val="single" w:sz="12" w:space="0" w:color="auto"/>
            </w:tcBorders>
            <w:shd w:val="clear" w:color="auto" w:fill="auto"/>
          </w:tcPr>
          <w:p w:rsidR="00364C10" w:rsidRPr="009859D6" w:rsidRDefault="006A1D40" w:rsidP="005C1363">
            <w:pPr>
              <w:pStyle w:val="Normal-pool"/>
              <w:spacing w:before="40" w:after="40"/>
              <w:rPr>
                <w:sz w:val="18"/>
                <w:szCs w:val="18"/>
                <w:lang w:val="es-ES" w:eastAsia="en-CA" w:bidi="en-US"/>
              </w:rPr>
            </w:pPr>
            <w:r w:rsidRPr="009859D6">
              <w:rPr>
                <w:sz w:val="18"/>
                <w:szCs w:val="18"/>
                <w:lang w:val="es-ES" w:eastAsia="en-CA" w:bidi="en-US"/>
              </w:rPr>
              <w:t>Auxiliar admi</w:t>
            </w:r>
            <w:r w:rsidR="002949D3" w:rsidRPr="009859D6">
              <w:rPr>
                <w:sz w:val="18"/>
                <w:szCs w:val="18"/>
                <w:lang w:val="es-ES" w:eastAsia="en-CA" w:bidi="en-US"/>
              </w:rPr>
              <w:t>n</w:t>
            </w:r>
            <w:r w:rsidRPr="009859D6">
              <w:rPr>
                <w:sz w:val="18"/>
                <w:szCs w:val="18"/>
                <w:lang w:val="es-ES" w:eastAsia="en-CA" w:bidi="en-US"/>
              </w:rPr>
              <w:t>istrativo</w:t>
            </w:r>
            <w:r w:rsidR="00364C10" w:rsidRPr="009859D6">
              <w:rPr>
                <w:sz w:val="18"/>
                <w:szCs w:val="18"/>
                <w:lang w:val="es-ES" w:eastAsia="en-CA" w:bidi="en-US"/>
              </w:rPr>
              <w:t xml:space="preserve"> (G</w:t>
            </w:r>
            <w:r w:rsidR="00A901AD" w:rsidRPr="009859D6">
              <w:rPr>
                <w:sz w:val="18"/>
                <w:szCs w:val="18"/>
                <w:lang w:val="es-ES" w:eastAsia="en-CA" w:bidi="en-US"/>
              </w:rPr>
              <w:noBreakHyphen/>
            </w:r>
            <w:r w:rsidR="00364C10" w:rsidRPr="009859D6">
              <w:rPr>
                <w:sz w:val="18"/>
                <w:szCs w:val="18"/>
                <w:lang w:val="es-ES" w:eastAsia="en-CA" w:bidi="en-US"/>
              </w:rPr>
              <w:t>5)</w:t>
            </w:r>
          </w:p>
          <w:p w:rsidR="00C5602D" w:rsidRPr="009859D6" w:rsidRDefault="006A1D40" w:rsidP="005C1363">
            <w:pPr>
              <w:pStyle w:val="Normal-pool"/>
              <w:spacing w:before="40" w:after="40"/>
              <w:rPr>
                <w:sz w:val="18"/>
                <w:szCs w:val="18"/>
                <w:lang w:val="es-ES" w:eastAsia="en-CA" w:bidi="en-US"/>
              </w:rPr>
            </w:pPr>
            <w:r w:rsidRPr="009859D6">
              <w:rPr>
                <w:sz w:val="18"/>
                <w:szCs w:val="18"/>
                <w:lang w:val="es-ES" w:eastAsia="en-CA" w:bidi="en-US"/>
              </w:rPr>
              <w:t>Auxiliar admi</w:t>
            </w:r>
            <w:r w:rsidR="002949D3" w:rsidRPr="009859D6">
              <w:rPr>
                <w:sz w:val="18"/>
                <w:szCs w:val="18"/>
                <w:lang w:val="es-ES" w:eastAsia="en-CA" w:bidi="en-US"/>
              </w:rPr>
              <w:t>n</w:t>
            </w:r>
            <w:r w:rsidRPr="009859D6">
              <w:rPr>
                <w:sz w:val="18"/>
                <w:szCs w:val="18"/>
                <w:lang w:val="es-ES" w:eastAsia="en-CA" w:bidi="en-US"/>
              </w:rPr>
              <w:t>istrativo</w:t>
            </w:r>
            <w:r w:rsidR="00C5602D" w:rsidRPr="009859D6">
              <w:rPr>
                <w:sz w:val="18"/>
                <w:szCs w:val="18"/>
                <w:lang w:val="es-ES" w:eastAsia="en-CA" w:bidi="en-US"/>
              </w:rPr>
              <w:t xml:space="preserve"> (G</w:t>
            </w:r>
            <w:r w:rsidR="00A901AD" w:rsidRPr="009859D6">
              <w:rPr>
                <w:sz w:val="18"/>
                <w:szCs w:val="18"/>
                <w:lang w:val="es-ES" w:eastAsia="en-CA" w:bidi="en-US"/>
              </w:rPr>
              <w:noBreakHyphen/>
            </w:r>
            <w:r w:rsidR="00C5602D" w:rsidRPr="009859D6">
              <w:rPr>
                <w:sz w:val="18"/>
                <w:szCs w:val="18"/>
                <w:lang w:val="es-ES" w:eastAsia="en-CA" w:bidi="en-US"/>
              </w:rPr>
              <w:t>5)*</w:t>
            </w:r>
          </w:p>
        </w:tc>
        <w:tc>
          <w:tcPr>
            <w:tcW w:w="5386" w:type="dxa"/>
            <w:gridSpan w:val="2"/>
            <w:tcBorders>
              <w:bottom w:val="single" w:sz="12" w:space="0" w:color="auto"/>
            </w:tcBorders>
            <w:shd w:val="clear" w:color="auto" w:fill="auto"/>
          </w:tcPr>
          <w:p w:rsidR="00364C10" w:rsidRPr="009859D6" w:rsidRDefault="006A1D40" w:rsidP="00C5602D">
            <w:pPr>
              <w:pStyle w:val="Normal-pool"/>
              <w:tabs>
                <w:tab w:val="clear" w:pos="1247"/>
                <w:tab w:val="clear" w:pos="1814"/>
                <w:tab w:val="clear" w:pos="2381"/>
                <w:tab w:val="clear" w:pos="2948"/>
                <w:tab w:val="clear" w:pos="3515"/>
              </w:tabs>
              <w:spacing w:before="40" w:after="40"/>
              <w:ind w:right="-823"/>
              <w:rPr>
                <w:sz w:val="18"/>
                <w:szCs w:val="18"/>
                <w:lang w:val="es-ES" w:eastAsia="en-CA" w:bidi="en-US"/>
              </w:rPr>
            </w:pPr>
            <w:r w:rsidRPr="009859D6">
              <w:rPr>
                <w:sz w:val="18"/>
                <w:szCs w:val="18"/>
                <w:lang w:val="es-ES" w:eastAsia="en-CA" w:bidi="en-US"/>
              </w:rPr>
              <w:t xml:space="preserve">En el puesto desde julio de </w:t>
            </w:r>
            <w:r w:rsidR="00364C10" w:rsidRPr="009859D6">
              <w:rPr>
                <w:sz w:val="18"/>
                <w:szCs w:val="18"/>
                <w:lang w:val="es-ES" w:eastAsia="en-CA" w:bidi="en-US"/>
              </w:rPr>
              <w:t>2014</w:t>
            </w:r>
          </w:p>
          <w:p w:rsidR="002949D3" w:rsidRPr="009859D6" w:rsidRDefault="00356F35" w:rsidP="002949D3">
            <w:pPr>
              <w:pStyle w:val="Normal-pool"/>
              <w:tabs>
                <w:tab w:val="clear" w:pos="1247"/>
                <w:tab w:val="clear" w:pos="1814"/>
                <w:tab w:val="clear" w:pos="2381"/>
                <w:tab w:val="clear" w:pos="2948"/>
                <w:tab w:val="clear" w:pos="3515"/>
              </w:tabs>
              <w:spacing w:before="40" w:after="40"/>
              <w:ind w:right="-823"/>
              <w:rPr>
                <w:sz w:val="18"/>
                <w:szCs w:val="18"/>
                <w:lang w:val="es-ES" w:eastAsia="en-CA" w:bidi="en-US"/>
              </w:rPr>
            </w:pPr>
            <w:r w:rsidRPr="009859D6">
              <w:rPr>
                <w:sz w:val="18"/>
                <w:szCs w:val="18"/>
                <w:lang w:val="es-ES" w:eastAsia="en-CA" w:bidi="en-US"/>
              </w:rPr>
              <w:t>Vacant</w:t>
            </w:r>
            <w:r w:rsidR="002949D3" w:rsidRPr="009859D6">
              <w:rPr>
                <w:sz w:val="18"/>
                <w:szCs w:val="18"/>
                <w:lang w:val="es-ES" w:eastAsia="en-CA" w:bidi="en-US"/>
              </w:rPr>
              <w:t>e</w:t>
            </w:r>
            <w:r w:rsidR="00801E38" w:rsidRPr="009859D6">
              <w:rPr>
                <w:sz w:val="18"/>
                <w:szCs w:val="18"/>
                <w:lang w:val="es-ES" w:eastAsia="en-CA" w:bidi="en-US"/>
              </w:rPr>
              <w:t>;</w:t>
            </w:r>
            <w:r w:rsidR="002949D3" w:rsidRPr="009859D6">
              <w:rPr>
                <w:sz w:val="18"/>
                <w:szCs w:val="18"/>
                <w:lang w:val="es-ES" w:eastAsia="en-CA" w:bidi="en-US"/>
              </w:rPr>
              <w:t xml:space="preserve"> publicado en octubre de </w:t>
            </w:r>
            <w:r w:rsidR="00C5602D" w:rsidRPr="009859D6">
              <w:rPr>
                <w:sz w:val="18"/>
                <w:szCs w:val="18"/>
                <w:lang w:val="es-ES" w:eastAsia="en-CA" w:bidi="en-US"/>
              </w:rPr>
              <w:t>2015</w:t>
            </w:r>
            <w:r w:rsidR="00556EC7" w:rsidRPr="009859D6">
              <w:rPr>
                <w:sz w:val="18"/>
                <w:szCs w:val="18"/>
                <w:lang w:val="es-ES" w:eastAsia="en-CA" w:bidi="en-US"/>
              </w:rPr>
              <w:t xml:space="preserve">; </w:t>
            </w:r>
            <w:r w:rsidR="002949D3" w:rsidRPr="009859D6">
              <w:rPr>
                <w:sz w:val="18"/>
                <w:szCs w:val="18"/>
                <w:lang w:val="es-ES" w:eastAsia="en-CA" w:bidi="en-US"/>
              </w:rPr>
              <w:t xml:space="preserve">las entrevistas se celebrarán </w:t>
            </w:r>
          </w:p>
          <w:p w:rsidR="00556EC7" w:rsidRPr="009859D6" w:rsidRDefault="002949D3" w:rsidP="002949D3">
            <w:pPr>
              <w:pStyle w:val="Normal-pool"/>
              <w:tabs>
                <w:tab w:val="clear" w:pos="1247"/>
                <w:tab w:val="clear" w:pos="1814"/>
                <w:tab w:val="clear" w:pos="2381"/>
                <w:tab w:val="clear" w:pos="2948"/>
                <w:tab w:val="clear" w:pos="3515"/>
              </w:tabs>
              <w:spacing w:before="40" w:after="40"/>
              <w:ind w:right="-823"/>
              <w:rPr>
                <w:sz w:val="18"/>
                <w:szCs w:val="18"/>
                <w:lang w:val="es-ES" w:eastAsia="en-CA" w:bidi="en-US"/>
              </w:rPr>
            </w:pPr>
            <w:r w:rsidRPr="009859D6">
              <w:rPr>
                <w:sz w:val="18"/>
                <w:szCs w:val="18"/>
                <w:lang w:val="es-ES" w:eastAsia="en-CA" w:bidi="en-US"/>
              </w:rPr>
              <w:t xml:space="preserve">en diciembre de </w:t>
            </w:r>
            <w:r w:rsidR="00556EC7" w:rsidRPr="009859D6">
              <w:rPr>
                <w:sz w:val="18"/>
                <w:szCs w:val="18"/>
                <w:lang w:val="es-ES" w:eastAsia="en-CA" w:bidi="en-US"/>
              </w:rPr>
              <w:t>2015</w:t>
            </w:r>
          </w:p>
        </w:tc>
      </w:tr>
    </w:tbl>
    <w:p w:rsidR="00364C10" w:rsidRPr="009859D6" w:rsidRDefault="007E3905" w:rsidP="00A901AD">
      <w:pPr>
        <w:pStyle w:val="CH1"/>
        <w:tabs>
          <w:tab w:val="clear" w:pos="851"/>
          <w:tab w:val="clear" w:pos="1247"/>
        </w:tabs>
        <w:spacing w:before="60" w:after="0"/>
        <w:ind w:firstLine="170"/>
        <w:rPr>
          <w:b w:val="0"/>
          <w:sz w:val="18"/>
          <w:szCs w:val="18"/>
          <w:lang w:val="es-ES"/>
        </w:rPr>
      </w:pPr>
      <w:r w:rsidRPr="009859D6">
        <w:rPr>
          <w:b w:val="0"/>
          <w:sz w:val="18"/>
          <w:szCs w:val="18"/>
          <w:lang w:val="es-ES"/>
        </w:rPr>
        <w:t>*</w:t>
      </w:r>
      <w:r w:rsidR="002949D3" w:rsidRPr="009859D6">
        <w:rPr>
          <w:b w:val="0"/>
          <w:sz w:val="18"/>
          <w:szCs w:val="18"/>
          <w:lang w:val="es-ES"/>
        </w:rPr>
        <w:t xml:space="preserve">Indica los puestos acordados por el Plenario en su tercer </w:t>
      </w:r>
      <w:r w:rsidR="001901B3" w:rsidRPr="009859D6">
        <w:rPr>
          <w:b w:val="0"/>
          <w:sz w:val="18"/>
          <w:szCs w:val="18"/>
          <w:lang w:val="es-ES"/>
        </w:rPr>
        <w:t>período de sesiones</w:t>
      </w:r>
      <w:r w:rsidR="008C03F8" w:rsidRPr="009859D6">
        <w:rPr>
          <w:b w:val="0"/>
          <w:sz w:val="18"/>
          <w:szCs w:val="18"/>
          <w:lang w:val="es-ES"/>
        </w:rPr>
        <w:t>.</w:t>
      </w:r>
    </w:p>
    <w:tbl>
      <w:tblPr>
        <w:tblW w:w="0" w:type="auto"/>
        <w:tblLook w:val="04A0" w:firstRow="1" w:lastRow="0" w:firstColumn="1" w:lastColumn="0" w:noHBand="0" w:noVBand="1"/>
      </w:tblPr>
      <w:tblGrid>
        <w:gridCol w:w="1942"/>
        <w:gridCol w:w="1942"/>
        <w:gridCol w:w="1942"/>
        <w:gridCol w:w="1943"/>
        <w:gridCol w:w="1943"/>
      </w:tblGrid>
      <w:tr w:rsidR="00036AFD" w:rsidRPr="009859D6" w:rsidTr="00DB010B">
        <w:trPr>
          <w:trHeight w:hRule="exact" w:val="284"/>
        </w:trPr>
        <w:tc>
          <w:tcPr>
            <w:tcW w:w="1942" w:type="dxa"/>
            <w:shd w:val="clear" w:color="auto" w:fill="auto"/>
          </w:tcPr>
          <w:p w:rsidR="00036AFD" w:rsidRPr="009859D6" w:rsidRDefault="00036AFD" w:rsidP="00906106">
            <w:pPr>
              <w:pStyle w:val="Normal-pool"/>
              <w:spacing w:before="120"/>
              <w:rPr>
                <w:lang w:val="es-ES"/>
              </w:rPr>
            </w:pPr>
          </w:p>
        </w:tc>
        <w:tc>
          <w:tcPr>
            <w:tcW w:w="1942" w:type="dxa"/>
            <w:shd w:val="clear" w:color="auto" w:fill="auto"/>
          </w:tcPr>
          <w:p w:rsidR="00036AFD" w:rsidRPr="009859D6" w:rsidRDefault="00036AFD" w:rsidP="00906106">
            <w:pPr>
              <w:pStyle w:val="Normal-pool"/>
              <w:spacing w:before="120"/>
              <w:rPr>
                <w:lang w:val="es-ES"/>
              </w:rPr>
            </w:pPr>
          </w:p>
        </w:tc>
        <w:tc>
          <w:tcPr>
            <w:tcW w:w="1942" w:type="dxa"/>
            <w:tcBorders>
              <w:bottom w:val="single" w:sz="4" w:space="0" w:color="auto"/>
            </w:tcBorders>
            <w:shd w:val="clear" w:color="auto" w:fill="auto"/>
          </w:tcPr>
          <w:p w:rsidR="00036AFD" w:rsidRPr="009859D6" w:rsidRDefault="00036AFD" w:rsidP="00906106">
            <w:pPr>
              <w:pStyle w:val="Normal-pool"/>
              <w:spacing w:before="120"/>
              <w:rPr>
                <w:lang w:val="es-ES"/>
              </w:rPr>
            </w:pPr>
          </w:p>
        </w:tc>
        <w:tc>
          <w:tcPr>
            <w:tcW w:w="1943" w:type="dxa"/>
            <w:shd w:val="clear" w:color="auto" w:fill="auto"/>
          </w:tcPr>
          <w:p w:rsidR="00036AFD" w:rsidRPr="009859D6" w:rsidRDefault="00036AFD" w:rsidP="00906106">
            <w:pPr>
              <w:pStyle w:val="Normal-pool"/>
              <w:spacing w:before="120"/>
              <w:rPr>
                <w:lang w:val="es-ES"/>
              </w:rPr>
            </w:pPr>
          </w:p>
        </w:tc>
        <w:tc>
          <w:tcPr>
            <w:tcW w:w="1943" w:type="dxa"/>
            <w:shd w:val="clear" w:color="auto" w:fill="auto"/>
          </w:tcPr>
          <w:p w:rsidR="00036AFD" w:rsidRPr="009859D6" w:rsidRDefault="00036AFD" w:rsidP="00906106">
            <w:pPr>
              <w:pStyle w:val="Normal-pool"/>
              <w:spacing w:before="120"/>
              <w:rPr>
                <w:lang w:val="es-ES"/>
              </w:rPr>
            </w:pPr>
          </w:p>
        </w:tc>
      </w:tr>
    </w:tbl>
    <w:p w:rsidR="00254174" w:rsidRPr="009859D6" w:rsidRDefault="00254174" w:rsidP="00906106">
      <w:pPr>
        <w:pStyle w:val="Normalnumber"/>
        <w:tabs>
          <w:tab w:val="clear" w:pos="1247"/>
          <w:tab w:val="clear" w:pos="1814"/>
          <w:tab w:val="clear" w:pos="2381"/>
          <w:tab w:val="clear" w:pos="2948"/>
          <w:tab w:val="clear" w:pos="3515"/>
          <w:tab w:val="left" w:pos="624"/>
        </w:tabs>
        <w:rPr>
          <w:strike/>
          <w:lang w:val="es-ES"/>
        </w:rPr>
      </w:pPr>
    </w:p>
    <w:sectPr w:rsidR="00254174" w:rsidRPr="009859D6" w:rsidSect="00036AFD">
      <w:headerReference w:type="even" r:id="rId15"/>
      <w:headerReference w:type="default" r:id="rId16"/>
      <w:footerReference w:type="even" r:id="rId17"/>
      <w:footerReference w:type="default" r:id="rId18"/>
      <w:headerReference w:type="first" r:id="rId19"/>
      <w:footerReference w:type="first" r:id="rId20"/>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840" w:rsidRDefault="00F91840">
      <w:r>
        <w:separator/>
      </w:r>
    </w:p>
  </w:endnote>
  <w:endnote w:type="continuationSeparator" w:id="0">
    <w:p w:rsidR="00F91840" w:rsidRDefault="00F9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8C" w:rsidRPr="00715E94" w:rsidRDefault="0019758C">
    <w:pPr>
      <w:pStyle w:val="Footer"/>
      <w:rPr>
        <w:b/>
        <w:bCs/>
      </w:rPr>
    </w:pPr>
    <w:r>
      <w:fldChar w:fldCharType="begin"/>
    </w:r>
    <w:r>
      <w:instrText xml:space="preserve"> PAGE   \* MERGEFORMAT </w:instrText>
    </w:r>
    <w:r>
      <w:fldChar w:fldCharType="separate"/>
    </w:r>
    <w:r w:rsidR="004E5A2F" w:rsidRPr="004E5A2F">
      <w:rPr>
        <w:b/>
        <w:bCs/>
        <w:noProof/>
      </w:rPr>
      <w:t>2</w:t>
    </w:r>
    <w:r>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8C" w:rsidRPr="00715E94" w:rsidRDefault="0019758C" w:rsidP="00715E94">
    <w:pPr>
      <w:pStyle w:val="Footer"/>
      <w:jc w:val="right"/>
      <w:rPr>
        <w:b/>
        <w:bCs/>
      </w:rPr>
    </w:pPr>
    <w:r>
      <w:fldChar w:fldCharType="begin"/>
    </w:r>
    <w:r>
      <w:instrText xml:space="preserve"> PAGE   \* MERGEFORMAT </w:instrText>
    </w:r>
    <w:r>
      <w:fldChar w:fldCharType="separate"/>
    </w:r>
    <w:r w:rsidR="004E5A2F" w:rsidRPr="004E5A2F">
      <w:rPr>
        <w:b/>
        <w:bCs/>
        <w:noProof/>
      </w:rPr>
      <w:t>5</w:t>
    </w:r>
    <w:r>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8C" w:rsidRPr="00715E94" w:rsidRDefault="0019758C" w:rsidP="00715E94">
    <w:pPr>
      <w:pStyle w:val="Footer"/>
      <w:rPr>
        <w:bCs/>
        <w:lang w:val="en-US"/>
      </w:rPr>
    </w:pPr>
    <w:r w:rsidRPr="00C064A7">
      <w:rPr>
        <w:bCs/>
        <w:lang w:val="en-US"/>
      </w:rPr>
      <w:t>K1</w:t>
    </w:r>
    <w:r>
      <w:rPr>
        <w:bCs/>
        <w:lang w:val="en-US"/>
      </w:rPr>
      <w:t>503623</w:t>
    </w:r>
    <w:r w:rsidRPr="00C064A7">
      <w:rPr>
        <w:bCs/>
        <w:lang w:val="en-US"/>
      </w:rPr>
      <w:tab/>
    </w:r>
    <w:r w:rsidR="00284500">
      <w:rPr>
        <w:bCs/>
        <w:lang w:val="en-US"/>
      </w:rPr>
      <w:t>21</w:t>
    </w:r>
    <w:r>
      <w:rPr>
        <w:bCs/>
        <w:lang w:val="en-US"/>
      </w:rPr>
      <w:t>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840" w:rsidRDefault="00F91840" w:rsidP="00D92DE0">
      <w:pPr>
        <w:ind w:left="624"/>
      </w:pPr>
      <w:r>
        <w:separator/>
      </w:r>
    </w:p>
  </w:footnote>
  <w:footnote w:type="continuationSeparator" w:id="0">
    <w:p w:rsidR="00F91840" w:rsidRDefault="00F91840">
      <w:r>
        <w:continuationSeparator/>
      </w:r>
    </w:p>
  </w:footnote>
  <w:footnote w:id="1">
    <w:p w:rsidR="0019758C" w:rsidRPr="004F6C93" w:rsidRDefault="0019758C" w:rsidP="00526767">
      <w:pPr>
        <w:pStyle w:val="FootnoteText"/>
        <w:tabs>
          <w:tab w:val="clear" w:pos="1247"/>
          <w:tab w:val="clear" w:pos="2381"/>
          <w:tab w:val="clear" w:pos="2948"/>
          <w:tab w:val="clear" w:pos="3515"/>
          <w:tab w:val="right" w:pos="1195"/>
          <w:tab w:val="left" w:pos="1267"/>
          <w:tab w:val="left" w:pos="1742"/>
          <w:tab w:val="left" w:pos="2218"/>
          <w:tab w:val="left" w:pos="4240"/>
        </w:tabs>
        <w:ind w:right="57"/>
        <w:rPr>
          <w:szCs w:val="18"/>
          <w:lang w:val="es-ES_tradnl"/>
        </w:rPr>
      </w:pPr>
      <w:r w:rsidRPr="004F6C93">
        <w:rPr>
          <w:rStyle w:val="FootnoteReference"/>
          <w:spacing w:val="5"/>
          <w:w w:val="104"/>
          <w:sz w:val="18"/>
          <w:vertAlign w:val="baseline"/>
          <w:lang w:val="es-ES_tradnl"/>
        </w:rPr>
        <w:t>*</w:t>
      </w:r>
      <w:r w:rsidRPr="004F6C93">
        <w:rPr>
          <w:szCs w:val="18"/>
          <w:lang w:val="es-ES_tradnl"/>
        </w:rPr>
        <w:t xml:space="preserve"> IPBES/4/1.</w:t>
      </w:r>
      <w:r w:rsidRPr="004F6C93">
        <w:rPr>
          <w:szCs w:val="18"/>
          <w:lang w:val="es-ES_tradnl"/>
        </w:rPr>
        <w:tab/>
      </w:r>
    </w:p>
  </w:footnote>
  <w:footnote w:id="2">
    <w:p w:rsidR="0019758C" w:rsidRPr="00505AF5" w:rsidRDefault="0019758C" w:rsidP="00CF3639">
      <w:pPr>
        <w:pStyle w:val="FootnoteText"/>
        <w:ind w:right="57"/>
        <w:rPr>
          <w:b/>
          <w:bCs/>
          <w:szCs w:val="18"/>
          <w:lang w:val="es-ES_tradnl"/>
        </w:rPr>
      </w:pPr>
      <w:r w:rsidRPr="00D776E2">
        <w:rPr>
          <w:rStyle w:val="FootnoteReference"/>
          <w:sz w:val="18"/>
        </w:rPr>
        <w:footnoteRef/>
      </w:r>
      <w:r w:rsidRPr="00505AF5">
        <w:rPr>
          <w:szCs w:val="18"/>
          <w:lang w:val="es-ES_tradnl"/>
        </w:rPr>
        <w:t xml:space="preserve"> Estas reuniones incluyen las reuniones quinta y sexta del Grupo Multidisciplinario de Expertos y de la Mesa, pero excluyen las reuniones tercera y cuarta del Plenario.</w:t>
      </w:r>
    </w:p>
  </w:footnote>
  <w:footnote w:id="3">
    <w:p w:rsidR="0019758C" w:rsidRPr="00B05AAC" w:rsidRDefault="0019758C" w:rsidP="00A77767">
      <w:pPr>
        <w:pStyle w:val="FootnoteText"/>
        <w:tabs>
          <w:tab w:val="clear" w:pos="1247"/>
          <w:tab w:val="clear" w:pos="1814"/>
          <w:tab w:val="clear" w:pos="2381"/>
          <w:tab w:val="clear" w:pos="2948"/>
          <w:tab w:val="clear" w:pos="3515"/>
          <w:tab w:val="left" w:pos="624"/>
        </w:tabs>
        <w:rPr>
          <w:sz w:val="24"/>
          <w:szCs w:val="24"/>
          <w:lang w:val="es-ES_tradnl"/>
        </w:rPr>
      </w:pPr>
      <w:r w:rsidRPr="00FC5A38">
        <w:rPr>
          <w:rStyle w:val="FootnoteReference"/>
          <w:sz w:val="18"/>
        </w:rPr>
        <w:footnoteRef/>
      </w:r>
      <w:r w:rsidRPr="00FE7608">
        <w:rPr>
          <w:szCs w:val="18"/>
          <w:lang w:val="es-ES_tradnl"/>
        </w:rPr>
        <w:t xml:space="preserve"> En total se escogieron 9</w:t>
      </w:r>
      <w:r>
        <w:rPr>
          <w:szCs w:val="18"/>
          <w:lang w:val="es-ES_tradnl"/>
        </w:rPr>
        <w:t>4</w:t>
      </w:r>
      <w:r w:rsidRPr="00FE7608">
        <w:rPr>
          <w:szCs w:val="18"/>
          <w:lang w:val="es-ES_tradnl"/>
        </w:rPr>
        <w:t xml:space="preserve">5 expertos en respuesta a las peticiones presentadas en 2014 y 2015 para llevar a cabo trabajos por cuenta de la Plataforma, que se distribuyeron de la manera siguiente: </w:t>
      </w:r>
      <w:r>
        <w:rPr>
          <w:szCs w:val="18"/>
          <w:lang w:val="es-ES_tradnl"/>
        </w:rPr>
        <w:t>E</w:t>
      </w:r>
      <w:r w:rsidRPr="00FE7608">
        <w:rPr>
          <w:szCs w:val="18"/>
          <w:lang w:val="es-ES_tradnl"/>
        </w:rPr>
        <w:t>stados</w:t>
      </w:r>
      <w:r>
        <w:rPr>
          <w:szCs w:val="18"/>
          <w:lang w:val="es-ES_tradnl"/>
        </w:rPr>
        <w:t xml:space="preserve"> de África</w:t>
      </w:r>
      <w:r w:rsidRPr="00FE7608">
        <w:rPr>
          <w:szCs w:val="18"/>
          <w:lang w:val="es-ES_tradnl"/>
        </w:rPr>
        <w:t xml:space="preserve">, 17%; </w:t>
      </w:r>
      <w:r>
        <w:rPr>
          <w:szCs w:val="18"/>
          <w:lang w:val="es-ES_tradnl"/>
        </w:rPr>
        <w:t>Estados de América Latina y el Caribe, 17%</w:t>
      </w:r>
      <w:r w:rsidRPr="00FE7608">
        <w:rPr>
          <w:szCs w:val="18"/>
          <w:lang w:val="es-ES_tradnl"/>
        </w:rPr>
        <w:t xml:space="preserve">; </w:t>
      </w:r>
      <w:r>
        <w:rPr>
          <w:szCs w:val="18"/>
          <w:lang w:val="es-ES_tradnl"/>
        </w:rPr>
        <w:t>Estados de Europa Oriental, 10%; y Estados de Europa Occidental y otros Estados, 35%</w:t>
      </w:r>
      <w:r w:rsidRPr="00FE7608">
        <w:rPr>
          <w:szCs w:val="18"/>
          <w:lang w:val="es-ES_tradnl"/>
        </w:rPr>
        <w:t xml:space="preserve">. </w:t>
      </w:r>
      <w:r w:rsidRPr="00C745B8">
        <w:rPr>
          <w:szCs w:val="18"/>
          <w:lang w:val="es-ES_tradnl"/>
        </w:rPr>
        <w:t xml:space="preserve">Los porcentajes fueron similares tanto para las candidaturas gubernamentales como no gubernamentales. En cuanto al equilibrio de género, el 33% de los candidatos propuestos </w:t>
      </w:r>
      <w:r>
        <w:rPr>
          <w:szCs w:val="18"/>
          <w:lang w:val="es-ES_tradnl"/>
        </w:rPr>
        <w:t>por los gobiernos fueron mujeres</w:t>
      </w:r>
      <w:r w:rsidRPr="00B05AAC">
        <w:rPr>
          <w:szCs w:val="18"/>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8C" w:rsidRPr="00715E94" w:rsidRDefault="0019758C" w:rsidP="00715E94">
    <w:pPr>
      <w:pStyle w:val="Header"/>
      <w:rPr>
        <w:lang w:val="en-US"/>
      </w:rPr>
    </w:pPr>
    <w:r w:rsidRPr="005E5CB5">
      <w:rPr>
        <w:szCs w:val="18"/>
      </w:rPr>
      <w:t>IPBES/</w:t>
    </w:r>
    <w:r>
      <w:rPr>
        <w:szCs w:val="18"/>
      </w:rPr>
      <w:t>4</w:t>
    </w:r>
    <w:r w:rsidRPr="005E5CB5">
      <w:rPr>
        <w:szCs w:val="18"/>
      </w:rPr>
      <w:t>/</w:t>
    </w:r>
    <w:r>
      <w:rPr>
        <w:szCs w:val="18"/>
        <w:lang w:val="en-U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8C" w:rsidRPr="00715E94" w:rsidRDefault="0019758C" w:rsidP="00030635">
    <w:pPr>
      <w:pStyle w:val="Header"/>
      <w:jc w:val="right"/>
      <w:rPr>
        <w:lang w:val="en-US"/>
      </w:rPr>
    </w:pPr>
    <w:r w:rsidRPr="005E5CB5">
      <w:rPr>
        <w:szCs w:val="18"/>
      </w:rPr>
      <w:t>IPBES/</w:t>
    </w:r>
    <w:r>
      <w:rPr>
        <w:szCs w:val="18"/>
        <w:lang w:val="en-US"/>
      </w:rPr>
      <w:t>4</w:t>
    </w:r>
    <w:r w:rsidRPr="005E5CB5">
      <w:rPr>
        <w:szCs w:val="18"/>
      </w:rPr>
      <w:t>/</w:t>
    </w:r>
    <w:r>
      <w:rPr>
        <w:szCs w:val="18"/>
        <w:lang w:val="en-US"/>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8C" w:rsidRDefault="0019758C" w:rsidP="00CF3639">
    <w:pPr>
      <w:pStyle w:val="Header"/>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AA1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1654A"/>
    <w:multiLevelType w:val="hybridMultilevel"/>
    <w:tmpl w:val="356A778C"/>
    <w:lvl w:ilvl="0" w:tplc="20048596">
      <w:start w:val="4"/>
      <w:numFmt w:val="bullet"/>
      <w:lvlText w:val=""/>
      <w:lvlJc w:val="left"/>
      <w:pPr>
        <w:ind w:left="1949" w:hanging="360"/>
      </w:pPr>
      <w:rPr>
        <w:rFonts w:ascii="Symbol" w:eastAsia="Times New Roman" w:hAnsi="Symbol" w:cs="Times New Roman" w:hint="default"/>
      </w:rPr>
    </w:lvl>
    <w:lvl w:ilvl="1" w:tplc="08090003" w:tentative="1">
      <w:start w:val="1"/>
      <w:numFmt w:val="bullet"/>
      <w:lvlText w:val="o"/>
      <w:lvlJc w:val="left"/>
      <w:pPr>
        <w:ind w:left="2669" w:hanging="360"/>
      </w:pPr>
      <w:rPr>
        <w:rFonts w:ascii="Courier New" w:hAnsi="Courier New" w:cs="Courier New" w:hint="default"/>
      </w:rPr>
    </w:lvl>
    <w:lvl w:ilvl="2" w:tplc="08090005" w:tentative="1">
      <w:start w:val="1"/>
      <w:numFmt w:val="bullet"/>
      <w:lvlText w:val=""/>
      <w:lvlJc w:val="left"/>
      <w:pPr>
        <w:ind w:left="3389" w:hanging="360"/>
      </w:pPr>
      <w:rPr>
        <w:rFonts w:ascii="Wingdings" w:hAnsi="Wingdings" w:hint="default"/>
      </w:rPr>
    </w:lvl>
    <w:lvl w:ilvl="3" w:tplc="08090001" w:tentative="1">
      <w:start w:val="1"/>
      <w:numFmt w:val="bullet"/>
      <w:lvlText w:val=""/>
      <w:lvlJc w:val="left"/>
      <w:pPr>
        <w:ind w:left="4109" w:hanging="360"/>
      </w:pPr>
      <w:rPr>
        <w:rFonts w:ascii="Symbol" w:hAnsi="Symbol" w:hint="default"/>
      </w:rPr>
    </w:lvl>
    <w:lvl w:ilvl="4" w:tplc="08090003" w:tentative="1">
      <w:start w:val="1"/>
      <w:numFmt w:val="bullet"/>
      <w:lvlText w:val="o"/>
      <w:lvlJc w:val="left"/>
      <w:pPr>
        <w:ind w:left="4829" w:hanging="360"/>
      </w:pPr>
      <w:rPr>
        <w:rFonts w:ascii="Courier New" w:hAnsi="Courier New" w:cs="Courier New" w:hint="default"/>
      </w:rPr>
    </w:lvl>
    <w:lvl w:ilvl="5" w:tplc="08090005" w:tentative="1">
      <w:start w:val="1"/>
      <w:numFmt w:val="bullet"/>
      <w:lvlText w:val=""/>
      <w:lvlJc w:val="left"/>
      <w:pPr>
        <w:ind w:left="5549" w:hanging="360"/>
      </w:pPr>
      <w:rPr>
        <w:rFonts w:ascii="Wingdings" w:hAnsi="Wingdings" w:hint="default"/>
      </w:rPr>
    </w:lvl>
    <w:lvl w:ilvl="6" w:tplc="08090001" w:tentative="1">
      <w:start w:val="1"/>
      <w:numFmt w:val="bullet"/>
      <w:lvlText w:val=""/>
      <w:lvlJc w:val="left"/>
      <w:pPr>
        <w:ind w:left="6269" w:hanging="360"/>
      </w:pPr>
      <w:rPr>
        <w:rFonts w:ascii="Symbol" w:hAnsi="Symbol" w:hint="default"/>
      </w:rPr>
    </w:lvl>
    <w:lvl w:ilvl="7" w:tplc="08090003" w:tentative="1">
      <w:start w:val="1"/>
      <w:numFmt w:val="bullet"/>
      <w:lvlText w:val="o"/>
      <w:lvlJc w:val="left"/>
      <w:pPr>
        <w:ind w:left="6989" w:hanging="360"/>
      </w:pPr>
      <w:rPr>
        <w:rFonts w:ascii="Courier New" w:hAnsi="Courier New" w:cs="Courier New" w:hint="default"/>
      </w:rPr>
    </w:lvl>
    <w:lvl w:ilvl="8" w:tplc="08090005" w:tentative="1">
      <w:start w:val="1"/>
      <w:numFmt w:val="bullet"/>
      <w:lvlText w:val=""/>
      <w:lvlJc w:val="left"/>
      <w:pPr>
        <w:ind w:left="7709" w:hanging="360"/>
      </w:pPr>
      <w:rPr>
        <w:rFonts w:ascii="Wingdings" w:hAnsi="Wingdings" w:hint="default"/>
      </w:rPr>
    </w:lvl>
  </w:abstractNum>
  <w:abstractNum w:abstractNumId="2" w15:restartNumberingAfterBreak="0">
    <w:nsid w:val="17CA48AF"/>
    <w:multiLevelType w:val="hybridMultilevel"/>
    <w:tmpl w:val="3EB643A0"/>
    <w:lvl w:ilvl="0" w:tplc="79EE259C">
      <w:start w:val="1"/>
      <w:numFmt w:val="decimal"/>
      <w:lvlText w:val="%1."/>
      <w:lvlJc w:val="left"/>
      <w:pPr>
        <w:ind w:left="1211" w:hanging="360"/>
      </w:pPr>
      <w:rPr>
        <w:b w:val="0"/>
        <w:bCs/>
      </w:rPr>
    </w:lvl>
    <w:lvl w:ilvl="1" w:tplc="9EA22098">
      <w:start w:val="1"/>
      <w:numFmt w:val="lowerLetter"/>
      <w:lvlText w:val="%2)"/>
      <w:lvlJc w:val="left"/>
      <w:pPr>
        <w:ind w:left="2487" w:hanging="360"/>
      </w:pPr>
      <w:rPr>
        <w:rFonts w:hint="default"/>
        <w:lang w:val="es-ES_tradnl"/>
      </w:rPr>
    </w:lvl>
    <w:lvl w:ilvl="2" w:tplc="3FD09C1E">
      <w:start w:val="1"/>
      <w:numFmt w:val="lowerRoman"/>
      <w:lvlText w:val="(%3)"/>
      <w:lvlJc w:val="right"/>
      <w:pPr>
        <w:ind w:left="3407" w:hanging="180"/>
      </w:pPr>
      <w:rPr>
        <w:rFonts w:hint="default"/>
      </w:r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549A5FB5"/>
    <w:multiLevelType w:val="hybridMultilevel"/>
    <w:tmpl w:val="DE8C50AC"/>
    <w:lvl w:ilvl="0" w:tplc="0409000F">
      <w:start w:val="1"/>
      <w:numFmt w:val="decimal"/>
      <w:lvlText w:val="%1."/>
      <w:lvlJc w:val="left"/>
      <w:pPr>
        <w:ind w:left="1967" w:hanging="360"/>
      </w:pPr>
    </w:lvl>
    <w:lvl w:ilvl="1" w:tplc="9EA22098">
      <w:start w:val="1"/>
      <w:numFmt w:val="lowerLetter"/>
      <w:lvlText w:val="%2)"/>
      <w:lvlJc w:val="left"/>
      <w:pPr>
        <w:ind w:left="2687" w:hanging="360"/>
      </w:pPr>
      <w:rPr>
        <w:rFonts w:hint="default"/>
        <w:lang w:val="es-ES_tradnl"/>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7" w15:restartNumberingAfterBreak="0">
    <w:nsid w:val="5E3613B6"/>
    <w:multiLevelType w:val="hybridMultilevel"/>
    <w:tmpl w:val="0E76416A"/>
    <w:lvl w:ilvl="0" w:tplc="761EF4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91BF8"/>
    <w:multiLevelType w:val="multilevel"/>
    <w:tmpl w:val="F4ACF36E"/>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680"/>
        </w:tabs>
        <w:ind w:left="0" w:firstLine="567"/>
      </w:pPr>
      <w:rPr>
        <w:rFonts w:hint="default"/>
      </w:rPr>
    </w:lvl>
    <w:lvl w:ilvl="2">
      <w:start w:val="1"/>
      <w:numFmt w:val="lowerRoman"/>
      <w:lvlText w:val="%3)"/>
      <w:lvlJc w:val="left"/>
      <w:pPr>
        <w:tabs>
          <w:tab w:val="num" w:pos="-680"/>
        </w:tabs>
        <w:ind w:left="1701" w:hanging="567"/>
      </w:pPr>
      <w:rPr>
        <w:rFonts w:hint="default"/>
      </w:rPr>
    </w:lvl>
    <w:lvl w:ilvl="3">
      <w:start w:val="1"/>
      <w:numFmt w:val="lowerLetter"/>
      <w:lvlText w:val="%4."/>
      <w:lvlJc w:val="left"/>
      <w:pPr>
        <w:tabs>
          <w:tab w:val="num" w:pos="-680"/>
        </w:tabs>
        <w:ind w:left="2268" w:hanging="567"/>
      </w:pPr>
      <w:rPr>
        <w:rFonts w:hint="default"/>
      </w:rPr>
    </w:lvl>
    <w:lvl w:ilvl="4">
      <w:start w:val="1"/>
      <w:numFmt w:val="lowerRoman"/>
      <w:lvlText w:val="%5."/>
      <w:lvlJc w:val="left"/>
      <w:pPr>
        <w:tabs>
          <w:tab w:val="num" w:pos="-680"/>
        </w:tabs>
        <w:ind w:left="2835" w:hanging="567"/>
      </w:pPr>
      <w:rPr>
        <w:rFonts w:hint="default"/>
      </w:rPr>
    </w:lvl>
    <w:lvl w:ilvl="5">
      <w:start w:val="1"/>
      <w:numFmt w:val="lowerRoman"/>
      <w:lvlText w:val="%6."/>
      <w:lvlJc w:val="right"/>
      <w:pPr>
        <w:tabs>
          <w:tab w:val="num" w:pos="6588"/>
        </w:tabs>
        <w:ind w:left="6588" w:hanging="180"/>
      </w:pPr>
      <w:rPr>
        <w:rFonts w:hint="default"/>
      </w:rPr>
    </w:lvl>
    <w:lvl w:ilvl="6">
      <w:start w:val="1"/>
      <w:numFmt w:val="decimal"/>
      <w:lvlText w:val="%7."/>
      <w:lvlJc w:val="left"/>
      <w:pPr>
        <w:tabs>
          <w:tab w:val="num" w:pos="7308"/>
        </w:tabs>
        <w:ind w:left="7308" w:hanging="360"/>
      </w:pPr>
      <w:rPr>
        <w:rFonts w:hint="default"/>
      </w:rPr>
    </w:lvl>
    <w:lvl w:ilvl="7">
      <w:start w:val="1"/>
      <w:numFmt w:val="lowerLetter"/>
      <w:lvlText w:val="%8."/>
      <w:lvlJc w:val="left"/>
      <w:pPr>
        <w:tabs>
          <w:tab w:val="num" w:pos="8028"/>
        </w:tabs>
        <w:ind w:left="8028" w:hanging="360"/>
      </w:pPr>
      <w:rPr>
        <w:rFonts w:hint="default"/>
      </w:rPr>
    </w:lvl>
    <w:lvl w:ilvl="8">
      <w:start w:val="1"/>
      <w:numFmt w:val="lowerRoman"/>
      <w:lvlText w:val="%9."/>
      <w:lvlJc w:val="right"/>
      <w:pPr>
        <w:tabs>
          <w:tab w:val="num" w:pos="8748"/>
        </w:tabs>
        <w:ind w:left="8748" w:hanging="180"/>
      </w:pPr>
      <w:rPr>
        <w:rFonts w:hint="default"/>
      </w:rPr>
    </w:lvl>
  </w:abstractNum>
  <w:abstractNum w:abstractNumId="9" w15:restartNumberingAfterBreak="0">
    <w:nsid w:val="675C044C"/>
    <w:multiLevelType w:val="hybridMultilevel"/>
    <w:tmpl w:val="3662ACB0"/>
    <w:lvl w:ilvl="0" w:tplc="8B5A8754">
      <w:start w:val="4"/>
      <w:numFmt w:val="bullet"/>
      <w:lvlText w:val=""/>
      <w:lvlJc w:val="left"/>
      <w:pPr>
        <w:ind w:left="2309" w:hanging="360"/>
      </w:pPr>
      <w:rPr>
        <w:rFonts w:ascii="Symbol" w:eastAsia="Times New Roman" w:hAnsi="Symbol" w:cs="Times New Roman" w:hint="default"/>
      </w:rPr>
    </w:lvl>
    <w:lvl w:ilvl="1" w:tplc="08090003" w:tentative="1">
      <w:start w:val="1"/>
      <w:numFmt w:val="bullet"/>
      <w:lvlText w:val="o"/>
      <w:lvlJc w:val="left"/>
      <w:pPr>
        <w:ind w:left="3029" w:hanging="360"/>
      </w:pPr>
      <w:rPr>
        <w:rFonts w:ascii="Courier New" w:hAnsi="Courier New" w:cs="Courier New" w:hint="default"/>
      </w:rPr>
    </w:lvl>
    <w:lvl w:ilvl="2" w:tplc="08090005" w:tentative="1">
      <w:start w:val="1"/>
      <w:numFmt w:val="bullet"/>
      <w:lvlText w:val=""/>
      <w:lvlJc w:val="left"/>
      <w:pPr>
        <w:ind w:left="3749" w:hanging="360"/>
      </w:pPr>
      <w:rPr>
        <w:rFonts w:ascii="Wingdings" w:hAnsi="Wingdings" w:hint="default"/>
      </w:rPr>
    </w:lvl>
    <w:lvl w:ilvl="3" w:tplc="08090001" w:tentative="1">
      <w:start w:val="1"/>
      <w:numFmt w:val="bullet"/>
      <w:lvlText w:val=""/>
      <w:lvlJc w:val="left"/>
      <w:pPr>
        <w:ind w:left="4469" w:hanging="360"/>
      </w:pPr>
      <w:rPr>
        <w:rFonts w:ascii="Symbol" w:hAnsi="Symbol" w:hint="default"/>
      </w:rPr>
    </w:lvl>
    <w:lvl w:ilvl="4" w:tplc="08090003" w:tentative="1">
      <w:start w:val="1"/>
      <w:numFmt w:val="bullet"/>
      <w:lvlText w:val="o"/>
      <w:lvlJc w:val="left"/>
      <w:pPr>
        <w:ind w:left="5189" w:hanging="360"/>
      </w:pPr>
      <w:rPr>
        <w:rFonts w:ascii="Courier New" w:hAnsi="Courier New" w:cs="Courier New" w:hint="default"/>
      </w:rPr>
    </w:lvl>
    <w:lvl w:ilvl="5" w:tplc="08090005" w:tentative="1">
      <w:start w:val="1"/>
      <w:numFmt w:val="bullet"/>
      <w:lvlText w:val=""/>
      <w:lvlJc w:val="left"/>
      <w:pPr>
        <w:ind w:left="5909" w:hanging="360"/>
      </w:pPr>
      <w:rPr>
        <w:rFonts w:ascii="Wingdings" w:hAnsi="Wingdings" w:hint="default"/>
      </w:rPr>
    </w:lvl>
    <w:lvl w:ilvl="6" w:tplc="08090001" w:tentative="1">
      <w:start w:val="1"/>
      <w:numFmt w:val="bullet"/>
      <w:lvlText w:val=""/>
      <w:lvlJc w:val="left"/>
      <w:pPr>
        <w:ind w:left="6629" w:hanging="360"/>
      </w:pPr>
      <w:rPr>
        <w:rFonts w:ascii="Symbol" w:hAnsi="Symbol" w:hint="default"/>
      </w:rPr>
    </w:lvl>
    <w:lvl w:ilvl="7" w:tplc="08090003" w:tentative="1">
      <w:start w:val="1"/>
      <w:numFmt w:val="bullet"/>
      <w:lvlText w:val="o"/>
      <w:lvlJc w:val="left"/>
      <w:pPr>
        <w:ind w:left="7349" w:hanging="360"/>
      </w:pPr>
      <w:rPr>
        <w:rFonts w:ascii="Courier New" w:hAnsi="Courier New" w:cs="Courier New" w:hint="default"/>
      </w:rPr>
    </w:lvl>
    <w:lvl w:ilvl="8" w:tplc="08090005" w:tentative="1">
      <w:start w:val="1"/>
      <w:numFmt w:val="bullet"/>
      <w:lvlText w:val=""/>
      <w:lvlJc w:val="left"/>
      <w:pPr>
        <w:ind w:left="8069" w:hanging="360"/>
      </w:pPr>
      <w:rPr>
        <w:rFonts w:ascii="Wingdings" w:hAnsi="Wingdings" w:hint="default"/>
      </w:rPr>
    </w:lvl>
  </w:abstractNum>
  <w:abstractNum w:abstractNumId="10" w15:restartNumberingAfterBreak="0">
    <w:nsid w:val="7CCE486C"/>
    <w:multiLevelType w:val="hybridMultilevel"/>
    <w:tmpl w:val="BA502FC0"/>
    <w:lvl w:ilvl="0" w:tplc="C58AD234">
      <w:start w:val="1"/>
      <w:numFmt w:val="upperRoman"/>
      <w:lvlText w:val="%1."/>
      <w:lvlJc w:val="left"/>
      <w:pPr>
        <w:ind w:left="1965" w:hanging="72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num w:numId="1">
    <w:abstractNumId w:val="3"/>
  </w:num>
  <w:num w:numId="2">
    <w:abstractNumId w:val="4"/>
  </w:num>
  <w:num w:numId="3">
    <w:abstractNumId w:val="5"/>
  </w:num>
  <w:num w:numId="4">
    <w:abstractNumId w:val="2"/>
  </w:num>
  <w:num w:numId="5">
    <w:abstractNumId w:val="6"/>
  </w:num>
  <w:num w:numId="6">
    <w:abstractNumId w:val="10"/>
  </w:num>
  <w:num w:numId="7">
    <w:abstractNumId w:val="7"/>
  </w:num>
  <w:num w:numId="8">
    <w:abstractNumId w:val="0"/>
  </w:num>
  <w:num w:numId="9">
    <w:abstractNumId w:val="8"/>
  </w:num>
  <w:num w:numId="10">
    <w:abstractNumId w:val="1"/>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69CB071-D64A-4984-A78A-C48ABAA33EEA}"/>
    <w:docVar w:name="dgnword-eventsink" w:val="66926120"/>
  </w:docVars>
  <w:rsids>
    <w:rsidRoot w:val="00621F9B"/>
    <w:rsid w:val="000020B7"/>
    <w:rsid w:val="00003059"/>
    <w:rsid w:val="000053F3"/>
    <w:rsid w:val="00011555"/>
    <w:rsid w:val="00013F56"/>
    <w:rsid w:val="00014488"/>
    <w:rsid w:val="000145D1"/>
    <w:rsid w:val="00014842"/>
    <w:rsid w:val="000149E6"/>
    <w:rsid w:val="00014CB2"/>
    <w:rsid w:val="00016DE6"/>
    <w:rsid w:val="00016E62"/>
    <w:rsid w:val="00017399"/>
    <w:rsid w:val="00021567"/>
    <w:rsid w:val="000236C6"/>
    <w:rsid w:val="00023919"/>
    <w:rsid w:val="00023E32"/>
    <w:rsid w:val="000247B0"/>
    <w:rsid w:val="00026997"/>
    <w:rsid w:val="00027595"/>
    <w:rsid w:val="00027CBA"/>
    <w:rsid w:val="00027DF9"/>
    <w:rsid w:val="00030635"/>
    <w:rsid w:val="00030954"/>
    <w:rsid w:val="00031060"/>
    <w:rsid w:val="00032DB5"/>
    <w:rsid w:val="00033E0B"/>
    <w:rsid w:val="000352CE"/>
    <w:rsid w:val="00035EDE"/>
    <w:rsid w:val="00036224"/>
    <w:rsid w:val="00036AFD"/>
    <w:rsid w:val="00040CCF"/>
    <w:rsid w:val="00043F5C"/>
    <w:rsid w:val="000440BA"/>
    <w:rsid w:val="000458EE"/>
    <w:rsid w:val="0004779A"/>
    <w:rsid w:val="00047D27"/>
    <w:rsid w:val="00047F2C"/>
    <w:rsid w:val="000506A7"/>
    <w:rsid w:val="000509B4"/>
    <w:rsid w:val="00052731"/>
    <w:rsid w:val="000539D1"/>
    <w:rsid w:val="00054652"/>
    <w:rsid w:val="000551AA"/>
    <w:rsid w:val="00055BA7"/>
    <w:rsid w:val="00055CF7"/>
    <w:rsid w:val="000678C4"/>
    <w:rsid w:val="00071886"/>
    <w:rsid w:val="00072509"/>
    <w:rsid w:val="00072EE7"/>
    <w:rsid w:val="000742BC"/>
    <w:rsid w:val="00076181"/>
    <w:rsid w:val="000810BE"/>
    <w:rsid w:val="00081E43"/>
    <w:rsid w:val="00082A0C"/>
    <w:rsid w:val="0008344F"/>
    <w:rsid w:val="00084027"/>
    <w:rsid w:val="00085E05"/>
    <w:rsid w:val="00085F0D"/>
    <w:rsid w:val="00086594"/>
    <w:rsid w:val="00087A33"/>
    <w:rsid w:val="000917E8"/>
    <w:rsid w:val="00093ED7"/>
    <w:rsid w:val="00094221"/>
    <w:rsid w:val="0009426F"/>
    <w:rsid w:val="00094315"/>
    <w:rsid w:val="000943B8"/>
    <w:rsid w:val="00094A08"/>
    <w:rsid w:val="0009640C"/>
    <w:rsid w:val="000A0DC4"/>
    <w:rsid w:val="000A11C6"/>
    <w:rsid w:val="000A3CBC"/>
    <w:rsid w:val="000A655C"/>
    <w:rsid w:val="000B2659"/>
    <w:rsid w:val="000B2B8B"/>
    <w:rsid w:val="000B4E0C"/>
    <w:rsid w:val="000B59B2"/>
    <w:rsid w:val="000C29E6"/>
    <w:rsid w:val="000C665C"/>
    <w:rsid w:val="000D08CB"/>
    <w:rsid w:val="000D0D5E"/>
    <w:rsid w:val="000D310C"/>
    <w:rsid w:val="000D33C0"/>
    <w:rsid w:val="000D523B"/>
    <w:rsid w:val="000D62B5"/>
    <w:rsid w:val="000E08ED"/>
    <w:rsid w:val="000E13EF"/>
    <w:rsid w:val="000E25B2"/>
    <w:rsid w:val="000E3C36"/>
    <w:rsid w:val="000E3E1D"/>
    <w:rsid w:val="000E4FCB"/>
    <w:rsid w:val="000E50E2"/>
    <w:rsid w:val="000E7103"/>
    <w:rsid w:val="000E7A74"/>
    <w:rsid w:val="000F371A"/>
    <w:rsid w:val="000F3B6C"/>
    <w:rsid w:val="000F5D49"/>
    <w:rsid w:val="000F63B3"/>
    <w:rsid w:val="000F64B0"/>
    <w:rsid w:val="000F7AAF"/>
    <w:rsid w:val="001004FB"/>
    <w:rsid w:val="00101641"/>
    <w:rsid w:val="00102111"/>
    <w:rsid w:val="00102E46"/>
    <w:rsid w:val="00104627"/>
    <w:rsid w:val="0011122B"/>
    <w:rsid w:val="0011393D"/>
    <w:rsid w:val="00116239"/>
    <w:rsid w:val="001202E3"/>
    <w:rsid w:val="00124D87"/>
    <w:rsid w:val="00125AED"/>
    <w:rsid w:val="00125C49"/>
    <w:rsid w:val="00126360"/>
    <w:rsid w:val="0013059D"/>
    <w:rsid w:val="0013294F"/>
    <w:rsid w:val="00133975"/>
    <w:rsid w:val="00137CEF"/>
    <w:rsid w:val="00141A55"/>
    <w:rsid w:val="001423AB"/>
    <w:rsid w:val="00146826"/>
    <w:rsid w:val="00146BAC"/>
    <w:rsid w:val="00147C9C"/>
    <w:rsid w:val="00150994"/>
    <w:rsid w:val="00154159"/>
    <w:rsid w:val="001544FA"/>
    <w:rsid w:val="00154FC3"/>
    <w:rsid w:val="001554A3"/>
    <w:rsid w:val="00156281"/>
    <w:rsid w:val="00161D1D"/>
    <w:rsid w:val="001630B7"/>
    <w:rsid w:val="001673CF"/>
    <w:rsid w:val="001729A1"/>
    <w:rsid w:val="00172E57"/>
    <w:rsid w:val="00173349"/>
    <w:rsid w:val="00173F1B"/>
    <w:rsid w:val="0017409D"/>
    <w:rsid w:val="001760C4"/>
    <w:rsid w:val="00181BC9"/>
    <w:rsid w:val="00181EC8"/>
    <w:rsid w:val="00183C13"/>
    <w:rsid w:val="00184349"/>
    <w:rsid w:val="00185537"/>
    <w:rsid w:val="00187A5D"/>
    <w:rsid w:val="001901B3"/>
    <w:rsid w:val="00191FA1"/>
    <w:rsid w:val="0019268D"/>
    <w:rsid w:val="0019389C"/>
    <w:rsid w:val="001945ED"/>
    <w:rsid w:val="0019758C"/>
    <w:rsid w:val="001978DE"/>
    <w:rsid w:val="00197F84"/>
    <w:rsid w:val="001A46B7"/>
    <w:rsid w:val="001A546C"/>
    <w:rsid w:val="001A7EF5"/>
    <w:rsid w:val="001B08F0"/>
    <w:rsid w:val="001B103E"/>
    <w:rsid w:val="001B1617"/>
    <w:rsid w:val="001B514A"/>
    <w:rsid w:val="001B6662"/>
    <w:rsid w:val="001B6D77"/>
    <w:rsid w:val="001B78A5"/>
    <w:rsid w:val="001B7FF9"/>
    <w:rsid w:val="001C4353"/>
    <w:rsid w:val="001C60D3"/>
    <w:rsid w:val="001D3874"/>
    <w:rsid w:val="001D3E50"/>
    <w:rsid w:val="001D4810"/>
    <w:rsid w:val="001D624A"/>
    <w:rsid w:val="001D7E75"/>
    <w:rsid w:val="001E1A19"/>
    <w:rsid w:val="001E2C1E"/>
    <w:rsid w:val="001E4A09"/>
    <w:rsid w:val="001E4CD5"/>
    <w:rsid w:val="001E4F58"/>
    <w:rsid w:val="001E56D2"/>
    <w:rsid w:val="001E7949"/>
    <w:rsid w:val="001E7D56"/>
    <w:rsid w:val="001F034F"/>
    <w:rsid w:val="001F2CFA"/>
    <w:rsid w:val="001F3DF2"/>
    <w:rsid w:val="001F4DB5"/>
    <w:rsid w:val="001F75DE"/>
    <w:rsid w:val="001F7B65"/>
    <w:rsid w:val="00200D58"/>
    <w:rsid w:val="00200EAC"/>
    <w:rsid w:val="002013BE"/>
    <w:rsid w:val="00201D91"/>
    <w:rsid w:val="002023BB"/>
    <w:rsid w:val="002030D7"/>
    <w:rsid w:val="00204A81"/>
    <w:rsid w:val="002063A4"/>
    <w:rsid w:val="0021145B"/>
    <w:rsid w:val="00211F98"/>
    <w:rsid w:val="00213DDD"/>
    <w:rsid w:val="00213F6F"/>
    <w:rsid w:val="00217A8E"/>
    <w:rsid w:val="00221374"/>
    <w:rsid w:val="0022155F"/>
    <w:rsid w:val="00221905"/>
    <w:rsid w:val="00221AE7"/>
    <w:rsid w:val="00222A4E"/>
    <w:rsid w:val="0022661A"/>
    <w:rsid w:val="00226697"/>
    <w:rsid w:val="00231B46"/>
    <w:rsid w:val="00234B58"/>
    <w:rsid w:val="00237102"/>
    <w:rsid w:val="00240C10"/>
    <w:rsid w:val="00241313"/>
    <w:rsid w:val="002417C3"/>
    <w:rsid w:val="00244783"/>
    <w:rsid w:val="00244E86"/>
    <w:rsid w:val="00246338"/>
    <w:rsid w:val="002463AF"/>
    <w:rsid w:val="002464B8"/>
    <w:rsid w:val="0024736D"/>
    <w:rsid w:val="00247707"/>
    <w:rsid w:val="0025255B"/>
    <w:rsid w:val="002533A2"/>
    <w:rsid w:val="00254174"/>
    <w:rsid w:val="00260378"/>
    <w:rsid w:val="002621CA"/>
    <w:rsid w:val="00265739"/>
    <w:rsid w:val="00266959"/>
    <w:rsid w:val="00266B34"/>
    <w:rsid w:val="00266F80"/>
    <w:rsid w:val="002726CF"/>
    <w:rsid w:val="00272D1E"/>
    <w:rsid w:val="00276891"/>
    <w:rsid w:val="002773E9"/>
    <w:rsid w:val="002774BD"/>
    <w:rsid w:val="00277B8F"/>
    <w:rsid w:val="0028000A"/>
    <w:rsid w:val="002808AA"/>
    <w:rsid w:val="0028179E"/>
    <w:rsid w:val="00282431"/>
    <w:rsid w:val="00284500"/>
    <w:rsid w:val="002847E7"/>
    <w:rsid w:val="00286740"/>
    <w:rsid w:val="00287E60"/>
    <w:rsid w:val="00290A5E"/>
    <w:rsid w:val="00290DF6"/>
    <w:rsid w:val="002929D8"/>
    <w:rsid w:val="00292BBB"/>
    <w:rsid w:val="0029384A"/>
    <w:rsid w:val="002949D3"/>
    <w:rsid w:val="00297710"/>
    <w:rsid w:val="002A0081"/>
    <w:rsid w:val="002A0B52"/>
    <w:rsid w:val="002A237D"/>
    <w:rsid w:val="002A4C53"/>
    <w:rsid w:val="002A4C8F"/>
    <w:rsid w:val="002A564F"/>
    <w:rsid w:val="002A6A11"/>
    <w:rsid w:val="002B035E"/>
    <w:rsid w:val="002B06D7"/>
    <w:rsid w:val="002B0B9B"/>
    <w:rsid w:val="002B2A8D"/>
    <w:rsid w:val="002B39D8"/>
    <w:rsid w:val="002B77E6"/>
    <w:rsid w:val="002C09E8"/>
    <w:rsid w:val="002C145D"/>
    <w:rsid w:val="002C2C3E"/>
    <w:rsid w:val="002C363E"/>
    <w:rsid w:val="002C3944"/>
    <w:rsid w:val="002C4729"/>
    <w:rsid w:val="002C533E"/>
    <w:rsid w:val="002C7132"/>
    <w:rsid w:val="002D027F"/>
    <w:rsid w:val="002D0983"/>
    <w:rsid w:val="002D26DB"/>
    <w:rsid w:val="002D3280"/>
    <w:rsid w:val="002D3DB9"/>
    <w:rsid w:val="002D7B60"/>
    <w:rsid w:val="002E380F"/>
    <w:rsid w:val="002E6FC0"/>
    <w:rsid w:val="002E7A97"/>
    <w:rsid w:val="002F07A5"/>
    <w:rsid w:val="002F2924"/>
    <w:rsid w:val="002F4761"/>
    <w:rsid w:val="00300307"/>
    <w:rsid w:val="00302E77"/>
    <w:rsid w:val="00305088"/>
    <w:rsid w:val="00305533"/>
    <w:rsid w:val="003056C1"/>
    <w:rsid w:val="00312D05"/>
    <w:rsid w:val="0031413F"/>
    <w:rsid w:val="00317F2D"/>
    <w:rsid w:val="00322FC4"/>
    <w:rsid w:val="00324BC7"/>
    <w:rsid w:val="00327588"/>
    <w:rsid w:val="003309A9"/>
    <w:rsid w:val="00335112"/>
    <w:rsid w:val="00336901"/>
    <w:rsid w:val="003403AA"/>
    <w:rsid w:val="00340B29"/>
    <w:rsid w:val="003446B5"/>
    <w:rsid w:val="003447E7"/>
    <w:rsid w:val="0034548C"/>
    <w:rsid w:val="00346B42"/>
    <w:rsid w:val="00347A0C"/>
    <w:rsid w:val="00350293"/>
    <w:rsid w:val="003503B6"/>
    <w:rsid w:val="00352311"/>
    <w:rsid w:val="00352968"/>
    <w:rsid w:val="00355EA9"/>
    <w:rsid w:val="00356F35"/>
    <w:rsid w:val="003606F3"/>
    <w:rsid w:val="00363926"/>
    <w:rsid w:val="00364C10"/>
    <w:rsid w:val="00371AED"/>
    <w:rsid w:val="0037337E"/>
    <w:rsid w:val="00373823"/>
    <w:rsid w:val="003755F5"/>
    <w:rsid w:val="00375D1D"/>
    <w:rsid w:val="00376592"/>
    <w:rsid w:val="00376DF3"/>
    <w:rsid w:val="00380657"/>
    <w:rsid w:val="00381C0B"/>
    <w:rsid w:val="003829E9"/>
    <w:rsid w:val="00384768"/>
    <w:rsid w:val="00385835"/>
    <w:rsid w:val="00385963"/>
    <w:rsid w:val="00385A7D"/>
    <w:rsid w:val="00390251"/>
    <w:rsid w:val="00392F2D"/>
    <w:rsid w:val="00396257"/>
    <w:rsid w:val="00397909"/>
    <w:rsid w:val="00397EB8"/>
    <w:rsid w:val="003A35B7"/>
    <w:rsid w:val="003A4FD0"/>
    <w:rsid w:val="003A56FD"/>
    <w:rsid w:val="003A69D1"/>
    <w:rsid w:val="003A78C4"/>
    <w:rsid w:val="003B0C0D"/>
    <w:rsid w:val="003B1545"/>
    <w:rsid w:val="003B3D94"/>
    <w:rsid w:val="003B41D2"/>
    <w:rsid w:val="003C1EF0"/>
    <w:rsid w:val="003C2CA6"/>
    <w:rsid w:val="003C409D"/>
    <w:rsid w:val="003C4EFB"/>
    <w:rsid w:val="003C4FA3"/>
    <w:rsid w:val="003C5AA5"/>
    <w:rsid w:val="003D034F"/>
    <w:rsid w:val="003D1A47"/>
    <w:rsid w:val="003D6A75"/>
    <w:rsid w:val="003D6E9B"/>
    <w:rsid w:val="003E09A0"/>
    <w:rsid w:val="003E3391"/>
    <w:rsid w:val="003E395B"/>
    <w:rsid w:val="003E7728"/>
    <w:rsid w:val="003F0E85"/>
    <w:rsid w:val="003F1189"/>
    <w:rsid w:val="003F42BD"/>
    <w:rsid w:val="003F5E0B"/>
    <w:rsid w:val="00400EFD"/>
    <w:rsid w:val="00402A20"/>
    <w:rsid w:val="00404493"/>
    <w:rsid w:val="0040593F"/>
    <w:rsid w:val="00405A40"/>
    <w:rsid w:val="00407DAB"/>
    <w:rsid w:val="00407F42"/>
    <w:rsid w:val="00410C55"/>
    <w:rsid w:val="00413583"/>
    <w:rsid w:val="0041361C"/>
    <w:rsid w:val="00413944"/>
    <w:rsid w:val="00415C05"/>
    <w:rsid w:val="00417725"/>
    <w:rsid w:val="0042002C"/>
    <w:rsid w:val="00421EE8"/>
    <w:rsid w:val="004251E3"/>
    <w:rsid w:val="00425C06"/>
    <w:rsid w:val="004319EA"/>
    <w:rsid w:val="0043319D"/>
    <w:rsid w:val="0043467E"/>
    <w:rsid w:val="00434F33"/>
    <w:rsid w:val="00435102"/>
    <w:rsid w:val="004352BF"/>
    <w:rsid w:val="00436878"/>
    <w:rsid w:val="004369EF"/>
    <w:rsid w:val="00437F26"/>
    <w:rsid w:val="0044177A"/>
    <w:rsid w:val="00442732"/>
    <w:rsid w:val="00446EF6"/>
    <w:rsid w:val="00447EF3"/>
    <w:rsid w:val="00454769"/>
    <w:rsid w:val="0045533C"/>
    <w:rsid w:val="004568B7"/>
    <w:rsid w:val="0045765F"/>
    <w:rsid w:val="0046429E"/>
    <w:rsid w:val="00465389"/>
    <w:rsid w:val="00466991"/>
    <w:rsid w:val="004674B2"/>
    <w:rsid w:val="0047064C"/>
    <w:rsid w:val="00471DFA"/>
    <w:rsid w:val="00476689"/>
    <w:rsid w:val="00482034"/>
    <w:rsid w:val="00482636"/>
    <w:rsid w:val="004827F3"/>
    <w:rsid w:val="00486524"/>
    <w:rsid w:val="00487933"/>
    <w:rsid w:val="00491D4D"/>
    <w:rsid w:val="00493E19"/>
    <w:rsid w:val="00493E65"/>
    <w:rsid w:val="00494455"/>
    <w:rsid w:val="00495289"/>
    <w:rsid w:val="0049571E"/>
    <w:rsid w:val="00495F4D"/>
    <w:rsid w:val="00496EFB"/>
    <w:rsid w:val="004B3297"/>
    <w:rsid w:val="004B5666"/>
    <w:rsid w:val="004B662B"/>
    <w:rsid w:val="004B6745"/>
    <w:rsid w:val="004B75B6"/>
    <w:rsid w:val="004B7BE1"/>
    <w:rsid w:val="004C34B9"/>
    <w:rsid w:val="004C47E0"/>
    <w:rsid w:val="004C5C96"/>
    <w:rsid w:val="004C6941"/>
    <w:rsid w:val="004D06A4"/>
    <w:rsid w:val="004D0897"/>
    <w:rsid w:val="004D0D8E"/>
    <w:rsid w:val="004D2C6B"/>
    <w:rsid w:val="004D447C"/>
    <w:rsid w:val="004D691F"/>
    <w:rsid w:val="004D6F68"/>
    <w:rsid w:val="004E1874"/>
    <w:rsid w:val="004E4AD1"/>
    <w:rsid w:val="004E50B9"/>
    <w:rsid w:val="004E5A2F"/>
    <w:rsid w:val="004F1A81"/>
    <w:rsid w:val="004F2CB6"/>
    <w:rsid w:val="004F2D0E"/>
    <w:rsid w:val="004F4A2F"/>
    <w:rsid w:val="004F5736"/>
    <w:rsid w:val="004F5B73"/>
    <w:rsid w:val="004F6338"/>
    <w:rsid w:val="004F6C93"/>
    <w:rsid w:val="00500B78"/>
    <w:rsid w:val="0050142E"/>
    <w:rsid w:val="005016B3"/>
    <w:rsid w:val="00501BCF"/>
    <w:rsid w:val="00505AF5"/>
    <w:rsid w:val="0050619E"/>
    <w:rsid w:val="00512F34"/>
    <w:rsid w:val="0051335F"/>
    <w:rsid w:val="00514D42"/>
    <w:rsid w:val="005160EC"/>
    <w:rsid w:val="00521538"/>
    <w:rsid w:val="005218D9"/>
    <w:rsid w:val="005219D1"/>
    <w:rsid w:val="005231FB"/>
    <w:rsid w:val="0052486B"/>
    <w:rsid w:val="00526767"/>
    <w:rsid w:val="005269C4"/>
    <w:rsid w:val="005274C5"/>
    <w:rsid w:val="00535BDA"/>
    <w:rsid w:val="00536186"/>
    <w:rsid w:val="005367EF"/>
    <w:rsid w:val="00536831"/>
    <w:rsid w:val="00536953"/>
    <w:rsid w:val="005405FC"/>
    <w:rsid w:val="00540A92"/>
    <w:rsid w:val="0054168F"/>
    <w:rsid w:val="00543454"/>
    <w:rsid w:val="005447BD"/>
    <w:rsid w:val="005453ED"/>
    <w:rsid w:val="0054678A"/>
    <w:rsid w:val="00547E46"/>
    <w:rsid w:val="00550192"/>
    <w:rsid w:val="00550273"/>
    <w:rsid w:val="00550DF7"/>
    <w:rsid w:val="00554269"/>
    <w:rsid w:val="00556BD4"/>
    <w:rsid w:val="00556EC7"/>
    <w:rsid w:val="00561496"/>
    <w:rsid w:val="00561782"/>
    <w:rsid w:val="00566598"/>
    <w:rsid w:val="00567301"/>
    <w:rsid w:val="005711C6"/>
    <w:rsid w:val="0057145E"/>
    <w:rsid w:val="00571C3E"/>
    <w:rsid w:val="00572C2B"/>
    <w:rsid w:val="0057315F"/>
    <w:rsid w:val="00573200"/>
    <w:rsid w:val="0057331F"/>
    <w:rsid w:val="00573C60"/>
    <w:rsid w:val="00573E11"/>
    <w:rsid w:val="00574792"/>
    <w:rsid w:val="00574BE0"/>
    <w:rsid w:val="00574E90"/>
    <w:rsid w:val="00576BB8"/>
    <w:rsid w:val="00581FEB"/>
    <w:rsid w:val="00582BCC"/>
    <w:rsid w:val="00583244"/>
    <w:rsid w:val="00584498"/>
    <w:rsid w:val="00584B14"/>
    <w:rsid w:val="00585326"/>
    <w:rsid w:val="00586029"/>
    <w:rsid w:val="00587CB2"/>
    <w:rsid w:val="005903A5"/>
    <w:rsid w:val="00592FCA"/>
    <w:rsid w:val="00597464"/>
    <w:rsid w:val="005A0B21"/>
    <w:rsid w:val="005A585C"/>
    <w:rsid w:val="005A59FE"/>
    <w:rsid w:val="005A6DDE"/>
    <w:rsid w:val="005B0925"/>
    <w:rsid w:val="005B112D"/>
    <w:rsid w:val="005B132E"/>
    <w:rsid w:val="005B245A"/>
    <w:rsid w:val="005B2C31"/>
    <w:rsid w:val="005B35E3"/>
    <w:rsid w:val="005B3AB9"/>
    <w:rsid w:val="005B584B"/>
    <w:rsid w:val="005B6CB6"/>
    <w:rsid w:val="005C00D1"/>
    <w:rsid w:val="005C1363"/>
    <w:rsid w:val="005C24E4"/>
    <w:rsid w:val="005C3BF5"/>
    <w:rsid w:val="005C477C"/>
    <w:rsid w:val="005C4A3D"/>
    <w:rsid w:val="005C6050"/>
    <w:rsid w:val="005C67C8"/>
    <w:rsid w:val="005C7480"/>
    <w:rsid w:val="005D0249"/>
    <w:rsid w:val="005D0AF2"/>
    <w:rsid w:val="005D4133"/>
    <w:rsid w:val="005D4E57"/>
    <w:rsid w:val="005D714B"/>
    <w:rsid w:val="005D7715"/>
    <w:rsid w:val="005E2A1C"/>
    <w:rsid w:val="005E5CB5"/>
    <w:rsid w:val="005E5D59"/>
    <w:rsid w:val="005E651C"/>
    <w:rsid w:val="005E73BC"/>
    <w:rsid w:val="005F05FD"/>
    <w:rsid w:val="005F100C"/>
    <w:rsid w:val="005F142E"/>
    <w:rsid w:val="005F1648"/>
    <w:rsid w:val="005F3BCC"/>
    <w:rsid w:val="005F5DE5"/>
    <w:rsid w:val="005F7986"/>
    <w:rsid w:val="006005CB"/>
    <w:rsid w:val="00600F69"/>
    <w:rsid w:val="006040DF"/>
    <w:rsid w:val="00604F27"/>
    <w:rsid w:val="00607EA3"/>
    <w:rsid w:val="00613160"/>
    <w:rsid w:val="00616A9B"/>
    <w:rsid w:val="00616D20"/>
    <w:rsid w:val="00617821"/>
    <w:rsid w:val="00620F1E"/>
    <w:rsid w:val="00621F9B"/>
    <w:rsid w:val="00623998"/>
    <w:rsid w:val="00625095"/>
    <w:rsid w:val="006250DC"/>
    <w:rsid w:val="006252F5"/>
    <w:rsid w:val="006303B4"/>
    <w:rsid w:val="006315C1"/>
    <w:rsid w:val="0063294F"/>
    <w:rsid w:val="0063388E"/>
    <w:rsid w:val="006370DB"/>
    <w:rsid w:val="00637CE4"/>
    <w:rsid w:val="0064062F"/>
    <w:rsid w:val="00640B03"/>
    <w:rsid w:val="006413FE"/>
    <w:rsid w:val="00641703"/>
    <w:rsid w:val="0064245E"/>
    <w:rsid w:val="006431A6"/>
    <w:rsid w:val="00644655"/>
    <w:rsid w:val="006459F6"/>
    <w:rsid w:val="006474E9"/>
    <w:rsid w:val="0065000B"/>
    <w:rsid w:val="006501AD"/>
    <w:rsid w:val="00651BFA"/>
    <w:rsid w:val="0065260D"/>
    <w:rsid w:val="0066095F"/>
    <w:rsid w:val="00660CE8"/>
    <w:rsid w:val="0066568D"/>
    <w:rsid w:val="00667A16"/>
    <w:rsid w:val="00671F00"/>
    <w:rsid w:val="0067328F"/>
    <w:rsid w:val="00675F0C"/>
    <w:rsid w:val="0067658A"/>
    <w:rsid w:val="006771C4"/>
    <w:rsid w:val="006807F5"/>
    <w:rsid w:val="00681E8C"/>
    <w:rsid w:val="00685C37"/>
    <w:rsid w:val="00686FD9"/>
    <w:rsid w:val="006923D4"/>
    <w:rsid w:val="00692B5E"/>
    <w:rsid w:val="00692E2A"/>
    <w:rsid w:val="00696895"/>
    <w:rsid w:val="006A1D40"/>
    <w:rsid w:val="006A308D"/>
    <w:rsid w:val="006A56DD"/>
    <w:rsid w:val="006A76F2"/>
    <w:rsid w:val="006B40C3"/>
    <w:rsid w:val="006B56DB"/>
    <w:rsid w:val="006B6438"/>
    <w:rsid w:val="006C1E4B"/>
    <w:rsid w:val="006C3C12"/>
    <w:rsid w:val="006C3E8A"/>
    <w:rsid w:val="006C740F"/>
    <w:rsid w:val="006C7E66"/>
    <w:rsid w:val="006D0EF0"/>
    <w:rsid w:val="006D16EE"/>
    <w:rsid w:val="006D1FBD"/>
    <w:rsid w:val="006D20F1"/>
    <w:rsid w:val="006D2B0C"/>
    <w:rsid w:val="006D3BBB"/>
    <w:rsid w:val="006D5C65"/>
    <w:rsid w:val="006D62F9"/>
    <w:rsid w:val="006D78BF"/>
    <w:rsid w:val="006D7EFB"/>
    <w:rsid w:val="006E108E"/>
    <w:rsid w:val="006E2B20"/>
    <w:rsid w:val="006E2E86"/>
    <w:rsid w:val="006E3441"/>
    <w:rsid w:val="006E6722"/>
    <w:rsid w:val="006E7652"/>
    <w:rsid w:val="006F0F0F"/>
    <w:rsid w:val="006F1422"/>
    <w:rsid w:val="006F420E"/>
    <w:rsid w:val="006F490A"/>
    <w:rsid w:val="006F4EDA"/>
    <w:rsid w:val="006F563E"/>
    <w:rsid w:val="00700391"/>
    <w:rsid w:val="007027B9"/>
    <w:rsid w:val="007046E2"/>
    <w:rsid w:val="00705F05"/>
    <w:rsid w:val="00706512"/>
    <w:rsid w:val="007071C6"/>
    <w:rsid w:val="00715E88"/>
    <w:rsid w:val="00715E94"/>
    <w:rsid w:val="00716F5D"/>
    <w:rsid w:val="00717D1F"/>
    <w:rsid w:val="0072086D"/>
    <w:rsid w:val="00722602"/>
    <w:rsid w:val="00722B31"/>
    <w:rsid w:val="0072504C"/>
    <w:rsid w:val="007311B3"/>
    <w:rsid w:val="00734CAA"/>
    <w:rsid w:val="007355EA"/>
    <w:rsid w:val="00736724"/>
    <w:rsid w:val="00736AD1"/>
    <w:rsid w:val="00737996"/>
    <w:rsid w:val="00741DE8"/>
    <w:rsid w:val="007427F3"/>
    <w:rsid w:val="00745F24"/>
    <w:rsid w:val="007462EE"/>
    <w:rsid w:val="00752219"/>
    <w:rsid w:val="0075336D"/>
    <w:rsid w:val="00754F04"/>
    <w:rsid w:val="00757581"/>
    <w:rsid w:val="00757CA2"/>
    <w:rsid w:val="0076107C"/>
    <w:rsid w:val="0076155D"/>
    <w:rsid w:val="00762550"/>
    <w:rsid w:val="00765E17"/>
    <w:rsid w:val="007737A8"/>
    <w:rsid w:val="007769BB"/>
    <w:rsid w:val="00785307"/>
    <w:rsid w:val="00787A83"/>
    <w:rsid w:val="00787DB1"/>
    <w:rsid w:val="00792880"/>
    <w:rsid w:val="00793239"/>
    <w:rsid w:val="00793D34"/>
    <w:rsid w:val="0079621B"/>
    <w:rsid w:val="007964D9"/>
    <w:rsid w:val="007A33F2"/>
    <w:rsid w:val="007A5746"/>
    <w:rsid w:val="007A5C12"/>
    <w:rsid w:val="007A637A"/>
    <w:rsid w:val="007B03E1"/>
    <w:rsid w:val="007B5351"/>
    <w:rsid w:val="007B564A"/>
    <w:rsid w:val="007B5819"/>
    <w:rsid w:val="007C0B1F"/>
    <w:rsid w:val="007C1219"/>
    <w:rsid w:val="007C2541"/>
    <w:rsid w:val="007C3787"/>
    <w:rsid w:val="007D0133"/>
    <w:rsid w:val="007D0DAB"/>
    <w:rsid w:val="007D11F2"/>
    <w:rsid w:val="007D1F5D"/>
    <w:rsid w:val="007D4232"/>
    <w:rsid w:val="007D48E2"/>
    <w:rsid w:val="007D5D6C"/>
    <w:rsid w:val="007D7245"/>
    <w:rsid w:val="007E003F"/>
    <w:rsid w:val="007E1C63"/>
    <w:rsid w:val="007E3905"/>
    <w:rsid w:val="007E7BF3"/>
    <w:rsid w:val="007F154E"/>
    <w:rsid w:val="007F390D"/>
    <w:rsid w:val="007F43EF"/>
    <w:rsid w:val="007F502C"/>
    <w:rsid w:val="007F5410"/>
    <w:rsid w:val="007F6794"/>
    <w:rsid w:val="007F72D1"/>
    <w:rsid w:val="00800947"/>
    <w:rsid w:val="008019EB"/>
    <w:rsid w:val="00801E38"/>
    <w:rsid w:val="00804B9B"/>
    <w:rsid w:val="00805E39"/>
    <w:rsid w:val="008121BC"/>
    <w:rsid w:val="00813FA2"/>
    <w:rsid w:val="00814E2D"/>
    <w:rsid w:val="00815493"/>
    <w:rsid w:val="00816B96"/>
    <w:rsid w:val="00817EA1"/>
    <w:rsid w:val="00822B77"/>
    <w:rsid w:val="00824DA7"/>
    <w:rsid w:val="00830E26"/>
    <w:rsid w:val="00832FC3"/>
    <w:rsid w:val="008352BC"/>
    <w:rsid w:val="008368D5"/>
    <w:rsid w:val="00837671"/>
    <w:rsid w:val="008410C8"/>
    <w:rsid w:val="00842001"/>
    <w:rsid w:val="00843576"/>
    <w:rsid w:val="00843B64"/>
    <w:rsid w:val="0084558F"/>
    <w:rsid w:val="00845C38"/>
    <w:rsid w:val="0085000E"/>
    <w:rsid w:val="0085098B"/>
    <w:rsid w:val="00852F54"/>
    <w:rsid w:val="00853C26"/>
    <w:rsid w:val="008547DC"/>
    <w:rsid w:val="00854EB8"/>
    <w:rsid w:val="00861728"/>
    <w:rsid w:val="008619C9"/>
    <w:rsid w:val="00862EDF"/>
    <w:rsid w:val="008631C6"/>
    <w:rsid w:val="00864231"/>
    <w:rsid w:val="008646F3"/>
    <w:rsid w:val="008679C1"/>
    <w:rsid w:val="00867BFF"/>
    <w:rsid w:val="00867D2B"/>
    <w:rsid w:val="00867DCF"/>
    <w:rsid w:val="008739BA"/>
    <w:rsid w:val="00875645"/>
    <w:rsid w:val="0087632F"/>
    <w:rsid w:val="00877FE1"/>
    <w:rsid w:val="00880504"/>
    <w:rsid w:val="00880830"/>
    <w:rsid w:val="008819CD"/>
    <w:rsid w:val="00882BB2"/>
    <w:rsid w:val="00882D5E"/>
    <w:rsid w:val="008845E4"/>
    <w:rsid w:val="0088476F"/>
    <w:rsid w:val="0088480A"/>
    <w:rsid w:val="0088500F"/>
    <w:rsid w:val="00886865"/>
    <w:rsid w:val="00887A2C"/>
    <w:rsid w:val="00890AD4"/>
    <w:rsid w:val="00891B46"/>
    <w:rsid w:val="008926EC"/>
    <w:rsid w:val="00892C8E"/>
    <w:rsid w:val="008957DD"/>
    <w:rsid w:val="00896D58"/>
    <w:rsid w:val="00897D98"/>
    <w:rsid w:val="008A6C37"/>
    <w:rsid w:val="008A6DF2"/>
    <w:rsid w:val="008B448D"/>
    <w:rsid w:val="008B46E1"/>
    <w:rsid w:val="008B7153"/>
    <w:rsid w:val="008B79B4"/>
    <w:rsid w:val="008B7C63"/>
    <w:rsid w:val="008C005A"/>
    <w:rsid w:val="008C03F8"/>
    <w:rsid w:val="008C103D"/>
    <w:rsid w:val="008C2274"/>
    <w:rsid w:val="008C4FD6"/>
    <w:rsid w:val="008C56ED"/>
    <w:rsid w:val="008C5F15"/>
    <w:rsid w:val="008C6EB9"/>
    <w:rsid w:val="008D0841"/>
    <w:rsid w:val="008D0E23"/>
    <w:rsid w:val="008D16E3"/>
    <w:rsid w:val="008D275B"/>
    <w:rsid w:val="008D37C3"/>
    <w:rsid w:val="008D3E26"/>
    <w:rsid w:val="008D52CF"/>
    <w:rsid w:val="008D5684"/>
    <w:rsid w:val="008D6BA0"/>
    <w:rsid w:val="008D7C99"/>
    <w:rsid w:val="008E0FCB"/>
    <w:rsid w:val="008E20C1"/>
    <w:rsid w:val="008E2754"/>
    <w:rsid w:val="008E478E"/>
    <w:rsid w:val="008E47D1"/>
    <w:rsid w:val="008E553C"/>
    <w:rsid w:val="008E6583"/>
    <w:rsid w:val="008F18EE"/>
    <w:rsid w:val="008F26FD"/>
    <w:rsid w:val="008F5894"/>
    <w:rsid w:val="008F6B54"/>
    <w:rsid w:val="008F75C1"/>
    <w:rsid w:val="00901FDE"/>
    <w:rsid w:val="00904BBC"/>
    <w:rsid w:val="00905CE3"/>
    <w:rsid w:val="00906106"/>
    <w:rsid w:val="00911AB0"/>
    <w:rsid w:val="009126E8"/>
    <w:rsid w:val="00914084"/>
    <w:rsid w:val="00916D5C"/>
    <w:rsid w:val="0092178C"/>
    <w:rsid w:val="00924F06"/>
    <w:rsid w:val="00925EC7"/>
    <w:rsid w:val="00927B76"/>
    <w:rsid w:val="00931F37"/>
    <w:rsid w:val="00932B97"/>
    <w:rsid w:val="00933337"/>
    <w:rsid w:val="00936ECA"/>
    <w:rsid w:val="00940429"/>
    <w:rsid w:val="00940DCC"/>
    <w:rsid w:val="0094179A"/>
    <w:rsid w:val="00942D0C"/>
    <w:rsid w:val="00943BDB"/>
    <w:rsid w:val="0094459E"/>
    <w:rsid w:val="00944DBC"/>
    <w:rsid w:val="009462AB"/>
    <w:rsid w:val="00950977"/>
    <w:rsid w:val="00951A7B"/>
    <w:rsid w:val="00952604"/>
    <w:rsid w:val="0095574F"/>
    <w:rsid w:val="009564A6"/>
    <w:rsid w:val="00960A01"/>
    <w:rsid w:val="0096180E"/>
    <w:rsid w:val="00961838"/>
    <w:rsid w:val="00962B5E"/>
    <w:rsid w:val="00963208"/>
    <w:rsid w:val="00967479"/>
    <w:rsid w:val="00974C34"/>
    <w:rsid w:val="00975BC9"/>
    <w:rsid w:val="00975C01"/>
    <w:rsid w:val="00976BDD"/>
    <w:rsid w:val="009779B4"/>
    <w:rsid w:val="00977E25"/>
    <w:rsid w:val="009814C9"/>
    <w:rsid w:val="00983EE2"/>
    <w:rsid w:val="009859D6"/>
    <w:rsid w:val="00985CCF"/>
    <w:rsid w:val="009862CB"/>
    <w:rsid w:val="00986D8C"/>
    <w:rsid w:val="00986F26"/>
    <w:rsid w:val="0098795B"/>
    <w:rsid w:val="009908A7"/>
    <w:rsid w:val="0099745C"/>
    <w:rsid w:val="009975FD"/>
    <w:rsid w:val="009A0CB9"/>
    <w:rsid w:val="009A1362"/>
    <w:rsid w:val="009A4ACC"/>
    <w:rsid w:val="009A6528"/>
    <w:rsid w:val="009B404B"/>
    <w:rsid w:val="009B4A0F"/>
    <w:rsid w:val="009B79DE"/>
    <w:rsid w:val="009C1324"/>
    <w:rsid w:val="009C2890"/>
    <w:rsid w:val="009C4896"/>
    <w:rsid w:val="009C556B"/>
    <w:rsid w:val="009C5EE8"/>
    <w:rsid w:val="009C6D94"/>
    <w:rsid w:val="009D0B63"/>
    <w:rsid w:val="009D3F3B"/>
    <w:rsid w:val="009D59AB"/>
    <w:rsid w:val="009E6DF7"/>
    <w:rsid w:val="009E7739"/>
    <w:rsid w:val="00A032CA"/>
    <w:rsid w:val="00A047EF"/>
    <w:rsid w:val="00A054FD"/>
    <w:rsid w:val="00A0550F"/>
    <w:rsid w:val="00A12D4A"/>
    <w:rsid w:val="00A1348D"/>
    <w:rsid w:val="00A13C5B"/>
    <w:rsid w:val="00A15297"/>
    <w:rsid w:val="00A17BA5"/>
    <w:rsid w:val="00A232EE"/>
    <w:rsid w:val="00A23B4A"/>
    <w:rsid w:val="00A27EE8"/>
    <w:rsid w:val="00A30FA6"/>
    <w:rsid w:val="00A33CC9"/>
    <w:rsid w:val="00A37A19"/>
    <w:rsid w:val="00A41B84"/>
    <w:rsid w:val="00A43BFC"/>
    <w:rsid w:val="00A44411"/>
    <w:rsid w:val="00A44F08"/>
    <w:rsid w:val="00A469FA"/>
    <w:rsid w:val="00A46A0E"/>
    <w:rsid w:val="00A47083"/>
    <w:rsid w:val="00A47155"/>
    <w:rsid w:val="00A5056E"/>
    <w:rsid w:val="00A525FE"/>
    <w:rsid w:val="00A52E53"/>
    <w:rsid w:val="00A5374A"/>
    <w:rsid w:val="00A5397E"/>
    <w:rsid w:val="00A539FA"/>
    <w:rsid w:val="00A55754"/>
    <w:rsid w:val="00A55B01"/>
    <w:rsid w:val="00A56B5B"/>
    <w:rsid w:val="00A56BD9"/>
    <w:rsid w:val="00A57F02"/>
    <w:rsid w:val="00A61B9A"/>
    <w:rsid w:val="00A62F77"/>
    <w:rsid w:val="00A64EE6"/>
    <w:rsid w:val="00A657DD"/>
    <w:rsid w:val="00A663CC"/>
    <w:rsid w:val="00A666A6"/>
    <w:rsid w:val="00A67249"/>
    <w:rsid w:val="00A72873"/>
    <w:rsid w:val="00A73CA5"/>
    <w:rsid w:val="00A745D1"/>
    <w:rsid w:val="00A77767"/>
    <w:rsid w:val="00A803C7"/>
    <w:rsid w:val="00A80611"/>
    <w:rsid w:val="00A80E49"/>
    <w:rsid w:val="00A81CD8"/>
    <w:rsid w:val="00A84AD3"/>
    <w:rsid w:val="00A85E6A"/>
    <w:rsid w:val="00A901AD"/>
    <w:rsid w:val="00A90314"/>
    <w:rsid w:val="00A91A92"/>
    <w:rsid w:val="00A97725"/>
    <w:rsid w:val="00AA019F"/>
    <w:rsid w:val="00AA0420"/>
    <w:rsid w:val="00AA28EC"/>
    <w:rsid w:val="00AA2D07"/>
    <w:rsid w:val="00AA31A3"/>
    <w:rsid w:val="00AA3A0E"/>
    <w:rsid w:val="00AA4E66"/>
    <w:rsid w:val="00AA52DD"/>
    <w:rsid w:val="00AA6898"/>
    <w:rsid w:val="00AB123D"/>
    <w:rsid w:val="00AB2918"/>
    <w:rsid w:val="00AB3519"/>
    <w:rsid w:val="00AB5340"/>
    <w:rsid w:val="00AB713E"/>
    <w:rsid w:val="00AC1F98"/>
    <w:rsid w:val="00AC7C96"/>
    <w:rsid w:val="00AD285C"/>
    <w:rsid w:val="00AD2BB1"/>
    <w:rsid w:val="00AD7C9B"/>
    <w:rsid w:val="00AE237D"/>
    <w:rsid w:val="00AE2DAE"/>
    <w:rsid w:val="00AE337A"/>
    <w:rsid w:val="00AE5373"/>
    <w:rsid w:val="00AE5B98"/>
    <w:rsid w:val="00AE7DFE"/>
    <w:rsid w:val="00AF00B9"/>
    <w:rsid w:val="00AF7249"/>
    <w:rsid w:val="00AF7C07"/>
    <w:rsid w:val="00B00214"/>
    <w:rsid w:val="00B02059"/>
    <w:rsid w:val="00B03240"/>
    <w:rsid w:val="00B0483B"/>
    <w:rsid w:val="00B04D6D"/>
    <w:rsid w:val="00B04F70"/>
    <w:rsid w:val="00B05932"/>
    <w:rsid w:val="00B05AAC"/>
    <w:rsid w:val="00B12C99"/>
    <w:rsid w:val="00B13586"/>
    <w:rsid w:val="00B160B1"/>
    <w:rsid w:val="00B16421"/>
    <w:rsid w:val="00B176C0"/>
    <w:rsid w:val="00B204F1"/>
    <w:rsid w:val="00B2493D"/>
    <w:rsid w:val="00B258AC"/>
    <w:rsid w:val="00B275BB"/>
    <w:rsid w:val="00B3086F"/>
    <w:rsid w:val="00B31905"/>
    <w:rsid w:val="00B33BBA"/>
    <w:rsid w:val="00B405B7"/>
    <w:rsid w:val="00B4262C"/>
    <w:rsid w:val="00B43E7D"/>
    <w:rsid w:val="00B43F16"/>
    <w:rsid w:val="00B442C7"/>
    <w:rsid w:val="00B44DB7"/>
    <w:rsid w:val="00B46490"/>
    <w:rsid w:val="00B46D32"/>
    <w:rsid w:val="00B46EF8"/>
    <w:rsid w:val="00B5204C"/>
    <w:rsid w:val="00B5522D"/>
    <w:rsid w:val="00B55269"/>
    <w:rsid w:val="00B56788"/>
    <w:rsid w:val="00B5696A"/>
    <w:rsid w:val="00B65DB1"/>
    <w:rsid w:val="00B66739"/>
    <w:rsid w:val="00B66901"/>
    <w:rsid w:val="00B71B04"/>
    <w:rsid w:val="00B71E6D"/>
    <w:rsid w:val="00B72070"/>
    <w:rsid w:val="00B730D4"/>
    <w:rsid w:val="00B779E1"/>
    <w:rsid w:val="00B803EF"/>
    <w:rsid w:val="00B81B0B"/>
    <w:rsid w:val="00B81B54"/>
    <w:rsid w:val="00B834E3"/>
    <w:rsid w:val="00B84371"/>
    <w:rsid w:val="00B85A41"/>
    <w:rsid w:val="00B86E44"/>
    <w:rsid w:val="00B900C7"/>
    <w:rsid w:val="00B902B9"/>
    <w:rsid w:val="00B91796"/>
    <w:rsid w:val="00B95455"/>
    <w:rsid w:val="00B96BF7"/>
    <w:rsid w:val="00B97885"/>
    <w:rsid w:val="00BA1A67"/>
    <w:rsid w:val="00BA49BD"/>
    <w:rsid w:val="00BB15DE"/>
    <w:rsid w:val="00BB4A19"/>
    <w:rsid w:val="00BB79CF"/>
    <w:rsid w:val="00BC0330"/>
    <w:rsid w:val="00BC093D"/>
    <w:rsid w:val="00BC160D"/>
    <w:rsid w:val="00BC550F"/>
    <w:rsid w:val="00BC5987"/>
    <w:rsid w:val="00BC7500"/>
    <w:rsid w:val="00BD25D2"/>
    <w:rsid w:val="00BD4F66"/>
    <w:rsid w:val="00BE159D"/>
    <w:rsid w:val="00BE2356"/>
    <w:rsid w:val="00BE339F"/>
    <w:rsid w:val="00BE7499"/>
    <w:rsid w:val="00BE75A3"/>
    <w:rsid w:val="00BF1959"/>
    <w:rsid w:val="00BF20B3"/>
    <w:rsid w:val="00BF30F2"/>
    <w:rsid w:val="00BF3DE7"/>
    <w:rsid w:val="00BF642B"/>
    <w:rsid w:val="00BF67E8"/>
    <w:rsid w:val="00BF781F"/>
    <w:rsid w:val="00BF7A7C"/>
    <w:rsid w:val="00BF7AC2"/>
    <w:rsid w:val="00C0125C"/>
    <w:rsid w:val="00C0377A"/>
    <w:rsid w:val="00C04443"/>
    <w:rsid w:val="00C064A7"/>
    <w:rsid w:val="00C06A61"/>
    <w:rsid w:val="00C21A90"/>
    <w:rsid w:val="00C23582"/>
    <w:rsid w:val="00C30A44"/>
    <w:rsid w:val="00C30C63"/>
    <w:rsid w:val="00C3115F"/>
    <w:rsid w:val="00C37374"/>
    <w:rsid w:val="00C4017D"/>
    <w:rsid w:val="00C40DC0"/>
    <w:rsid w:val="00C41236"/>
    <w:rsid w:val="00C41905"/>
    <w:rsid w:val="00C42D9F"/>
    <w:rsid w:val="00C47929"/>
    <w:rsid w:val="00C519E5"/>
    <w:rsid w:val="00C51F45"/>
    <w:rsid w:val="00C51FD2"/>
    <w:rsid w:val="00C55229"/>
    <w:rsid w:val="00C5549A"/>
    <w:rsid w:val="00C558DA"/>
    <w:rsid w:val="00C559C1"/>
    <w:rsid w:val="00C5602D"/>
    <w:rsid w:val="00C57664"/>
    <w:rsid w:val="00C64C28"/>
    <w:rsid w:val="00C65AF8"/>
    <w:rsid w:val="00C725DC"/>
    <w:rsid w:val="00C72D2D"/>
    <w:rsid w:val="00C72DEE"/>
    <w:rsid w:val="00C745B8"/>
    <w:rsid w:val="00C74BD6"/>
    <w:rsid w:val="00C80DCF"/>
    <w:rsid w:val="00C80FBF"/>
    <w:rsid w:val="00C81C63"/>
    <w:rsid w:val="00C84759"/>
    <w:rsid w:val="00C84FAE"/>
    <w:rsid w:val="00C85E71"/>
    <w:rsid w:val="00C86094"/>
    <w:rsid w:val="00C865C7"/>
    <w:rsid w:val="00C93050"/>
    <w:rsid w:val="00C93203"/>
    <w:rsid w:val="00C93A3A"/>
    <w:rsid w:val="00C95831"/>
    <w:rsid w:val="00C961BB"/>
    <w:rsid w:val="00C9622B"/>
    <w:rsid w:val="00CA0909"/>
    <w:rsid w:val="00CA1A9B"/>
    <w:rsid w:val="00CA21BC"/>
    <w:rsid w:val="00CA2CB5"/>
    <w:rsid w:val="00CA2F51"/>
    <w:rsid w:val="00CA5B64"/>
    <w:rsid w:val="00CA6C7F"/>
    <w:rsid w:val="00CB12F9"/>
    <w:rsid w:val="00CB1404"/>
    <w:rsid w:val="00CB1C90"/>
    <w:rsid w:val="00CB2827"/>
    <w:rsid w:val="00CB2D0B"/>
    <w:rsid w:val="00CB6B38"/>
    <w:rsid w:val="00CB70BB"/>
    <w:rsid w:val="00CC10A6"/>
    <w:rsid w:val="00CC2354"/>
    <w:rsid w:val="00CC6521"/>
    <w:rsid w:val="00CD2A97"/>
    <w:rsid w:val="00CD3D68"/>
    <w:rsid w:val="00CD4224"/>
    <w:rsid w:val="00CD5349"/>
    <w:rsid w:val="00CD5FC3"/>
    <w:rsid w:val="00CD7044"/>
    <w:rsid w:val="00CD7525"/>
    <w:rsid w:val="00CE0AEF"/>
    <w:rsid w:val="00CE18AD"/>
    <w:rsid w:val="00CE2264"/>
    <w:rsid w:val="00CE2A2D"/>
    <w:rsid w:val="00CE3A67"/>
    <w:rsid w:val="00CE5038"/>
    <w:rsid w:val="00CE524C"/>
    <w:rsid w:val="00CE5FCF"/>
    <w:rsid w:val="00CE690B"/>
    <w:rsid w:val="00CE6BB5"/>
    <w:rsid w:val="00CE7597"/>
    <w:rsid w:val="00CF141F"/>
    <w:rsid w:val="00CF3639"/>
    <w:rsid w:val="00CF4777"/>
    <w:rsid w:val="00D0190A"/>
    <w:rsid w:val="00D02075"/>
    <w:rsid w:val="00D03E90"/>
    <w:rsid w:val="00D04A36"/>
    <w:rsid w:val="00D0521D"/>
    <w:rsid w:val="00D064EE"/>
    <w:rsid w:val="00D07511"/>
    <w:rsid w:val="00D07FF7"/>
    <w:rsid w:val="00D12B2C"/>
    <w:rsid w:val="00D15118"/>
    <w:rsid w:val="00D16681"/>
    <w:rsid w:val="00D169AF"/>
    <w:rsid w:val="00D21B5C"/>
    <w:rsid w:val="00D22513"/>
    <w:rsid w:val="00D2369D"/>
    <w:rsid w:val="00D25162"/>
    <w:rsid w:val="00D25249"/>
    <w:rsid w:val="00D25652"/>
    <w:rsid w:val="00D26C50"/>
    <w:rsid w:val="00D30B2F"/>
    <w:rsid w:val="00D34E3F"/>
    <w:rsid w:val="00D36D0C"/>
    <w:rsid w:val="00D40C23"/>
    <w:rsid w:val="00D40F3E"/>
    <w:rsid w:val="00D42A79"/>
    <w:rsid w:val="00D4321A"/>
    <w:rsid w:val="00D43BA3"/>
    <w:rsid w:val="00D44172"/>
    <w:rsid w:val="00D44D32"/>
    <w:rsid w:val="00D4521D"/>
    <w:rsid w:val="00D46C05"/>
    <w:rsid w:val="00D46DD7"/>
    <w:rsid w:val="00D51521"/>
    <w:rsid w:val="00D531FF"/>
    <w:rsid w:val="00D540F8"/>
    <w:rsid w:val="00D55334"/>
    <w:rsid w:val="00D55E75"/>
    <w:rsid w:val="00D57BCC"/>
    <w:rsid w:val="00D57F27"/>
    <w:rsid w:val="00D63B8C"/>
    <w:rsid w:val="00D641C9"/>
    <w:rsid w:val="00D671B7"/>
    <w:rsid w:val="00D67D74"/>
    <w:rsid w:val="00D71D25"/>
    <w:rsid w:val="00D726EB"/>
    <w:rsid w:val="00D73868"/>
    <w:rsid w:val="00D739CC"/>
    <w:rsid w:val="00D73E27"/>
    <w:rsid w:val="00D753C3"/>
    <w:rsid w:val="00D776E2"/>
    <w:rsid w:val="00D8093D"/>
    <w:rsid w:val="00D8108C"/>
    <w:rsid w:val="00D82D20"/>
    <w:rsid w:val="00D834E9"/>
    <w:rsid w:val="00D842AE"/>
    <w:rsid w:val="00D856D4"/>
    <w:rsid w:val="00D909F5"/>
    <w:rsid w:val="00D911E3"/>
    <w:rsid w:val="00D91486"/>
    <w:rsid w:val="00D9211C"/>
    <w:rsid w:val="00D92DE0"/>
    <w:rsid w:val="00D931C4"/>
    <w:rsid w:val="00D93A0F"/>
    <w:rsid w:val="00D96369"/>
    <w:rsid w:val="00D97096"/>
    <w:rsid w:val="00D97300"/>
    <w:rsid w:val="00DA1BCA"/>
    <w:rsid w:val="00DA255E"/>
    <w:rsid w:val="00DA3C4F"/>
    <w:rsid w:val="00DA4C32"/>
    <w:rsid w:val="00DA684F"/>
    <w:rsid w:val="00DA6DE5"/>
    <w:rsid w:val="00DB010B"/>
    <w:rsid w:val="00DB1194"/>
    <w:rsid w:val="00DB1957"/>
    <w:rsid w:val="00DB29E5"/>
    <w:rsid w:val="00DB32D9"/>
    <w:rsid w:val="00DB3846"/>
    <w:rsid w:val="00DC1B85"/>
    <w:rsid w:val="00DC46EF"/>
    <w:rsid w:val="00DC46FF"/>
    <w:rsid w:val="00DC57DF"/>
    <w:rsid w:val="00DD04D7"/>
    <w:rsid w:val="00DD0759"/>
    <w:rsid w:val="00DD0F8A"/>
    <w:rsid w:val="00DD1A4F"/>
    <w:rsid w:val="00DD7C2C"/>
    <w:rsid w:val="00DE1B46"/>
    <w:rsid w:val="00DE2A4A"/>
    <w:rsid w:val="00DE396D"/>
    <w:rsid w:val="00DE6D25"/>
    <w:rsid w:val="00DE74A8"/>
    <w:rsid w:val="00DE7A06"/>
    <w:rsid w:val="00DE7B01"/>
    <w:rsid w:val="00DF056A"/>
    <w:rsid w:val="00DF2F35"/>
    <w:rsid w:val="00DF33F6"/>
    <w:rsid w:val="00DF59F6"/>
    <w:rsid w:val="00DF61FB"/>
    <w:rsid w:val="00DF6A8E"/>
    <w:rsid w:val="00DF7E18"/>
    <w:rsid w:val="00E00897"/>
    <w:rsid w:val="00E0136D"/>
    <w:rsid w:val="00E04301"/>
    <w:rsid w:val="00E054C6"/>
    <w:rsid w:val="00E06389"/>
    <w:rsid w:val="00E06797"/>
    <w:rsid w:val="00E06E7F"/>
    <w:rsid w:val="00E07ECA"/>
    <w:rsid w:val="00E100A3"/>
    <w:rsid w:val="00E10FB7"/>
    <w:rsid w:val="00E110C8"/>
    <w:rsid w:val="00E12DFB"/>
    <w:rsid w:val="00E139A3"/>
    <w:rsid w:val="00E1425B"/>
    <w:rsid w:val="00E156C9"/>
    <w:rsid w:val="00E16F3D"/>
    <w:rsid w:val="00E215B0"/>
    <w:rsid w:val="00E21C83"/>
    <w:rsid w:val="00E21E77"/>
    <w:rsid w:val="00E24004"/>
    <w:rsid w:val="00E302D9"/>
    <w:rsid w:val="00E32DC9"/>
    <w:rsid w:val="00E354E6"/>
    <w:rsid w:val="00E4169A"/>
    <w:rsid w:val="00E41FB3"/>
    <w:rsid w:val="00E43F8C"/>
    <w:rsid w:val="00E4428C"/>
    <w:rsid w:val="00E44600"/>
    <w:rsid w:val="00E4612E"/>
    <w:rsid w:val="00E46C51"/>
    <w:rsid w:val="00E46D9A"/>
    <w:rsid w:val="00E47A5F"/>
    <w:rsid w:val="00E502A4"/>
    <w:rsid w:val="00E508F6"/>
    <w:rsid w:val="00E509E7"/>
    <w:rsid w:val="00E51337"/>
    <w:rsid w:val="00E5295F"/>
    <w:rsid w:val="00E534AF"/>
    <w:rsid w:val="00E54D04"/>
    <w:rsid w:val="00E565FF"/>
    <w:rsid w:val="00E56A8D"/>
    <w:rsid w:val="00E56E8B"/>
    <w:rsid w:val="00E57900"/>
    <w:rsid w:val="00E579BD"/>
    <w:rsid w:val="00E615C3"/>
    <w:rsid w:val="00E62BB8"/>
    <w:rsid w:val="00E631A2"/>
    <w:rsid w:val="00E63B50"/>
    <w:rsid w:val="00E6469F"/>
    <w:rsid w:val="00E648A8"/>
    <w:rsid w:val="00E65388"/>
    <w:rsid w:val="00E70E97"/>
    <w:rsid w:val="00E71A76"/>
    <w:rsid w:val="00E739E4"/>
    <w:rsid w:val="00E73D6D"/>
    <w:rsid w:val="00E7598F"/>
    <w:rsid w:val="00E76253"/>
    <w:rsid w:val="00E7776A"/>
    <w:rsid w:val="00E83D1C"/>
    <w:rsid w:val="00E844F2"/>
    <w:rsid w:val="00E85745"/>
    <w:rsid w:val="00E85B7D"/>
    <w:rsid w:val="00E90A98"/>
    <w:rsid w:val="00E90B1B"/>
    <w:rsid w:val="00E9121B"/>
    <w:rsid w:val="00E92A44"/>
    <w:rsid w:val="00E94D76"/>
    <w:rsid w:val="00E9611D"/>
    <w:rsid w:val="00EA0A1F"/>
    <w:rsid w:val="00EA0B53"/>
    <w:rsid w:val="00EA39E5"/>
    <w:rsid w:val="00EA3DBC"/>
    <w:rsid w:val="00EA4012"/>
    <w:rsid w:val="00EA45F1"/>
    <w:rsid w:val="00EA6AE2"/>
    <w:rsid w:val="00EB0AE8"/>
    <w:rsid w:val="00EB1B8B"/>
    <w:rsid w:val="00EB2414"/>
    <w:rsid w:val="00EB2445"/>
    <w:rsid w:val="00EB6A64"/>
    <w:rsid w:val="00EC29CC"/>
    <w:rsid w:val="00EC2BF3"/>
    <w:rsid w:val="00EC3219"/>
    <w:rsid w:val="00EC3B8A"/>
    <w:rsid w:val="00EC5A46"/>
    <w:rsid w:val="00EC5BD6"/>
    <w:rsid w:val="00EC63E2"/>
    <w:rsid w:val="00ED37E1"/>
    <w:rsid w:val="00ED7F64"/>
    <w:rsid w:val="00EE0DD2"/>
    <w:rsid w:val="00EE1078"/>
    <w:rsid w:val="00EE2BA8"/>
    <w:rsid w:val="00EE3F87"/>
    <w:rsid w:val="00EF22B3"/>
    <w:rsid w:val="00EF2844"/>
    <w:rsid w:val="00EF40A0"/>
    <w:rsid w:val="00EF697D"/>
    <w:rsid w:val="00F00DD2"/>
    <w:rsid w:val="00F02939"/>
    <w:rsid w:val="00F044F7"/>
    <w:rsid w:val="00F052C6"/>
    <w:rsid w:val="00F05840"/>
    <w:rsid w:val="00F061E5"/>
    <w:rsid w:val="00F064C1"/>
    <w:rsid w:val="00F113DA"/>
    <w:rsid w:val="00F13F0D"/>
    <w:rsid w:val="00F14C29"/>
    <w:rsid w:val="00F214A3"/>
    <w:rsid w:val="00F21686"/>
    <w:rsid w:val="00F22D44"/>
    <w:rsid w:val="00F231BB"/>
    <w:rsid w:val="00F23A8E"/>
    <w:rsid w:val="00F250CE"/>
    <w:rsid w:val="00F25C51"/>
    <w:rsid w:val="00F32068"/>
    <w:rsid w:val="00F32F67"/>
    <w:rsid w:val="00F33E99"/>
    <w:rsid w:val="00F34602"/>
    <w:rsid w:val="00F3685F"/>
    <w:rsid w:val="00F376FA"/>
    <w:rsid w:val="00F37DC8"/>
    <w:rsid w:val="00F40759"/>
    <w:rsid w:val="00F41127"/>
    <w:rsid w:val="00F41729"/>
    <w:rsid w:val="00F4346D"/>
    <w:rsid w:val="00F43DC6"/>
    <w:rsid w:val="00F444A5"/>
    <w:rsid w:val="00F44718"/>
    <w:rsid w:val="00F47CD5"/>
    <w:rsid w:val="00F512E8"/>
    <w:rsid w:val="00F5341A"/>
    <w:rsid w:val="00F61251"/>
    <w:rsid w:val="00F650C3"/>
    <w:rsid w:val="00F67FDA"/>
    <w:rsid w:val="00F729B0"/>
    <w:rsid w:val="00F8091E"/>
    <w:rsid w:val="00F81457"/>
    <w:rsid w:val="00F83401"/>
    <w:rsid w:val="00F85326"/>
    <w:rsid w:val="00F8577F"/>
    <w:rsid w:val="00F8615C"/>
    <w:rsid w:val="00F9078A"/>
    <w:rsid w:val="00F90B00"/>
    <w:rsid w:val="00F91840"/>
    <w:rsid w:val="00F921C9"/>
    <w:rsid w:val="00F9516F"/>
    <w:rsid w:val="00F97511"/>
    <w:rsid w:val="00FA042A"/>
    <w:rsid w:val="00FA0B0E"/>
    <w:rsid w:val="00FA2E5C"/>
    <w:rsid w:val="00FA338E"/>
    <w:rsid w:val="00FA6031"/>
    <w:rsid w:val="00FA6035"/>
    <w:rsid w:val="00FB07BA"/>
    <w:rsid w:val="00FB1786"/>
    <w:rsid w:val="00FB1B4B"/>
    <w:rsid w:val="00FB254A"/>
    <w:rsid w:val="00FB29AE"/>
    <w:rsid w:val="00FB4BE0"/>
    <w:rsid w:val="00FB5FC9"/>
    <w:rsid w:val="00FB636B"/>
    <w:rsid w:val="00FB6C90"/>
    <w:rsid w:val="00FB6EBA"/>
    <w:rsid w:val="00FC0CBE"/>
    <w:rsid w:val="00FC1DFE"/>
    <w:rsid w:val="00FC2D48"/>
    <w:rsid w:val="00FC3AC8"/>
    <w:rsid w:val="00FC5A38"/>
    <w:rsid w:val="00FC75DC"/>
    <w:rsid w:val="00FC7886"/>
    <w:rsid w:val="00FD06CB"/>
    <w:rsid w:val="00FD3EE8"/>
    <w:rsid w:val="00FD534F"/>
    <w:rsid w:val="00FD5860"/>
    <w:rsid w:val="00FD67B7"/>
    <w:rsid w:val="00FE21C0"/>
    <w:rsid w:val="00FE352D"/>
    <w:rsid w:val="00FE385F"/>
    <w:rsid w:val="00FE4A38"/>
    <w:rsid w:val="00FE4CDA"/>
    <w:rsid w:val="00FE7608"/>
    <w:rsid w:val="00FE7D62"/>
    <w:rsid w:val="00FF151D"/>
    <w:rsid w:val="00FF1635"/>
    <w:rsid w:val="00FF21E8"/>
    <w:rsid w:val="00FF298F"/>
    <w:rsid w:val="00FF5A5A"/>
    <w:rsid w:val="00FF6654"/>
    <w:rsid w:val="00FF668E"/>
    <w:rsid w:val="00FF7213"/>
    <w:rsid w:val="00FF78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8DDE7A-5D2D-46F1-9EA2-08A21308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uiPriority w:val="99"/>
    <w:qFormat/>
    <w:rsid w:val="00AA4E66"/>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bidi="ar-SA"/>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pt Char"/>
    <w:link w:val="Heading2"/>
    <w:semiHidden/>
    <w:locked/>
    <w:rsid w:val="00BC093D"/>
    <w:rPr>
      <w:rFonts w:eastAsia="MS Mincho"/>
      <w:b/>
      <w:sz w:val="24"/>
      <w:szCs w:val="24"/>
      <w:lang w:val="en-GB" w:eastAsia="en-US" w:bidi="ar-SA"/>
    </w:rPr>
  </w:style>
  <w:style w:type="character" w:styleId="FootnoteReference">
    <w:name w:val="footnote reference"/>
    <w:uiPriority w:val="99"/>
    <w:rsid w:val="00AA4E66"/>
    <w:rPr>
      <w:rFonts w:ascii="Times New Roman" w:hAnsi="Times New Roman"/>
      <w:color w:val="auto"/>
      <w:sz w:val="20"/>
      <w:szCs w:val="18"/>
      <w:vertAlign w:val="superscript"/>
    </w:rPr>
  </w:style>
  <w:style w:type="paragraph" w:styleId="FootnoteText">
    <w:name w:val="footnote text"/>
    <w:basedOn w:val="Normal-pool"/>
    <w:link w:val="FootnoteTextChar"/>
    <w:uiPriority w:val="99"/>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uiPriority w:val="99"/>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lorfulShading-Accent13">
    <w:name w:val="Colorful Shading - Accent 13"/>
    <w:hidden/>
    <w:uiPriority w:val="99"/>
    <w:semiHidden/>
    <w:rsid w:val="005B35E3"/>
    <w:rPr>
      <w:rFonts w:eastAsia="MS Mincho"/>
      <w:lang w:val="en-GB"/>
    </w:rPr>
  </w:style>
  <w:style w:type="character" w:customStyle="1" w:styleId="apple-converted-space">
    <w:name w:val="apple-converted-space"/>
    <w:rsid w:val="00715E94"/>
  </w:style>
  <w:style w:type="paragraph" w:customStyle="1" w:styleId="ColorfulList-Accent13">
    <w:name w:val="Colorful List - Accent 13"/>
    <w:basedOn w:val="Normal"/>
    <w:uiPriority w:val="34"/>
    <w:qFormat/>
    <w:rsid w:val="00715E94"/>
    <w:pPr>
      <w:spacing w:line="276" w:lineRule="auto"/>
      <w:ind w:left="720"/>
      <w:contextualSpacing/>
    </w:pPr>
    <w:rPr>
      <w:rFonts w:ascii="Arial" w:eastAsia="Arial" w:hAnsi="Arial" w:cs="Arial"/>
      <w:color w:val="000000"/>
      <w:sz w:val="22"/>
      <w:lang w:val="sv-SE" w:eastAsia="sv-SE"/>
    </w:rPr>
  </w:style>
  <w:style w:type="character" w:customStyle="1" w:styleId="Heading1Char">
    <w:name w:val="Heading 1 Char"/>
    <w:link w:val="Heading1"/>
    <w:uiPriority w:val="99"/>
    <w:rsid w:val="00715E94"/>
    <w:rPr>
      <w:rFonts w:eastAsia="MS Mincho"/>
      <w:b/>
      <w:sz w:val="28"/>
      <w:lang w:val="en-GB" w:bidi="ar-SA"/>
    </w:rPr>
  </w:style>
  <w:style w:type="paragraph" w:customStyle="1" w:styleId="Sectionheading">
    <w:name w:val="Section heading"/>
    <w:basedOn w:val="Heading2"/>
    <w:link w:val="SectionheadingChar"/>
    <w:uiPriority w:val="99"/>
    <w:rsid w:val="00715E94"/>
    <w:pPr>
      <w:keepLines/>
      <w:spacing w:before="200" w:after="0"/>
      <w:ind w:left="0" w:firstLine="0"/>
    </w:pPr>
    <w:rPr>
      <w:rFonts w:ascii="Cambria" w:eastAsia="Calibri" w:hAnsi="Cambria"/>
      <w:color w:val="4F81BD"/>
      <w:sz w:val="26"/>
      <w:szCs w:val="20"/>
      <w:lang w:eastAsia="en-GB"/>
    </w:rPr>
  </w:style>
  <w:style w:type="character" w:customStyle="1" w:styleId="SectionheadingChar">
    <w:name w:val="Section heading Char"/>
    <w:link w:val="Sectionheading"/>
    <w:uiPriority w:val="99"/>
    <w:locked/>
    <w:rsid w:val="00715E94"/>
    <w:rPr>
      <w:rFonts w:ascii="Cambria" w:eastAsia="Calibri" w:hAnsi="Cambria"/>
      <w:b/>
      <w:color w:val="4F81BD"/>
      <w:sz w:val="26"/>
      <w:lang w:val="en-GB" w:eastAsia="en-GB" w:bidi="ar-SA"/>
    </w:rPr>
  </w:style>
  <w:style w:type="paragraph" w:customStyle="1" w:styleId="deliverablesexp">
    <w:name w:val="deliverables exp"/>
    <w:basedOn w:val="Normal"/>
    <w:link w:val="deliverablesexpChar"/>
    <w:uiPriority w:val="99"/>
    <w:rsid w:val="00715E94"/>
    <w:pPr>
      <w:spacing w:after="200"/>
      <w:ind w:left="720"/>
    </w:pPr>
    <w:rPr>
      <w:rFonts w:eastAsia="Calibri"/>
      <w:color w:val="000000"/>
      <w:lang w:val="en-US" w:eastAsia="en-GB"/>
    </w:rPr>
  </w:style>
  <w:style w:type="character" w:customStyle="1" w:styleId="deliverablesexpChar">
    <w:name w:val="deliverables exp Char"/>
    <w:link w:val="deliverablesexp"/>
    <w:uiPriority w:val="99"/>
    <w:locked/>
    <w:rsid w:val="00715E94"/>
    <w:rPr>
      <w:rFonts w:eastAsia="Calibri"/>
      <w:color w:val="000000"/>
      <w:lang w:eastAsia="en-GB" w:bidi="ar-SA"/>
    </w:rPr>
  </w:style>
  <w:style w:type="character" w:styleId="Emphasis">
    <w:name w:val="Emphasis"/>
    <w:uiPriority w:val="20"/>
    <w:qFormat/>
    <w:rsid w:val="00715E94"/>
    <w:rPr>
      <w:i/>
      <w:iCs/>
    </w:rPr>
  </w:style>
  <w:style w:type="character" w:customStyle="1" w:styleId="FootnoteTextChar">
    <w:name w:val="Footnote Text Char"/>
    <w:link w:val="FootnoteText"/>
    <w:uiPriority w:val="99"/>
    <w:rsid w:val="00715E94"/>
    <w:rPr>
      <w:sz w:val="18"/>
      <w:lang w:val="en-GB" w:bidi="ar-SA"/>
    </w:rPr>
  </w:style>
  <w:style w:type="character" w:customStyle="1" w:styleId="ListParagraphCharChar">
    <w:name w:val="List Paragraph Char Char"/>
    <w:link w:val="1"/>
    <w:rsid w:val="00715E94"/>
  </w:style>
  <w:style w:type="character" w:customStyle="1" w:styleId="FotnotetekstTegn">
    <w:name w:val="Fotnotetekst Tegn"/>
    <w:link w:val="Fotnotetekst1"/>
    <w:rsid w:val="00715E94"/>
    <w:rPr>
      <w:rFonts w:ascii="Cambria" w:eastAsia="MS Mincho" w:hAnsi="Cambria"/>
      <w:lang w:eastAsia="zh-CN"/>
    </w:rPr>
  </w:style>
  <w:style w:type="paragraph" w:customStyle="1" w:styleId="Fotnotetekst1">
    <w:name w:val="Fotnotetekst1"/>
    <w:basedOn w:val="Normal"/>
    <w:next w:val="FootnoteText"/>
    <w:link w:val="FotnotetekstTegn"/>
    <w:rsid w:val="00715E94"/>
    <w:rPr>
      <w:rFonts w:ascii="Cambria" w:hAnsi="Cambria"/>
      <w:lang w:val="en-US" w:eastAsia="zh-CN" w:bidi="th-TH"/>
    </w:rPr>
  </w:style>
  <w:style w:type="paragraph" w:customStyle="1" w:styleId="1">
    <w:name w:val="列出段落1"/>
    <w:basedOn w:val="Normal"/>
    <w:link w:val="ListParagraphCharChar"/>
    <w:rsid w:val="00715E94"/>
    <w:pPr>
      <w:spacing w:after="200" w:line="276" w:lineRule="auto"/>
      <w:ind w:left="720"/>
      <w:contextualSpacing/>
    </w:pPr>
    <w:rPr>
      <w:rFonts w:eastAsia="Times New Roman"/>
      <w:lang w:val="en-US" w:bidi="th-TH"/>
    </w:rPr>
  </w:style>
  <w:style w:type="character" w:styleId="Strong">
    <w:name w:val="Strong"/>
    <w:uiPriority w:val="22"/>
    <w:qFormat/>
    <w:rsid w:val="00715E94"/>
    <w:rPr>
      <w:b/>
      <w:bCs/>
    </w:rPr>
  </w:style>
  <w:style w:type="paragraph" w:styleId="Revision">
    <w:name w:val="Revision"/>
    <w:hidden/>
    <w:uiPriority w:val="99"/>
    <w:semiHidden/>
    <w:rsid w:val="00E92A44"/>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648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4398848">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1648789">
      <w:bodyDiv w:val="1"/>
      <w:marLeft w:val="0"/>
      <w:marRight w:val="0"/>
      <w:marTop w:val="0"/>
      <w:marBottom w:val="0"/>
      <w:divBdr>
        <w:top w:val="none" w:sz="0" w:space="0" w:color="auto"/>
        <w:left w:val="none" w:sz="0" w:space="0" w:color="auto"/>
        <w:bottom w:val="none" w:sz="0" w:space="0" w:color="auto"/>
        <w:right w:val="none" w:sz="0" w:space="0" w:color="auto"/>
      </w:divBdr>
      <w:divsChild>
        <w:div w:id="457988185">
          <w:marLeft w:val="0"/>
          <w:marRight w:val="0"/>
          <w:marTop w:val="0"/>
          <w:marBottom w:val="0"/>
          <w:divBdr>
            <w:top w:val="none" w:sz="0" w:space="0" w:color="auto"/>
            <w:left w:val="none" w:sz="0" w:space="0" w:color="auto"/>
            <w:bottom w:val="none" w:sz="0" w:space="0" w:color="auto"/>
            <w:right w:val="none" w:sz="0" w:space="0" w:color="auto"/>
          </w:divBdr>
        </w:div>
        <w:div w:id="1695954815">
          <w:marLeft w:val="0"/>
          <w:marRight w:val="0"/>
          <w:marTop w:val="0"/>
          <w:marBottom w:val="0"/>
          <w:divBdr>
            <w:top w:val="none" w:sz="0" w:space="0" w:color="auto"/>
            <w:left w:val="none" w:sz="0" w:space="0" w:color="auto"/>
            <w:bottom w:val="none" w:sz="0" w:space="0" w:color="auto"/>
            <w:right w:val="none" w:sz="0" w:space="0" w:color="auto"/>
          </w:divBdr>
        </w:div>
        <w:div w:id="1727338790">
          <w:marLeft w:val="0"/>
          <w:marRight w:val="0"/>
          <w:marTop w:val="0"/>
          <w:marBottom w:val="0"/>
          <w:divBdr>
            <w:top w:val="none" w:sz="0" w:space="0" w:color="auto"/>
            <w:left w:val="none" w:sz="0" w:space="0" w:color="auto"/>
            <w:bottom w:val="none" w:sz="0" w:space="0" w:color="auto"/>
            <w:right w:val="none" w:sz="0" w:space="0" w:color="auto"/>
          </w:divBdr>
        </w:div>
        <w:div w:id="1924685724">
          <w:marLeft w:val="0"/>
          <w:marRight w:val="0"/>
          <w:marTop w:val="0"/>
          <w:marBottom w:val="0"/>
          <w:divBdr>
            <w:top w:val="none" w:sz="0" w:space="0" w:color="auto"/>
            <w:left w:val="none" w:sz="0" w:space="0" w:color="auto"/>
            <w:bottom w:val="none" w:sz="0" w:space="0" w:color="auto"/>
            <w:right w:val="none" w:sz="0" w:space="0" w:color="auto"/>
          </w:divBdr>
        </w:div>
        <w:div w:id="2050445844">
          <w:marLeft w:val="0"/>
          <w:marRight w:val="0"/>
          <w:marTop w:val="0"/>
          <w:marBottom w:val="0"/>
          <w:divBdr>
            <w:top w:val="none" w:sz="0" w:space="0" w:color="auto"/>
            <w:left w:val="none" w:sz="0" w:space="0" w:color="auto"/>
            <w:bottom w:val="none" w:sz="0" w:space="0" w:color="auto"/>
            <w:right w:val="none" w:sz="0" w:space="0" w:color="auto"/>
          </w:divBdr>
        </w:div>
      </w:divsChild>
    </w:div>
    <w:div w:id="19778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atalog.ipbes.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868B4-1043-4535-81AD-D4F1C6E2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4025</Words>
  <Characters>22944</Characters>
  <Application>Microsoft Office Word</Application>
  <DocSecurity>0</DocSecurity>
  <Lines>191</Lines>
  <Paragraphs>53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NATIONS UNIES</vt:lpstr>
      <vt:lpstr>NATIONS UNIES</vt:lpstr>
    </vt:vector>
  </TitlesOfParts>
  <Company>unon</Company>
  <LinksUpToDate>false</LinksUpToDate>
  <CharactersWithSpaces>26916</CharactersWithSpaces>
  <SharedDoc>false</SharedDoc>
  <HLinks>
    <vt:vector size="6" baseType="variant">
      <vt:variant>
        <vt:i4>5570582</vt:i4>
      </vt:variant>
      <vt:variant>
        <vt:i4>0</vt:i4>
      </vt:variant>
      <vt:variant>
        <vt:i4>0</vt:i4>
      </vt:variant>
      <vt:variant>
        <vt:i4>5</vt:i4>
      </vt:variant>
      <vt:variant>
        <vt:lpwstr>http://catalog.ipbes.net/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Sarah Banda</cp:lastModifiedBy>
  <cp:revision>2</cp:revision>
  <cp:lastPrinted>2015-12-14T11:43:00Z</cp:lastPrinted>
  <dcterms:created xsi:type="dcterms:W3CDTF">2016-01-06T08:53:00Z</dcterms:created>
  <dcterms:modified xsi:type="dcterms:W3CDTF">2016-01-06T08:53:00Z</dcterms:modified>
</cp:coreProperties>
</file>