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66" w:type="pct"/>
        <w:jc w:val="right"/>
        <w:tblLayout w:type="fixed"/>
        <w:tblLook w:val="0000" w:firstRow="0" w:lastRow="0" w:firstColumn="0" w:lastColumn="0" w:noHBand="0" w:noVBand="0"/>
      </w:tblPr>
      <w:tblGrid>
        <w:gridCol w:w="1528"/>
        <w:gridCol w:w="558"/>
        <w:gridCol w:w="418"/>
        <w:gridCol w:w="837"/>
        <w:gridCol w:w="837"/>
        <w:gridCol w:w="3335"/>
        <w:gridCol w:w="535"/>
        <w:gridCol w:w="1763"/>
      </w:tblGrid>
      <w:tr w:rsidR="001C1E89" w:rsidRPr="00C72827" w14:paraId="7E299AF4" w14:textId="77777777" w:rsidTr="008566CB">
        <w:trPr>
          <w:cantSplit/>
          <w:trHeight w:val="1247"/>
          <w:jc w:val="right"/>
        </w:trPr>
        <w:tc>
          <w:tcPr>
            <w:tcW w:w="1528" w:type="dxa"/>
          </w:tcPr>
          <w:p w14:paraId="4B6C8710" w14:textId="77777777" w:rsidR="001C1E89" w:rsidRPr="00C72827" w:rsidRDefault="001C1E89" w:rsidP="008566CB">
            <w:pPr>
              <w:keepNext/>
              <w:tabs>
                <w:tab w:val="left" w:pos="1560"/>
                <w:tab w:val="left" w:pos="1814"/>
                <w:tab w:val="left" w:pos="2381"/>
                <w:tab w:val="left" w:pos="2948"/>
                <w:tab w:val="left" w:pos="3515"/>
              </w:tabs>
              <w:spacing w:before="40" w:line="240" w:lineRule="auto"/>
              <w:ind w:left="-113" w:right="-113"/>
              <w:outlineLvl w:val="1"/>
              <w:rPr>
                <w:rFonts w:eastAsia="Times New Roman"/>
                <w:sz w:val="27"/>
                <w:szCs w:val="27"/>
                <w:lang w:val="es-ES"/>
              </w:rPr>
            </w:pPr>
            <w:bookmarkStart w:id="0" w:name="_GoBack"/>
            <w:bookmarkEnd w:id="0"/>
            <w:r w:rsidRPr="00C72827">
              <w:rPr>
                <w:rFonts w:ascii="Arial" w:eastAsia="Times New Roman" w:hAnsi="Arial" w:cs="Arial"/>
                <w:b/>
                <w:sz w:val="27"/>
                <w:szCs w:val="27"/>
                <w:lang w:val="es-ES"/>
              </w:rPr>
              <w:t>NACIONES UNIDAS</w:t>
            </w:r>
          </w:p>
        </w:tc>
        <w:tc>
          <w:tcPr>
            <w:tcW w:w="976" w:type="dxa"/>
            <w:gridSpan w:val="2"/>
            <w:tcBorders>
              <w:left w:val="nil"/>
            </w:tcBorders>
            <w:vAlign w:val="center"/>
          </w:tcPr>
          <w:p w14:paraId="1D86567E" w14:textId="77777777" w:rsidR="001C1E89" w:rsidRPr="00C72827" w:rsidRDefault="001C1E89" w:rsidP="008566CB">
            <w:pPr>
              <w:tabs>
                <w:tab w:val="left" w:pos="1247"/>
                <w:tab w:val="left" w:pos="1814"/>
                <w:tab w:val="left" w:pos="2381"/>
                <w:tab w:val="left" w:pos="2948"/>
                <w:tab w:val="left" w:pos="3515"/>
              </w:tabs>
              <w:spacing w:line="240" w:lineRule="auto"/>
              <w:ind w:left="-57"/>
              <w:jc w:val="center"/>
              <w:rPr>
                <w:rFonts w:eastAsia="Times New Roman"/>
                <w:sz w:val="20"/>
                <w:lang w:val="es-ES"/>
              </w:rPr>
            </w:pPr>
            <w:r w:rsidRPr="00C72827">
              <w:rPr>
                <w:rFonts w:eastAsia="Times New Roman"/>
                <w:noProof/>
                <w:sz w:val="20"/>
                <w:lang w:val="es-ES" w:eastAsia="es-ES"/>
              </w:rPr>
              <w:drawing>
                <wp:inline distT="0" distB="0" distL="0" distR="0" wp14:anchorId="4055D65E" wp14:editId="380DB6E8">
                  <wp:extent cx="553297" cy="552450"/>
                  <wp:effectExtent l="0" t="0" r="5715" b="6350"/>
                  <wp:docPr id="5" name="Picture 5"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297" cy="552450"/>
                          </a:xfrm>
                          <a:prstGeom prst="rect">
                            <a:avLst/>
                          </a:prstGeom>
                          <a:noFill/>
                          <a:ln>
                            <a:noFill/>
                          </a:ln>
                        </pic:spPr>
                      </pic:pic>
                    </a:graphicData>
                  </a:graphic>
                </wp:inline>
              </w:drawing>
            </w:r>
          </w:p>
        </w:tc>
        <w:tc>
          <w:tcPr>
            <w:tcW w:w="837" w:type="dxa"/>
            <w:tcBorders>
              <w:left w:val="nil"/>
            </w:tcBorders>
            <w:vAlign w:val="center"/>
          </w:tcPr>
          <w:p w14:paraId="45B0E5E8" w14:textId="77777777" w:rsidR="001C1E89" w:rsidRPr="00C72827" w:rsidRDefault="001C1E89" w:rsidP="008566CB">
            <w:pPr>
              <w:tabs>
                <w:tab w:val="left" w:pos="1247"/>
                <w:tab w:val="left" w:pos="1814"/>
                <w:tab w:val="left" w:pos="2450"/>
                <w:tab w:val="left" w:pos="2948"/>
                <w:tab w:val="left" w:pos="3515"/>
              </w:tabs>
              <w:spacing w:line="240" w:lineRule="auto"/>
              <w:ind w:left="-170" w:right="-170"/>
              <w:jc w:val="center"/>
              <w:rPr>
                <w:rFonts w:eastAsia="Times New Roman"/>
                <w:sz w:val="20"/>
                <w:lang w:val="es-ES"/>
              </w:rPr>
            </w:pPr>
            <w:r w:rsidRPr="00C72827">
              <w:rPr>
                <w:lang w:val="es-ES"/>
              </w:rPr>
              <w:object w:dxaOrig="12002" w:dyaOrig="8999" w14:anchorId="3A117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3.5pt" o:ole="">
                  <v:imagedata r:id="rId9" o:title="" croptop="5897f" cropbottom="39980f" cropleft="24092f" cropright="26812f"/>
                </v:shape>
                <o:OLEObject Type="Embed" ProgID="PBrush" ShapeID="_x0000_i1025" DrawAspect="Content" ObjectID="_1615719843" r:id="rId10"/>
              </w:object>
            </w:r>
          </w:p>
        </w:tc>
        <w:tc>
          <w:tcPr>
            <w:tcW w:w="837" w:type="dxa"/>
            <w:tcBorders>
              <w:left w:val="nil"/>
            </w:tcBorders>
            <w:vAlign w:val="center"/>
          </w:tcPr>
          <w:p w14:paraId="2E70CFB9" w14:textId="77777777" w:rsidR="001C1E89" w:rsidRPr="00C72827" w:rsidRDefault="001C1E89" w:rsidP="008566CB">
            <w:pPr>
              <w:tabs>
                <w:tab w:val="left" w:pos="1247"/>
                <w:tab w:val="left" w:pos="1814"/>
                <w:tab w:val="left" w:pos="2381"/>
                <w:tab w:val="left" w:pos="2948"/>
                <w:tab w:val="left" w:pos="3515"/>
              </w:tabs>
              <w:spacing w:line="240" w:lineRule="auto"/>
              <w:ind w:left="-142"/>
              <w:jc w:val="center"/>
              <w:rPr>
                <w:rFonts w:eastAsia="Times New Roman"/>
                <w:sz w:val="20"/>
                <w:lang w:val="es-ES"/>
              </w:rPr>
            </w:pPr>
            <w:r w:rsidRPr="00C72827">
              <w:rPr>
                <w:rFonts w:eastAsia="Times New Roman"/>
                <w:noProof/>
                <w:sz w:val="20"/>
                <w:lang w:val="es-ES" w:eastAsia="es-ES"/>
              </w:rPr>
              <w:drawing>
                <wp:inline distT="0" distB="0" distL="0" distR="0" wp14:anchorId="012EA532" wp14:editId="75842A81">
                  <wp:extent cx="583987" cy="453313"/>
                  <wp:effectExtent l="0" t="0" r="6985" b="4445"/>
                  <wp:docPr id="12"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477" cy="459903"/>
                          </a:xfrm>
                          <a:prstGeom prst="rect">
                            <a:avLst/>
                          </a:prstGeom>
                          <a:noFill/>
                          <a:ln>
                            <a:noFill/>
                          </a:ln>
                        </pic:spPr>
                      </pic:pic>
                    </a:graphicData>
                  </a:graphic>
                </wp:inline>
              </w:drawing>
            </w:r>
          </w:p>
        </w:tc>
        <w:tc>
          <w:tcPr>
            <w:tcW w:w="3335" w:type="dxa"/>
            <w:tcBorders>
              <w:left w:val="nil"/>
            </w:tcBorders>
            <w:vAlign w:val="center"/>
          </w:tcPr>
          <w:p w14:paraId="38DDA8E6" w14:textId="77777777" w:rsidR="001C1E89" w:rsidRPr="00C72827" w:rsidRDefault="001C1E89" w:rsidP="008566CB">
            <w:pPr>
              <w:tabs>
                <w:tab w:val="left" w:pos="1247"/>
                <w:tab w:val="left" w:pos="1814"/>
                <w:tab w:val="left" w:pos="2450"/>
                <w:tab w:val="left" w:pos="2948"/>
                <w:tab w:val="left" w:pos="3515"/>
              </w:tabs>
              <w:spacing w:line="240" w:lineRule="auto"/>
              <w:ind w:left="-57" w:right="-142"/>
              <w:rPr>
                <w:rFonts w:eastAsia="Times New Roman"/>
                <w:sz w:val="20"/>
                <w:lang w:val="es-ES"/>
              </w:rPr>
            </w:pPr>
            <w:r w:rsidRPr="00C72827">
              <w:rPr>
                <w:rFonts w:eastAsia="Times New Roman"/>
                <w:lang w:val="es-ES"/>
              </w:rPr>
              <w:object w:dxaOrig="3720" w:dyaOrig="810" w14:anchorId="4AF245CC">
                <v:shape id="_x0000_i1026" type="#_x0000_t75" style="width:157.5pt;height:30pt" o:ole="">
                  <v:imagedata r:id="rId12" o:title=""/>
                </v:shape>
                <o:OLEObject Type="Embed" ProgID="PBrush" ShapeID="_x0000_i1026" DrawAspect="Content" ObjectID="_1615719844" r:id="rId13"/>
              </w:object>
            </w:r>
          </w:p>
        </w:tc>
        <w:tc>
          <w:tcPr>
            <w:tcW w:w="535" w:type="dxa"/>
            <w:tcBorders>
              <w:left w:val="nil"/>
            </w:tcBorders>
            <w:vAlign w:val="center"/>
          </w:tcPr>
          <w:p w14:paraId="2AA55E57" w14:textId="77777777" w:rsidR="001C1E89" w:rsidRPr="00C72827" w:rsidRDefault="001C1E89" w:rsidP="008566CB">
            <w:pPr>
              <w:tabs>
                <w:tab w:val="left" w:pos="1247"/>
                <w:tab w:val="left" w:pos="1814"/>
                <w:tab w:val="left" w:pos="2381"/>
                <w:tab w:val="left" w:pos="2948"/>
                <w:tab w:val="left" w:pos="3515"/>
              </w:tabs>
              <w:spacing w:line="240" w:lineRule="auto"/>
              <w:ind w:left="-154" w:right="-142"/>
              <w:jc w:val="center"/>
              <w:rPr>
                <w:rFonts w:eastAsia="Times New Roman"/>
                <w:sz w:val="20"/>
                <w:lang w:val="es-ES"/>
              </w:rPr>
            </w:pPr>
            <w:r w:rsidRPr="00C72827">
              <w:rPr>
                <w:noProof/>
                <w:lang w:val="es-ES" w:eastAsia="es-ES"/>
              </w:rPr>
              <w:drawing>
                <wp:inline distT="0" distB="0" distL="0" distR="0" wp14:anchorId="6A5F91AB" wp14:editId="6F644DC5">
                  <wp:extent cx="315046" cy="63009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5047" cy="630092"/>
                          </a:xfrm>
                          <a:prstGeom prst="rect">
                            <a:avLst/>
                          </a:prstGeom>
                        </pic:spPr>
                      </pic:pic>
                    </a:graphicData>
                  </a:graphic>
                </wp:inline>
              </w:drawing>
            </w:r>
          </w:p>
        </w:tc>
        <w:tc>
          <w:tcPr>
            <w:tcW w:w="1763" w:type="dxa"/>
          </w:tcPr>
          <w:p w14:paraId="252100D4" w14:textId="77777777" w:rsidR="001C1E89" w:rsidRPr="00C72827" w:rsidRDefault="001C1E89" w:rsidP="008566CB">
            <w:pPr>
              <w:keepNext/>
              <w:tabs>
                <w:tab w:val="left" w:pos="1814"/>
                <w:tab w:val="left" w:pos="2381"/>
                <w:tab w:val="left" w:pos="2948"/>
                <w:tab w:val="left" w:pos="3515"/>
              </w:tabs>
              <w:spacing w:before="40" w:line="240" w:lineRule="auto"/>
              <w:ind w:left="-151"/>
              <w:jc w:val="right"/>
              <w:outlineLvl w:val="1"/>
              <w:rPr>
                <w:rFonts w:ascii="Arial" w:eastAsia="Times New Roman" w:hAnsi="Arial"/>
                <w:b/>
                <w:sz w:val="64"/>
                <w:szCs w:val="24"/>
                <w:lang w:val="es-ES"/>
              </w:rPr>
            </w:pPr>
            <w:r w:rsidRPr="00C72827">
              <w:rPr>
                <w:rFonts w:ascii="Arial" w:eastAsia="Times New Roman" w:hAnsi="Arial" w:cs="Arial"/>
                <w:b/>
                <w:sz w:val="64"/>
                <w:szCs w:val="64"/>
                <w:lang w:val="es-ES"/>
              </w:rPr>
              <w:t>BES</w:t>
            </w:r>
          </w:p>
        </w:tc>
      </w:tr>
      <w:tr w:rsidR="001C1E89" w:rsidRPr="00C72827" w14:paraId="33FA3116" w14:textId="77777777" w:rsidTr="008566CB">
        <w:trPr>
          <w:cantSplit/>
          <w:trHeight w:val="282"/>
          <w:jc w:val="right"/>
        </w:trPr>
        <w:tc>
          <w:tcPr>
            <w:tcW w:w="1528" w:type="dxa"/>
            <w:tcBorders>
              <w:bottom w:val="single" w:sz="2" w:space="0" w:color="auto"/>
            </w:tcBorders>
          </w:tcPr>
          <w:p w14:paraId="1D2A8FF5" w14:textId="77777777" w:rsidR="001C1E89" w:rsidRPr="008566CB" w:rsidRDefault="001C1E89" w:rsidP="008566CB">
            <w:pPr>
              <w:tabs>
                <w:tab w:val="left" w:pos="1247"/>
                <w:tab w:val="left" w:pos="1814"/>
                <w:tab w:val="left" w:pos="2381"/>
                <w:tab w:val="left" w:pos="2948"/>
                <w:tab w:val="left" w:pos="3515"/>
              </w:tabs>
              <w:spacing w:after="0" w:line="240" w:lineRule="auto"/>
              <w:rPr>
                <w:rFonts w:ascii="Times New Roman" w:eastAsia="Times New Roman" w:hAnsi="Times New Roman"/>
                <w:sz w:val="20"/>
                <w:szCs w:val="20"/>
                <w:lang w:val="es-ES"/>
              </w:rPr>
            </w:pPr>
          </w:p>
        </w:tc>
        <w:tc>
          <w:tcPr>
            <w:tcW w:w="5985" w:type="dxa"/>
            <w:gridSpan w:val="5"/>
            <w:tcBorders>
              <w:bottom w:val="single" w:sz="2" w:space="0" w:color="auto"/>
            </w:tcBorders>
          </w:tcPr>
          <w:p w14:paraId="04E173AA" w14:textId="77777777" w:rsidR="001C1E89" w:rsidRPr="008566CB" w:rsidRDefault="001C1E89" w:rsidP="008566CB">
            <w:pPr>
              <w:tabs>
                <w:tab w:val="left" w:pos="1247"/>
                <w:tab w:val="left" w:pos="1814"/>
                <w:tab w:val="left" w:pos="2381"/>
                <w:tab w:val="left" w:pos="2948"/>
                <w:tab w:val="left" w:pos="3515"/>
              </w:tabs>
              <w:spacing w:after="0" w:line="240" w:lineRule="auto"/>
              <w:rPr>
                <w:rFonts w:ascii="Times New Roman" w:eastAsia="Times New Roman" w:hAnsi="Times New Roman"/>
                <w:b/>
                <w:sz w:val="20"/>
                <w:szCs w:val="20"/>
                <w:lang w:val="es-ES"/>
              </w:rPr>
            </w:pPr>
          </w:p>
        </w:tc>
        <w:tc>
          <w:tcPr>
            <w:tcW w:w="2298" w:type="dxa"/>
            <w:gridSpan w:val="2"/>
            <w:tcBorders>
              <w:bottom w:val="single" w:sz="2" w:space="0" w:color="auto"/>
            </w:tcBorders>
          </w:tcPr>
          <w:p w14:paraId="581EE313" w14:textId="6B5B24CF" w:rsidR="001C1E89" w:rsidRPr="008566CB" w:rsidRDefault="001C1E89" w:rsidP="008566CB">
            <w:pPr>
              <w:tabs>
                <w:tab w:val="left" w:pos="1247"/>
                <w:tab w:val="left" w:pos="1814"/>
                <w:tab w:val="left" w:pos="2381"/>
                <w:tab w:val="left" w:pos="2948"/>
                <w:tab w:val="left" w:pos="3515"/>
              </w:tabs>
              <w:spacing w:after="0" w:line="240" w:lineRule="auto"/>
              <w:rPr>
                <w:rFonts w:ascii="Times New Roman" w:eastAsia="Times New Roman" w:hAnsi="Times New Roman"/>
                <w:b/>
                <w:sz w:val="20"/>
                <w:szCs w:val="20"/>
                <w:lang w:val="es-ES"/>
              </w:rPr>
            </w:pPr>
            <w:r w:rsidRPr="008566CB">
              <w:rPr>
                <w:rFonts w:ascii="Times New Roman" w:eastAsia="Times New Roman" w:hAnsi="Times New Roman"/>
                <w:b/>
                <w:sz w:val="24"/>
                <w:szCs w:val="24"/>
                <w:lang w:val="es-ES"/>
              </w:rPr>
              <w:t>IPBES</w:t>
            </w:r>
            <w:r w:rsidRPr="008566CB">
              <w:rPr>
                <w:rFonts w:ascii="Times New Roman" w:eastAsia="Times New Roman" w:hAnsi="Times New Roman"/>
                <w:sz w:val="20"/>
                <w:szCs w:val="20"/>
                <w:lang w:val="es-ES"/>
              </w:rPr>
              <w:t>/7</w:t>
            </w:r>
            <w:r w:rsidR="00217D7E" w:rsidRPr="00217D7E">
              <w:rPr>
                <w:rFonts w:ascii="Times New Roman" w:hAnsi="Times New Roman"/>
                <w:sz w:val="20"/>
                <w:szCs w:val="20"/>
              </w:rPr>
              <w:t>/6/Add.2</w:t>
            </w:r>
          </w:p>
        </w:tc>
      </w:tr>
      <w:tr w:rsidR="001C1E89" w:rsidRPr="00C72827" w14:paraId="36D30AF0" w14:textId="77777777" w:rsidTr="008566CB">
        <w:trPr>
          <w:cantSplit/>
          <w:trHeight w:val="1433"/>
          <w:jc w:val="right"/>
        </w:trPr>
        <w:tc>
          <w:tcPr>
            <w:tcW w:w="2086" w:type="dxa"/>
            <w:gridSpan w:val="2"/>
            <w:tcBorders>
              <w:top w:val="single" w:sz="2" w:space="0" w:color="auto"/>
              <w:bottom w:val="single" w:sz="24" w:space="0" w:color="auto"/>
            </w:tcBorders>
          </w:tcPr>
          <w:p w14:paraId="2039E306" w14:textId="77777777" w:rsidR="001C1E89" w:rsidRPr="00C72827" w:rsidRDefault="001C1E89" w:rsidP="008566CB">
            <w:pPr>
              <w:tabs>
                <w:tab w:val="left" w:pos="1247"/>
                <w:tab w:val="left" w:pos="1814"/>
                <w:tab w:val="left" w:pos="2381"/>
                <w:tab w:val="left" w:pos="2948"/>
                <w:tab w:val="left" w:pos="3515"/>
              </w:tabs>
              <w:spacing w:before="240" w:after="240" w:line="240" w:lineRule="auto"/>
              <w:rPr>
                <w:rFonts w:ascii="Arial" w:eastAsia="Times New Roman" w:hAnsi="Arial" w:cs="Arial"/>
                <w:b/>
                <w:sz w:val="28"/>
                <w:szCs w:val="28"/>
                <w:lang w:val="es-ES"/>
              </w:rPr>
            </w:pPr>
            <w:r w:rsidRPr="00C72827">
              <w:rPr>
                <w:rFonts w:ascii="Arial" w:hAnsi="Arial" w:cs="Arial"/>
                <w:b/>
                <w:noProof/>
                <w:sz w:val="28"/>
                <w:szCs w:val="28"/>
                <w:lang w:val="es-ES" w:eastAsia="es-ES"/>
              </w:rPr>
              <w:drawing>
                <wp:inline distT="0" distB="0" distL="0" distR="0" wp14:anchorId="76087A0C" wp14:editId="3E3F0563">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427" w:type="dxa"/>
            <w:gridSpan w:val="4"/>
            <w:tcBorders>
              <w:top w:val="single" w:sz="2" w:space="0" w:color="auto"/>
              <w:bottom w:val="single" w:sz="24" w:space="0" w:color="auto"/>
            </w:tcBorders>
          </w:tcPr>
          <w:p w14:paraId="67C72256" w14:textId="147B7369" w:rsidR="001C1E89" w:rsidRPr="00C72827" w:rsidRDefault="001C1E89" w:rsidP="008566CB">
            <w:pPr>
              <w:tabs>
                <w:tab w:val="left" w:pos="1247"/>
                <w:tab w:val="left" w:pos="1814"/>
                <w:tab w:val="left" w:pos="2381"/>
                <w:tab w:val="left" w:pos="2948"/>
                <w:tab w:val="left" w:pos="3515"/>
              </w:tabs>
              <w:spacing w:before="360" w:line="240" w:lineRule="auto"/>
              <w:rPr>
                <w:rFonts w:ascii="Arial" w:eastAsia="Times New Roman" w:hAnsi="Arial" w:cs="Arial"/>
                <w:b/>
                <w:sz w:val="28"/>
                <w:szCs w:val="28"/>
                <w:lang w:val="es-ES"/>
              </w:rPr>
            </w:pPr>
            <w:r w:rsidRPr="00C72827">
              <w:rPr>
                <w:rFonts w:ascii="Arial" w:eastAsia="Times New Roman" w:hAnsi="Arial" w:cs="Arial"/>
                <w:b/>
                <w:sz w:val="28"/>
                <w:szCs w:val="28"/>
                <w:lang w:val="es-ES"/>
              </w:rPr>
              <w:t>Plataforma Intergubernamental Científico</w:t>
            </w:r>
            <w:r w:rsidRPr="00C72827">
              <w:rPr>
                <w:rFonts w:ascii="Arial" w:eastAsia="Times New Roman" w:hAnsi="Arial" w:cs="Arial"/>
                <w:b/>
                <w:sz w:val="28"/>
                <w:szCs w:val="28"/>
                <w:lang w:val="es-ES"/>
              </w:rPr>
              <w:noBreakHyphen/>
              <w:t xml:space="preserve">normativa sobre </w:t>
            </w:r>
            <w:r w:rsidR="008566CB">
              <w:rPr>
                <w:rFonts w:ascii="Arial" w:eastAsia="Times New Roman" w:hAnsi="Arial" w:cs="Arial"/>
                <w:b/>
                <w:sz w:val="28"/>
                <w:szCs w:val="28"/>
                <w:lang w:val="es-ES"/>
              </w:rPr>
              <w:br/>
            </w:r>
            <w:r w:rsidRPr="00C72827">
              <w:rPr>
                <w:rFonts w:ascii="Arial" w:eastAsia="Times New Roman" w:hAnsi="Arial" w:cs="Arial"/>
                <w:b/>
                <w:sz w:val="28"/>
                <w:szCs w:val="28"/>
                <w:lang w:val="es-ES"/>
              </w:rPr>
              <w:t>Diversidad Biológica y Servicios de los Ecosistemas</w:t>
            </w:r>
          </w:p>
        </w:tc>
        <w:tc>
          <w:tcPr>
            <w:tcW w:w="2298" w:type="dxa"/>
            <w:gridSpan w:val="2"/>
            <w:tcBorders>
              <w:top w:val="single" w:sz="2" w:space="0" w:color="auto"/>
              <w:bottom w:val="single" w:sz="24" w:space="0" w:color="auto"/>
            </w:tcBorders>
          </w:tcPr>
          <w:p w14:paraId="26AE46FA" w14:textId="36ACB68F" w:rsidR="001C1E89" w:rsidRPr="008566CB" w:rsidRDefault="001C1E89" w:rsidP="008566CB">
            <w:pPr>
              <w:spacing w:before="120" w:line="240" w:lineRule="auto"/>
              <w:rPr>
                <w:rFonts w:ascii="Times New Roman" w:eastAsia="Times New Roman" w:hAnsi="Times New Roman"/>
                <w:sz w:val="20"/>
                <w:lang w:val="es-ES"/>
              </w:rPr>
            </w:pPr>
            <w:proofErr w:type="spellStart"/>
            <w:r w:rsidRPr="008566CB">
              <w:rPr>
                <w:rFonts w:ascii="Times New Roman" w:eastAsia="Times New Roman" w:hAnsi="Times New Roman"/>
                <w:sz w:val="20"/>
                <w:lang w:val="es-ES"/>
              </w:rPr>
              <w:t>Distr</w:t>
            </w:r>
            <w:proofErr w:type="spellEnd"/>
            <w:r w:rsidRPr="008566CB">
              <w:rPr>
                <w:rFonts w:ascii="Times New Roman" w:eastAsia="Times New Roman" w:hAnsi="Times New Roman"/>
                <w:sz w:val="20"/>
                <w:lang w:val="es-ES"/>
              </w:rPr>
              <w:t>. general</w:t>
            </w:r>
            <w:r w:rsidR="008566CB">
              <w:rPr>
                <w:rFonts w:ascii="Times New Roman" w:eastAsia="Times New Roman" w:hAnsi="Times New Roman"/>
                <w:sz w:val="20"/>
                <w:lang w:val="es-ES"/>
              </w:rPr>
              <w:br/>
            </w:r>
            <w:r w:rsidRPr="008566CB">
              <w:rPr>
                <w:rFonts w:ascii="Times New Roman" w:eastAsia="Times New Roman" w:hAnsi="Times New Roman"/>
                <w:sz w:val="20"/>
                <w:lang w:val="es-ES"/>
              </w:rPr>
              <w:t>5 de marzo de 2019</w:t>
            </w:r>
          </w:p>
          <w:p w14:paraId="06E5BEBD" w14:textId="77777777" w:rsidR="001C1E89" w:rsidRPr="00C72827" w:rsidRDefault="001C1E89" w:rsidP="008566CB">
            <w:pPr>
              <w:tabs>
                <w:tab w:val="left" w:pos="1247"/>
                <w:tab w:val="left" w:pos="1814"/>
                <w:tab w:val="left" w:pos="2381"/>
                <w:tab w:val="left" w:pos="2948"/>
                <w:tab w:val="left" w:pos="3515"/>
              </w:tabs>
              <w:spacing w:before="120" w:after="120" w:line="240" w:lineRule="auto"/>
              <w:rPr>
                <w:rFonts w:eastAsia="Times New Roman"/>
                <w:sz w:val="20"/>
                <w:lang w:val="es-ES"/>
              </w:rPr>
            </w:pPr>
            <w:r w:rsidRPr="008566CB">
              <w:rPr>
                <w:rFonts w:ascii="Times New Roman" w:eastAsia="Times New Roman" w:hAnsi="Times New Roman"/>
                <w:sz w:val="20"/>
                <w:lang w:val="es-ES"/>
              </w:rPr>
              <w:t>Español</w:t>
            </w:r>
            <w:r w:rsidRPr="008566CB">
              <w:rPr>
                <w:rFonts w:ascii="Times New Roman" w:eastAsia="Times New Roman" w:hAnsi="Times New Roman"/>
                <w:sz w:val="20"/>
                <w:lang w:val="es-ES"/>
              </w:rPr>
              <w:br/>
              <w:t>Original: inglés</w:t>
            </w:r>
          </w:p>
        </w:tc>
      </w:tr>
    </w:tbl>
    <w:p w14:paraId="59576E74" w14:textId="77777777" w:rsidR="001C1E89" w:rsidRPr="00C72827" w:rsidRDefault="001C1E89" w:rsidP="001C1E89">
      <w:pPr>
        <w:pStyle w:val="AATitle"/>
        <w:keepNext w:val="0"/>
        <w:keepLines w:val="0"/>
        <w:tabs>
          <w:tab w:val="clear" w:pos="1247"/>
          <w:tab w:val="clear" w:pos="1814"/>
          <w:tab w:val="clear" w:pos="2381"/>
          <w:tab w:val="clear" w:pos="2948"/>
          <w:tab w:val="clear" w:pos="3515"/>
          <w:tab w:val="clear" w:pos="4082"/>
        </w:tabs>
        <w:ind w:left="-181" w:right="3402"/>
        <w:rPr>
          <w:lang w:val="es-ES"/>
        </w:rPr>
      </w:pPr>
      <w:r w:rsidRPr="00C72827">
        <w:rPr>
          <w:lang w:val="es-ES"/>
        </w:rPr>
        <w:t>Plenario de la Plataforma Intergubernamental Científico-normativa</w:t>
      </w:r>
      <w:r w:rsidRPr="00C72827">
        <w:rPr>
          <w:lang w:val="es-ES"/>
        </w:rPr>
        <w:br/>
        <w:t>sobre Diversidad Biológica y Servicios de los Ecosistemas</w:t>
      </w:r>
    </w:p>
    <w:p w14:paraId="0A354D1B" w14:textId="77777777" w:rsidR="001C1E89" w:rsidRPr="00C72827" w:rsidRDefault="001C1E89" w:rsidP="001C1E89">
      <w:pPr>
        <w:pStyle w:val="AATitle"/>
        <w:keepNext w:val="0"/>
        <w:keepLines w:val="0"/>
        <w:tabs>
          <w:tab w:val="clear" w:pos="1247"/>
          <w:tab w:val="clear" w:pos="1814"/>
          <w:tab w:val="clear" w:pos="2381"/>
          <w:tab w:val="clear" w:pos="2948"/>
          <w:tab w:val="clear" w:pos="3515"/>
          <w:tab w:val="clear" w:pos="4082"/>
        </w:tabs>
        <w:ind w:left="-181" w:right="3402"/>
        <w:rPr>
          <w:lang w:val="es-ES"/>
        </w:rPr>
      </w:pPr>
      <w:r w:rsidRPr="00C72827">
        <w:rPr>
          <w:bCs/>
          <w:lang w:val="es-ES"/>
        </w:rPr>
        <w:t xml:space="preserve">Séptimo </w:t>
      </w:r>
      <w:r w:rsidRPr="00C72827">
        <w:rPr>
          <w:lang w:val="es-ES"/>
        </w:rPr>
        <w:t>período</w:t>
      </w:r>
      <w:r w:rsidRPr="00C72827">
        <w:rPr>
          <w:bCs/>
          <w:lang w:val="es-ES"/>
        </w:rPr>
        <w:t xml:space="preserve"> de sesiones</w:t>
      </w:r>
    </w:p>
    <w:p w14:paraId="39DBCD0A" w14:textId="77777777" w:rsidR="001C1E89" w:rsidRPr="00C72827" w:rsidRDefault="001C1E89" w:rsidP="001C1E89">
      <w:pPr>
        <w:pStyle w:val="AATitle"/>
        <w:keepNext w:val="0"/>
        <w:keepLines w:val="0"/>
        <w:tabs>
          <w:tab w:val="clear" w:pos="1247"/>
          <w:tab w:val="clear" w:pos="1814"/>
          <w:tab w:val="clear" w:pos="2381"/>
          <w:tab w:val="clear" w:pos="2948"/>
          <w:tab w:val="clear" w:pos="3515"/>
          <w:tab w:val="clear" w:pos="4082"/>
        </w:tabs>
        <w:ind w:left="-181" w:right="3402"/>
        <w:rPr>
          <w:b w:val="0"/>
          <w:lang w:val="es-ES"/>
        </w:rPr>
      </w:pPr>
      <w:r w:rsidRPr="00C72827">
        <w:rPr>
          <w:b w:val="0"/>
          <w:lang w:val="es-ES"/>
        </w:rPr>
        <w:t>París, 29 de abril a 4 de mayo de 2019</w:t>
      </w:r>
    </w:p>
    <w:p w14:paraId="37A5DCE8" w14:textId="77777777" w:rsidR="001546CE" w:rsidRPr="006361AF" w:rsidRDefault="001546CE" w:rsidP="008566CB">
      <w:pPr>
        <w:pStyle w:val="AATitle"/>
        <w:keepNext w:val="0"/>
        <w:keepLines w:val="0"/>
        <w:tabs>
          <w:tab w:val="clear" w:pos="1247"/>
          <w:tab w:val="clear" w:pos="1814"/>
          <w:tab w:val="clear" w:pos="2381"/>
          <w:tab w:val="clear" w:pos="2948"/>
          <w:tab w:val="clear" w:pos="3515"/>
          <w:tab w:val="clear" w:pos="4082"/>
        </w:tabs>
        <w:ind w:left="-181" w:right="3402"/>
        <w:rPr>
          <w:b w:val="0"/>
          <w:lang w:val="es-ES"/>
        </w:rPr>
      </w:pPr>
      <w:r w:rsidRPr="006361AF">
        <w:rPr>
          <w:b w:val="0"/>
          <w:lang w:val="es-ES"/>
        </w:rPr>
        <w:t>Tema 9 del programa provisional</w:t>
      </w:r>
      <w:r w:rsidRPr="006361AF">
        <w:rPr>
          <w:b w:val="0"/>
          <w:lang w:val="es-ES"/>
        </w:rPr>
        <w:footnoteReference w:customMarkFollows="1" w:id="1"/>
        <w:t>*</w:t>
      </w:r>
    </w:p>
    <w:p w14:paraId="71187DD4" w14:textId="77777777" w:rsidR="001546CE" w:rsidRPr="006361AF" w:rsidRDefault="001546CE" w:rsidP="008566CB">
      <w:pPr>
        <w:pStyle w:val="AATitle"/>
        <w:keepNext w:val="0"/>
        <w:keepLines w:val="0"/>
        <w:tabs>
          <w:tab w:val="clear" w:pos="1247"/>
          <w:tab w:val="clear" w:pos="1814"/>
          <w:tab w:val="clear" w:pos="2381"/>
          <w:tab w:val="clear" w:pos="2948"/>
          <w:tab w:val="clear" w:pos="3515"/>
          <w:tab w:val="clear" w:pos="4082"/>
        </w:tabs>
        <w:spacing w:before="60"/>
        <w:ind w:left="-181" w:right="3402"/>
        <w:rPr>
          <w:lang w:val="es-ES_tradnl"/>
        </w:rPr>
      </w:pPr>
      <w:r>
        <w:rPr>
          <w:bCs/>
          <w:lang w:val="es-ES"/>
        </w:rPr>
        <w:t xml:space="preserve">Próximo </w:t>
      </w:r>
      <w:r w:rsidRPr="008566CB">
        <w:rPr>
          <w:lang w:val="es-ES"/>
        </w:rPr>
        <w:t>programa</w:t>
      </w:r>
      <w:r>
        <w:rPr>
          <w:bCs/>
          <w:lang w:val="es-ES"/>
        </w:rPr>
        <w:t xml:space="preserve"> de trabajo de la Plataforma</w:t>
      </w:r>
    </w:p>
    <w:p w14:paraId="53A02E24" w14:textId="457B3B11" w:rsidR="002C1316" w:rsidRPr="006361AF" w:rsidRDefault="0061250E" w:rsidP="00771BDE">
      <w:pPr>
        <w:pStyle w:val="BBTitle"/>
        <w:rPr>
          <w:lang w:val="es-ES_tradnl"/>
        </w:rPr>
      </w:pPr>
      <w:r>
        <w:rPr>
          <w:bCs/>
          <w:lang w:val="es-ES"/>
        </w:rPr>
        <w:t>Modalidades para implementar los productos previstos del</w:t>
      </w:r>
      <w:r w:rsidR="008566CB">
        <w:rPr>
          <w:bCs/>
          <w:lang w:val="es-ES"/>
        </w:rPr>
        <w:t> </w:t>
      </w:r>
      <w:r>
        <w:rPr>
          <w:bCs/>
          <w:lang w:val="es-ES"/>
        </w:rPr>
        <w:t>próximo programa de trabajo de la Plataforma</w:t>
      </w:r>
    </w:p>
    <w:p w14:paraId="43170C4B" w14:textId="2395CC8D" w:rsidR="002C1316" w:rsidRPr="00A63824" w:rsidRDefault="002C1316" w:rsidP="00771BDE">
      <w:pPr>
        <w:pStyle w:val="CH2"/>
      </w:pPr>
      <w:r>
        <w:rPr>
          <w:lang w:val="es-ES"/>
        </w:rPr>
        <w:tab/>
      </w:r>
      <w:r>
        <w:rPr>
          <w:lang w:val="es-ES"/>
        </w:rPr>
        <w:tab/>
      </w:r>
      <w:r>
        <w:rPr>
          <w:bCs/>
          <w:lang w:val="es-ES"/>
        </w:rPr>
        <w:t>Nota de la Secretaría</w:t>
      </w:r>
    </w:p>
    <w:p w14:paraId="663F84B1" w14:textId="77777777" w:rsidR="000874C3" w:rsidRPr="00732E7C" w:rsidRDefault="00771BDE" w:rsidP="005C34BE">
      <w:pPr>
        <w:pStyle w:val="CH1"/>
      </w:pPr>
      <w:r>
        <w:rPr>
          <w:lang w:val="es-ES"/>
        </w:rPr>
        <w:tab/>
      </w:r>
      <w:r>
        <w:rPr>
          <w:lang w:val="es-ES"/>
        </w:rPr>
        <w:tab/>
      </w:r>
      <w:r>
        <w:rPr>
          <w:bCs/>
          <w:lang w:val="es-ES"/>
        </w:rPr>
        <w:t>Introducción</w:t>
      </w:r>
    </w:p>
    <w:p w14:paraId="2DD26646" w14:textId="39A4035F" w:rsidR="00F422E4" w:rsidRPr="006361AF" w:rsidRDefault="008B43C2" w:rsidP="005C34BE">
      <w:pPr>
        <w:pStyle w:val="Normalnumber"/>
        <w:numPr>
          <w:ilvl w:val="0"/>
          <w:numId w:val="5"/>
        </w:numPr>
        <w:tabs>
          <w:tab w:val="left" w:pos="1871"/>
          <w:tab w:val="left" w:pos="2495"/>
        </w:tabs>
        <w:ind w:left="1247" w:firstLine="0"/>
        <w:rPr>
          <w:rFonts w:eastAsia="Calibri"/>
          <w:lang w:val="es-ES_tradnl"/>
        </w:rPr>
      </w:pPr>
      <w:r>
        <w:rPr>
          <w:lang w:val="es-ES"/>
        </w:rPr>
        <w:t>En la presente nota se exponen las modalidades para implementar los productos previstos de cada uno de los objetivos del proyecto de programa de trabajo de la Plataforma Intergubernamental Científico-normativa sobre Diversidad Biológica y Servicios de los Ecosistemas (IPBES) hasta 2030, que figura en el documento IPBES/7/6. Respecto de cada producto previsto se presenta un conjunto de</w:t>
      </w:r>
      <w:r w:rsidR="008566CB">
        <w:rPr>
          <w:lang w:val="es-ES"/>
        </w:rPr>
        <w:t> </w:t>
      </w:r>
      <w:r>
        <w:rPr>
          <w:lang w:val="es-ES"/>
        </w:rPr>
        <w:t>hipótesis y un plan indicativo de las medidas, los hitos y arreglos institucionales. En el documento IPBES/7/4 figura una estimación anual de las principales partidas de gastos en relación con cada uno de los productos previstos.</w:t>
      </w:r>
    </w:p>
    <w:p w14:paraId="7BAA5B73" w14:textId="77777777" w:rsidR="000874C3" w:rsidRPr="006361AF" w:rsidRDefault="006361AF" w:rsidP="00F1172E">
      <w:pPr>
        <w:pStyle w:val="CH1"/>
        <w:ind w:left="0" w:firstLine="0"/>
        <w:rPr>
          <w:lang w:val="es-ES_tradnl"/>
        </w:rPr>
      </w:pPr>
      <w:r>
        <w:rPr>
          <w:lang w:val="es-ES"/>
        </w:rPr>
        <w:tab/>
      </w:r>
      <w:r w:rsidR="00771BDE">
        <w:rPr>
          <w:lang w:val="es-ES"/>
        </w:rPr>
        <w:t>I.</w:t>
      </w:r>
      <w:r w:rsidR="00771BDE">
        <w:rPr>
          <w:lang w:val="es-ES"/>
        </w:rPr>
        <w:tab/>
      </w:r>
      <w:r w:rsidR="00771BDE">
        <w:rPr>
          <w:bCs/>
          <w:lang w:val="es-ES"/>
        </w:rPr>
        <w:t>Objetivo 1: evaluación de los conocimientos</w:t>
      </w:r>
    </w:p>
    <w:p w14:paraId="51834AAE" w14:textId="77777777" w:rsidR="005F0720" w:rsidRPr="006361AF" w:rsidRDefault="006361AF" w:rsidP="005C34BE">
      <w:pPr>
        <w:pStyle w:val="CH2"/>
        <w:rPr>
          <w:lang w:val="es-ES_tradnl"/>
        </w:rPr>
      </w:pPr>
      <w:r>
        <w:rPr>
          <w:lang w:val="es-ES"/>
        </w:rPr>
        <w:tab/>
      </w:r>
      <w:r w:rsidR="00771BDE">
        <w:rPr>
          <w:lang w:val="es-ES"/>
        </w:rPr>
        <w:t>A.</w:t>
      </w:r>
      <w:r w:rsidR="00771BDE">
        <w:rPr>
          <w:lang w:val="es-ES"/>
        </w:rPr>
        <w:tab/>
      </w:r>
      <w:r w:rsidR="00771BDE">
        <w:rPr>
          <w:bCs/>
          <w:lang w:val="es-ES"/>
        </w:rPr>
        <w:t>Producto previsto 1 a): evaluación temática de la interrelación entre la biodiversidad, el agua, la alimentación y la salud</w:t>
      </w:r>
    </w:p>
    <w:p w14:paraId="34D4D173" w14:textId="77777777" w:rsidR="003F3EF1" w:rsidRPr="00732E7C" w:rsidRDefault="006361AF" w:rsidP="005C34BE">
      <w:pPr>
        <w:pStyle w:val="CH3"/>
      </w:pPr>
      <w:r>
        <w:rPr>
          <w:lang w:val="es-ES"/>
        </w:rPr>
        <w:tab/>
      </w:r>
      <w:r w:rsidR="00270837">
        <w:rPr>
          <w:lang w:val="es-ES"/>
        </w:rPr>
        <w:t>1.</w:t>
      </w:r>
      <w:r w:rsidR="00270837">
        <w:rPr>
          <w:lang w:val="es-ES"/>
        </w:rPr>
        <w:tab/>
      </w:r>
      <w:r w:rsidR="00270837">
        <w:rPr>
          <w:bCs/>
          <w:lang w:val="es-ES"/>
        </w:rPr>
        <w:t>Supuestos y arreglos institucionales</w:t>
      </w:r>
    </w:p>
    <w:p w14:paraId="6373F341" w14:textId="28E4D14A" w:rsidR="00107F35" w:rsidRPr="006361AF" w:rsidRDefault="00B11568" w:rsidP="00A44768">
      <w:pPr>
        <w:pStyle w:val="Normalnumber"/>
        <w:numPr>
          <w:ilvl w:val="0"/>
          <w:numId w:val="5"/>
        </w:numPr>
        <w:tabs>
          <w:tab w:val="left" w:pos="1871"/>
          <w:tab w:val="left" w:pos="2495"/>
        </w:tabs>
        <w:ind w:left="1247" w:firstLine="0"/>
        <w:rPr>
          <w:lang w:val="es-ES_tradnl"/>
        </w:rPr>
      </w:pPr>
      <w:r>
        <w:rPr>
          <w:lang w:val="es-ES"/>
        </w:rPr>
        <w:t>El Grupo multidisciplinario de expertos y la Mesa supervisarán el proceso de análisis inicial en</w:t>
      </w:r>
      <w:r w:rsidR="00217D7E">
        <w:rPr>
          <w:lang w:val="es-ES"/>
        </w:rPr>
        <w:t> </w:t>
      </w:r>
      <w:r>
        <w:rPr>
          <w:lang w:val="es-ES"/>
        </w:rPr>
        <w:t>su totalidad y, en espera de la aprobación del Plenario, la creación de un grupo mundial de expertos para tareas específicas de duración determinada para la evaluación, incluidos los copresidentes,</w:t>
      </w:r>
      <w:r w:rsidR="00B20B0E">
        <w:rPr>
          <w:lang w:val="es-ES"/>
        </w:rPr>
        <w:t xml:space="preserve"> </w:t>
      </w:r>
      <w:r>
        <w:rPr>
          <w:lang w:val="es-ES"/>
        </w:rPr>
        <w:t>los autores encargados de la coordinación, los autores principales y los revisores del informe. Los grupos de expertos para el proceso de análisis inicial y la evaluación se seleccionarán conforme a los procedimientos para la preparación de productos previstos de la Plataforma</w:t>
      </w:r>
      <w:r w:rsidR="00910358" w:rsidRPr="00A63824">
        <w:rPr>
          <w:rStyle w:val="FootnoteReference"/>
          <w:lang w:val="es-ES"/>
        </w:rPr>
        <w:footnoteReference w:id="2"/>
      </w:r>
      <w:r>
        <w:rPr>
          <w:lang w:val="es-ES"/>
        </w:rPr>
        <w:t xml:space="preserve"> y desarrollarán su labor conforme a esos procedimientos. Se propone que el proceso de análisis inicial comience con una conferencia electrónica, seguida de una reunión de 80 expertos con objeto de elaborar un proyecto de informe de análisis inicial, teniendo en cuenta los resultados de la conferencia electrónica. Se propone que en la evaluación participen unos 120 autores, quienes se reunirían en tres ocasiones, y</w:t>
      </w:r>
      <w:r w:rsidR="008566CB">
        <w:rPr>
          <w:lang w:val="es-ES"/>
        </w:rPr>
        <w:t> </w:t>
      </w:r>
      <w:r>
        <w:rPr>
          <w:lang w:val="es-ES"/>
        </w:rPr>
        <w:t>12</w:t>
      </w:r>
      <w:r w:rsidR="008566CB">
        <w:rPr>
          <w:lang w:val="es-ES"/>
        </w:rPr>
        <w:t> </w:t>
      </w:r>
      <w:r>
        <w:rPr>
          <w:lang w:val="es-ES"/>
        </w:rPr>
        <w:t xml:space="preserve">editores, quienes celebrarían dos reuniones con los autores de la evaluación. Se celebrarían dos reuniones dirigidas a prestar apoyo en la elaboración del resumen para los encargados de la formulación de políticas, el cual será objeto de una revisión adicional. Para implementar el enfoque de la IPBES para </w:t>
      </w:r>
      <w:r>
        <w:rPr>
          <w:lang w:val="es-ES"/>
        </w:rPr>
        <w:lastRenderedPageBreak/>
        <w:t>reconocer y utilizar los conocimientos indígenas y locales. se celebrarían tres talleres de diálogo. Se</w:t>
      </w:r>
      <w:r w:rsidR="004B5C66">
        <w:rPr>
          <w:lang w:val="es-ES"/>
        </w:rPr>
        <w:t> </w:t>
      </w:r>
      <w:r>
        <w:rPr>
          <w:lang w:val="es-ES"/>
        </w:rPr>
        <w:t xml:space="preserve">sugirió que el plazo de la evaluación fuese de tres a cuatro años. </w:t>
      </w:r>
    </w:p>
    <w:p w14:paraId="7247F394" w14:textId="6C60AA0B" w:rsidR="00B11568" w:rsidRPr="006361AF" w:rsidRDefault="00B11568" w:rsidP="00A44768">
      <w:pPr>
        <w:pStyle w:val="Normalnumber"/>
        <w:numPr>
          <w:ilvl w:val="0"/>
          <w:numId w:val="5"/>
        </w:numPr>
        <w:tabs>
          <w:tab w:val="left" w:pos="1871"/>
          <w:tab w:val="left" w:pos="2495"/>
        </w:tabs>
        <w:ind w:left="1247" w:firstLine="0"/>
        <w:rPr>
          <w:lang w:val="es-ES_tradnl"/>
        </w:rPr>
      </w:pPr>
      <w:r>
        <w:rPr>
          <w:lang w:val="es-ES"/>
        </w:rPr>
        <w:t xml:space="preserve">La Secretaría </w:t>
      </w:r>
      <w:r w:rsidR="001D5CE4">
        <w:rPr>
          <w:lang w:val="es-ES"/>
        </w:rPr>
        <w:t>celebrará acuerdos con instituciones</w:t>
      </w:r>
      <w:r>
        <w:rPr>
          <w:lang w:val="es-ES"/>
        </w:rPr>
        <w:t xml:space="preserve"> asociadas </w:t>
      </w:r>
      <w:r w:rsidR="00D166C4">
        <w:rPr>
          <w:lang w:val="es-ES"/>
        </w:rPr>
        <w:t xml:space="preserve">respecto de la </w:t>
      </w:r>
      <w:r>
        <w:rPr>
          <w:lang w:val="es-ES"/>
        </w:rPr>
        <w:t>prestación del apoyo técnico que apruebe la Mesa</w:t>
      </w:r>
      <w:r w:rsidR="009E7E78">
        <w:rPr>
          <w:lang w:val="es-ES"/>
        </w:rPr>
        <w:t xml:space="preserve">, el cual </w:t>
      </w:r>
      <w:r>
        <w:rPr>
          <w:lang w:val="es-ES"/>
        </w:rPr>
        <w:t>será financiado en parte por la Plataforma y en parte mediante contribuciones en especie aprobadas por el Plenario.</w:t>
      </w:r>
    </w:p>
    <w:p w14:paraId="4D587558" w14:textId="13EC97DF" w:rsidR="003F3EF1" w:rsidRPr="00A63824" w:rsidRDefault="006361AF" w:rsidP="005C34BE">
      <w:pPr>
        <w:pStyle w:val="CH3"/>
        <w:rPr>
          <w:rFonts w:eastAsia="SimSun"/>
        </w:rPr>
      </w:pPr>
      <w:r>
        <w:rPr>
          <w:lang w:val="es-ES"/>
        </w:rPr>
        <w:tab/>
      </w:r>
      <w:r w:rsidR="00270837">
        <w:rPr>
          <w:lang w:val="es-ES"/>
        </w:rPr>
        <w:t>2.</w:t>
      </w:r>
      <w:r w:rsidR="00270837">
        <w:rPr>
          <w:lang w:val="es-ES"/>
        </w:rPr>
        <w:tab/>
      </w:r>
      <w:r w:rsidR="00270837">
        <w:rPr>
          <w:bCs/>
          <w:lang w:val="es-ES"/>
        </w:rPr>
        <w:t>Reuniones e hitos</w:t>
      </w:r>
    </w:p>
    <w:p w14:paraId="559A7F1E" w14:textId="77777777" w:rsidR="00C53C6C" w:rsidRPr="006361AF" w:rsidRDefault="00C53C6C" w:rsidP="00C53C6C">
      <w:pPr>
        <w:pStyle w:val="Normalnumber"/>
        <w:numPr>
          <w:ilvl w:val="0"/>
          <w:numId w:val="5"/>
        </w:numPr>
        <w:tabs>
          <w:tab w:val="left" w:pos="1871"/>
          <w:tab w:val="left" w:pos="2495"/>
        </w:tabs>
        <w:ind w:left="1247" w:firstLine="0"/>
        <w:rPr>
          <w:lang w:val="es-ES_tradnl"/>
        </w:rPr>
      </w:pPr>
      <w:r>
        <w:rPr>
          <w:lang w:val="es-ES"/>
        </w:rPr>
        <w:t>A continuación figura una sinopsis de las medidas que han de adoptarse en relación con este producto previsto. En los cuadros A-1 y A-2 del anexo del documento IPBES/7/4 figuran proyectos de presupuesto para las actividades relacionadas con este producto previsto.</w:t>
      </w:r>
      <w:bookmarkStart w:id="1" w:name="_Hlk536373952"/>
    </w:p>
    <w:tbl>
      <w:tblPr>
        <w:tblW w:w="8250" w:type="dxa"/>
        <w:tblInd w:w="1248" w:type="dxa"/>
        <w:tblLayout w:type="fixed"/>
        <w:tblLook w:val="04A0" w:firstRow="1" w:lastRow="0" w:firstColumn="1" w:lastColumn="0" w:noHBand="0" w:noVBand="1"/>
      </w:tblPr>
      <w:tblGrid>
        <w:gridCol w:w="1152"/>
        <w:gridCol w:w="7098"/>
      </w:tblGrid>
      <w:tr w:rsidR="00665656" w:rsidRPr="0093471E" w14:paraId="58BFCA03" w14:textId="77777777" w:rsidTr="0093471E">
        <w:trPr>
          <w:trHeight w:val="233"/>
          <w:tblHeader/>
        </w:trPr>
        <w:tc>
          <w:tcPr>
            <w:tcW w:w="1152" w:type="dxa"/>
            <w:tcBorders>
              <w:top w:val="single" w:sz="4" w:space="0" w:color="auto"/>
              <w:bottom w:val="single" w:sz="12" w:space="0" w:color="auto"/>
            </w:tcBorders>
            <w:shd w:val="clear" w:color="auto" w:fill="auto"/>
          </w:tcPr>
          <w:p w14:paraId="230B8D0C" w14:textId="77777777" w:rsidR="00665656" w:rsidRPr="0093471E" w:rsidDel="003F5A7B" w:rsidRDefault="00665656" w:rsidP="00FC5E47">
            <w:pPr>
              <w:pStyle w:val="Normal-pool"/>
              <w:spacing w:before="20" w:after="20"/>
              <w:rPr>
                <w:rFonts w:eastAsia="SimSun"/>
                <w:sz w:val="18"/>
                <w:szCs w:val="18"/>
              </w:rPr>
            </w:pPr>
            <w:r w:rsidRPr="0093471E">
              <w:rPr>
                <w:i/>
                <w:iCs/>
                <w:sz w:val="18"/>
                <w:szCs w:val="18"/>
                <w:lang w:val="es-ES"/>
              </w:rPr>
              <w:t>Plazo</w:t>
            </w:r>
          </w:p>
        </w:tc>
        <w:tc>
          <w:tcPr>
            <w:tcW w:w="7098" w:type="dxa"/>
            <w:tcBorders>
              <w:top w:val="single" w:sz="4" w:space="0" w:color="auto"/>
              <w:bottom w:val="single" w:sz="12" w:space="0" w:color="auto"/>
            </w:tcBorders>
            <w:shd w:val="clear" w:color="auto" w:fill="auto"/>
            <w:vAlign w:val="center"/>
          </w:tcPr>
          <w:p w14:paraId="0D2ED576" w14:textId="77777777" w:rsidR="00665656" w:rsidRPr="0093471E" w:rsidDel="000C28ED" w:rsidRDefault="003B1149" w:rsidP="0037124A">
            <w:pPr>
              <w:pStyle w:val="Normal-pool"/>
              <w:keepNext/>
              <w:keepLines/>
              <w:spacing w:before="20" w:after="20"/>
              <w:rPr>
                <w:rFonts w:eastAsia="SimSun"/>
                <w:sz w:val="18"/>
                <w:szCs w:val="18"/>
              </w:rPr>
            </w:pPr>
            <w:r w:rsidRPr="0093471E">
              <w:rPr>
                <w:i/>
                <w:iCs/>
                <w:sz w:val="18"/>
                <w:szCs w:val="18"/>
                <w:lang w:val="es-ES"/>
              </w:rPr>
              <w:t>Reuniones e hitos</w:t>
            </w:r>
          </w:p>
        </w:tc>
      </w:tr>
      <w:tr w:rsidR="00107BA7" w:rsidRPr="0093471E" w14:paraId="2998AE5E" w14:textId="77777777" w:rsidTr="0093471E">
        <w:trPr>
          <w:trHeight w:val="233"/>
        </w:trPr>
        <w:tc>
          <w:tcPr>
            <w:tcW w:w="1152" w:type="dxa"/>
            <w:vMerge w:val="restart"/>
            <w:tcBorders>
              <w:top w:val="single" w:sz="12" w:space="0" w:color="auto"/>
            </w:tcBorders>
            <w:shd w:val="clear" w:color="auto" w:fill="auto"/>
            <w:vAlign w:val="center"/>
          </w:tcPr>
          <w:p w14:paraId="50B5AD21" w14:textId="0E9474CA" w:rsidR="00107BA7" w:rsidRPr="0093471E" w:rsidRDefault="00107BA7" w:rsidP="00FC5E47">
            <w:pPr>
              <w:pStyle w:val="Normal-pool"/>
              <w:spacing w:before="20" w:after="20"/>
              <w:rPr>
                <w:rFonts w:eastAsia="SimSun"/>
                <w:sz w:val="18"/>
                <w:szCs w:val="18"/>
              </w:rPr>
            </w:pPr>
            <w:r w:rsidRPr="0093471E">
              <w:rPr>
                <w:sz w:val="18"/>
                <w:szCs w:val="18"/>
                <w:lang w:val="es-ES"/>
              </w:rPr>
              <w:t>2019</w:t>
            </w:r>
          </w:p>
        </w:tc>
        <w:tc>
          <w:tcPr>
            <w:tcW w:w="7098" w:type="dxa"/>
            <w:tcBorders>
              <w:top w:val="single" w:sz="12" w:space="0" w:color="auto"/>
            </w:tcBorders>
            <w:shd w:val="clear" w:color="auto" w:fill="auto"/>
          </w:tcPr>
          <w:p w14:paraId="64BFB53C" w14:textId="77777777" w:rsidR="00107BA7" w:rsidRPr="0093471E" w:rsidRDefault="00107BA7" w:rsidP="0037124A">
            <w:pPr>
              <w:pStyle w:val="Normal-pool"/>
              <w:keepNext/>
              <w:keepLines/>
              <w:spacing w:before="20" w:after="20"/>
              <w:rPr>
                <w:rFonts w:eastAsia="SimSun"/>
                <w:sz w:val="18"/>
                <w:szCs w:val="18"/>
                <w:lang w:val="es-ES_tradnl"/>
              </w:rPr>
            </w:pPr>
            <w:r w:rsidRPr="0093471E">
              <w:rPr>
                <w:sz w:val="18"/>
                <w:szCs w:val="18"/>
                <w:lang w:val="es-ES"/>
              </w:rPr>
              <w:t>El Plenario aprueba el proceso de análisis inicial en su totalidad</w:t>
            </w:r>
          </w:p>
        </w:tc>
      </w:tr>
      <w:tr w:rsidR="00107BA7" w:rsidRPr="0093471E" w14:paraId="0C336997" w14:textId="77777777" w:rsidTr="0093471E">
        <w:trPr>
          <w:trHeight w:val="233"/>
        </w:trPr>
        <w:tc>
          <w:tcPr>
            <w:tcW w:w="1152" w:type="dxa"/>
            <w:vMerge/>
            <w:shd w:val="clear" w:color="auto" w:fill="auto"/>
            <w:vAlign w:val="center"/>
          </w:tcPr>
          <w:p w14:paraId="61661161" w14:textId="77777777" w:rsidR="00107BA7" w:rsidRPr="0093471E" w:rsidRDefault="00107BA7" w:rsidP="00FC5E47">
            <w:pPr>
              <w:pStyle w:val="Normal-pool"/>
              <w:spacing w:before="20" w:after="20"/>
              <w:rPr>
                <w:rFonts w:eastAsia="SimSun"/>
                <w:sz w:val="18"/>
                <w:szCs w:val="18"/>
                <w:lang w:val="es-ES_tradnl" w:eastAsia="zh-CN"/>
              </w:rPr>
            </w:pPr>
          </w:p>
        </w:tc>
        <w:tc>
          <w:tcPr>
            <w:tcW w:w="7098" w:type="dxa"/>
            <w:shd w:val="clear" w:color="auto" w:fill="auto"/>
          </w:tcPr>
          <w:p w14:paraId="23B5B026" w14:textId="20A79EBC" w:rsidR="00107BA7" w:rsidRPr="0093471E" w:rsidRDefault="000E033B">
            <w:pPr>
              <w:pStyle w:val="Normal-pool"/>
              <w:keepNext/>
              <w:keepLines/>
              <w:spacing w:before="20" w:after="20"/>
              <w:rPr>
                <w:rFonts w:eastAsia="SimSun"/>
                <w:sz w:val="18"/>
                <w:szCs w:val="18"/>
                <w:lang w:val="es-ES_tradnl"/>
              </w:rPr>
            </w:pPr>
            <w:r w:rsidRPr="0093471E">
              <w:rPr>
                <w:sz w:val="18"/>
                <w:szCs w:val="18"/>
                <w:lang w:val="es-ES"/>
              </w:rPr>
              <w:t>Conferencia</w:t>
            </w:r>
            <w:r w:rsidR="00107BA7" w:rsidRPr="0093471E">
              <w:rPr>
                <w:sz w:val="18"/>
                <w:szCs w:val="18"/>
                <w:lang w:val="es-ES"/>
              </w:rPr>
              <w:t xml:space="preserve"> </w:t>
            </w:r>
            <w:r w:rsidRPr="0093471E">
              <w:rPr>
                <w:sz w:val="18"/>
                <w:szCs w:val="18"/>
                <w:lang w:val="es-ES"/>
              </w:rPr>
              <w:t>electrónica sobre</w:t>
            </w:r>
            <w:r w:rsidR="00107BA7" w:rsidRPr="0093471E">
              <w:rPr>
                <w:sz w:val="18"/>
                <w:szCs w:val="18"/>
                <w:lang w:val="es-ES"/>
              </w:rPr>
              <w:t xml:space="preserve"> el análisis inicial</w:t>
            </w:r>
          </w:p>
        </w:tc>
      </w:tr>
      <w:tr w:rsidR="00107BA7" w:rsidRPr="0093471E" w14:paraId="55EF0CF4" w14:textId="77777777" w:rsidTr="0093471E">
        <w:trPr>
          <w:trHeight w:val="233"/>
        </w:trPr>
        <w:tc>
          <w:tcPr>
            <w:tcW w:w="1152" w:type="dxa"/>
            <w:vMerge/>
            <w:shd w:val="clear" w:color="auto" w:fill="auto"/>
            <w:vAlign w:val="center"/>
          </w:tcPr>
          <w:p w14:paraId="2B6679C8" w14:textId="77777777" w:rsidR="00107BA7" w:rsidRPr="0093471E" w:rsidRDefault="00107BA7" w:rsidP="00FC5E47">
            <w:pPr>
              <w:pStyle w:val="Normal-pool"/>
              <w:spacing w:before="20" w:after="20"/>
              <w:rPr>
                <w:rFonts w:eastAsia="SimSun"/>
                <w:sz w:val="18"/>
                <w:szCs w:val="18"/>
                <w:lang w:val="es-ES_tradnl" w:eastAsia="zh-CN"/>
              </w:rPr>
            </w:pPr>
          </w:p>
        </w:tc>
        <w:tc>
          <w:tcPr>
            <w:tcW w:w="7098" w:type="dxa"/>
            <w:shd w:val="clear" w:color="auto" w:fill="auto"/>
          </w:tcPr>
          <w:p w14:paraId="155AC2C7" w14:textId="77777777" w:rsidR="00107BA7" w:rsidRPr="0093471E" w:rsidRDefault="00107BA7">
            <w:pPr>
              <w:pStyle w:val="Normal-pool"/>
              <w:keepNext/>
              <w:keepLines/>
              <w:spacing w:before="20" w:after="20"/>
              <w:rPr>
                <w:rFonts w:eastAsia="SimSun"/>
                <w:sz w:val="18"/>
                <w:szCs w:val="18"/>
                <w:lang w:val="es-ES_tradnl"/>
              </w:rPr>
            </w:pPr>
            <w:r w:rsidRPr="0093471E">
              <w:rPr>
                <w:sz w:val="18"/>
                <w:szCs w:val="18"/>
                <w:lang w:val="es-ES"/>
              </w:rPr>
              <w:t xml:space="preserve">Presentación de candidaturas y selección de expertos para el análisis inicial </w:t>
            </w:r>
          </w:p>
        </w:tc>
      </w:tr>
      <w:tr w:rsidR="00107BA7" w:rsidRPr="0093471E" w14:paraId="0B804623" w14:textId="77777777" w:rsidTr="0093471E">
        <w:trPr>
          <w:trHeight w:val="233"/>
        </w:trPr>
        <w:tc>
          <w:tcPr>
            <w:tcW w:w="1152" w:type="dxa"/>
            <w:vMerge/>
            <w:shd w:val="clear" w:color="auto" w:fill="auto"/>
            <w:vAlign w:val="center"/>
          </w:tcPr>
          <w:p w14:paraId="4ED0E37A" w14:textId="77777777" w:rsidR="00107BA7" w:rsidRPr="0093471E" w:rsidRDefault="00107BA7" w:rsidP="00FC5E47">
            <w:pPr>
              <w:pStyle w:val="Normal-pool"/>
              <w:spacing w:before="20" w:after="20"/>
              <w:rPr>
                <w:rFonts w:eastAsia="SimSun"/>
                <w:sz w:val="18"/>
                <w:szCs w:val="18"/>
                <w:lang w:val="es-ES_tradnl" w:eastAsia="zh-CN"/>
              </w:rPr>
            </w:pPr>
          </w:p>
        </w:tc>
        <w:tc>
          <w:tcPr>
            <w:tcW w:w="7098" w:type="dxa"/>
            <w:shd w:val="clear" w:color="auto" w:fill="auto"/>
          </w:tcPr>
          <w:p w14:paraId="3EB39C4F" w14:textId="77777777" w:rsidR="00107BA7" w:rsidRPr="0093471E" w:rsidRDefault="00107BA7">
            <w:pPr>
              <w:pStyle w:val="Normal-pool"/>
              <w:keepNext/>
              <w:keepLines/>
              <w:spacing w:before="20" w:after="20"/>
              <w:rPr>
                <w:rFonts w:eastAsia="SimSun"/>
                <w:sz w:val="18"/>
                <w:szCs w:val="18"/>
              </w:rPr>
            </w:pPr>
            <w:r w:rsidRPr="0093471E">
              <w:rPr>
                <w:sz w:val="18"/>
                <w:szCs w:val="18"/>
                <w:lang w:val="es-ES"/>
              </w:rPr>
              <w:t>Reunión de análisis inicial</w:t>
            </w:r>
          </w:p>
        </w:tc>
      </w:tr>
      <w:tr w:rsidR="00107BA7" w:rsidRPr="0093471E" w14:paraId="3B972DAB" w14:textId="77777777" w:rsidTr="0093471E">
        <w:trPr>
          <w:trHeight w:val="181"/>
        </w:trPr>
        <w:tc>
          <w:tcPr>
            <w:tcW w:w="1152" w:type="dxa"/>
            <w:vMerge w:val="restart"/>
            <w:shd w:val="clear" w:color="auto" w:fill="auto"/>
            <w:vAlign w:val="center"/>
          </w:tcPr>
          <w:p w14:paraId="530F7279" w14:textId="77777777" w:rsidR="00107BA7" w:rsidRPr="0093471E" w:rsidRDefault="00107BA7" w:rsidP="00FC5E47">
            <w:pPr>
              <w:pStyle w:val="Normal-pool"/>
              <w:spacing w:before="20" w:after="20"/>
              <w:rPr>
                <w:rFonts w:eastAsia="SimSun"/>
                <w:sz w:val="18"/>
                <w:szCs w:val="18"/>
              </w:rPr>
            </w:pPr>
            <w:r w:rsidRPr="0093471E">
              <w:rPr>
                <w:sz w:val="18"/>
                <w:szCs w:val="18"/>
                <w:lang w:val="es-ES"/>
              </w:rPr>
              <w:t>2020</w:t>
            </w:r>
          </w:p>
        </w:tc>
        <w:tc>
          <w:tcPr>
            <w:tcW w:w="7098" w:type="dxa"/>
            <w:shd w:val="clear" w:color="auto" w:fill="auto"/>
          </w:tcPr>
          <w:p w14:paraId="12A769EC" w14:textId="77777777" w:rsidR="00107BA7" w:rsidRPr="0093471E" w:rsidRDefault="00107BA7" w:rsidP="0037124A">
            <w:pPr>
              <w:pStyle w:val="Normal-pool"/>
              <w:keepNext/>
              <w:keepLines/>
              <w:spacing w:before="20" w:after="20"/>
              <w:rPr>
                <w:rFonts w:eastAsia="SimSun"/>
                <w:sz w:val="18"/>
                <w:szCs w:val="18"/>
                <w:lang w:val="es-ES_tradnl"/>
              </w:rPr>
            </w:pPr>
            <w:r w:rsidRPr="0093471E">
              <w:rPr>
                <w:sz w:val="18"/>
                <w:szCs w:val="18"/>
                <w:lang w:val="es-ES"/>
              </w:rPr>
              <w:t>El Plenario examina y aprueba el documento de análisis inicial y el inicio de la evaluación</w:t>
            </w:r>
          </w:p>
        </w:tc>
      </w:tr>
      <w:tr w:rsidR="00107BA7" w:rsidRPr="0093471E" w14:paraId="6101C38A" w14:textId="77777777" w:rsidTr="0093471E">
        <w:trPr>
          <w:trHeight w:val="181"/>
        </w:trPr>
        <w:tc>
          <w:tcPr>
            <w:tcW w:w="1152" w:type="dxa"/>
            <w:vMerge/>
            <w:shd w:val="clear" w:color="auto" w:fill="auto"/>
            <w:vAlign w:val="center"/>
          </w:tcPr>
          <w:p w14:paraId="31BFD609" w14:textId="77777777" w:rsidR="00107BA7" w:rsidRPr="0093471E" w:rsidRDefault="00107BA7" w:rsidP="00FC5E47">
            <w:pPr>
              <w:pStyle w:val="Normal-pool"/>
              <w:spacing w:before="20" w:after="20"/>
              <w:rPr>
                <w:rFonts w:eastAsia="SimSun"/>
                <w:sz w:val="18"/>
                <w:szCs w:val="18"/>
                <w:lang w:val="es-ES_tradnl" w:eastAsia="zh-CN"/>
              </w:rPr>
            </w:pPr>
          </w:p>
        </w:tc>
        <w:tc>
          <w:tcPr>
            <w:tcW w:w="7098" w:type="dxa"/>
            <w:shd w:val="clear" w:color="auto" w:fill="auto"/>
          </w:tcPr>
          <w:p w14:paraId="2782D3BD" w14:textId="77777777" w:rsidR="00107BA7" w:rsidRPr="0093471E" w:rsidRDefault="00107BA7">
            <w:pPr>
              <w:pStyle w:val="Normal-pool"/>
              <w:keepNext/>
              <w:keepLines/>
              <w:spacing w:before="20" w:after="20"/>
              <w:rPr>
                <w:rFonts w:eastAsia="SimSun"/>
                <w:sz w:val="18"/>
                <w:szCs w:val="18"/>
                <w:lang w:val="es-ES_tradnl"/>
              </w:rPr>
            </w:pPr>
            <w:r w:rsidRPr="0093471E">
              <w:rPr>
                <w:sz w:val="18"/>
                <w:szCs w:val="18"/>
                <w:lang w:val="es-ES"/>
              </w:rPr>
              <w:t>Presentación de candidaturas y selección de expertos para la evaluación</w:t>
            </w:r>
          </w:p>
        </w:tc>
      </w:tr>
      <w:tr w:rsidR="00107BA7" w:rsidRPr="0093471E" w14:paraId="3C73A1E9" w14:textId="77777777" w:rsidTr="0093471E">
        <w:trPr>
          <w:trHeight w:val="189"/>
        </w:trPr>
        <w:tc>
          <w:tcPr>
            <w:tcW w:w="1152" w:type="dxa"/>
            <w:vMerge/>
            <w:shd w:val="clear" w:color="auto" w:fill="auto"/>
            <w:vAlign w:val="center"/>
          </w:tcPr>
          <w:p w14:paraId="1BB762B9" w14:textId="77777777" w:rsidR="00107BA7" w:rsidRPr="0093471E" w:rsidRDefault="00107BA7" w:rsidP="00FC5E47">
            <w:pPr>
              <w:pStyle w:val="Normal-pool"/>
              <w:spacing w:before="20" w:after="20"/>
              <w:rPr>
                <w:rFonts w:eastAsia="SimSun"/>
                <w:sz w:val="18"/>
                <w:szCs w:val="18"/>
                <w:lang w:val="es-ES_tradnl" w:eastAsia="zh-CN"/>
              </w:rPr>
            </w:pPr>
          </w:p>
        </w:tc>
        <w:tc>
          <w:tcPr>
            <w:tcW w:w="7098" w:type="dxa"/>
            <w:shd w:val="clear" w:color="auto" w:fill="auto"/>
          </w:tcPr>
          <w:p w14:paraId="655301A9" w14:textId="77777777" w:rsidR="00107BA7" w:rsidRPr="0093471E" w:rsidRDefault="00107BA7">
            <w:pPr>
              <w:pStyle w:val="Normal-pool"/>
              <w:keepNext/>
              <w:keepLines/>
              <w:spacing w:before="20" w:after="20"/>
              <w:rPr>
                <w:rFonts w:eastAsia="SimSun"/>
                <w:sz w:val="18"/>
                <w:szCs w:val="18"/>
                <w:lang w:val="es-ES_tradnl"/>
              </w:rPr>
            </w:pPr>
            <w:r w:rsidRPr="0093471E">
              <w:rPr>
                <w:sz w:val="18"/>
                <w:szCs w:val="18"/>
                <w:lang w:val="es-ES"/>
              </w:rPr>
              <w:t>Reunión del comité de gestión</w:t>
            </w:r>
          </w:p>
        </w:tc>
      </w:tr>
      <w:tr w:rsidR="00107BA7" w:rsidRPr="0093471E" w14:paraId="1A14CED9" w14:textId="77777777" w:rsidTr="0093471E">
        <w:trPr>
          <w:trHeight w:val="189"/>
        </w:trPr>
        <w:tc>
          <w:tcPr>
            <w:tcW w:w="1152" w:type="dxa"/>
            <w:vMerge/>
            <w:shd w:val="clear" w:color="auto" w:fill="auto"/>
            <w:vAlign w:val="center"/>
          </w:tcPr>
          <w:p w14:paraId="3B17489A" w14:textId="77777777" w:rsidR="00107BA7" w:rsidRPr="0093471E" w:rsidRDefault="00107BA7" w:rsidP="00FC5E47">
            <w:pPr>
              <w:pStyle w:val="Normal-pool"/>
              <w:spacing w:before="20" w:after="20"/>
              <w:rPr>
                <w:rFonts w:eastAsia="SimSun"/>
                <w:sz w:val="18"/>
                <w:szCs w:val="18"/>
                <w:lang w:val="es-ES_tradnl" w:eastAsia="zh-CN"/>
              </w:rPr>
            </w:pPr>
          </w:p>
        </w:tc>
        <w:tc>
          <w:tcPr>
            <w:tcW w:w="7098" w:type="dxa"/>
            <w:shd w:val="clear" w:color="auto" w:fill="auto"/>
          </w:tcPr>
          <w:p w14:paraId="07491770" w14:textId="77777777" w:rsidR="00107BA7" w:rsidRPr="0093471E" w:rsidRDefault="00107BA7">
            <w:pPr>
              <w:pStyle w:val="Normal-pool"/>
              <w:keepNext/>
              <w:keepLines/>
              <w:tabs>
                <w:tab w:val="left" w:pos="4965"/>
              </w:tabs>
              <w:spacing w:before="20" w:after="20"/>
              <w:rPr>
                <w:rFonts w:eastAsia="SimSun"/>
                <w:sz w:val="18"/>
                <w:szCs w:val="18"/>
              </w:rPr>
            </w:pPr>
            <w:r w:rsidRPr="0093471E">
              <w:rPr>
                <w:sz w:val="18"/>
                <w:szCs w:val="18"/>
                <w:lang w:val="es-ES"/>
              </w:rPr>
              <w:t>Primera reunión de autores</w:t>
            </w:r>
          </w:p>
        </w:tc>
      </w:tr>
      <w:tr w:rsidR="00107BA7" w:rsidRPr="0093471E" w14:paraId="023578EB" w14:textId="77777777" w:rsidTr="0093471E">
        <w:trPr>
          <w:trHeight w:val="298"/>
        </w:trPr>
        <w:tc>
          <w:tcPr>
            <w:tcW w:w="1152" w:type="dxa"/>
            <w:vMerge/>
            <w:shd w:val="clear" w:color="auto" w:fill="auto"/>
            <w:vAlign w:val="center"/>
          </w:tcPr>
          <w:p w14:paraId="2B502649" w14:textId="77777777" w:rsidR="00107BA7" w:rsidRPr="0093471E" w:rsidRDefault="00107BA7" w:rsidP="00FC5E47">
            <w:pPr>
              <w:pStyle w:val="Normal-pool"/>
              <w:spacing w:before="20" w:after="20"/>
              <w:rPr>
                <w:rFonts w:eastAsia="SimSun"/>
                <w:sz w:val="18"/>
                <w:szCs w:val="18"/>
                <w:lang w:eastAsia="zh-CN"/>
              </w:rPr>
            </w:pPr>
          </w:p>
        </w:tc>
        <w:tc>
          <w:tcPr>
            <w:tcW w:w="7098" w:type="dxa"/>
            <w:shd w:val="clear" w:color="auto" w:fill="auto"/>
          </w:tcPr>
          <w:p w14:paraId="3CD994FD" w14:textId="77777777" w:rsidR="00107BA7" w:rsidRPr="0093471E" w:rsidRDefault="00107BA7">
            <w:pPr>
              <w:pStyle w:val="Normal-pool"/>
              <w:spacing w:before="20" w:after="20"/>
              <w:rPr>
                <w:rFonts w:eastAsia="SimSun"/>
                <w:sz w:val="18"/>
                <w:szCs w:val="18"/>
                <w:lang w:val="es-ES_tradnl"/>
              </w:rPr>
            </w:pPr>
            <w:r w:rsidRPr="0093471E">
              <w:rPr>
                <w:sz w:val="18"/>
                <w:szCs w:val="18"/>
                <w:lang w:val="es-ES"/>
              </w:rPr>
              <w:t>Primer diálogo sobre conocimientos indígenas y locales</w:t>
            </w:r>
          </w:p>
        </w:tc>
      </w:tr>
      <w:tr w:rsidR="00B71B19" w:rsidRPr="0093471E" w14:paraId="0980F136" w14:textId="77777777" w:rsidTr="0093471E">
        <w:trPr>
          <w:trHeight w:val="64"/>
        </w:trPr>
        <w:tc>
          <w:tcPr>
            <w:tcW w:w="1152" w:type="dxa"/>
            <w:vMerge w:val="restart"/>
            <w:shd w:val="clear" w:color="auto" w:fill="auto"/>
            <w:vAlign w:val="center"/>
          </w:tcPr>
          <w:p w14:paraId="586C7C07" w14:textId="77777777" w:rsidR="00B71B19" w:rsidRPr="0093471E" w:rsidRDefault="00B71B19" w:rsidP="00FC5E47">
            <w:pPr>
              <w:pStyle w:val="Normal-pool"/>
              <w:spacing w:before="20" w:after="20"/>
              <w:rPr>
                <w:rFonts w:eastAsia="SimSun"/>
                <w:sz w:val="18"/>
                <w:szCs w:val="18"/>
              </w:rPr>
            </w:pPr>
            <w:r w:rsidRPr="0093471E">
              <w:rPr>
                <w:sz w:val="18"/>
                <w:szCs w:val="18"/>
                <w:lang w:val="es-ES"/>
              </w:rPr>
              <w:t>2021</w:t>
            </w:r>
          </w:p>
        </w:tc>
        <w:tc>
          <w:tcPr>
            <w:tcW w:w="7098" w:type="dxa"/>
            <w:shd w:val="clear" w:color="auto" w:fill="auto"/>
          </w:tcPr>
          <w:p w14:paraId="54DEFC46" w14:textId="77777777" w:rsidR="00B71B19" w:rsidRPr="0093471E" w:rsidRDefault="00B71B19">
            <w:pPr>
              <w:pStyle w:val="Normal-pool"/>
              <w:spacing w:before="20" w:after="20"/>
              <w:rPr>
                <w:rFonts w:eastAsia="SimSun"/>
                <w:sz w:val="18"/>
                <w:szCs w:val="18"/>
                <w:lang w:val="es-ES_tradnl"/>
              </w:rPr>
            </w:pPr>
            <w:r w:rsidRPr="0093471E">
              <w:rPr>
                <w:sz w:val="18"/>
                <w:szCs w:val="18"/>
                <w:lang w:val="es-ES"/>
              </w:rPr>
              <w:t xml:space="preserve">Primer examen: revisión del primer borrador de los capítulos de la evaluación </w:t>
            </w:r>
          </w:p>
        </w:tc>
      </w:tr>
      <w:tr w:rsidR="00B71B19" w:rsidRPr="0093471E" w14:paraId="2A90D9AA" w14:textId="77777777" w:rsidTr="0093471E">
        <w:trPr>
          <w:trHeight w:val="64"/>
        </w:trPr>
        <w:tc>
          <w:tcPr>
            <w:tcW w:w="1152" w:type="dxa"/>
            <w:vMerge/>
            <w:shd w:val="clear" w:color="auto" w:fill="auto"/>
            <w:vAlign w:val="center"/>
          </w:tcPr>
          <w:p w14:paraId="32B247AF" w14:textId="77777777" w:rsidR="00B71B19" w:rsidRPr="0093471E" w:rsidRDefault="00B71B19" w:rsidP="00FC5E47">
            <w:pPr>
              <w:pStyle w:val="Normal-pool"/>
              <w:spacing w:before="20" w:after="20"/>
              <w:rPr>
                <w:rFonts w:eastAsia="SimSun"/>
                <w:sz w:val="18"/>
                <w:szCs w:val="18"/>
                <w:lang w:val="es-ES_tradnl" w:eastAsia="zh-CN"/>
              </w:rPr>
            </w:pPr>
          </w:p>
        </w:tc>
        <w:tc>
          <w:tcPr>
            <w:tcW w:w="7098" w:type="dxa"/>
            <w:shd w:val="clear" w:color="auto" w:fill="auto"/>
          </w:tcPr>
          <w:p w14:paraId="7C74DEB6" w14:textId="77777777" w:rsidR="00B71B19" w:rsidRPr="0093471E" w:rsidRDefault="00B71B19">
            <w:pPr>
              <w:pStyle w:val="Normal-pool"/>
              <w:spacing w:before="20" w:after="20"/>
              <w:rPr>
                <w:rFonts w:eastAsia="SimSun"/>
                <w:sz w:val="18"/>
                <w:szCs w:val="18"/>
                <w:lang w:val="es-ES_tradnl"/>
              </w:rPr>
            </w:pPr>
            <w:r w:rsidRPr="0093471E">
              <w:rPr>
                <w:sz w:val="18"/>
                <w:szCs w:val="18"/>
                <w:lang w:val="es-ES"/>
              </w:rPr>
              <w:t>Segundo diálogo sobre conocimientos indígenas y locales</w:t>
            </w:r>
          </w:p>
        </w:tc>
      </w:tr>
      <w:tr w:rsidR="00B71B19" w:rsidRPr="0093471E" w14:paraId="2A8ABA7F" w14:textId="77777777" w:rsidTr="0093471E">
        <w:trPr>
          <w:trHeight w:val="242"/>
        </w:trPr>
        <w:tc>
          <w:tcPr>
            <w:tcW w:w="1152" w:type="dxa"/>
            <w:vMerge/>
            <w:shd w:val="clear" w:color="auto" w:fill="auto"/>
            <w:vAlign w:val="center"/>
          </w:tcPr>
          <w:p w14:paraId="11FB17D1" w14:textId="77777777" w:rsidR="00B71B19" w:rsidRPr="0093471E" w:rsidRDefault="00B71B19" w:rsidP="00FC5E47">
            <w:pPr>
              <w:pStyle w:val="Normal-pool"/>
              <w:spacing w:before="20" w:after="20"/>
              <w:rPr>
                <w:rFonts w:eastAsia="SimSun"/>
                <w:sz w:val="18"/>
                <w:szCs w:val="18"/>
                <w:lang w:val="es-ES_tradnl" w:eastAsia="zh-CN"/>
              </w:rPr>
            </w:pPr>
          </w:p>
        </w:tc>
        <w:tc>
          <w:tcPr>
            <w:tcW w:w="7098" w:type="dxa"/>
            <w:shd w:val="clear" w:color="auto" w:fill="auto"/>
          </w:tcPr>
          <w:p w14:paraId="68CD6438" w14:textId="77777777" w:rsidR="00B71B19" w:rsidRPr="0093471E" w:rsidRDefault="00B71B19">
            <w:pPr>
              <w:pStyle w:val="Normal-pool"/>
              <w:spacing w:before="20" w:after="20"/>
              <w:rPr>
                <w:rFonts w:eastAsia="SimSun"/>
                <w:sz w:val="18"/>
                <w:szCs w:val="18"/>
              </w:rPr>
            </w:pPr>
            <w:r w:rsidRPr="0093471E">
              <w:rPr>
                <w:sz w:val="18"/>
                <w:szCs w:val="18"/>
                <w:lang w:val="es-ES"/>
              </w:rPr>
              <w:t>Segunda reunión de autores</w:t>
            </w:r>
          </w:p>
        </w:tc>
      </w:tr>
      <w:tr w:rsidR="00B71B19" w:rsidRPr="0093471E" w14:paraId="0C345B9C" w14:textId="77777777" w:rsidTr="0093471E">
        <w:trPr>
          <w:trHeight w:val="280"/>
        </w:trPr>
        <w:tc>
          <w:tcPr>
            <w:tcW w:w="1152" w:type="dxa"/>
            <w:vMerge/>
            <w:shd w:val="clear" w:color="auto" w:fill="auto"/>
            <w:vAlign w:val="center"/>
          </w:tcPr>
          <w:p w14:paraId="2721612C" w14:textId="77777777" w:rsidR="00B71B19" w:rsidRPr="0093471E" w:rsidRDefault="00B71B19" w:rsidP="00FC5E47">
            <w:pPr>
              <w:pStyle w:val="Normal-pool"/>
              <w:spacing w:before="20" w:after="20"/>
              <w:rPr>
                <w:rFonts w:eastAsia="SimSun"/>
                <w:sz w:val="18"/>
                <w:szCs w:val="18"/>
                <w:lang w:eastAsia="zh-CN"/>
              </w:rPr>
            </w:pPr>
          </w:p>
        </w:tc>
        <w:tc>
          <w:tcPr>
            <w:tcW w:w="7098" w:type="dxa"/>
            <w:shd w:val="clear" w:color="auto" w:fill="auto"/>
          </w:tcPr>
          <w:p w14:paraId="46998FF4" w14:textId="77777777" w:rsidR="00B71B19" w:rsidRPr="0093471E" w:rsidRDefault="00B71B19">
            <w:pPr>
              <w:pStyle w:val="Normal-pool"/>
              <w:spacing w:before="20" w:after="20"/>
              <w:rPr>
                <w:rFonts w:eastAsia="SimSun"/>
                <w:sz w:val="18"/>
                <w:szCs w:val="18"/>
                <w:lang w:val="es-ES_tradnl"/>
              </w:rPr>
            </w:pPr>
            <w:r w:rsidRPr="0093471E">
              <w:rPr>
                <w:sz w:val="18"/>
                <w:szCs w:val="18"/>
                <w:lang w:val="es-ES"/>
              </w:rPr>
              <w:t>Primera reunión para elaborar el resumen para los encargados de la formulación de políticas (copresidentes y autores principales encargados de la coordinación)</w:t>
            </w:r>
          </w:p>
        </w:tc>
      </w:tr>
      <w:tr w:rsidR="00B71B19" w:rsidRPr="0093471E" w14:paraId="7A2851EE" w14:textId="77777777" w:rsidTr="0093471E">
        <w:trPr>
          <w:trHeight w:val="177"/>
        </w:trPr>
        <w:tc>
          <w:tcPr>
            <w:tcW w:w="1152" w:type="dxa"/>
            <w:vMerge w:val="restart"/>
            <w:shd w:val="clear" w:color="auto" w:fill="auto"/>
            <w:vAlign w:val="center"/>
          </w:tcPr>
          <w:p w14:paraId="4FAB2C97" w14:textId="77777777" w:rsidR="00B71B19" w:rsidRPr="0093471E" w:rsidRDefault="00B71B19" w:rsidP="00FC5E47">
            <w:pPr>
              <w:pStyle w:val="Normal-pool"/>
              <w:spacing w:before="20" w:after="20"/>
              <w:rPr>
                <w:rFonts w:eastAsia="SimSun"/>
                <w:sz w:val="18"/>
                <w:szCs w:val="18"/>
              </w:rPr>
            </w:pPr>
            <w:r w:rsidRPr="0093471E">
              <w:rPr>
                <w:sz w:val="18"/>
                <w:szCs w:val="18"/>
                <w:lang w:val="es-ES"/>
              </w:rPr>
              <w:t>2022</w:t>
            </w:r>
          </w:p>
        </w:tc>
        <w:tc>
          <w:tcPr>
            <w:tcW w:w="7098" w:type="dxa"/>
            <w:shd w:val="clear" w:color="auto" w:fill="auto"/>
          </w:tcPr>
          <w:p w14:paraId="74DA6A2E" w14:textId="4FF9C79E" w:rsidR="00B71B19" w:rsidRPr="0093471E" w:rsidRDefault="00B71B19">
            <w:pPr>
              <w:pStyle w:val="Normal-pool"/>
              <w:spacing w:before="20" w:after="20"/>
              <w:rPr>
                <w:rFonts w:eastAsia="SimSun"/>
                <w:sz w:val="18"/>
                <w:szCs w:val="18"/>
                <w:lang w:val="es-ES_tradnl"/>
              </w:rPr>
            </w:pPr>
            <w:r w:rsidRPr="0093471E">
              <w:rPr>
                <w:sz w:val="18"/>
                <w:szCs w:val="18"/>
                <w:lang w:val="es-ES"/>
              </w:rPr>
              <w:t xml:space="preserve">Segundo examen: revisión del segundo borrador de los capítulos de la evaluación </w:t>
            </w:r>
            <w:r w:rsidR="000E033B" w:rsidRPr="0093471E">
              <w:rPr>
                <w:sz w:val="18"/>
                <w:szCs w:val="18"/>
                <w:lang w:val="es-ES"/>
              </w:rPr>
              <w:t>y del</w:t>
            </w:r>
            <w:r w:rsidRPr="0093471E">
              <w:rPr>
                <w:sz w:val="18"/>
                <w:szCs w:val="18"/>
                <w:lang w:val="es-ES"/>
              </w:rPr>
              <w:t xml:space="preserve"> primer borrador del resumen para los encargados de la formulación de políticas</w:t>
            </w:r>
          </w:p>
        </w:tc>
      </w:tr>
      <w:tr w:rsidR="00B71B19" w:rsidRPr="0093471E" w14:paraId="670D9F3B" w14:textId="77777777" w:rsidTr="0093471E">
        <w:trPr>
          <w:trHeight w:val="64"/>
        </w:trPr>
        <w:tc>
          <w:tcPr>
            <w:tcW w:w="1152" w:type="dxa"/>
            <w:vMerge/>
            <w:shd w:val="clear" w:color="auto" w:fill="auto"/>
            <w:vAlign w:val="center"/>
          </w:tcPr>
          <w:p w14:paraId="77DC14F6" w14:textId="77777777" w:rsidR="00B71B19" w:rsidRPr="0093471E" w:rsidRDefault="00B71B19" w:rsidP="00FC5E47">
            <w:pPr>
              <w:pStyle w:val="Normal-pool"/>
              <w:spacing w:before="20" w:after="20"/>
              <w:rPr>
                <w:rFonts w:eastAsia="SimSun"/>
                <w:sz w:val="18"/>
                <w:szCs w:val="18"/>
                <w:lang w:val="es-ES_tradnl" w:eastAsia="zh-CN"/>
              </w:rPr>
            </w:pPr>
          </w:p>
        </w:tc>
        <w:tc>
          <w:tcPr>
            <w:tcW w:w="7098" w:type="dxa"/>
            <w:shd w:val="clear" w:color="auto" w:fill="auto"/>
          </w:tcPr>
          <w:p w14:paraId="511D2B29" w14:textId="77777777" w:rsidR="00B71B19" w:rsidRPr="0093471E" w:rsidRDefault="00B71B19">
            <w:pPr>
              <w:pStyle w:val="Normal-pool"/>
              <w:spacing w:before="20" w:after="20"/>
              <w:rPr>
                <w:rFonts w:eastAsia="SimSun"/>
                <w:sz w:val="18"/>
                <w:szCs w:val="18"/>
                <w:lang w:val="es-ES_tradnl"/>
              </w:rPr>
            </w:pPr>
            <w:r w:rsidRPr="0093471E">
              <w:rPr>
                <w:sz w:val="18"/>
                <w:szCs w:val="18"/>
                <w:lang w:val="es-ES"/>
              </w:rPr>
              <w:t>Tercer diálogo sobre conocimientos indígenas y locales</w:t>
            </w:r>
          </w:p>
        </w:tc>
      </w:tr>
      <w:tr w:rsidR="00B71B19" w:rsidRPr="0093471E" w14:paraId="10967455" w14:textId="77777777" w:rsidTr="0093471E">
        <w:trPr>
          <w:trHeight w:val="277"/>
        </w:trPr>
        <w:tc>
          <w:tcPr>
            <w:tcW w:w="1152" w:type="dxa"/>
            <w:vMerge/>
            <w:shd w:val="clear" w:color="auto" w:fill="auto"/>
            <w:vAlign w:val="center"/>
          </w:tcPr>
          <w:p w14:paraId="10A28463" w14:textId="77777777" w:rsidR="00B71B19" w:rsidRPr="0093471E" w:rsidRDefault="00B71B19" w:rsidP="00FC5E47">
            <w:pPr>
              <w:pStyle w:val="Normal-pool"/>
              <w:spacing w:before="20" w:after="20"/>
              <w:rPr>
                <w:rFonts w:eastAsia="SimSun"/>
                <w:sz w:val="18"/>
                <w:szCs w:val="18"/>
                <w:lang w:val="es-ES_tradnl" w:eastAsia="zh-CN"/>
              </w:rPr>
            </w:pPr>
          </w:p>
        </w:tc>
        <w:tc>
          <w:tcPr>
            <w:tcW w:w="7098" w:type="dxa"/>
            <w:shd w:val="clear" w:color="auto" w:fill="auto"/>
          </w:tcPr>
          <w:p w14:paraId="45BD774C" w14:textId="77777777" w:rsidR="00B71B19" w:rsidRPr="0093471E" w:rsidRDefault="00B71B19">
            <w:pPr>
              <w:pStyle w:val="Normal-pool"/>
              <w:spacing w:before="20" w:after="20"/>
              <w:rPr>
                <w:rFonts w:eastAsia="SimSun"/>
                <w:sz w:val="18"/>
                <w:szCs w:val="18"/>
              </w:rPr>
            </w:pPr>
            <w:r w:rsidRPr="0093471E">
              <w:rPr>
                <w:sz w:val="18"/>
                <w:szCs w:val="18"/>
                <w:lang w:val="es-ES"/>
              </w:rPr>
              <w:t>Tercera reunión de autores</w:t>
            </w:r>
          </w:p>
        </w:tc>
      </w:tr>
      <w:tr w:rsidR="0019590E" w:rsidRPr="0093471E" w14:paraId="2C9B32D8" w14:textId="77777777" w:rsidTr="0093471E">
        <w:trPr>
          <w:trHeight w:val="271"/>
        </w:trPr>
        <w:tc>
          <w:tcPr>
            <w:tcW w:w="1152" w:type="dxa"/>
            <w:vMerge/>
            <w:shd w:val="clear" w:color="auto" w:fill="auto"/>
          </w:tcPr>
          <w:p w14:paraId="76F98C8F" w14:textId="77777777" w:rsidR="0019590E" w:rsidRPr="0093471E" w:rsidRDefault="0019590E" w:rsidP="00FC5E47">
            <w:pPr>
              <w:pStyle w:val="Normal-pool"/>
              <w:spacing w:before="20" w:after="20"/>
              <w:rPr>
                <w:rFonts w:eastAsia="SimSun"/>
                <w:sz w:val="18"/>
                <w:szCs w:val="18"/>
                <w:lang w:eastAsia="zh-CN"/>
              </w:rPr>
            </w:pPr>
          </w:p>
        </w:tc>
        <w:tc>
          <w:tcPr>
            <w:tcW w:w="7098" w:type="dxa"/>
            <w:shd w:val="clear" w:color="auto" w:fill="auto"/>
          </w:tcPr>
          <w:p w14:paraId="5E92462E" w14:textId="7DA188DA" w:rsidR="0019590E" w:rsidRPr="0093471E" w:rsidRDefault="0019590E">
            <w:pPr>
              <w:pStyle w:val="Normal-pool"/>
              <w:spacing w:before="20" w:after="20"/>
              <w:rPr>
                <w:rFonts w:eastAsia="SimSun"/>
                <w:sz w:val="18"/>
                <w:szCs w:val="18"/>
                <w:lang w:val="es-ES_tradnl"/>
              </w:rPr>
            </w:pPr>
            <w:r w:rsidRPr="0093471E">
              <w:rPr>
                <w:sz w:val="18"/>
                <w:szCs w:val="18"/>
                <w:lang w:val="es-ES"/>
              </w:rPr>
              <w:t>Tercer examen: revisión del segundo borrador del resumen para los encargados de la formulación de políticas</w:t>
            </w:r>
          </w:p>
        </w:tc>
      </w:tr>
      <w:tr w:rsidR="0043250C" w:rsidRPr="0093471E" w14:paraId="59449363" w14:textId="77777777" w:rsidTr="0093471E">
        <w:trPr>
          <w:trHeight w:val="206"/>
        </w:trPr>
        <w:tc>
          <w:tcPr>
            <w:tcW w:w="1152" w:type="dxa"/>
            <w:vMerge w:val="restart"/>
            <w:tcBorders>
              <w:bottom w:val="single" w:sz="12" w:space="0" w:color="auto"/>
            </w:tcBorders>
            <w:shd w:val="clear" w:color="auto" w:fill="auto"/>
            <w:vAlign w:val="center"/>
          </w:tcPr>
          <w:p w14:paraId="58FA6408" w14:textId="77777777" w:rsidR="0043250C" w:rsidRPr="0093471E" w:rsidRDefault="0043250C" w:rsidP="00FC5E47">
            <w:pPr>
              <w:pStyle w:val="Normal-pool"/>
              <w:spacing w:before="20" w:after="20"/>
              <w:rPr>
                <w:rFonts w:eastAsia="SimSun"/>
                <w:sz w:val="18"/>
                <w:szCs w:val="18"/>
              </w:rPr>
            </w:pPr>
            <w:r w:rsidRPr="0093471E">
              <w:rPr>
                <w:sz w:val="18"/>
                <w:szCs w:val="18"/>
                <w:lang w:val="es-ES"/>
              </w:rPr>
              <w:t>2023</w:t>
            </w:r>
          </w:p>
        </w:tc>
        <w:tc>
          <w:tcPr>
            <w:tcW w:w="7098" w:type="dxa"/>
            <w:shd w:val="clear" w:color="auto" w:fill="auto"/>
          </w:tcPr>
          <w:p w14:paraId="18DC5F66" w14:textId="77777777" w:rsidR="0043250C" w:rsidRPr="0093471E" w:rsidRDefault="0043250C" w:rsidP="0037124A">
            <w:pPr>
              <w:pStyle w:val="Normal-pool"/>
              <w:spacing w:before="20" w:after="20"/>
              <w:rPr>
                <w:rFonts w:eastAsia="SimSun"/>
                <w:sz w:val="18"/>
                <w:szCs w:val="18"/>
                <w:lang w:val="es-ES_tradnl"/>
              </w:rPr>
            </w:pPr>
            <w:r w:rsidRPr="0093471E">
              <w:rPr>
                <w:sz w:val="18"/>
                <w:szCs w:val="18"/>
                <w:lang w:val="es-ES"/>
              </w:rPr>
              <w:t>Segunda reunión para revisar el resumen para los encargados de la formulación de políticas (copresidentes y autores principales encargados de la coordinación)</w:t>
            </w:r>
          </w:p>
        </w:tc>
      </w:tr>
      <w:tr w:rsidR="0043250C" w:rsidRPr="0093471E" w14:paraId="7F3CFEFC" w14:textId="77777777" w:rsidTr="0093471E">
        <w:trPr>
          <w:trHeight w:val="206"/>
        </w:trPr>
        <w:tc>
          <w:tcPr>
            <w:tcW w:w="1152" w:type="dxa"/>
            <w:vMerge/>
            <w:tcBorders>
              <w:bottom w:val="single" w:sz="12" w:space="0" w:color="auto"/>
            </w:tcBorders>
            <w:shd w:val="clear" w:color="auto" w:fill="auto"/>
          </w:tcPr>
          <w:p w14:paraId="36D713CF" w14:textId="77777777" w:rsidR="0043250C" w:rsidRPr="0093471E" w:rsidRDefault="0043250C">
            <w:pPr>
              <w:pStyle w:val="Normal-pool"/>
              <w:spacing w:before="20" w:after="20"/>
              <w:rPr>
                <w:rFonts w:eastAsia="SimSun"/>
                <w:sz w:val="18"/>
                <w:szCs w:val="18"/>
                <w:lang w:val="es-ES_tradnl" w:eastAsia="zh-CN"/>
              </w:rPr>
            </w:pPr>
          </w:p>
        </w:tc>
        <w:tc>
          <w:tcPr>
            <w:tcW w:w="7098" w:type="dxa"/>
            <w:shd w:val="clear" w:color="auto" w:fill="auto"/>
          </w:tcPr>
          <w:p w14:paraId="741FB3AE" w14:textId="297C5E9B" w:rsidR="0043250C" w:rsidRPr="0093471E" w:rsidRDefault="0043250C">
            <w:pPr>
              <w:pStyle w:val="Normal-pool"/>
              <w:spacing w:before="20" w:after="20"/>
              <w:rPr>
                <w:rFonts w:eastAsia="SimSun"/>
                <w:sz w:val="18"/>
                <w:szCs w:val="18"/>
                <w:lang w:val="es-ES_tradnl"/>
              </w:rPr>
            </w:pPr>
            <w:r w:rsidRPr="0093471E">
              <w:rPr>
                <w:sz w:val="18"/>
                <w:szCs w:val="18"/>
                <w:lang w:val="es-ES"/>
              </w:rPr>
              <w:t>Revisión final del resumen para los encargados de la formulación de políticas por parte de los</w:t>
            </w:r>
            <w:r w:rsidR="004312BB">
              <w:rPr>
                <w:sz w:val="18"/>
                <w:szCs w:val="18"/>
                <w:lang w:val="es-ES"/>
              </w:rPr>
              <w:t> </w:t>
            </w:r>
            <w:r w:rsidRPr="0093471E">
              <w:rPr>
                <w:sz w:val="18"/>
                <w:szCs w:val="18"/>
                <w:lang w:val="es-ES"/>
              </w:rPr>
              <w:t>Gobiernos</w:t>
            </w:r>
          </w:p>
        </w:tc>
      </w:tr>
      <w:tr w:rsidR="0043250C" w:rsidRPr="0093471E" w14:paraId="038E2F39" w14:textId="77777777" w:rsidTr="0093471E">
        <w:trPr>
          <w:trHeight w:val="206"/>
        </w:trPr>
        <w:tc>
          <w:tcPr>
            <w:tcW w:w="1152" w:type="dxa"/>
            <w:vMerge/>
            <w:tcBorders>
              <w:bottom w:val="single" w:sz="12" w:space="0" w:color="auto"/>
            </w:tcBorders>
            <w:shd w:val="clear" w:color="auto" w:fill="auto"/>
          </w:tcPr>
          <w:p w14:paraId="620F1596" w14:textId="77777777" w:rsidR="0043250C" w:rsidRPr="0093471E" w:rsidRDefault="0043250C">
            <w:pPr>
              <w:pStyle w:val="Normal-pool"/>
              <w:spacing w:before="20" w:after="20"/>
              <w:rPr>
                <w:rFonts w:eastAsia="SimSun"/>
                <w:sz w:val="18"/>
                <w:szCs w:val="18"/>
                <w:lang w:val="es-ES_tradnl" w:eastAsia="zh-CN"/>
              </w:rPr>
            </w:pPr>
          </w:p>
        </w:tc>
        <w:tc>
          <w:tcPr>
            <w:tcW w:w="7098" w:type="dxa"/>
            <w:shd w:val="clear" w:color="auto" w:fill="auto"/>
          </w:tcPr>
          <w:p w14:paraId="77BC080F" w14:textId="77777777" w:rsidR="0043250C" w:rsidRPr="0093471E" w:rsidRDefault="0043250C">
            <w:pPr>
              <w:pStyle w:val="Normal-pool"/>
              <w:spacing w:before="20" w:after="20"/>
              <w:rPr>
                <w:rFonts w:eastAsia="SimSun"/>
                <w:sz w:val="18"/>
                <w:szCs w:val="18"/>
                <w:lang w:val="es-ES_tradnl"/>
              </w:rPr>
            </w:pPr>
            <w:r w:rsidRPr="0093471E">
              <w:rPr>
                <w:sz w:val="18"/>
                <w:szCs w:val="18"/>
                <w:lang w:val="es-ES"/>
              </w:rPr>
              <w:t>Examen de la evaluación por el Plenario</w:t>
            </w:r>
          </w:p>
        </w:tc>
      </w:tr>
      <w:tr w:rsidR="0043250C" w:rsidRPr="0093471E" w14:paraId="46AF1E58" w14:textId="77777777" w:rsidTr="0093471E">
        <w:trPr>
          <w:trHeight w:val="206"/>
        </w:trPr>
        <w:tc>
          <w:tcPr>
            <w:tcW w:w="1152" w:type="dxa"/>
            <w:vMerge/>
            <w:tcBorders>
              <w:bottom w:val="single" w:sz="12" w:space="0" w:color="auto"/>
            </w:tcBorders>
            <w:shd w:val="clear" w:color="auto" w:fill="auto"/>
          </w:tcPr>
          <w:p w14:paraId="00B65648" w14:textId="77777777" w:rsidR="0043250C" w:rsidRPr="0093471E" w:rsidRDefault="0043250C">
            <w:pPr>
              <w:pStyle w:val="Normal-pool"/>
              <w:spacing w:before="20" w:after="20"/>
              <w:rPr>
                <w:rFonts w:eastAsia="SimSun"/>
                <w:sz w:val="18"/>
                <w:szCs w:val="18"/>
                <w:lang w:val="es-ES_tradnl" w:eastAsia="zh-CN"/>
              </w:rPr>
            </w:pPr>
          </w:p>
        </w:tc>
        <w:tc>
          <w:tcPr>
            <w:tcW w:w="7098" w:type="dxa"/>
            <w:tcBorders>
              <w:bottom w:val="single" w:sz="12" w:space="0" w:color="auto"/>
            </w:tcBorders>
            <w:shd w:val="clear" w:color="auto" w:fill="auto"/>
          </w:tcPr>
          <w:p w14:paraId="6E18C0F3" w14:textId="77777777" w:rsidR="0043250C" w:rsidRPr="0093471E" w:rsidRDefault="0043250C">
            <w:pPr>
              <w:pStyle w:val="Normal-pool"/>
              <w:spacing w:before="20" w:after="20"/>
              <w:rPr>
                <w:rFonts w:eastAsia="SimSun"/>
                <w:sz w:val="18"/>
                <w:szCs w:val="18"/>
                <w:lang w:val="es-ES_tradnl"/>
              </w:rPr>
            </w:pPr>
            <w:r w:rsidRPr="0093471E">
              <w:rPr>
                <w:sz w:val="18"/>
                <w:szCs w:val="18"/>
                <w:lang w:val="es-ES"/>
              </w:rPr>
              <w:t>Diseño, maquetación, distribución y divulgación</w:t>
            </w:r>
          </w:p>
        </w:tc>
      </w:tr>
    </w:tbl>
    <w:bookmarkEnd w:id="1"/>
    <w:p w14:paraId="472BE2EC" w14:textId="77777777" w:rsidR="003B34B0" w:rsidRPr="006361AF" w:rsidRDefault="006361AF" w:rsidP="0093471E">
      <w:pPr>
        <w:pStyle w:val="CH2"/>
        <w:spacing w:before="240"/>
        <w:rPr>
          <w:lang w:val="es-ES_tradnl"/>
        </w:rPr>
      </w:pPr>
      <w:r>
        <w:rPr>
          <w:lang w:val="es-ES"/>
        </w:rPr>
        <w:tab/>
      </w:r>
      <w:r w:rsidR="00771BDE">
        <w:rPr>
          <w:lang w:val="es-ES"/>
        </w:rPr>
        <w:t>B.</w:t>
      </w:r>
      <w:r w:rsidR="00771BDE">
        <w:rPr>
          <w:lang w:val="es-ES"/>
        </w:rPr>
        <w:tab/>
      </w:r>
      <w:r w:rsidR="00771BDE">
        <w:rPr>
          <w:bCs/>
          <w:lang w:val="es-ES"/>
        </w:rPr>
        <w:t>Producto previsto 1 b): documento técnico sobre la interrelación entre la diversidad biológica y el cambio climático</w:t>
      </w:r>
    </w:p>
    <w:p w14:paraId="79AD401D" w14:textId="77777777" w:rsidR="000B36DF" w:rsidRPr="00732E7C" w:rsidRDefault="006361AF" w:rsidP="005C34BE">
      <w:pPr>
        <w:pStyle w:val="CH3"/>
      </w:pPr>
      <w:r>
        <w:rPr>
          <w:lang w:val="es-ES"/>
        </w:rPr>
        <w:tab/>
      </w:r>
      <w:r w:rsidR="00270837">
        <w:rPr>
          <w:lang w:val="es-ES"/>
        </w:rPr>
        <w:t>1.</w:t>
      </w:r>
      <w:r w:rsidR="00270837">
        <w:rPr>
          <w:lang w:val="es-ES"/>
        </w:rPr>
        <w:tab/>
      </w:r>
      <w:r w:rsidR="00270837">
        <w:rPr>
          <w:bCs/>
          <w:lang w:val="es-ES"/>
        </w:rPr>
        <w:t>Supuestos y arreglos institucionales</w:t>
      </w:r>
    </w:p>
    <w:p w14:paraId="06818436" w14:textId="1F4CA894" w:rsidR="000B36DF" w:rsidRPr="006361AF" w:rsidRDefault="000B36DF" w:rsidP="000B36DF">
      <w:pPr>
        <w:pStyle w:val="Normalnumber"/>
        <w:numPr>
          <w:ilvl w:val="0"/>
          <w:numId w:val="5"/>
        </w:numPr>
        <w:tabs>
          <w:tab w:val="left" w:pos="1871"/>
          <w:tab w:val="left" w:pos="2495"/>
        </w:tabs>
        <w:ind w:left="1247" w:firstLine="0"/>
        <w:rPr>
          <w:lang w:val="es-ES_tradnl"/>
        </w:rPr>
      </w:pPr>
      <w:r>
        <w:rPr>
          <w:lang w:val="es-ES"/>
        </w:rPr>
        <w:t xml:space="preserve">El Grupo y la Mesa seleccionarán un equipo de expertos </w:t>
      </w:r>
      <w:r w:rsidR="00E67D83">
        <w:rPr>
          <w:lang w:val="es-ES"/>
        </w:rPr>
        <w:t xml:space="preserve">que tendrá a su cargo la tarea de </w:t>
      </w:r>
      <w:r>
        <w:rPr>
          <w:lang w:val="es-ES"/>
        </w:rPr>
        <w:t>preparar el documento técnico. Los expertos se seleccionarán conforme a los procedimientos para la preparación de productos previstos de la Plataforma</w:t>
      </w:r>
      <w:r w:rsidRPr="00A63824">
        <w:rPr>
          <w:rStyle w:val="FootnoteReference"/>
          <w:lang w:val="es-ES"/>
        </w:rPr>
        <w:footnoteReference w:id="3"/>
      </w:r>
      <w:r>
        <w:rPr>
          <w:lang w:val="es-ES"/>
        </w:rPr>
        <w:t xml:space="preserve"> y desarrollarán su labor </w:t>
      </w:r>
      <w:r w:rsidR="00E67D83">
        <w:rPr>
          <w:lang w:val="es-ES"/>
        </w:rPr>
        <w:t xml:space="preserve">con arreglo a </w:t>
      </w:r>
      <w:r>
        <w:rPr>
          <w:lang w:val="es-ES"/>
        </w:rPr>
        <w:t xml:space="preserve">esos procedimientos. En la elaboración del documento técnico participarán 11 autores de la evaluación y </w:t>
      </w:r>
      <w:r w:rsidR="00E67D83">
        <w:rPr>
          <w:lang w:val="es-ES"/>
        </w:rPr>
        <w:t>un</w:t>
      </w:r>
      <w:r>
        <w:rPr>
          <w:lang w:val="es-ES"/>
        </w:rPr>
        <w:t xml:space="preserve"> revisor, </w:t>
      </w:r>
      <w:r w:rsidR="000E033B">
        <w:rPr>
          <w:lang w:val="es-ES"/>
        </w:rPr>
        <w:t>todos seleccionados</w:t>
      </w:r>
      <w:r>
        <w:rPr>
          <w:lang w:val="es-ES"/>
        </w:rPr>
        <w:t xml:space="preserve"> por el Grupo. Se invitará al Grupo Intergubernamental de Expertos sobre el Cambio Climático (IPCC) a apoyar la preparación del documento</w:t>
      </w:r>
      <w:r w:rsidR="00E67D83">
        <w:rPr>
          <w:lang w:val="es-ES"/>
        </w:rPr>
        <w:t>,</w:t>
      </w:r>
      <w:r>
        <w:rPr>
          <w:lang w:val="es-ES"/>
        </w:rPr>
        <w:t xml:space="preserve"> como documento conjunto</w:t>
      </w:r>
      <w:r w:rsidR="00E67D83">
        <w:rPr>
          <w:lang w:val="es-ES"/>
        </w:rPr>
        <w:t>,</w:t>
      </w:r>
      <w:r>
        <w:rPr>
          <w:lang w:val="es-ES"/>
        </w:rPr>
        <w:t xml:space="preserve"> y proporcionar un número similar de autores de la evaluación y un segundo revisor. La totalidad del equipo de autores se reunirá en tres reuniones. Está previsto que el documento técnico se prepar</w:t>
      </w:r>
      <w:r w:rsidR="00E67D83">
        <w:rPr>
          <w:lang w:val="es-ES"/>
        </w:rPr>
        <w:t>e</w:t>
      </w:r>
      <w:r>
        <w:rPr>
          <w:lang w:val="es-ES"/>
        </w:rPr>
        <w:t xml:space="preserve"> en un</w:t>
      </w:r>
      <w:r w:rsidR="004312BB">
        <w:rPr>
          <w:lang w:val="es-ES"/>
        </w:rPr>
        <w:t> </w:t>
      </w:r>
      <w:r>
        <w:rPr>
          <w:lang w:val="es-ES"/>
        </w:rPr>
        <w:t xml:space="preserve">período de 18 meses. </w:t>
      </w:r>
    </w:p>
    <w:p w14:paraId="31B9BFD8" w14:textId="216D1242" w:rsidR="000B36DF" w:rsidRPr="006361AF" w:rsidRDefault="006125FF" w:rsidP="000B36DF">
      <w:pPr>
        <w:pStyle w:val="Normalnumber"/>
        <w:numPr>
          <w:ilvl w:val="0"/>
          <w:numId w:val="5"/>
        </w:numPr>
        <w:tabs>
          <w:tab w:val="left" w:pos="1871"/>
          <w:tab w:val="left" w:pos="2495"/>
        </w:tabs>
        <w:ind w:left="1247" w:firstLine="0"/>
        <w:rPr>
          <w:lang w:val="es-ES_tradnl"/>
        </w:rPr>
      </w:pPr>
      <w:r>
        <w:rPr>
          <w:lang w:val="es-ES"/>
        </w:rPr>
        <w:t>Las Secretarías de la IPBE</w:t>
      </w:r>
      <w:r w:rsidR="000E033B">
        <w:rPr>
          <w:lang w:val="es-ES"/>
        </w:rPr>
        <w:t>S</w:t>
      </w:r>
      <w:r>
        <w:rPr>
          <w:lang w:val="es-ES"/>
        </w:rPr>
        <w:t xml:space="preserve"> y del IPCC prestarán apoyo técnico de manera conjunta. </w:t>
      </w:r>
    </w:p>
    <w:p w14:paraId="3E018C19" w14:textId="77777777" w:rsidR="000B36DF" w:rsidRPr="000B69C6" w:rsidRDefault="006361AF" w:rsidP="005C34BE">
      <w:pPr>
        <w:pStyle w:val="CH3"/>
        <w:rPr>
          <w:rFonts w:eastAsia="SimSun"/>
        </w:rPr>
      </w:pPr>
      <w:r>
        <w:rPr>
          <w:lang w:val="es-ES"/>
        </w:rPr>
        <w:tab/>
      </w:r>
      <w:r w:rsidR="00270837">
        <w:rPr>
          <w:lang w:val="es-ES"/>
        </w:rPr>
        <w:t>2.</w:t>
      </w:r>
      <w:r w:rsidR="00270837">
        <w:rPr>
          <w:lang w:val="es-ES"/>
        </w:rPr>
        <w:tab/>
      </w:r>
      <w:r w:rsidR="00270837">
        <w:rPr>
          <w:bCs/>
          <w:lang w:val="es-ES"/>
        </w:rPr>
        <w:t>Reuniones e hitos</w:t>
      </w:r>
      <w:r w:rsidR="00270837">
        <w:rPr>
          <w:lang w:val="es-ES"/>
        </w:rPr>
        <w:t xml:space="preserve"> </w:t>
      </w:r>
    </w:p>
    <w:p w14:paraId="5C68719F" w14:textId="77777777" w:rsidR="00C53C6C" w:rsidRPr="006361AF" w:rsidRDefault="00C53C6C" w:rsidP="00C53C6C">
      <w:pPr>
        <w:pStyle w:val="Normalnumber"/>
        <w:numPr>
          <w:ilvl w:val="0"/>
          <w:numId w:val="5"/>
        </w:numPr>
        <w:tabs>
          <w:tab w:val="left" w:pos="1871"/>
          <w:tab w:val="left" w:pos="2495"/>
        </w:tabs>
        <w:ind w:left="1247" w:firstLine="0"/>
        <w:rPr>
          <w:lang w:val="es-ES_tradnl"/>
        </w:rPr>
      </w:pPr>
      <w:r>
        <w:rPr>
          <w:lang w:val="es-ES"/>
        </w:rPr>
        <w:t xml:space="preserve">A continuación figura una sinopsis de las medidas que han de adoptarse en relación con este producto previsto. En el cuadro A-3 del anexo del documento IPBES/7/4 figura un proyecto de presupuesto para las actividades relacionadas con este producto previsto. </w:t>
      </w:r>
    </w:p>
    <w:tbl>
      <w:tblPr>
        <w:tblW w:w="8352" w:type="dxa"/>
        <w:tblInd w:w="1248" w:type="dxa"/>
        <w:tblLayout w:type="fixed"/>
        <w:tblLook w:val="04A0" w:firstRow="1" w:lastRow="0" w:firstColumn="1" w:lastColumn="0" w:noHBand="0" w:noVBand="1"/>
      </w:tblPr>
      <w:tblGrid>
        <w:gridCol w:w="1587"/>
        <w:gridCol w:w="6765"/>
      </w:tblGrid>
      <w:tr w:rsidR="000B36DF" w:rsidRPr="00573EB5" w14:paraId="1CF61B4A" w14:textId="77777777" w:rsidTr="00D510F0">
        <w:trPr>
          <w:trHeight w:val="233"/>
          <w:tblHeader/>
        </w:trPr>
        <w:tc>
          <w:tcPr>
            <w:tcW w:w="1587" w:type="dxa"/>
            <w:tcBorders>
              <w:top w:val="single" w:sz="4" w:space="0" w:color="auto"/>
              <w:bottom w:val="single" w:sz="12" w:space="0" w:color="auto"/>
            </w:tcBorders>
            <w:shd w:val="clear" w:color="auto" w:fill="auto"/>
            <w:vAlign w:val="center"/>
          </w:tcPr>
          <w:p w14:paraId="2DDBD919" w14:textId="77777777" w:rsidR="000B36DF" w:rsidRPr="00573EB5" w:rsidDel="003F5A7B" w:rsidRDefault="000B36DF" w:rsidP="00E8569A">
            <w:pPr>
              <w:pStyle w:val="Normal-pool"/>
              <w:spacing w:before="20" w:after="20"/>
              <w:rPr>
                <w:rFonts w:eastAsia="SimSun"/>
                <w:sz w:val="18"/>
                <w:szCs w:val="18"/>
              </w:rPr>
            </w:pPr>
            <w:r w:rsidRPr="00573EB5">
              <w:rPr>
                <w:i/>
                <w:iCs/>
                <w:sz w:val="18"/>
                <w:szCs w:val="18"/>
                <w:lang w:val="es-ES"/>
              </w:rPr>
              <w:t>Plazo</w:t>
            </w:r>
          </w:p>
        </w:tc>
        <w:tc>
          <w:tcPr>
            <w:tcW w:w="6765" w:type="dxa"/>
            <w:tcBorders>
              <w:top w:val="single" w:sz="4" w:space="0" w:color="auto"/>
              <w:bottom w:val="single" w:sz="12" w:space="0" w:color="auto"/>
            </w:tcBorders>
            <w:shd w:val="clear" w:color="auto" w:fill="auto"/>
          </w:tcPr>
          <w:p w14:paraId="662462FB" w14:textId="77777777" w:rsidR="000B36DF" w:rsidRPr="00573EB5" w:rsidDel="000C28ED" w:rsidRDefault="00230862" w:rsidP="00E8569A">
            <w:pPr>
              <w:pStyle w:val="Normal-pool"/>
              <w:spacing w:before="20" w:after="20"/>
              <w:rPr>
                <w:rFonts w:eastAsia="SimSun"/>
                <w:sz w:val="18"/>
                <w:szCs w:val="18"/>
              </w:rPr>
            </w:pPr>
            <w:r w:rsidRPr="00573EB5">
              <w:rPr>
                <w:i/>
                <w:iCs/>
                <w:sz w:val="18"/>
                <w:szCs w:val="18"/>
                <w:lang w:val="es-ES"/>
              </w:rPr>
              <w:t>Reuniones e hitos</w:t>
            </w:r>
          </w:p>
        </w:tc>
      </w:tr>
      <w:tr w:rsidR="002675A4" w:rsidRPr="00573EB5" w14:paraId="38112C7F" w14:textId="77777777" w:rsidTr="00D510F0">
        <w:trPr>
          <w:trHeight w:val="233"/>
        </w:trPr>
        <w:tc>
          <w:tcPr>
            <w:tcW w:w="1587" w:type="dxa"/>
            <w:vMerge w:val="restart"/>
            <w:tcBorders>
              <w:top w:val="single" w:sz="12" w:space="0" w:color="auto"/>
            </w:tcBorders>
            <w:shd w:val="clear" w:color="auto" w:fill="auto"/>
            <w:vAlign w:val="center"/>
          </w:tcPr>
          <w:p w14:paraId="2881B323" w14:textId="5AEBED96" w:rsidR="002675A4" w:rsidRPr="00573EB5" w:rsidRDefault="002675A4" w:rsidP="00E8569A">
            <w:pPr>
              <w:pStyle w:val="Normal-pool"/>
              <w:spacing w:before="20" w:after="20"/>
              <w:rPr>
                <w:rFonts w:eastAsia="SimSun"/>
                <w:i/>
                <w:sz w:val="18"/>
                <w:szCs w:val="18"/>
              </w:rPr>
            </w:pPr>
            <w:r w:rsidRPr="00573EB5">
              <w:rPr>
                <w:sz w:val="18"/>
                <w:szCs w:val="18"/>
                <w:lang w:val="es-ES"/>
              </w:rPr>
              <w:t>2019</w:t>
            </w:r>
          </w:p>
        </w:tc>
        <w:tc>
          <w:tcPr>
            <w:tcW w:w="6765" w:type="dxa"/>
            <w:tcBorders>
              <w:top w:val="single" w:sz="12" w:space="0" w:color="auto"/>
            </w:tcBorders>
            <w:shd w:val="clear" w:color="auto" w:fill="auto"/>
          </w:tcPr>
          <w:p w14:paraId="12C2039C" w14:textId="77777777" w:rsidR="002675A4" w:rsidRPr="00573EB5" w:rsidRDefault="002675A4" w:rsidP="00E8569A">
            <w:pPr>
              <w:pStyle w:val="Normal-pool"/>
              <w:spacing w:before="20" w:after="20"/>
              <w:rPr>
                <w:rFonts w:eastAsia="SimSun"/>
                <w:sz w:val="18"/>
                <w:szCs w:val="18"/>
                <w:lang w:val="es-ES_tradnl"/>
              </w:rPr>
            </w:pPr>
            <w:r w:rsidRPr="00573EB5">
              <w:rPr>
                <w:sz w:val="18"/>
                <w:szCs w:val="18"/>
                <w:lang w:val="es-ES"/>
              </w:rPr>
              <w:t>El Plenario aprueba el tema del documento técnico e invita al IPCC a preparar el documento de manera conjunta</w:t>
            </w:r>
          </w:p>
        </w:tc>
      </w:tr>
      <w:tr w:rsidR="00D45A72" w:rsidRPr="00573EB5" w14:paraId="6BE866FD" w14:textId="77777777" w:rsidTr="00D510F0">
        <w:trPr>
          <w:trHeight w:val="541"/>
        </w:trPr>
        <w:tc>
          <w:tcPr>
            <w:tcW w:w="1587" w:type="dxa"/>
            <w:vMerge/>
            <w:shd w:val="clear" w:color="auto" w:fill="auto"/>
            <w:vAlign w:val="center"/>
          </w:tcPr>
          <w:p w14:paraId="05E4E027" w14:textId="77777777" w:rsidR="00D45A72" w:rsidRPr="00573EB5" w:rsidRDefault="00D45A72" w:rsidP="00E8569A">
            <w:pPr>
              <w:pStyle w:val="Normal-pool"/>
              <w:spacing w:before="20" w:after="20"/>
              <w:rPr>
                <w:rFonts w:eastAsia="SimSun"/>
                <w:sz w:val="18"/>
                <w:szCs w:val="18"/>
                <w:lang w:val="es-ES_tradnl" w:eastAsia="zh-CN"/>
              </w:rPr>
            </w:pPr>
          </w:p>
        </w:tc>
        <w:tc>
          <w:tcPr>
            <w:tcW w:w="6765" w:type="dxa"/>
            <w:shd w:val="clear" w:color="auto" w:fill="auto"/>
          </w:tcPr>
          <w:p w14:paraId="3877EDBE" w14:textId="77777777" w:rsidR="00D45A72" w:rsidRPr="00573EB5" w:rsidRDefault="00C63CB5" w:rsidP="00E8569A">
            <w:pPr>
              <w:pStyle w:val="Normal-pool"/>
              <w:spacing w:before="20" w:after="20"/>
              <w:rPr>
                <w:rFonts w:eastAsia="SimSun"/>
                <w:sz w:val="18"/>
                <w:szCs w:val="18"/>
                <w:lang w:val="es-ES_tradnl"/>
              </w:rPr>
            </w:pPr>
            <w:r w:rsidRPr="00573EB5">
              <w:rPr>
                <w:sz w:val="18"/>
                <w:szCs w:val="18"/>
                <w:lang w:val="es-ES"/>
              </w:rPr>
              <w:t>El IPCC toma en consideración la invitación de la IPBES y decide sobre la preparación conjunta del documento técnico</w:t>
            </w:r>
          </w:p>
        </w:tc>
      </w:tr>
      <w:tr w:rsidR="00D45A72" w:rsidRPr="00573EB5" w14:paraId="72C5819B" w14:textId="77777777" w:rsidTr="00D510F0">
        <w:trPr>
          <w:trHeight w:val="433"/>
        </w:trPr>
        <w:tc>
          <w:tcPr>
            <w:tcW w:w="1587" w:type="dxa"/>
            <w:vMerge w:val="restart"/>
            <w:shd w:val="clear" w:color="auto" w:fill="auto"/>
            <w:vAlign w:val="center"/>
          </w:tcPr>
          <w:p w14:paraId="4DC3F75D" w14:textId="77777777" w:rsidR="00D45A72" w:rsidRPr="00573EB5" w:rsidRDefault="00D45A72" w:rsidP="00D510F0">
            <w:pPr>
              <w:pStyle w:val="Normal-pool"/>
              <w:keepNext/>
              <w:keepLines/>
              <w:spacing w:before="20" w:after="20"/>
              <w:rPr>
                <w:rFonts w:eastAsia="SimSun"/>
                <w:sz w:val="18"/>
                <w:szCs w:val="18"/>
                <w:lang w:val="es-ES_tradnl"/>
              </w:rPr>
            </w:pPr>
            <w:r w:rsidRPr="00573EB5">
              <w:rPr>
                <w:sz w:val="18"/>
                <w:szCs w:val="18"/>
                <w:lang w:val="es-ES"/>
              </w:rPr>
              <w:t>2019 o años posteriores, según la decisión del Grupo</w:t>
            </w:r>
          </w:p>
        </w:tc>
        <w:tc>
          <w:tcPr>
            <w:tcW w:w="6765" w:type="dxa"/>
            <w:shd w:val="clear" w:color="auto" w:fill="auto"/>
          </w:tcPr>
          <w:p w14:paraId="71F58393" w14:textId="77777777" w:rsidR="00D45A72" w:rsidRPr="00573EB5" w:rsidRDefault="00D45A72" w:rsidP="00D510F0">
            <w:pPr>
              <w:pStyle w:val="Normal-pool"/>
              <w:keepNext/>
              <w:keepLines/>
              <w:spacing w:before="20"/>
              <w:rPr>
                <w:rFonts w:eastAsia="SimSun"/>
                <w:sz w:val="18"/>
                <w:szCs w:val="18"/>
              </w:rPr>
            </w:pPr>
            <w:r w:rsidRPr="00573EB5">
              <w:rPr>
                <w:sz w:val="18"/>
                <w:szCs w:val="18"/>
                <w:lang w:val="es-ES"/>
              </w:rPr>
              <w:t>Selección de expertos</w:t>
            </w:r>
          </w:p>
        </w:tc>
      </w:tr>
      <w:tr w:rsidR="00D45A72" w:rsidRPr="00573EB5" w14:paraId="79590E06" w14:textId="77777777" w:rsidTr="00D510F0">
        <w:trPr>
          <w:trHeight w:val="379"/>
        </w:trPr>
        <w:tc>
          <w:tcPr>
            <w:tcW w:w="1587" w:type="dxa"/>
            <w:vMerge/>
            <w:shd w:val="clear" w:color="auto" w:fill="auto"/>
            <w:vAlign w:val="center"/>
          </w:tcPr>
          <w:p w14:paraId="1E0A0408" w14:textId="77777777" w:rsidR="00D45A72" w:rsidRPr="00573EB5" w:rsidRDefault="00D45A72" w:rsidP="00E8569A">
            <w:pPr>
              <w:pStyle w:val="Normal-pool"/>
              <w:spacing w:before="20" w:after="20"/>
              <w:rPr>
                <w:rFonts w:eastAsia="SimSun"/>
                <w:sz w:val="18"/>
                <w:szCs w:val="18"/>
                <w:lang w:eastAsia="zh-CN"/>
              </w:rPr>
            </w:pPr>
          </w:p>
        </w:tc>
        <w:tc>
          <w:tcPr>
            <w:tcW w:w="6765" w:type="dxa"/>
            <w:shd w:val="clear" w:color="auto" w:fill="auto"/>
          </w:tcPr>
          <w:p w14:paraId="01496FF7" w14:textId="77777777" w:rsidR="00D45A72" w:rsidRPr="00573EB5" w:rsidRDefault="00D45A72" w:rsidP="00D510F0">
            <w:pPr>
              <w:pStyle w:val="Normal-pool"/>
              <w:keepNext/>
              <w:keepLines/>
              <w:rPr>
                <w:rFonts w:eastAsia="SimSun"/>
                <w:sz w:val="18"/>
                <w:szCs w:val="18"/>
              </w:rPr>
            </w:pPr>
            <w:r w:rsidRPr="00573EB5">
              <w:rPr>
                <w:sz w:val="18"/>
                <w:szCs w:val="18"/>
                <w:lang w:val="es-ES"/>
              </w:rPr>
              <w:t>Primera reunión de autores</w:t>
            </w:r>
          </w:p>
        </w:tc>
      </w:tr>
      <w:tr w:rsidR="00D45A72" w:rsidRPr="00573EB5" w14:paraId="54845CEE" w14:textId="77777777" w:rsidTr="00D510F0">
        <w:trPr>
          <w:trHeight w:val="233"/>
        </w:trPr>
        <w:tc>
          <w:tcPr>
            <w:tcW w:w="1587" w:type="dxa"/>
            <w:vMerge/>
            <w:shd w:val="clear" w:color="auto" w:fill="auto"/>
            <w:vAlign w:val="center"/>
          </w:tcPr>
          <w:p w14:paraId="687BFE54" w14:textId="77777777" w:rsidR="00D45A72" w:rsidRPr="00573EB5" w:rsidRDefault="00D45A72" w:rsidP="00E8569A">
            <w:pPr>
              <w:pStyle w:val="Normal-pool"/>
              <w:spacing w:before="20" w:after="20"/>
              <w:rPr>
                <w:rFonts w:eastAsia="SimSun"/>
                <w:sz w:val="18"/>
                <w:szCs w:val="18"/>
                <w:lang w:eastAsia="zh-CN"/>
              </w:rPr>
            </w:pPr>
          </w:p>
        </w:tc>
        <w:tc>
          <w:tcPr>
            <w:tcW w:w="6765" w:type="dxa"/>
            <w:shd w:val="clear" w:color="auto" w:fill="auto"/>
          </w:tcPr>
          <w:p w14:paraId="77D8D586" w14:textId="77777777" w:rsidR="00D45A72" w:rsidRPr="00573EB5" w:rsidRDefault="00D45A72" w:rsidP="00D510F0">
            <w:pPr>
              <w:pStyle w:val="Normal-pool"/>
              <w:keepNext/>
              <w:keepLines/>
              <w:spacing w:before="20" w:after="20"/>
              <w:rPr>
                <w:rFonts w:eastAsia="SimSun"/>
                <w:sz w:val="18"/>
                <w:szCs w:val="18"/>
                <w:lang w:val="es-ES_tradnl"/>
              </w:rPr>
            </w:pPr>
            <w:r w:rsidRPr="00573EB5">
              <w:rPr>
                <w:sz w:val="18"/>
                <w:szCs w:val="18"/>
                <w:lang w:val="es-ES"/>
              </w:rPr>
              <w:t>Primer examen del proyecto de documento técnico</w:t>
            </w:r>
          </w:p>
        </w:tc>
      </w:tr>
      <w:tr w:rsidR="00D45A72" w:rsidRPr="00573EB5" w14:paraId="4C6A996C" w14:textId="77777777" w:rsidTr="00D510F0">
        <w:trPr>
          <w:trHeight w:val="233"/>
        </w:trPr>
        <w:tc>
          <w:tcPr>
            <w:tcW w:w="1587" w:type="dxa"/>
            <w:vMerge w:val="restart"/>
            <w:tcBorders>
              <w:bottom w:val="single" w:sz="12" w:space="0" w:color="auto"/>
            </w:tcBorders>
            <w:shd w:val="clear" w:color="auto" w:fill="auto"/>
            <w:vAlign w:val="center"/>
          </w:tcPr>
          <w:p w14:paraId="74EDFBFC" w14:textId="77777777" w:rsidR="00D45A72" w:rsidRPr="00573EB5" w:rsidRDefault="00D45A72" w:rsidP="00E8569A">
            <w:pPr>
              <w:pStyle w:val="Normal-pool"/>
              <w:spacing w:before="20" w:after="20"/>
              <w:rPr>
                <w:rFonts w:eastAsia="SimSun"/>
                <w:sz w:val="18"/>
                <w:szCs w:val="18"/>
              </w:rPr>
            </w:pPr>
            <w:r w:rsidRPr="00573EB5">
              <w:rPr>
                <w:sz w:val="18"/>
                <w:szCs w:val="18"/>
                <w:lang w:val="es-ES"/>
              </w:rPr>
              <w:t>2020 o años posteriores</w:t>
            </w:r>
          </w:p>
        </w:tc>
        <w:tc>
          <w:tcPr>
            <w:tcW w:w="6765" w:type="dxa"/>
            <w:shd w:val="clear" w:color="auto" w:fill="auto"/>
          </w:tcPr>
          <w:p w14:paraId="68E8F778" w14:textId="77777777" w:rsidR="00D45A72" w:rsidRPr="00573EB5" w:rsidRDefault="00D45A72" w:rsidP="00E8569A">
            <w:pPr>
              <w:pStyle w:val="Normal-pool"/>
              <w:spacing w:before="20" w:after="20"/>
              <w:rPr>
                <w:rFonts w:eastAsia="SimSun"/>
                <w:sz w:val="18"/>
                <w:szCs w:val="18"/>
              </w:rPr>
            </w:pPr>
            <w:r w:rsidRPr="00573EB5">
              <w:rPr>
                <w:sz w:val="18"/>
                <w:szCs w:val="18"/>
                <w:lang w:val="es-ES"/>
              </w:rPr>
              <w:t>Segunda reunión de autores</w:t>
            </w:r>
          </w:p>
        </w:tc>
      </w:tr>
      <w:tr w:rsidR="00D45A72" w:rsidRPr="00573EB5" w14:paraId="605B5E19" w14:textId="77777777" w:rsidTr="00D510F0">
        <w:trPr>
          <w:trHeight w:val="233"/>
        </w:trPr>
        <w:tc>
          <w:tcPr>
            <w:tcW w:w="1587" w:type="dxa"/>
            <w:vMerge/>
            <w:tcBorders>
              <w:top w:val="single" w:sz="4" w:space="0" w:color="auto"/>
              <w:bottom w:val="single" w:sz="12" w:space="0" w:color="auto"/>
            </w:tcBorders>
            <w:shd w:val="clear" w:color="auto" w:fill="auto"/>
          </w:tcPr>
          <w:p w14:paraId="308CB47A" w14:textId="77777777" w:rsidR="00D45A72" w:rsidRPr="00573EB5" w:rsidRDefault="00D45A72" w:rsidP="00E8569A">
            <w:pPr>
              <w:pStyle w:val="Normal-pool"/>
              <w:spacing w:before="20" w:after="20"/>
              <w:rPr>
                <w:rFonts w:eastAsia="SimSun"/>
                <w:sz w:val="18"/>
                <w:szCs w:val="18"/>
                <w:lang w:eastAsia="zh-CN"/>
              </w:rPr>
            </w:pPr>
          </w:p>
        </w:tc>
        <w:tc>
          <w:tcPr>
            <w:tcW w:w="6765" w:type="dxa"/>
            <w:shd w:val="clear" w:color="auto" w:fill="auto"/>
          </w:tcPr>
          <w:p w14:paraId="20F489E8" w14:textId="77777777" w:rsidR="00D45A72" w:rsidRPr="00573EB5" w:rsidRDefault="00D45A72" w:rsidP="00E8569A">
            <w:pPr>
              <w:pStyle w:val="Normal-pool"/>
              <w:spacing w:before="20" w:after="20"/>
              <w:rPr>
                <w:rFonts w:eastAsia="SimSun"/>
                <w:sz w:val="18"/>
                <w:szCs w:val="18"/>
                <w:lang w:val="es-ES_tradnl"/>
              </w:rPr>
            </w:pPr>
            <w:r w:rsidRPr="00573EB5">
              <w:rPr>
                <w:sz w:val="18"/>
                <w:szCs w:val="18"/>
                <w:lang w:val="es-ES"/>
              </w:rPr>
              <w:t>Segundo examen del proyecto de documento técnico</w:t>
            </w:r>
          </w:p>
        </w:tc>
      </w:tr>
      <w:tr w:rsidR="00D45A72" w:rsidRPr="00573EB5" w14:paraId="66FA659E" w14:textId="77777777" w:rsidTr="00D510F0">
        <w:trPr>
          <w:trHeight w:val="233"/>
        </w:trPr>
        <w:tc>
          <w:tcPr>
            <w:tcW w:w="1587" w:type="dxa"/>
            <w:vMerge/>
            <w:tcBorders>
              <w:top w:val="single" w:sz="4" w:space="0" w:color="auto"/>
              <w:bottom w:val="single" w:sz="12" w:space="0" w:color="auto"/>
            </w:tcBorders>
            <w:shd w:val="clear" w:color="auto" w:fill="auto"/>
          </w:tcPr>
          <w:p w14:paraId="2C35D69A" w14:textId="77777777" w:rsidR="00D45A72" w:rsidRPr="00573EB5" w:rsidRDefault="00D45A72" w:rsidP="00E8569A">
            <w:pPr>
              <w:pStyle w:val="Normal-pool"/>
              <w:spacing w:before="20" w:after="20"/>
              <w:rPr>
                <w:rFonts w:eastAsia="SimSun"/>
                <w:sz w:val="18"/>
                <w:szCs w:val="18"/>
                <w:lang w:val="es-ES_tradnl" w:eastAsia="zh-CN"/>
              </w:rPr>
            </w:pPr>
          </w:p>
        </w:tc>
        <w:tc>
          <w:tcPr>
            <w:tcW w:w="6765" w:type="dxa"/>
            <w:shd w:val="clear" w:color="auto" w:fill="auto"/>
          </w:tcPr>
          <w:p w14:paraId="28768C8A" w14:textId="77777777" w:rsidR="00D45A72" w:rsidRPr="00573EB5" w:rsidRDefault="00D45A72" w:rsidP="00E8569A">
            <w:pPr>
              <w:pStyle w:val="Normal-pool"/>
              <w:spacing w:before="20" w:after="20"/>
              <w:rPr>
                <w:rFonts w:eastAsia="SimSun"/>
                <w:sz w:val="18"/>
                <w:szCs w:val="18"/>
              </w:rPr>
            </w:pPr>
            <w:r w:rsidRPr="00573EB5">
              <w:rPr>
                <w:sz w:val="18"/>
                <w:szCs w:val="18"/>
                <w:lang w:val="es-ES"/>
              </w:rPr>
              <w:t>Tercera reunión de autores</w:t>
            </w:r>
          </w:p>
        </w:tc>
      </w:tr>
      <w:tr w:rsidR="00D45A72" w:rsidRPr="00573EB5" w14:paraId="51F59BEC" w14:textId="77777777" w:rsidTr="00D510F0">
        <w:trPr>
          <w:trHeight w:val="233"/>
        </w:trPr>
        <w:tc>
          <w:tcPr>
            <w:tcW w:w="1587" w:type="dxa"/>
            <w:vMerge/>
            <w:tcBorders>
              <w:top w:val="single" w:sz="4" w:space="0" w:color="auto"/>
              <w:bottom w:val="single" w:sz="12" w:space="0" w:color="auto"/>
            </w:tcBorders>
            <w:shd w:val="clear" w:color="auto" w:fill="auto"/>
          </w:tcPr>
          <w:p w14:paraId="2F195649" w14:textId="77777777" w:rsidR="00D45A72" w:rsidRPr="00573EB5" w:rsidRDefault="00D45A72" w:rsidP="00E8569A">
            <w:pPr>
              <w:pStyle w:val="Normal-pool"/>
              <w:spacing w:before="20" w:after="20"/>
              <w:rPr>
                <w:rFonts w:eastAsia="SimSun"/>
                <w:sz w:val="18"/>
                <w:szCs w:val="18"/>
                <w:lang w:eastAsia="zh-CN"/>
              </w:rPr>
            </w:pPr>
          </w:p>
        </w:tc>
        <w:tc>
          <w:tcPr>
            <w:tcW w:w="6765" w:type="dxa"/>
            <w:tcBorders>
              <w:bottom w:val="single" w:sz="12" w:space="0" w:color="auto"/>
            </w:tcBorders>
            <w:shd w:val="clear" w:color="auto" w:fill="auto"/>
          </w:tcPr>
          <w:p w14:paraId="7A0FF9F8" w14:textId="77777777" w:rsidR="00D45A72" w:rsidRPr="00573EB5" w:rsidRDefault="00D45A72" w:rsidP="00E8569A">
            <w:pPr>
              <w:pStyle w:val="Normal-pool"/>
              <w:spacing w:before="20" w:after="20"/>
              <w:rPr>
                <w:rFonts w:eastAsia="SimSun"/>
                <w:sz w:val="18"/>
                <w:szCs w:val="18"/>
                <w:lang w:val="es-ES_tradnl"/>
              </w:rPr>
            </w:pPr>
            <w:r w:rsidRPr="00573EB5">
              <w:rPr>
                <w:sz w:val="18"/>
                <w:szCs w:val="18"/>
                <w:lang w:val="es-ES"/>
              </w:rPr>
              <w:t>Diseño, maquetación, distribución y divulgación</w:t>
            </w:r>
          </w:p>
        </w:tc>
      </w:tr>
    </w:tbl>
    <w:p w14:paraId="566B9E40" w14:textId="77777777" w:rsidR="00513BC3" w:rsidRPr="006361AF" w:rsidRDefault="006361AF" w:rsidP="005C34BE">
      <w:pPr>
        <w:pStyle w:val="CH2"/>
        <w:rPr>
          <w:lang w:val="es-ES_tradnl"/>
        </w:rPr>
      </w:pPr>
      <w:r>
        <w:rPr>
          <w:lang w:val="es-ES"/>
        </w:rPr>
        <w:tab/>
      </w:r>
      <w:r w:rsidR="00771BDE">
        <w:rPr>
          <w:lang w:val="es-ES"/>
        </w:rPr>
        <w:t>C.</w:t>
      </w:r>
      <w:r w:rsidR="00771BDE">
        <w:rPr>
          <w:lang w:val="es-ES"/>
        </w:rPr>
        <w:tab/>
      </w:r>
      <w:r w:rsidR="00771BDE">
        <w:rPr>
          <w:bCs/>
          <w:lang w:val="es-ES"/>
        </w:rPr>
        <w:t>Producto previsto 1 c): evaluación temática de las causas subyacentes de la pérdida de la diversidad biológica y los factores determinantes de los cambios transformadores</w:t>
      </w:r>
    </w:p>
    <w:p w14:paraId="79A2DE34" w14:textId="77777777" w:rsidR="00E5245E" w:rsidRPr="00732E7C" w:rsidRDefault="006361AF" w:rsidP="005C34BE">
      <w:pPr>
        <w:pStyle w:val="CH3"/>
      </w:pPr>
      <w:bookmarkStart w:id="2" w:name="_Hlk535948213"/>
      <w:r>
        <w:rPr>
          <w:lang w:val="es-ES"/>
        </w:rPr>
        <w:tab/>
      </w:r>
      <w:r w:rsidR="00270837">
        <w:rPr>
          <w:lang w:val="es-ES"/>
        </w:rPr>
        <w:t>1.</w:t>
      </w:r>
      <w:r w:rsidR="00270837">
        <w:rPr>
          <w:lang w:val="es-ES"/>
        </w:rPr>
        <w:tab/>
      </w:r>
      <w:r w:rsidR="00270837">
        <w:rPr>
          <w:bCs/>
          <w:lang w:val="es-ES"/>
        </w:rPr>
        <w:t>Supuestos y arreglos institucionales</w:t>
      </w:r>
    </w:p>
    <w:p w14:paraId="783372BD" w14:textId="6E0A9601" w:rsidR="00E5245E" w:rsidRPr="006361AF" w:rsidRDefault="00E5245E" w:rsidP="00E5245E">
      <w:pPr>
        <w:pStyle w:val="Normalnumber"/>
        <w:numPr>
          <w:ilvl w:val="0"/>
          <w:numId w:val="5"/>
        </w:numPr>
        <w:tabs>
          <w:tab w:val="left" w:pos="1871"/>
          <w:tab w:val="left" w:pos="2495"/>
        </w:tabs>
        <w:ind w:left="1247" w:firstLine="0"/>
        <w:rPr>
          <w:lang w:val="es-ES_tradnl"/>
        </w:rPr>
      </w:pPr>
      <w:r>
        <w:rPr>
          <w:lang w:val="es-ES"/>
        </w:rPr>
        <w:t>El Grupo y la Mesa supervisarán el proceso de análisis inicial en su totalidad y, en espera de la</w:t>
      </w:r>
      <w:r w:rsidR="00217D7E">
        <w:rPr>
          <w:lang w:val="es-ES"/>
        </w:rPr>
        <w:t> </w:t>
      </w:r>
      <w:r>
        <w:rPr>
          <w:lang w:val="es-ES"/>
        </w:rPr>
        <w:t>aprobación del Plenario, la creación de un grupo mundial de expertos para tareas específicas de duración determinada para la evaluación, incluidos los copresidentes,</w:t>
      </w:r>
      <w:r w:rsidR="00B20B0E">
        <w:rPr>
          <w:lang w:val="es-ES"/>
        </w:rPr>
        <w:t xml:space="preserve"> </w:t>
      </w:r>
      <w:r>
        <w:rPr>
          <w:lang w:val="es-ES"/>
        </w:rPr>
        <w:t>los autores encargados de la coordinación, los autores principales y los revisores del informe. Los grupos de expertos para el proceso de análisis inicial y la evaluación se seleccionarán conforme a los procedimientos para la preparación de productos previstos de la Plataforma</w:t>
      </w:r>
      <w:r w:rsidRPr="00A63824">
        <w:rPr>
          <w:rStyle w:val="FootnoteReference"/>
          <w:lang w:val="es-ES"/>
        </w:rPr>
        <w:footnoteReference w:id="4"/>
      </w:r>
      <w:r w:rsidR="00F363AB">
        <w:rPr>
          <w:lang w:val="es-ES"/>
        </w:rPr>
        <w:t xml:space="preserve"> </w:t>
      </w:r>
      <w:r>
        <w:rPr>
          <w:lang w:val="es-ES"/>
        </w:rPr>
        <w:t xml:space="preserve">y desarrollarán su labor </w:t>
      </w:r>
      <w:r w:rsidR="00F363AB">
        <w:rPr>
          <w:lang w:val="es-ES"/>
        </w:rPr>
        <w:t xml:space="preserve">con arreglo </w:t>
      </w:r>
      <w:r>
        <w:rPr>
          <w:lang w:val="es-ES"/>
        </w:rPr>
        <w:t>a esos procedimientos. El proceso de análisis inicial se iniciará con una conferencia electrónica, seguida de una reunión de 45 expertos con objeto de elaborar el proyecto de informe de análisis inicial, teniendo en cuenta los resultados de la conferencia electrónica. En la evaluación participará 62 autores, quienes se reunirán en tres ocasiones, y 12 editores, quienes celebrarán dos reuniones con los autores de la evaluación. Se celebrarán dos reuniones dirigidas a prestar apoyo en la elaboración del resumen para los encargados de la formulación de políticas, el cual será objeto de una</w:t>
      </w:r>
      <w:r w:rsidR="00F363AB">
        <w:rPr>
          <w:lang w:val="es-ES"/>
        </w:rPr>
        <w:t xml:space="preserve"> nueva</w:t>
      </w:r>
      <w:r>
        <w:rPr>
          <w:lang w:val="es-ES"/>
        </w:rPr>
        <w:t xml:space="preserve"> revisión más adelante. Se celebrarán tres reuniones de diálogo a fin de implementar el enfoque de la IPBES </w:t>
      </w:r>
      <w:r w:rsidR="00F363AB">
        <w:rPr>
          <w:lang w:val="es-ES"/>
        </w:rPr>
        <w:t>dirigido a</w:t>
      </w:r>
      <w:r>
        <w:rPr>
          <w:lang w:val="es-ES"/>
        </w:rPr>
        <w:t xml:space="preserve"> reconocer y utilizar los conocimientos indígenas y locales. Está previsto que la evaluación se llev</w:t>
      </w:r>
      <w:r w:rsidR="00F363AB">
        <w:rPr>
          <w:lang w:val="es-ES"/>
        </w:rPr>
        <w:t>e</w:t>
      </w:r>
      <w:r>
        <w:rPr>
          <w:lang w:val="es-ES"/>
        </w:rPr>
        <w:t xml:space="preserve"> a cabo a lo largo de cuatro años, con un año dedicado a la presentación de candidaturas y la selección de</w:t>
      </w:r>
      <w:r w:rsidR="00217D7E">
        <w:rPr>
          <w:lang w:val="es-ES"/>
        </w:rPr>
        <w:t> </w:t>
      </w:r>
      <w:r>
        <w:rPr>
          <w:lang w:val="es-ES"/>
        </w:rPr>
        <w:t xml:space="preserve">los autores. </w:t>
      </w:r>
    </w:p>
    <w:p w14:paraId="68C5B49E" w14:textId="5649ADCD" w:rsidR="00E5245E" w:rsidRPr="006361AF" w:rsidRDefault="00E5245E" w:rsidP="00E5245E">
      <w:pPr>
        <w:pStyle w:val="Normalnumber"/>
        <w:numPr>
          <w:ilvl w:val="0"/>
          <w:numId w:val="5"/>
        </w:numPr>
        <w:tabs>
          <w:tab w:val="left" w:pos="1871"/>
          <w:tab w:val="left" w:pos="2495"/>
        </w:tabs>
        <w:ind w:left="1247" w:firstLine="0"/>
        <w:rPr>
          <w:lang w:val="es-ES_tradnl"/>
        </w:rPr>
      </w:pPr>
      <w:r>
        <w:rPr>
          <w:lang w:val="es-ES"/>
        </w:rPr>
        <w:t xml:space="preserve">La Secretaría </w:t>
      </w:r>
      <w:r w:rsidR="00F363AB">
        <w:rPr>
          <w:lang w:val="es-ES"/>
        </w:rPr>
        <w:t>celebra</w:t>
      </w:r>
      <w:r>
        <w:rPr>
          <w:lang w:val="es-ES"/>
        </w:rPr>
        <w:t>rá acuerdos con instituciones asociadas para la prestación del apoyo técnico que apruebe la Mesa</w:t>
      </w:r>
      <w:r w:rsidR="00F363AB">
        <w:rPr>
          <w:lang w:val="es-ES"/>
        </w:rPr>
        <w:t xml:space="preserve">, el cual </w:t>
      </w:r>
      <w:r>
        <w:rPr>
          <w:lang w:val="es-ES"/>
        </w:rPr>
        <w:t>será financiado en parte por la Plataforma y en parte mediante contribuciones en especie aprobadas por el Plenario.</w:t>
      </w:r>
    </w:p>
    <w:p w14:paraId="03AF0A43" w14:textId="77777777" w:rsidR="00E5245E" w:rsidRPr="00A63824" w:rsidRDefault="006361AF" w:rsidP="005C34BE">
      <w:pPr>
        <w:pStyle w:val="CH3"/>
        <w:rPr>
          <w:rFonts w:eastAsia="SimSun"/>
        </w:rPr>
      </w:pPr>
      <w:r>
        <w:rPr>
          <w:lang w:val="es-ES"/>
        </w:rPr>
        <w:tab/>
      </w:r>
      <w:r w:rsidR="00270837">
        <w:rPr>
          <w:lang w:val="es-ES"/>
        </w:rPr>
        <w:t>2.</w:t>
      </w:r>
      <w:r w:rsidR="00270837">
        <w:rPr>
          <w:lang w:val="es-ES"/>
        </w:rPr>
        <w:tab/>
      </w:r>
      <w:r w:rsidR="00270837">
        <w:rPr>
          <w:bCs/>
          <w:lang w:val="es-ES"/>
        </w:rPr>
        <w:t>Reuniones e hitos</w:t>
      </w:r>
      <w:r w:rsidR="00270837">
        <w:rPr>
          <w:lang w:val="es-ES"/>
        </w:rPr>
        <w:t xml:space="preserve"> </w:t>
      </w:r>
    </w:p>
    <w:p w14:paraId="6D295F4A" w14:textId="02564F1E" w:rsidR="00C53C6C" w:rsidRPr="006361AF" w:rsidRDefault="00C53C6C" w:rsidP="00C53C6C">
      <w:pPr>
        <w:pStyle w:val="Normalnumber"/>
        <w:numPr>
          <w:ilvl w:val="0"/>
          <w:numId w:val="5"/>
        </w:numPr>
        <w:tabs>
          <w:tab w:val="left" w:pos="1871"/>
          <w:tab w:val="left" w:pos="2495"/>
        </w:tabs>
        <w:ind w:left="1247" w:firstLine="0"/>
        <w:rPr>
          <w:lang w:val="es-ES_tradnl"/>
        </w:rPr>
      </w:pPr>
      <w:r>
        <w:rPr>
          <w:lang w:val="es-ES"/>
        </w:rPr>
        <w:t>A continuación figura una sinopsis de las medidas que han de adoptarse en relación con este producto previsto. En los cuadros A-1 y A-4 del anexo del documento IPBES/7/4 figuran proyectos de</w:t>
      </w:r>
      <w:r w:rsidR="00217D7E">
        <w:rPr>
          <w:lang w:val="es-ES"/>
        </w:rPr>
        <w:t> </w:t>
      </w:r>
      <w:r>
        <w:rPr>
          <w:lang w:val="es-ES"/>
        </w:rPr>
        <w:t xml:space="preserve">presupuesto para las actividades relacionadas con este producto previsto. </w:t>
      </w:r>
    </w:p>
    <w:tbl>
      <w:tblPr>
        <w:tblW w:w="7778" w:type="dxa"/>
        <w:tblInd w:w="1248" w:type="dxa"/>
        <w:tblLayout w:type="fixed"/>
        <w:tblLook w:val="04A0" w:firstRow="1" w:lastRow="0" w:firstColumn="1" w:lastColumn="0" w:noHBand="0" w:noVBand="1"/>
      </w:tblPr>
      <w:tblGrid>
        <w:gridCol w:w="1162"/>
        <w:gridCol w:w="6616"/>
      </w:tblGrid>
      <w:tr w:rsidR="00D510F0" w:rsidRPr="00573EB5" w14:paraId="79071121" w14:textId="77777777" w:rsidTr="00F363AB">
        <w:trPr>
          <w:trHeight w:val="233"/>
          <w:tblHeader/>
        </w:trPr>
        <w:tc>
          <w:tcPr>
            <w:tcW w:w="1162" w:type="dxa"/>
            <w:tcBorders>
              <w:top w:val="single" w:sz="4" w:space="0" w:color="auto"/>
              <w:bottom w:val="single" w:sz="12" w:space="0" w:color="auto"/>
            </w:tcBorders>
            <w:shd w:val="clear" w:color="auto" w:fill="auto"/>
            <w:vAlign w:val="center"/>
          </w:tcPr>
          <w:p w14:paraId="67398780" w14:textId="77777777" w:rsidR="00D510F0" w:rsidRPr="00573EB5" w:rsidDel="003F5A7B" w:rsidRDefault="00D510F0" w:rsidP="00F363AB">
            <w:pPr>
              <w:pStyle w:val="Normal-pool"/>
              <w:spacing w:before="40" w:after="40"/>
              <w:rPr>
                <w:rFonts w:eastAsia="SimSun"/>
                <w:sz w:val="18"/>
                <w:szCs w:val="18"/>
              </w:rPr>
            </w:pPr>
            <w:r w:rsidRPr="00573EB5">
              <w:rPr>
                <w:i/>
                <w:iCs/>
                <w:sz w:val="18"/>
                <w:szCs w:val="18"/>
                <w:lang w:val="es-ES"/>
              </w:rPr>
              <w:t>Plazo</w:t>
            </w:r>
          </w:p>
        </w:tc>
        <w:tc>
          <w:tcPr>
            <w:tcW w:w="6616" w:type="dxa"/>
            <w:tcBorders>
              <w:top w:val="single" w:sz="4" w:space="0" w:color="auto"/>
              <w:bottom w:val="single" w:sz="12" w:space="0" w:color="auto"/>
            </w:tcBorders>
            <w:shd w:val="clear" w:color="auto" w:fill="auto"/>
            <w:vAlign w:val="center"/>
          </w:tcPr>
          <w:p w14:paraId="25102FD0" w14:textId="77777777" w:rsidR="00D510F0" w:rsidRPr="00573EB5" w:rsidDel="000C28ED" w:rsidRDefault="00D510F0" w:rsidP="00F363AB">
            <w:pPr>
              <w:pStyle w:val="Normal-pool"/>
              <w:spacing w:before="40" w:after="40"/>
              <w:rPr>
                <w:rFonts w:eastAsia="SimSun"/>
                <w:sz w:val="18"/>
                <w:szCs w:val="18"/>
              </w:rPr>
            </w:pPr>
            <w:r w:rsidRPr="00573EB5">
              <w:rPr>
                <w:i/>
                <w:iCs/>
                <w:sz w:val="18"/>
                <w:szCs w:val="18"/>
                <w:lang w:val="es-ES"/>
              </w:rPr>
              <w:t>Reuniones e hitos</w:t>
            </w:r>
          </w:p>
        </w:tc>
      </w:tr>
      <w:tr w:rsidR="00D510F0" w:rsidRPr="00573EB5" w14:paraId="6F5EA9D0" w14:textId="77777777" w:rsidTr="00F363AB">
        <w:trPr>
          <w:trHeight w:val="233"/>
        </w:trPr>
        <w:tc>
          <w:tcPr>
            <w:tcW w:w="1162" w:type="dxa"/>
            <w:vMerge w:val="restart"/>
            <w:tcBorders>
              <w:top w:val="single" w:sz="12" w:space="0" w:color="auto"/>
            </w:tcBorders>
            <w:shd w:val="clear" w:color="auto" w:fill="auto"/>
            <w:vAlign w:val="center"/>
          </w:tcPr>
          <w:p w14:paraId="1F2925A3" w14:textId="280679B2" w:rsidR="00D510F0" w:rsidRPr="00573EB5" w:rsidRDefault="00D510F0" w:rsidP="00F363AB">
            <w:pPr>
              <w:pStyle w:val="Normal-pool"/>
              <w:spacing w:before="40" w:after="40"/>
              <w:rPr>
                <w:rFonts w:eastAsia="SimSun"/>
                <w:sz w:val="18"/>
                <w:szCs w:val="18"/>
              </w:rPr>
            </w:pPr>
            <w:r w:rsidRPr="00573EB5">
              <w:rPr>
                <w:sz w:val="18"/>
                <w:szCs w:val="18"/>
                <w:lang w:val="es-ES"/>
              </w:rPr>
              <w:t>2020</w:t>
            </w:r>
          </w:p>
        </w:tc>
        <w:tc>
          <w:tcPr>
            <w:tcW w:w="6616" w:type="dxa"/>
            <w:tcBorders>
              <w:top w:val="single" w:sz="12" w:space="0" w:color="auto"/>
            </w:tcBorders>
            <w:shd w:val="clear" w:color="auto" w:fill="auto"/>
            <w:vAlign w:val="center"/>
          </w:tcPr>
          <w:p w14:paraId="0895A16E" w14:textId="77777777" w:rsidR="00D510F0" w:rsidRPr="00573EB5" w:rsidRDefault="00D510F0" w:rsidP="00F363AB">
            <w:pPr>
              <w:pStyle w:val="Normal-pool"/>
              <w:spacing w:before="40" w:after="40"/>
              <w:rPr>
                <w:rFonts w:eastAsia="SimSun"/>
                <w:sz w:val="18"/>
                <w:szCs w:val="18"/>
                <w:lang w:val="es-ES_tradnl"/>
              </w:rPr>
            </w:pPr>
            <w:r w:rsidRPr="00573EB5">
              <w:rPr>
                <w:sz w:val="18"/>
                <w:szCs w:val="18"/>
                <w:lang w:val="es-ES"/>
              </w:rPr>
              <w:t>El Plenario aprueba el proceso de análisis inicial en su totalidad</w:t>
            </w:r>
          </w:p>
        </w:tc>
      </w:tr>
      <w:tr w:rsidR="00D510F0" w:rsidRPr="00573EB5" w14:paraId="66A2028F" w14:textId="77777777" w:rsidTr="00F363AB">
        <w:trPr>
          <w:trHeight w:val="233"/>
        </w:trPr>
        <w:tc>
          <w:tcPr>
            <w:tcW w:w="1162" w:type="dxa"/>
            <w:vMerge/>
            <w:shd w:val="clear" w:color="auto" w:fill="auto"/>
            <w:vAlign w:val="center"/>
          </w:tcPr>
          <w:p w14:paraId="1DA57AE3" w14:textId="77777777" w:rsidR="00D510F0" w:rsidRPr="00573EB5" w:rsidRDefault="00D510F0" w:rsidP="00F363AB">
            <w:pPr>
              <w:pStyle w:val="Normal-pool"/>
              <w:spacing w:before="40" w:after="40"/>
              <w:rPr>
                <w:rFonts w:eastAsia="SimSun"/>
                <w:sz w:val="18"/>
                <w:szCs w:val="18"/>
                <w:lang w:val="es-ES_tradnl" w:eastAsia="zh-CN"/>
              </w:rPr>
            </w:pPr>
          </w:p>
        </w:tc>
        <w:tc>
          <w:tcPr>
            <w:tcW w:w="6616" w:type="dxa"/>
            <w:shd w:val="clear" w:color="auto" w:fill="auto"/>
            <w:vAlign w:val="center"/>
          </w:tcPr>
          <w:p w14:paraId="706826B6" w14:textId="1210322F" w:rsidR="00D510F0" w:rsidRPr="00573EB5" w:rsidRDefault="00F363AB" w:rsidP="00F363AB">
            <w:pPr>
              <w:pStyle w:val="Normal-pool"/>
              <w:spacing w:before="40" w:after="40"/>
              <w:rPr>
                <w:rFonts w:eastAsia="SimSun"/>
                <w:sz w:val="18"/>
                <w:szCs w:val="18"/>
                <w:lang w:val="es-ES_tradnl"/>
              </w:rPr>
            </w:pPr>
            <w:r w:rsidRPr="00573EB5">
              <w:rPr>
                <w:sz w:val="18"/>
                <w:szCs w:val="18"/>
                <w:lang w:val="es-ES"/>
              </w:rPr>
              <w:t>Conferencia</w:t>
            </w:r>
            <w:r w:rsidR="00D510F0" w:rsidRPr="00573EB5">
              <w:rPr>
                <w:sz w:val="18"/>
                <w:szCs w:val="18"/>
                <w:lang w:val="es-ES"/>
              </w:rPr>
              <w:t xml:space="preserve"> </w:t>
            </w:r>
            <w:r w:rsidRPr="00573EB5">
              <w:rPr>
                <w:sz w:val="18"/>
                <w:szCs w:val="18"/>
                <w:lang w:val="es-ES"/>
              </w:rPr>
              <w:t>electrónica</w:t>
            </w:r>
            <w:r w:rsidR="00D510F0" w:rsidRPr="00573EB5">
              <w:rPr>
                <w:sz w:val="18"/>
                <w:szCs w:val="18"/>
                <w:lang w:val="es-ES"/>
              </w:rPr>
              <w:t xml:space="preserve"> sobre el análisis inicial</w:t>
            </w:r>
          </w:p>
        </w:tc>
      </w:tr>
      <w:tr w:rsidR="00D510F0" w:rsidRPr="00573EB5" w14:paraId="5DB44513" w14:textId="77777777" w:rsidTr="00F363AB">
        <w:trPr>
          <w:trHeight w:val="233"/>
        </w:trPr>
        <w:tc>
          <w:tcPr>
            <w:tcW w:w="1162" w:type="dxa"/>
            <w:vMerge/>
            <w:shd w:val="clear" w:color="auto" w:fill="auto"/>
            <w:vAlign w:val="center"/>
          </w:tcPr>
          <w:p w14:paraId="70491E42" w14:textId="77777777" w:rsidR="00D510F0" w:rsidRPr="00573EB5" w:rsidRDefault="00D510F0" w:rsidP="00F363AB">
            <w:pPr>
              <w:pStyle w:val="Normal-pool"/>
              <w:spacing w:before="40" w:after="40"/>
              <w:rPr>
                <w:rFonts w:eastAsia="SimSun"/>
                <w:sz w:val="18"/>
                <w:szCs w:val="18"/>
                <w:lang w:val="es-ES_tradnl" w:eastAsia="zh-CN"/>
              </w:rPr>
            </w:pPr>
          </w:p>
        </w:tc>
        <w:tc>
          <w:tcPr>
            <w:tcW w:w="6616" w:type="dxa"/>
            <w:shd w:val="clear" w:color="auto" w:fill="auto"/>
            <w:vAlign w:val="center"/>
          </w:tcPr>
          <w:p w14:paraId="401AC2E9" w14:textId="77777777" w:rsidR="00D510F0" w:rsidRPr="00573EB5" w:rsidRDefault="00D510F0" w:rsidP="00F363AB">
            <w:pPr>
              <w:pStyle w:val="Normal-pool"/>
              <w:spacing w:before="40" w:after="40"/>
              <w:rPr>
                <w:rFonts w:eastAsia="SimSun"/>
                <w:sz w:val="18"/>
                <w:szCs w:val="18"/>
                <w:lang w:val="es-ES_tradnl"/>
              </w:rPr>
            </w:pPr>
            <w:r w:rsidRPr="00573EB5">
              <w:rPr>
                <w:sz w:val="18"/>
                <w:szCs w:val="18"/>
                <w:lang w:val="es-ES"/>
              </w:rPr>
              <w:t>Presentación de candidaturas y selección de expertos para el análisis inicial</w:t>
            </w:r>
          </w:p>
        </w:tc>
      </w:tr>
      <w:tr w:rsidR="00D510F0" w:rsidRPr="00573EB5" w14:paraId="6DF2E5DD" w14:textId="77777777" w:rsidTr="00F363AB">
        <w:trPr>
          <w:trHeight w:val="233"/>
        </w:trPr>
        <w:tc>
          <w:tcPr>
            <w:tcW w:w="1162" w:type="dxa"/>
            <w:vMerge/>
            <w:shd w:val="clear" w:color="auto" w:fill="auto"/>
            <w:vAlign w:val="center"/>
          </w:tcPr>
          <w:p w14:paraId="67CAE156" w14:textId="77777777" w:rsidR="00D510F0" w:rsidRPr="00573EB5" w:rsidRDefault="00D510F0" w:rsidP="00F363AB">
            <w:pPr>
              <w:pStyle w:val="Normal-pool"/>
              <w:spacing w:before="40" w:after="40"/>
              <w:rPr>
                <w:rFonts w:eastAsia="SimSun"/>
                <w:sz w:val="18"/>
                <w:szCs w:val="18"/>
                <w:lang w:val="es-ES_tradnl" w:eastAsia="zh-CN"/>
              </w:rPr>
            </w:pPr>
          </w:p>
        </w:tc>
        <w:tc>
          <w:tcPr>
            <w:tcW w:w="6616" w:type="dxa"/>
            <w:shd w:val="clear" w:color="auto" w:fill="auto"/>
            <w:vAlign w:val="center"/>
          </w:tcPr>
          <w:p w14:paraId="6D338E9C" w14:textId="77777777" w:rsidR="00D510F0" w:rsidRPr="00573EB5" w:rsidRDefault="00D510F0" w:rsidP="00F363AB">
            <w:pPr>
              <w:pStyle w:val="Normal-pool"/>
              <w:spacing w:before="40" w:after="40"/>
              <w:rPr>
                <w:rFonts w:eastAsia="SimSun"/>
                <w:sz w:val="18"/>
                <w:szCs w:val="18"/>
              </w:rPr>
            </w:pPr>
            <w:r w:rsidRPr="00573EB5">
              <w:rPr>
                <w:sz w:val="18"/>
                <w:szCs w:val="18"/>
                <w:lang w:val="es-ES"/>
              </w:rPr>
              <w:t>Reunión de análisis inicial</w:t>
            </w:r>
          </w:p>
        </w:tc>
      </w:tr>
      <w:tr w:rsidR="00D510F0" w:rsidRPr="00573EB5" w14:paraId="5AC2CFD1" w14:textId="77777777" w:rsidTr="00F363AB">
        <w:trPr>
          <w:trHeight w:val="233"/>
        </w:trPr>
        <w:tc>
          <w:tcPr>
            <w:tcW w:w="1162" w:type="dxa"/>
            <w:vMerge w:val="restart"/>
            <w:shd w:val="clear" w:color="auto" w:fill="auto"/>
            <w:vAlign w:val="center"/>
          </w:tcPr>
          <w:p w14:paraId="1A693E68" w14:textId="77777777" w:rsidR="00D510F0" w:rsidRPr="00573EB5" w:rsidRDefault="00D510F0" w:rsidP="00F363AB">
            <w:pPr>
              <w:pStyle w:val="Normal-pool"/>
              <w:spacing w:before="40" w:after="40"/>
              <w:rPr>
                <w:rFonts w:eastAsia="SimSun"/>
                <w:sz w:val="18"/>
                <w:szCs w:val="18"/>
              </w:rPr>
            </w:pPr>
            <w:r w:rsidRPr="00573EB5">
              <w:rPr>
                <w:sz w:val="18"/>
                <w:szCs w:val="18"/>
                <w:lang w:val="es-ES"/>
              </w:rPr>
              <w:t>2021</w:t>
            </w:r>
          </w:p>
        </w:tc>
        <w:tc>
          <w:tcPr>
            <w:tcW w:w="6616" w:type="dxa"/>
            <w:shd w:val="clear" w:color="auto" w:fill="auto"/>
            <w:vAlign w:val="center"/>
          </w:tcPr>
          <w:p w14:paraId="528BDDA4" w14:textId="77777777" w:rsidR="00D510F0" w:rsidRPr="00573EB5" w:rsidRDefault="00D510F0" w:rsidP="00F363AB">
            <w:pPr>
              <w:pStyle w:val="Normal-pool"/>
              <w:spacing w:before="40" w:after="40"/>
              <w:rPr>
                <w:rFonts w:eastAsia="SimSun"/>
                <w:sz w:val="18"/>
                <w:szCs w:val="18"/>
                <w:lang w:val="es-ES_tradnl"/>
              </w:rPr>
            </w:pPr>
            <w:r w:rsidRPr="00573EB5">
              <w:rPr>
                <w:sz w:val="18"/>
                <w:szCs w:val="18"/>
                <w:lang w:val="es-ES"/>
              </w:rPr>
              <w:t>El Plenario revisa y aprueba el documento de análisis inicial y el inicio de la evaluación</w:t>
            </w:r>
          </w:p>
        </w:tc>
      </w:tr>
      <w:tr w:rsidR="00D510F0" w:rsidRPr="00573EB5" w14:paraId="76BD986D" w14:textId="77777777" w:rsidTr="00F363AB">
        <w:trPr>
          <w:trHeight w:val="233"/>
        </w:trPr>
        <w:tc>
          <w:tcPr>
            <w:tcW w:w="1162" w:type="dxa"/>
            <w:vMerge/>
            <w:shd w:val="clear" w:color="auto" w:fill="auto"/>
            <w:vAlign w:val="center"/>
          </w:tcPr>
          <w:p w14:paraId="7EAB6CB3" w14:textId="77777777" w:rsidR="00D510F0" w:rsidRPr="00573EB5" w:rsidRDefault="00D510F0" w:rsidP="00F363AB">
            <w:pPr>
              <w:pStyle w:val="Normal-pool"/>
              <w:spacing w:before="40" w:after="40"/>
              <w:rPr>
                <w:rFonts w:eastAsia="SimSun"/>
                <w:sz w:val="18"/>
                <w:szCs w:val="18"/>
                <w:lang w:val="es-ES_tradnl" w:eastAsia="zh-CN"/>
              </w:rPr>
            </w:pPr>
          </w:p>
        </w:tc>
        <w:tc>
          <w:tcPr>
            <w:tcW w:w="6616" w:type="dxa"/>
            <w:shd w:val="clear" w:color="auto" w:fill="auto"/>
            <w:vAlign w:val="center"/>
          </w:tcPr>
          <w:p w14:paraId="1175FED3" w14:textId="77777777" w:rsidR="00D510F0" w:rsidRPr="00573EB5" w:rsidRDefault="00D510F0" w:rsidP="00F363AB">
            <w:pPr>
              <w:pStyle w:val="Normal-pool"/>
              <w:spacing w:before="40" w:after="40"/>
              <w:rPr>
                <w:rFonts w:eastAsia="SimSun"/>
                <w:sz w:val="18"/>
                <w:szCs w:val="18"/>
                <w:lang w:val="es-ES_tradnl"/>
              </w:rPr>
            </w:pPr>
            <w:r w:rsidRPr="00573EB5">
              <w:rPr>
                <w:sz w:val="18"/>
                <w:szCs w:val="18"/>
                <w:lang w:val="es-ES"/>
              </w:rPr>
              <w:t>Presentación de candidaturas y selección de expertos</w:t>
            </w:r>
          </w:p>
        </w:tc>
      </w:tr>
      <w:tr w:rsidR="00D510F0" w:rsidRPr="00573EB5" w14:paraId="4324FCCC" w14:textId="77777777" w:rsidTr="00F363AB">
        <w:trPr>
          <w:trHeight w:val="271"/>
        </w:trPr>
        <w:tc>
          <w:tcPr>
            <w:tcW w:w="1162" w:type="dxa"/>
            <w:vMerge w:val="restart"/>
            <w:shd w:val="clear" w:color="auto" w:fill="auto"/>
            <w:vAlign w:val="center"/>
          </w:tcPr>
          <w:p w14:paraId="628D7B24" w14:textId="77777777" w:rsidR="00D510F0" w:rsidRPr="00573EB5" w:rsidRDefault="00D510F0" w:rsidP="00F363AB">
            <w:pPr>
              <w:pStyle w:val="Normal-pool"/>
              <w:spacing w:before="40" w:after="40"/>
              <w:rPr>
                <w:rFonts w:eastAsia="SimSun"/>
                <w:sz w:val="18"/>
                <w:szCs w:val="18"/>
              </w:rPr>
            </w:pPr>
            <w:r w:rsidRPr="00573EB5">
              <w:rPr>
                <w:sz w:val="18"/>
                <w:szCs w:val="18"/>
                <w:lang w:val="es-ES"/>
              </w:rPr>
              <w:t>2022</w:t>
            </w:r>
          </w:p>
        </w:tc>
        <w:tc>
          <w:tcPr>
            <w:tcW w:w="6616" w:type="dxa"/>
            <w:shd w:val="clear" w:color="auto" w:fill="auto"/>
            <w:vAlign w:val="center"/>
          </w:tcPr>
          <w:p w14:paraId="68BA037F" w14:textId="77777777" w:rsidR="00D510F0" w:rsidRPr="00573EB5" w:rsidRDefault="00D510F0" w:rsidP="00F363AB">
            <w:pPr>
              <w:pStyle w:val="Normal-pool"/>
              <w:spacing w:before="40" w:after="40"/>
              <w:rPr>
                <w:rFonts w:eastAsia="SimSun"/>
                <w:sz w:val="18"/>
                <w:szCs w:val="18"/>
                <w:lang w:val="es-ES_tradnl"/>
              </w:rPr>
            </w:pPr>
            <w:r w:rsidRPr="00573EB5">
              <w:rPr>
                <w:sz w:val="18"/>
                <w:szCs w:val="18"/>
                <w:lang w:val="es-ES"/>
              </w:rPr>
              <w:t>Reunión del comité de gestión</w:t>
            </w:r>
          </w:p>
        </w:tc>
      </w:tr>
      <w:tr w:rsidR="00D510F0" w:rsidRPr="00573EB5" w14:paraId="1EAB62D4" w14:textId="77777777" w:rsidTr="00F363AB">
        <w:trPr>
          <w:trHeight w:val="189"/>
        </w:trPr>
        <w:tc>
          <w:tcPr>
            <w:tcW w:w="1162" w:type="dxa"/>
            <w:vMerge/>
            <w:shd w:val="clear" w:color="auto" w:fill="auto"/>
            <w:vAlign w:val="center"/>
          </w:tcPr>
          <w:p w14:paraId="7D02F9E5" w14:textId="77777777" w:rsidR="00D510F0" w:rsidRPr="00573EB5" w:rsidRDefault="00D510F0" w:rsidP="00F363AB">
            <w:pPr>
              <w:pStyle w:val="Normal-pool"/>
              <w:spacing w:before="40" w:after="40"/>
              <w:rPr>
                <w:rFonts w:eastAsia="SimSun"/>
                <w:sz w:val="18"/>
                <w:szCs w:val="18"/>
                <w:lang w:val="es-ES_tradnl" w:eastAsia="zh-CN"/>
              </w:rPr>
            </w:pPr>
          </w:p>
        </w:tc>
        <w:tc>
          <w:tcPr>
            <w:tcW w:w="6616" w:type="dxa"/>
            <w:shd w:val="clear" w:color="auto" w:fill="auto"/>
            <w:vAlign w:val="center"/>
          </w:tcPr>
          <w:p w14:paraId="7639B395" w14:textId="77777777" w:rsidR="00D510F0" w:rsidRPr="00573EB5" w:rsidRDefault="00D510F0" w:rsidP="00F363AB">
            <w:pPr>
              <w:pStyle w:val="Normal-pool"/>
              <w:spacing w:before="40" w:after="40"/>
              <w:rPr>
                <w:rFonts w:eastAsia="SimSun"/>
                <w:sz w:val="18"/>
                <w:szCs w:val="18"/>
              </w:rPr>
            </w:pPr>
            <w:r w:rsidRPr="00573EB5">
              <w:rPr>
                <w:sz w:val="18"/>
                <w:szCs w:val="18"/>
                <w:lang w:val="es-ES"/>
              </w:rPr>
              <w:t>Primera reunión de autores</w:t>
            </w:r>
          </w:p>
        </w:tc>
      </w:tr>
      <w:tr w:rsidR="00D510F0" w:rsidRPr="00573EB5" w14:paraId="4A052A6D" w14:textId="77777777" w:rsidTr="00F363AB">
        <w:trPr>
          <w:trHeight w:val="298"/>
        </w:trPr>
        <w:tc>
          <w:tcPr>
            <w:tcW w:w="1162" w:type="dxa"/>
            <w:vMerge/>
            <w:shd w:val="clear" w:color="auto" w:fill="auto"/>
            <w:vAlign w:val="center"/>
          </w:tcPr>
          <w:p w14:paraId="2FFB10B2" w14:textId="77777777" w:rsidR="00D510F0" w:rsidRPr="00573EB5" w:rsidRDefault="00D510F0" w:rsidP="00F363AB">
            <w:pPr>
              <w:pStyle w:val="Normal-pool"/>
              <w:spacing w:before="40" w:after="40"/>
              <w:rPr>
                <w:rFonts w:eastAsia="SimSun"/>
                <w:sz w:val="18"/>
                <w:szCs w:val="18"/>
                <w:lang w:eastAsia="zh-CN"/>
              </w:rPr>
            </w:pPr>
          </w:p>
        </w:tc>
        <w:tc>
          <w:tcPr>
            <w:tcW w:w="6616" w:type="dxa"/>
            <w:shd w:val="clear" w:color="auto" w:fill="auto"/>
            <w:vAlign w:val="center"/>
          </w:tcPr>
          <w:p w14:paraId="4DBC408C" w14:textId="77777777" w:rsidR="00D510F0" w:rsidRPr="00573EB5" w:rsidRDefault="00D510F0" w:rsidP="00F363AB">
            <w:pPr>
              <w:pStyle w:val="Normal-pool"/>
              <w:spacing w:before="40" w:after="40"/>
              <w:rPr>
                <w:rFonts w:eastAsia="SimSun"/>
                <w:sz w:val="18"/>
                <w:szCs w:val="18"/>
                <w:lang w:val="es-ES_tradnl"/>
              </w:rPr>
            </w:pPr>
            <w:r w:rsidRPr="00573EB5">
              <w:rPr>
                <w:sz w:val="18"/>
                <w:szCs w:val="18"/>
                <w:lang w:val="es-ES"/>
              </w:rPr>
              <w:t>Primer diálogo sobre conocimientos indígenas y locales</w:t>
            </w:r>
          </w:p>
        </w:tc>
      </w:tr>
      <w:tr w:rsidR="00D510F0" w:rsidRPr="00573EB5" w14:paraId="706E55E5" w14:textId="77777777" w:rsidTr="00F363AB">
        <w:trPr>
          <w:trHeight w:val="64"/>
        </w:trPr>
        <w:tc>
          <w:tcPr>
            <w:tcW w:w="1162" w:type="dxa"/>
            <w:vMerge w:val="restart"/>
            <w:shd w:val="clear" w:color="auto" w:fill="auto"/>
            <w:vAlign w:val="center"/>
          </w:tcPr>
          <w:p w14:paraId="43398332" w14:textId="77777777" w:rsidR="00D510F0" w:rsidRPr="00573EB5" w:rsidRDefault="00D510F0" w:rsidP="00F363AB">
            <w:pPr>
              <w:pStyle w:val="Normal-pool"/>
              <w:spacing w:before="40" w:after="40"/>
              <w:rPr>
                <w:rFonts w:eastAsia="SimSun"/>
                <w:sz w:val="18"/>
                <w:szCs w:val="18"/>
              </w:rPr>
            </w:pPr>
            <w:r w:rsidRPr="00573EB5">
              <w:rPr>
                <w:sz w:val="18"/>
                <w:szCs w:val="18"/>
                <w:lang w:val="es-ES"/>
              </w:rPr>
              <w:t>2023</w:t>
            </w:r>
          </w:p>
        </w:tc>
        <w:tc>
          <w:tcPr>
            <w:tcW w:w="6616" w:type="dxa"/>
            <w:shd w:val="clear" w:color="auto" w:fill="auto"/>
            <w:vAlign w:val="center"/>
          </w:tcPr>
          <w:p w14:paraId="106AE8B6" w14:textId="77777777" w:rsidR="00D510F0" w:rsidRPr="00573EB5" w:rsidRDefault="00D510F0" w:rsidP="00F363AB">
            <w:pPr>
              <w:pStyle w:val="Normal-pool"/>
              <w:spacing w:before="40" w:after="40"/>
              <w:rPr>
                <w:rFonts w:eastAsia="SimSun"/>
                <w:sz w:val="18"/>
                <w:szCs w:val="18"/>
                <w:lang w:val="es-ES_tradnl"/>
              </w:rPr>
            </w:pPr>
            <w:r w:rsidRPr="00573EB5">
              <w:rPr>
                <w:sz w:val="18"/>
                <w:szCs w:val="18"/>
                <w:lang w:val="es-ES"/>
              </w:rPr>
              <w:t>Primer examen: revisión del primer borrador de los capítulos de la evaluación</w:t>
            </w:r>
          </w:p>
        </w:tc>
      </w:tr>
      <w:tr w:rsidR="00D510F0" w:rsidRPr="00573EB5" w14:paraId="59A70A63" w14:textId="77777777" w:rsidTr="00F363AB">
        <w:trPr>
          <w:trHeight w:val="64"/>
        </w:trPr>
        <w:tc>
          <w:tcPr>
            <w:tcW w:w="1162" w:type="dxa"/>
            <w:vMerge/>
            <w:shd w:val="clear" w:color="auto" w:fill="auto"/>
            <w:vAlign w:val="center"/>
          </w:tcPr>
          <w:p w14:paraId="53E232D8" w14:textId="77777777" w:rsidR="00D510F0" w:rsidRPr="00573EB5" w:rsidRDefault="00D510F0" w:rsidP="00F363AB">
            <w:pPr>
              <w:pStyle w:val="Normal-pool"/>
              <w:spacing w:before="40" w:after="40"/>
              <w:jc w:val="center"/>
              <w:rPr>
                <w:rFonts w:eastAsia="SimSun"/>
                <w:sz w:val="18"/>
                <w:szCs w:val="18"/>
                <w:lang w:val="es-ES_tradnl" w:eastAsia="zh-CN"/>
              </w:rPr>
            </w:pPr>
          </w:p>
        </w:tc>
        <w:tc>
          <w:tcPr>
            <w:tcW w:w="6616" w:type="dxa"/>
            <w:shd w:val="clear" w:color="auto" w:fill="auto"/>
            <w:vAlign w:val="center"/>
          </w:tcPr>
          <w:p w14:paraId="27C55DAA" w14:textId="77777777" w:rsidR="00D510F0" w:rsidRPr="00573EB5" w:rsidRDefault="00D510F0" w:rsidP="00F363AB">
            <w:pPr>
              <w:pStyle w:val="Normal-pool"/>
              <w:spacing w:before="40" w:after="40"/>
              <w:rPr>
                <w:rFonts w:eastAsia="SimSun"/>
                <w:sz w:val="18"/>
                <w:szCs w:val="18"/>
                <w:lang w:val="es-ES_tradnl"/>
              </w:rPr>
            </w:pPr>
            <w:r w:rsidRPr="00573EB5">
              <w:rPr>
                <w:sz w:val="18"/>
                <w:szCs w:val="18"/>
                <w:lang w:val="es-ES"/>
              </w:rPr>
              <w:t>Segundo diálogo sobre conocimientos indígenas y locales</w:t>
            </w:r>
          </w:p>
        </w:tc>
      </w:tr>
      <w:tr w:rsidR="00D510F0" w:rsidRPr="00573EB5" w14:paraId="41733177" w14:textId="77777777" w:rsidTr="00F363AB">
        <w:trPr>
          <w:trHeight w:val="242"/>
        </w:trPr>
        <w:tc>
          <w:tcPr>
            <w:tcW w:w="1162" w:type="dxa"/>
            <w:vMerge/>
            <w:shd w:val="clear" w:color="auto" w:fill="auto"/>
            <w:vAlign w:val="center"/>
          </w:tcPr>
          <w:p w14:paraId="78466AAD" w14:textId="77777777" w:rsidR="00D510F0" w:rsidRPr="00573EB5" w:rsidRDefault="00D510F0" w:rsidP="00F363AB">
            <w:pPr>
              <w:pStyle w:val="Normal-pool"/>
              <w:spacing w:before="40" w:after="40"/>
              <w:jc w:val="center"/>
              <w:rPr>
                <w:rFonts w:eastAsia="SimSun"/>
                <w:sz w:val="18"/>
                <w:szCs w:val="18"/>
                <w:lang w:val="es-ES_tradnl" w:eastAsia="zh-CN"/>
              </w:rPr>
            </w:pPr>
          </w:p>
        </w:tc>
        <w:tc>
          <w:tcPr>
            <w:tcW w:w="6616" w:type="dxa"/>
            <w:shd w:val="clear" w:color="auto" w:fill="auto"/>
            <w:vAlign w:val="center"/>
          </w:tcPr>
          <w:p w14:paraId="40777292" w14:textId="77777777" w:rsidR="00D510F0" w:rsidRPr="00573EB5" w:rsidRDefault="00D510F0" w:rsidP="00F363AB">
            <w:pPr>
              <w:pStyle w:val="Normal-pool"/>
              <w:spacing w:before="40" w:after="40"/>
              <w:rPr>
                <w:rFonts w:eastAsia="SimSun"/>
                <w:sz w:val="18"/>
                <w:szCs w:val="18"/>
              </w:rPr>
            </w:pPr>
            <w:r w:rsidRPr="00573EB5">
              <w:rPr>
                <w:sz w:val="18"/>
                <w:szCs w:val="18"/>
                <w:lang w:val="es-ES"/>
              </w:rPr>
              <w:t>Segunda reunión de autores</w:t>
            </w:r>
          </w:p>
        </w:tc>
      </w:tr>
      <w:tr w:rsidR="00D510F0" w:rsidRPr="00573EB5" w14:paraId="2DC45E23" w14:textId="77777777" w:rsidTr="00F363AB">
        <w:trPr>
          <w:trHeight w:val="280"/>
        </w:trPr>
        <w:tc>
          <w:tcPr>
            <w:tcW w:w="1162" w:type="dxa"/>
            <w:vMerge/>
            <w:shd w:val="clear" w:color="auto" w:fill="auto"/>
            <w:vAlign w:val="center"/>
          </w:tcPr>
          <w:p w14:paraId="7B3D87AE" w14:textId="77777777" w:rsidR="00D510F0" w:rsidRPr="00573EB5" w:rsidRDefault="00D510F0" w:rsidP="00F363AB">
            <w:pPr>
              <w:pStyle w:val="Normal-pool"/>
              <w:spacing w:before="40" w:after="40"/>
              <w:jc w:val="center"/>
              <w:rPr>
                <w:rFonts w:eastAsia="SimSun"/>
                <w:sz w:val="18"/>
                <w:szCs w:val="18"/>
                <w:lang w:eastAsia="zh-CN"/>
              </w:rPr>
            </w:pPr>
          </w:p>
        </w:tc>
        <w:tc>
          <w:tcPr>
            <w:tcW w:w="6616" w:type="dxa"/>
            <w:shd w:val="clear" w:color="auto" w:fill="auto"/>
            <w:vAlign w:val="center"/>
          </w:tcPr>
          <w:p w14:paraId="028B1C2B" w14:textId="77777777" w:rsidR="00D510F0" w:rsidRPr="00573EB5" w:rsidRDefault="00D510F0" w:rsidP="00F363AB">
            <w:pPr>
              <w:pStyle w:val="Normal-pool"/>
              <w:spacing w:before="40" w:after="40"/>
              <w:rPr>
                <w:rFonts w:eastAsia="SimSun"/>
                <w:sz w:val="18"/>
                <w:szCs w:val="18"/>
                <w:lang w:val="es-ES_tradnl"/>
              </w:rPr>
            </w:pPr>
            <w:r w:rsidRPr="00573EB5">
              <w:rPr>
                <w:sz w:val="18"/>
                <w:szCs w:val="18"/>
                <w:lang w:val="es-ES"/>
              </w:rPr>
              <w:t>Primera reunión para elaborar el resumen para los encargados de la formulación de políticas (copresidentes y autores principales encargados de la coordinación)</w:t>
            </w:r>
          </w:p>
        </w:tc>
      </w:tr>
      <w:tr w:rsidR="00D510F0" w:rsidRPr="00573EB5" w14:paraId="5F4A54AA" w14:textId="77777777" w:rsidTr="00F363AB">
        <w:trPr>
          <w:trHeight w:val="177"/>
        </w:trPr>
        <w:tc>
          <w:tcPr>
            <w:tcW w:w="1162" w:type="dxa"/>
            <w:vMerge w:val="restart"/>
            <w:tcBorders>
              <w:bottom w:val="single" w:sz="12" w:space="0" w:color="auto"/>
            </w:tcBorders>
            <w:shd w:val="clear" w:color="auto" w:fill="auto"/>
            <w:vAlign w:val="center"/>
          </w:tcPr>
          <w:p w14:paraId="615C2740" w14:textId="77777777" w:rsidR="00D510F0" w:rsidRPr="00573EB5" w:rsidRDefault="00D510F0" w:rsidP="00F363AB">
            <w:pPr>
              <w:pStyle w:val="Normal-pool"/>
              <w:keepNext/>
              <w:keepLines/>
              <w:spacing w:before="40" w:after="40"/>
              <w:rPr>
                <w:rFonts w:eastAsia="SimSun"/>
                <w:sz w:val="18"/>
                <w:szCs w:val="18"/>
              </w:rPr>
            </w:pPr>
            <w:r w:rsidRPr="00573EB5">
              <w:rPr>
                <w:sz w:val="18"/>
                <w:szCs w:val="18"/>
                <w:lang w:val="es-ES"/>
              </w:rPr>
              <w:t>2024</w:t>
            </w:r>
          </w:p>
        </w:tc>
        <w:tc>
          <w:tcPr>
            <w:tcW w:w="6616" w:type="dxa"/>
            <w:shd w:val="clear" w:color="auto" w:fill="auto"/>
            <w:vAlign w:val="center"/>
          </w:tcPr>
          <w:p w14:paraId="275ABE7C" w14:textId="04617A80" w:rsidR="00D510F0" w:rsidRPr="00573EB5" w:rsidRDefault="00D510F0" w:rsidP="00F363AB">
            <w:pPr>
              <w:pStyle w:val="Normal-pool"/>
              <w:keepNext/>
              <w:keepLines/>
              <w:spacing w:before="40" w:after="40"/>
              <w:rPr>
                <w:rFonts w:eastAsia="SimSun"/>
                <w:sz w:val="18"/>
                <w:szCs w:val="18"/>
                <w:lang w:val="es-ES_tradnl"/>
              </w:rPr>
            </w:pPr>
            <w:r w:rsidRPr="00573EB5">
              <w:rPr>
                <w:sz w:val="18"/>
                <w:szCs w:val="18"/>
                <w:lang w:val="es-ES"/>
              </w:rPr>
              <w:t xml:space="preserve">Segundo examen: revisión del segundo borrador de los capítulos de la evaluación </w:t>
            </w:r>
            <w:r w:rsidR="000E033B" w:rsidRPr="00573EB5">
              <w:rPr>
                <w:sz w:val="18"/>
                <w:szCs w:val="18"/>
                <w:lang w:val="es-ES"/>
              </w:rPr>
              <w:t>y del</w:t>
            </w:r>
            <w:r w:rsidRPr="00573EB5">
              <w:rPr>
                <w:sz w:val="18"/>
                <w:szCs w:val="18"/>
                <w:lang w:val="es-ES"/>
              </w:rPr>
              <w:t xml:space="preserve"> primer borrador del resumen para los encargados de la formulación de políticas</w:t>
            </w:r>
          </w:p>
        </w:tc>
      </w:tr>
      <w:tr w:rsidR="00D510F0" w:rsidRPr="00573EB5" w14:paraId="4EDD24D8" w14:textId="77777777" w:rsidTr="00F363AB">
        <w:trPr>
          <w:trHeight w:val="64"/>
        </w:trPr>
        <w:tc>
          <w:tcPr>
            <w:tcW w:w="1162" w:type="dxa"/>
            <w:vMerge/>
            <w:tcBorders>
              <w:bottom w:val="single" w:sz="12" w:space="0" w:color="auto"/>
            </w:tcBorders>
            <w:shd w:val="clear" w:color="auto" w:fill="auto"/>
            <w:vAlign w:val="center"/>
          </w:tcPr>
          <w:p w14:paraId="419EF1BF" w14:textId="77777777" w:rsidR="00D510F0" w:rsidRPr="00573EB5" w:rsidRDefault="00D510F0" w:rsidP="00F363AB">
            <w:pPr>
              <w:pStyle w:val="Normal-pool"/>
              <w:keepNext/>
              <w:keepLines/>
              <w:spacing w:before="40" w:after="40"/>
              <w:jc w:val="center"/>
              <w:rPr>
                <w:rFonts w:eastAsia="SimSun"/>
                <w:sz w:val="18"/>
                <w:szCs w:val="18"/>
                <w:lang w:val="es-ES_tradnl" w:eastAsia="zh-CN"/>
              </w:rPr>
            </w:pPr>
          </w:p>
        </w:tc>
        <w:tc>
          <w:tcPr>
            <w:tcW w:w="6616" w:type="dxa"/>
            <w:shd w:val="clear" w:color="auto" w:fill="auto"/>
            <w:vAlign w:val="center"/>
          </w:tcPr>
          <w:p w14:paraId="09AD0D1F" w14:textId="77777777" w:rsidR="00D510F0" w:rsidRPr="00573EB5" w:rsidRDefault="00D510F0" w:rsidP="00F363AB">
            <w:pPr>
              <w:pStyle w:val="Normal-pool"/>
              <w:keepNext/>
              <w:keepLines/>
              <w:spacing w:before="40" w:after="40"/>
              <w:rPr>
                <w:rFonts w:eastAsia="SimSun"/>
                <w:sz w:val="18"/>
                <w:szCs w:val="18"/>
                <w:lang w:val="es-ES_tradnl"/>
              </w:rPr>
            </w:pPr>
            <w:r w:rsidRPr="00573EB5">
              <w:rPr>
                <w:sz w:val="18"/>
                <w:szCs w:val="18"/>
                <w:lang w:val="es-ES"/>
              </w:rPr>
              <w:t>Tercer diálogo sobre conocimientos indígenas y locales</w:t>
            </w:r>
          </w:p>
        </w:tc>
      </w:tr>
      <w:tr w:rsidR="00D510F0" w:rsidRPr="00573EB5" w14:paraId="5A251FFF" w14:textId="77777777" w:rsidTr="00F363AB">
        <w:trPr>
          <w:trHeight w:val="277"/>
        </w:trPr>
        <w:tc>
          <w:tcPr>
            <w:tcW w:w="1162" w:type="dxa"/>
            <w:vMerge/>
            <w:tcBorders>
              <w:bottom w:val="single" w:sz="12" w:space="0" w:color="auto"/>
            </w:tcBorders>
            <w:shd w:val="clear" w:color="auto" w:fill="auto"/>
            <w:vAlign w:val="center"/>
          </w:tcPr>
          <w:p w14:paraId="14DB505B" w14:textId="77777777" w:rsidR="00D510F0" w:rsidRPr="00573EB5" w:rsidRDefault="00D510F0" w:rsidP="00F363AB">
            <w:pPr>
              <w:pStyle w:val="Normal-pool"/>
              <w:keepNext/>
              <w:keepLines/>
              <w:spacing w:before="40" w:after="40"/>
              <w:jc w:val="center"/>
              <w:rPr>
                <w:rFonts w:eastAsia="SimSun"/>
                <w:sz w:val="18"/>
                <w:szCs w:val="18"/>
                <w:lang w:val="es-ES_tradnl" w:eastAsia="zh-CN"/>
              </w:rPr>
            </w:pPr>
          </w:p>
        </w:tc>
        <w:tc>
          <w:tcPr>
            <w:tcW w:w="6616" w:type="dxa"/>
            <w:shd w:val="clear" w:color="auto" w:fill="auto"/>
            <w:vAlign w:val="center"/>
          </w:tcPr>
          <w:p w14:paraId="3CA67D63" w14:textId="77777777" w:rsidR="00D510F0" w:rsidRPr="00573EB5" w:rsidRDefault="00D510F0" w:rsidP="00F363AB">
            <w:pPr>
              <w:pStyle w:val="Normal-pool"/>
              <w:keepNext/>
              <w:keepLines/>
              <w:spacing w:before="40" w:after="40"/>
              <w:rPr>
                <w:rFonts w:eastAsia="SimSun"/>
                <w:sz w:val="18"/>
                <w:szCs w:val="18"/>
              </w:rPr>
            </w:pPr>
            <w:r w:rsidRPr="00573EB5">
              <w:rPr>
                <w:sz w:val="18"/>
                <w:szCs w:val="18"/>
                <w:lang w:val="es-ES"/>
              </w:rPr>
              <w:t>Tercera reunión de autores</w:t>
            </w:r>
          </w:p>
        </w:tc>
      </w:tr>
      <w:tr w:rsidR="00D510F0" w:rsidRPr="00573EB5" w14:paraId="6AAFBB16" w14:textId="77777777" w:rsidTr="00F363AB">
        <w:trPr>
          <w:trHeight w:val="277"/>
        </w:trPr>
        <w:tc>
          <w:tcPr>
            <w:tcW w:w="1162" w:type="dxa"/>
            <w:vMerge/>
            <w:tcBorders>
              <w:bottom w:val="single" w:sz="12" w:space="0" w:color="auto"/>
            </w:tcBorders>
            <w:shd w:val="clear" w:color="auto" w:fill="auto"/>
            <w:vAlign w:val="center"/>
          </w:tcPr>
          <w:p w14:paraId="5D495C17" w14:textId="77777777" w:rsidR="00D510F0" w:rsidRPr="00573EB5" w:rsidRDefault="00D510F0" w:rsidP="00F363AB">
            <w:pPr>
              <w:pStyle w:val="Normal-pool"/>
              <w:keepNext/>
              <w:keepLines/>
              <w:spacing w:before="40" w:after="40"/>
              <w:jc w:val="center"/>
              <w:rPr>
                <w:rFonts w:eastAsia="SimSun"/>
                <w:sz w:val="18"/>
                <w:szCs w:val="18"/>
                <w:lang w:eastAsia="zh-CN"/>
              </w:rPr>
            </w:pPr>
          </w:p>
        </w:tc>
        <w:tc>
          <w:tcPr>
            <w:tcW w:w="6616" w:type="dxa"/>
            <w:shd w:val="clear" w:color="auto" w:fill="auto"/>
            <w:vAlign w:val="center"/>
          </w:tcPr>
          <w:p w14:paraId="625ED21E" w14:textId="1B777237" w:rsidR="00D510F0" w:rsidRPr="00573EB5" w:rsidRDefault="00D510F0" w:rsidP="00F363AB">
            <w:pPr>
              <w:pStyle w:val="Normal-pool"/>
              <w:keepNext/>
              <w:keepLines/>
              <w:spacing w:before="40" w:after="40"/>
              <w:rPr>
                <w:rFonts w:eastAsia="SimSun"/>
                <w:sz w:val="18"/>
                <w:szCs w:val="18"/>
                <w:lang w:val="es-ES_tradnl"/>
              </w:rPr>
            </w:pPr>
            <w:r w:rsidRPr="00573EB5">
              <w:rPr>
                <w:sz w:val="18"/>
                <w:szCs w:val="18"/>
                <w:lang w:val="es-ES"/>
              </w:rPr>
              <w:t>Tercer examen: revisión del segundo borrador del resumen para los encargados de la formulación de políticas</w:t>
            </w:r>
          </w:p>
        </w:tc>
      </w:tr>
      <w:tr w:rsidR="00D510F0" w:rsidRPr="00573EB5" w14:paraId="5067E357" w14:textId="77777777" w:rsidTr="00F363AB">
        <w:trPr>
          <w:trHeight w:val="277"/>
        </w:trPr>
        <w:tc>
          <w:tcPr>
            <w:tcW w:w="1162" w:type="dxa"/>
            <w:vMerge/>
            <w:tcBorders>
              <w:bottom w:val="single" w:sz="12" w:space="0" w:color="auto"/>
            </w:tcBorders>
            <w:shd w:val="clear" w:color="auto" w:fill="auto"/>
            <w:vAlign w:val="center"/>
          </w:tcPr>
          <w:p w14:paraId="72A9344C" w14:textId="77777777" w:rsidR="00D510F0" w:rsidRPr="00573EB5" w:rsidRDefault="00D510F0" w:rsidP="00F363AB">
            <w:pPr>
              <w:pStyle w:val="Normal-pool"/>
              <w:keepNext/>
              <w:keepLines/>
              <w:spacing w:before="40" w:after="40"/>
              <w:jc w:val="center"/>
              <w:rPr>
                <w:rFonts w:eastAsia="SimSun"/>
                <w:sz w:val="18"/>
                <w:szCs w:val="18"/>
                <w:lang w:val="es-ES_tradnl" w:eastAsia="zh-CN"/>
              </w:rPr>
            </w:pPr>
          </w:p>
        </w:tc>
        <w:tc>
          <w:tcPr>
            <w:tcW w:w="6616" w:type="dxa"/>
            <w:shd w:val="clear" w:color="auto" w:fill="auto"/>
            <w:vAlign w:val="center"/>
          </w:tcPr>
          <w:p w14:paraId="60484ABB" w14:textId="77777777" w:rsidR="00D510F0" w:rsidRPr="00573EB5" w:rsidRDefault="00D510F0" w:rsidP="00F363AB">
            <w:pPr>
              <w:pStyle w:val="Normal-pool"/>
              <w:keepNext/>
              <w:keepLines/>
              <w:spacing w:before="40" w:after="40"/>
              <w:rPr>
                <w:rFonts w:eastAsia="SimSun"/>
                <w:sz w:val="18"/>
                <w:szCs w:val="18"/>
                <w:lang w:val="es-ES_tradnl"/>
              </w:rPr>
            </w:pPr>
            <w:r w:rsidRPr="00573EB5">
              <w:rPr>
                <w:sz w:val="18"/>
                <w:szCs w:val="18"/>
                <w:lang w:val="es-ES"/>
              </w:rPr>
              <w:t>Segunda reunión para revisar el resumen para los encargados de la formulación de políticas (copresidentes y autores principales encargados de la coordinación)</w:t>
            </w:r>
          </w:p>
        </w:tc>
      </w:tr>
      <w:tr w:rsidR="00D510F0" w:rsidRPr="00573EB5" w14:paraId="3B550F4F" w14:textId="77777777" w:rsidTr="00F363AB">
        <w:trPr>
          <w:trHeight w:val="277"/>
        </w:trPr>
        <w:tc>
          <w:tcPr>
            <w:tcW w:w="1162" w:type="dxa"/>
            <w:vMerge/>
            <w:tcBorders>
              <w:bottom w:val="single" w:sz="12" w:space="0" w:color="auto"/>
            </w:tcBorders>
            <w:shd w:val="clear" w:color="auto" w:fill="auto"/>
            <w:vAlign w:val="center"/>
          </w:tcPr>
          <w:p w14:paraId="3C8960AA" w14:textId="77777777" w:rsidR="00D510F0" w:rsidRPr="00573EB5" w:rsidRDefault="00D510F0" w:rsidP="00F363AB">
            <w:pPr>
              <w:pStyle w:val="Normal-pool"/>
              <w:keepNext/>
              <w:keepLines/>
              <w:spacing w:before="40" w:after="40"/>
              <w:jc w:val="center"/>
              <w:rPr>
                <w:rFonts w:eastAsia="SimSun"/>
                <w:sz w:val="18"/>
                <w:szCs w:val="18"/>
                <w:lang w:val="es-ES_tradnl" w:eastAsia="zh-CN"/>
              </w:rPr>
            </w:pPr>
          </w:p>
        </w:tc>
        <w:tc>
          <w:tcPr>
            <w:tcW w:w="6616" w:type="dxa"/>
            <w:shd w:val="clear" w:color="auto" w:fill="auto"/>
            <w:vAlign w:val="center"/>
          </w:tcPr>
          <w:p w14:paraId="7D4E2E59" w14:textId="77777777" w:rsidR="00D510F0" w:rsidRPr="00573EB5" w:rsidRDefault="00D510F0" w:rsidP="00F363AB">
            <w:pPr>
              <w:pStyle w:val="Normal-pool"/>
              <w:keepNext/>
              <w:keepLines/>
              <w:spacing w:before="40" w:after="40"/>
              <w:rPr>
                <w:rFonts w:eastAsia="SimSun"/>
                <w:sz w:val="18"/>
                <w:szCs w:val="18"/>
                <w:lang w:val="es-ES_tradnl"/>
              </w:rPr>
            </w:pPr>
            <w:r w:rsidRPr="00573EB5">
              <w:rPr>
                <w:sz w:val="18"/>
                <w:szCs w:val="18"/>
                <w:lang w:val="es-ES"/>
              </w:rPr>
              <w:t>Revisión final del resumen para los encargados de la formulación de políticas por parte de los Gobiernos</w:t>
            </w:r>
          </w:p>
        </w:tc>
      </w:tr>
      <w:tr w:rsidR="00D510F0" w:rsidRPr="00573EB5" w14:paraId="2B9419C8" w14:textId="77777777" w:rsidTr="00F363AB">
        <w:trPr>
          <w:trHeight w:val="277"/>
        </w:trPr>
        <w:tc>
          <w:tcPr>
            <w:tcW w:w="1162" w:type="dxa"/>
            <w:vMerge/>
            <w:tcBorders>
              <w:bottom w:val="single" w:sz="12" w:space="0" w:color="auto"/>
            </w:tcBorders>
            <w:shd w:val="clear" w:color="auto" w:fill="auto"/>
            <w:vAlign w:val="center"/>
          </w:tcPr>
          <w:p w14:paraId="493910A8" w14:textId="77777777" w:rsidR="00D510F0" w:rsidRPr="00573EB5" w:rsidRDefault="00D510F0" w:rsidP="00F363AB">
            <w:pPr>
              <w:pStyle w:val="Normal-pool"/>
              <w:keepNext/>
              <w:keepLines/>
              <w:spacing w:before="40" w:after="40"/>
              <w:jc w:val="center"/>
              <w:rPr>
                <w:rFonts w:eastAsia="SimSun"/>
                <w:sz w:val="18"/>
                <w:szCs w:val="18"/>
                <w:lang w:val="es-ES_tradnl" w:eastAsia="zh-CN"/>
              </w:rPr>
            </w:pPr>
          </w:p>
        </w:tc>
        <w:tc>
          <w:tcPr>
            <w:tcW w:w="6616" w:type="dxa"/>
            <w:shd w:val="clear" w:color="auto" w:fill="auto"/>
            <w:vAlign w:val="center"/>
          </w:tcPr>
          <w:p w14:paraId="2D40D765" w14:textId="77777777" w:rsidR="00D510F0" w:rsidRPr="00573EB5" w:rsidRDefault="00D510F0" w:rsidP="00F363AB">
            <w:pPr>
              <w:pStyle w:val="Normal-pool"/>
              <w:keepNext/>
              <w:keepLines/>
              <w:spacing w:before="40" w:after="40"/>
              <w:rPr>
                <w:rFonts w:eastAsia="SimSun"/>
                <w:sz w:val="18"/>
                <w:szCs w:val="18"/>
                <w:lang w:val="es-ES_tradnl"/>
              </w:rPr>
            </w:pPr>
            <w:r w:rsidRPr="00573EB5">
              <w:rPr>
                <w:sz w:val="18"/>
                <w:szCs w:val="18"/>
                <w:lang w:val="es-ES"/>
              </w:rPr>
              <w:t>Examen de la evaluación por el Plenario</w:t>
            </w:r>
          </w:p>
        </w:tc>
      </w:tr>
      <w:tr w:rsidR="00D510F0" w:rsidRPr="00573EB5" w14:paraId="0A7D576B" w14:textId="77777777" w:rsidTr="00F363AB">
        <w:trPr>
          <w:trHeight w:val="271"/>
        </w:trPr>
        <w:tc>
          <w:tcPr>
            <w:tcW w:w="1162" w:type="dxa"/>
            <w:vMerge/>
            <w:tcBorders>
              <w:bottom w:val="single" w:sz="12" w:space="0" w:color="auto"/>
            </w:tcBorders>
            <w:shd w:val="clear" w:color="auto" w:fill="auto"/>
            <w:vAlign w:val="center"/>
          </w:tcPr>
          <w:p w14:paraId="6BADCA32" w14:textId="77777777" w:rsidR="00D510F0" w:rsidRPr="00573EB5" w:rsidRDefault="00D510F0" w:rsidP="00F363AB">
            <w:pPr>
              <w:pStyle w:val="Normal-pool"/>
              <w:keepNext/>
              <w:keepLines/>
              <w:spacing w:before="40" w:after="40"/>
              <w:jc w:val="center"/>
              <w:rPr>
                <w:rFonts w:eastAsia="SimSun"/>
                <w:sz w:val="18"/>
                <w:szCs w:val="18"/>
                <w:lang w:val="es-ES_tradnl" w:eastAsia="zh-CN"/>
              </w:rPr>
            </w:pPr>
          </w:p>
        </w:tc>
        <w:tc>
          <w:tcPr>
            <w:tcW w:w="6616" w:type="dxa"/>
            <w:tcBorders>
              <w:bottom w:val="single" w:sz="12" w:space="0" w:color="auto"/>
            </w:tcBorders>
            <w:shd w:val="clear" w:color="auto" w:fill="auto"/>
            <w:vAlign w:val="center"/>
          </w:tcPr>
          <w:p w14:paraId="0532D761" w14:textId="77777777" w:rsidR="00D510F0" w:rsidRPr="00573EB5" w:rsidRDefault="00D510F0" w:rsidP="00F363AB">
            <w:pPr>
              <w:pStyle w:val="Normal-pool"/>
              <w:keepNext/>
              <w:keepLines/>
              <w:spacing w:before="40" w:after="40"/>
              <w:rPr>
                <w:rFonts w:eastAsia="SimSun"/>
                <w:sz w:val="18"/>
                <w:szCs w:val="18"/>
                <w:lang w:val="es-ES_tradnl"/>
              </w:rPr>
            </w:pPr>
            <w:r w:rsidRPr="00573EB5">
              <w:rPr>
                <w:sz w:val="18"/>
                <w:szCs w:val="18"/>
                <w:lang w:val="es-ES"/>
              </w:rPr>
              <w:t>Diseño, maquetación, distribución y divulgación</w:t>
            </w:r>
          </w:p>
        </w:tc>
      </w:tr>
    </w:tbl>
    <w:p w14:paraId="058F59AC" w14:textId="79EF274D" w:rsidR="003B27F2" w:rsidRPr="006361AF" w:rsidRDefault="006361AF" w:rsidP="004312BB">
      <w:pPr>
        <w:pStyle w:val="CH2"/>
        <w:spacing w:before="240"/>
        <w:rPr>
          <w:lang w:val="es-ES_tradnl"/>
        </w:rPr>
      </w:pPr>
      <w:r>
        <w:rPr>
          <w:lang w:val="es-ES"/>
        </w:rPr>
        <w:tab/>
      </w:r>
      <w:r w:rsidR="00771BDE">
        <w:rPr>
          <w:lang w:val="es-ES"/>
        </w:rPr>
        <w:t>D.</w:t>
      </w:r>
      <w:r w:rsidR="00771BDE">
        <w:rPr>
          <w:lang w:val="es-ES"/>
        </w:rPr>
        <w:tab/>
      </w:r>
      <w:r w:rsidR="00771BDE">
        <w:rPr>
          <w:bCs/>
          <w:lang w:val="es-ES"/>
        </w:rPr>
        <w:t>Producto previsto 1 d): evaluación metodológica de las repercusiones de las empresas y su dependencia de diversidad biológica y las contribuciones de la</w:t>
      </w:r>
      <w:r w:rsidR="00217D7E">
        <w:rPr>
          <w:bCs/>
          <w:lang w:val="es-ES"/>
        </w:rPr>
        <w:t> </w:t>
      </w:r>
      <w:r w:rsidR="00771BDE">
        <w:rPr>
          <w:bCs/>
          <w:lang w:val="es-ES"/>
        </w:rPr>
        <w:t>naturaleza a las personas</w:t>
      </w:r>
    </w:p>
    <w:bookmarkEnd w:id="2"/>
    <w:p w14:paraId="676FDEFE" w14:textId="77777777" w:rsidR="00E5245E" w:rsidRPr="00732E7C" w:rsidRDefault="006361AF" w:rsidP="005C34BE">
      <w:pPr>
        <w:pStyle w:val="CH3"/>
      </w:pPr>
      <w:r>
        <w:rPr>
          <w:lang w:val="es-ES"/>
        </w:rPr>
        <w:tab/>
      </w:r>
      <w:r w:rsidR="00270837">
        <w:rPr>
          <w:lang w:val="es-ES"/>
        </w:rPr>
        <w:t>1.</w:t>
      </w:r>
      <w:r w:rsidR="00270837">
        <w:rPr>
          <w:lang w:val="es-ES"/>
        </w:rPr>
        <w:tab/>
      </w:r>
      <w:r w:rsidR="00270837">
        <w:rPr>
          <w:bCs/>
          <w:lang w:val="es-ES"/>
        </w:rPr>
        <w:t>Supuestos y arreglos institucionales</w:t>
      </w:r>
    </w:p>
    <w:p w14:paraId="49CAA95D" w14:textId="7AE269EC" w:rsidR="00E5245E" w:rsidRPr="006361AF" w:rsidRDefault="00DA0A9E" w:rsidP="00E5245E">
      <w:pPr>
        <w:pStyle w:val="Normalnumber"/>
        <w:numPr>
          <w:ilvl w:val="0"/>
          <w:numId w:val="5"/>
        </w:numPr>
        <w:tabs>
          <w:tab w:val="left" w:pos="1871"/>
          <w:tab w:val="left" w:pos="2495"/>
        </w:tabs>
        <w:ind w:left="1247" w:firstLine="0"/>
        <w:rPr>
          <w:lang w:val="es-ES_tradnl"/>
        </w:rPr>
      </w:pPr>
      <w:r>
        <w:rPr>
          <w:lang w:val="es-ES"/>
        </w:rPr>
        <w:t>La evaluación se llevará a cabo siguiendo el enfoque de vía rápida para la preparación de las evaluaciones temáticas y metodológicas</w:t>
      </w:r>
      <w:r w:rsidRPr="00A63824">
        <w:rPr>
          <w:rStyle w:val="FootnoteReference"/>
          <w:lang w:val="es-ES"/>
        </w:rPr>
        <w:footnoteReference w:id="5"/>
      </w:r>
      <w:r>
        <w:rPr>
          <w:lang w:val="es-ES"/>
        </w:rPr>
        <w:t>. Como excepción a ese enfoque, el Grupo supervisará el proceso de análisis inicial en su totalidad. Tras la aprobación del informe del análisis inicial y el inicio de la evaluación por el Plenario, se creará un grupo de expertos para tareas específicas de duración determinada para la evaluación, que estará integrado por</w:t>
      </w:r>
      <w:r w:rsidR="00B20B0E">
        <w:rPr>
          <w:lang w:val="es-ES"/>
        </w:rPr>
        <w:t xml:space="preserve"> </w:t>
      </w:r>
      <w:r>
        <w:rPr>
          <w:lang w:val="es-ES"/>
        </w:rPr>
        <w:t xml:space="preserve">los </w:t>
      </w:r>
      <w:r w:rsidR="00F363AB">
        <w:rPr>
          <w:lang w:val="es-ES"/>
        </w:rPr>
        <w:t>c</w:t>
      </w:r>
      <w:r>
        <w:rPr>
          <w:lang w:val="es-ES"/>
        </w:rPr>
        <w:t xml:space="preserve">opresidentes, los autores principales encargados de la coordinación, los autores principales y los revisores del informe, que se seleccionarán conforme a los procedimientos para la preparación de los productos previstos de la Plataforma, quienes desarrollarán su labor </w:t>
      </w:r>
      <w:r w:rsidR="00F363AB">
        <w:rPr>
          <w:lang w:val="es-ES"/>
        </w:rPr>
        <w:t>con arreglo a</w:t>
      </w:r>
      <w:r>
        <w:rPr>
          <w:lang w:val="es-ES"/>
        </w:rPr>
        <w:t xml:space="preserve"> los mismos procedimientos. Se propone que el proceso de análisis inicial se inicie con una conferencia electrónica, </w:t>
      </w:r>
      <w:r w:rsidR="00F363AB">
        <w:rPr>
          <w:lang w:val="es-ES"/>
        </w:rPr>
        <w:t xml:space="preserve">a la que </w:t>
      </w:r>
      <w:r>
        <w:rPr>
          <w:lang w:val="es-ES"/>
        </w:rPr>
        <w:t>segui</w:t>
      </w:r>
      <w:r w:rsidR="00F363AB">
        <w:rPr>
          <w:lang w:val="es-ES"/>
        </w:rPr>
        <w:t xml:space="preserve">rá </w:t>
      </w:r>
      <w:r>
        <w:rPr>
          <w:lang w:val="es-ES"/>
        </w:rPr>
        <w:t xml:space="preserve">una reunión de 36 expertos en análisis inicial </w:t>
      </w:r>
      <w:r w:rsidR="00F363AB">
        <w:rPr>
          <w:lang w:val="es-ES"/>
        </w:rPr>
        <w:t xml:space="preserve">que tendrán a su cargo la tarea de </w:t>
      </w:r>
      <w:r>
        <w:rPr>
          <w:lang w:val="es-ES"/>
        </w:rPr>
        <w:t>redactar el informe de análisis inicial, en el cual se</w:t>
      </w:r>
      <w:r w:rsidR="00217D7E">
        <w:rPr>
          <w:lang w:val="es-ES"/>
        </w:rPr>
        <w:t> </w:t>
      </w:r>
      <w:r>
        <w:rPr>
          <w:lang w:val="es-ES"/>
        </w:rPr>
        <w:t>tendrán en cuenta los resultados de la conferencia electrónica. Se propone que en la evaluación participen 54 autores, quienes se reunirán en tres ocasiones, y 10 editores, quienes celebrarán dos reuniones con los autores de la evaluación. Se celebrará una reunión para prestar apoyo en la elaboración del resumen para los encargados de la formulación de políticas. Para implementar el enfoque de la IPBES</w:t>
      </w:r>
      <w:r w:rsidR="00F363AB">
        <w:rPr>
          <w:lang w:val="es-ES"/>
        </w:rPr>
        <w:t xml:space="preserve"> dirigido a</w:t>
      </w:r>
      <w:r>
        <w:rPr>
          <w:lang w:val="es-ES"/>
        </w:rPr>
        <w:t xml:space="preserve"> reconocer y utilizar los conocimientos indígenas y locales en la evaluación, se celebrará un taller de diálogo. El plazo previsto de la evaluación es de dos años. </w:t>
      </w:r>
    </w:p>
    <w:p w14:paraId="7ED02E9F" w14:textId="50954EE7" w:rsidR="00E5245E" w:rsidRPr="006361AF" w:rsidRDefault="00E5245E" w:rsidP="00E5245E">
      <w:pPr>
        <w:pStyle w:val="Normalnumber"/>
        <w:numPr>
          <w:ilvl w:val="0"/>
          <w:numId w:val="5"/>
        </w:numPr>
        <w:tabs>
          <w:tab w:val="left" w:pos="1871"/>
          <w:tab w:val="left" w:pos="2495"/>
        </w:tabs>
        <w:ind w:left="1247" w:firstLine="0"/>
        <w:rPr>
          <w:lang w:val="es-ES_tradnl"/>
        </w:rPr>
      </w:pPr>
      <w:r>
        <w:rPr>
          <w:lang w:val="es-ES"/>
        </w:rPr>
        <w:t xml:space="preserve">La Secretaría </w:t>
      </w:r>
      <w:r w:rsidR="001D5CE4">
        <w:rPr>
          <w:lang w:val="es-ES"/>
        </w:rPr>
        <w:t>celebrará acuerdos con instituciones</w:t>
      </w:r>
      <w:r>
        <w:rPr>
          <w:lang w:val="es-ES"/>
        </w:rPr>
        <w:t xml:space="preserve"> asociadas para la prestación del apoyo técnico que apruebe la Mesa</w:t>
      </w:r>
      <w:r w:rsidR="00F363AB">
        <w:rPr>
          <w:lang w:val="es-ES"/>
        </w:rPr>
        <w:t>, el cual</w:t>
      </w:r>
      <w:r>
        <w:rPr>
          <w:lang w:val="es-ES"/>
        </w:rPr>
        <w:t xml:space="preserve"> será financiado en parte por la Plataforma y en parte mediante contribuciones en especie aprobadas por el Plenario.</w:t>
      </w:r>
    </w:p>
    <w:p w14:paraId="139981CD" w14:textId="5B067B11" w:rsidR="00E5245E" w:rsidRPr="00A63824" w:rsidRDefault="006361AF" w:rsidP="005C34BE">
      <w:pPr>
        <w:pStyle w:val="CH3"/>
        <w:rPr>
          <w:rFonts w:eastAsia="SimSun"/>
        </w:rPr>
      </w:pPr>
      <w:r>
        <w:rPr>
          <w:lang w:val="es-ES"/>
        </w:rPr>
        <w:tab/>
      </w:r>
      <w:r w:rsidR="00270837">
        <w:rPr>
          <w:lang w:val="es-ES"/>
        </w:rPr>
        <w:t>2.</w:t>
      </w:r>
      <w:r w:rsidR="00270837">
        <w:rPr>
          <w:lang w:val="es-ES"/>
        </w:rPr>
        <w:tab/>
      </w:r>
      <w:r w:rsidR="00270837">
        <w:rPr>
          <w:bCs/>
          <w:lang w:val="es-ES"/>
        </w:rPr>
        <w:t>Reuniones e hitos</w:t>
      </w:r>
    </w:p>
    <w:p w14:paraId="031548A7" w14:textId="7608C569" w:rsidR="004312BB" w:rsidRDefault="00C53C6C" w:rsidP="00C53C6C">
      <w:pPr>
        <w:pStyle w:val="Normalnumber"/>
        <w:numPr>
          <w:ilvl w:val="0"/>
          <w:numId w:val="5"/>
        </w:numPr>
        <w:tabs>
          <w:tab w:val="left" w:pos="1871"/>
          <w:tab w:val="left" w:pos="2495"/>
        </w:tabs>
        <w:ind w:left="1247" w:firstLine="0"/>
        <w:rPr>
          <w:lang w:val="es-ES"/>
        </w:rPr>
      </w:pPr>
      <w:r>
        <w:rPr>
          <w:lang w:val="es-ES"/>
        </w:rPr>
        <w:t xml:space="preserve">A continuación figura una sinopsis de las medidas que han de adoptarse en relación con este producto previsto. En los cuadros A-1 y A-5 del anexo del documento IPBES/7/4 figuran proyectos de presupuesto para las actividades relacionadas con este producto previsto. </w:t>
      </w:r>
    </w:p>
    <w:p w14:paraId="498A49D3" w14:textId="77777777" w:rsidR="004312BB" w:rsidRDefault="004312BB">
      <w:pPr>
        <w:spacing w:after="0" w:line="240" w:lineRule="auto"/>
        <w:rPr>
          <w:rFonts w:ascii="Times New Roman" w:eastAsia="Times New Roman" w:hAnsi="Times New Roman"/>
          <w:sz w:val="20"/>
          <w:szCs w:val="20"/>
          <w:lang w:val="es-ES"/>
        </w:rPr>
      </w:pPr>
      <w:r>
        <w:rPr>
          <w:lang w:val="es-ES"/>
        </w:rPr>
        <w:br w:type="page"/>
      </w:r>
    </w:p>
    <w:tbl>
      <w:tblPr>
        <w:tblW w:w="8352" w:type="dxa"/>
        <w:tblInd w:w="1248" w:type="dxa"/>
        <w:tblLayout w:type="fixed"/>
        <w:tblLook w:val="04A0" w:firstRow="1" w:lastRow="0" w:firstColumn="1" w:lastColumn="0" w:noHBand="0" w:noVBand="1"/>
      </w:tblPr>
      <w:tblGrid>
        <w:gridCol w:w="1152"/>
        <w:gridCol w:w="7200"/>
      </w:tblGrid>
      <w:tr w:rsidR="00E5245E" w:rsidRPr="00573EB5" w14:paraId="7DAD5689" w14:textId="77777777" w:rsidTr="005C34BE">
        <w:trPr>
          <w:trHeight w:val="233"/>
          <w:tblHeader/>
        </w:trPr>
        <w:tc>
          <w:tcPr>
            <w:tcW w:w="1152" w:type="dxa"/>
            <w:tcBorders>
              <w:top w:val="single" w:sz="4" w:space="0" w:color="auto"/>
              <w:bottom w:val="single" w:sz="12" w:space="0" w:color="auto"/>
            </w:tcBorders>
            <w:shd w:val="clear" w:color="auto" w:fill="auto"/>
            <w:vAlign w:val="center"/>
          </w:tcPr>
          <w:p w14:paraId="6290E477" w14:textId="77777777" w:rsidR="00E5245E" w:rsidRPr="00573EB5" w:rsidDel="003F5A7B" w:rsidRDefault="00E5245E" w:rsidP="00FC5E47">
            <w:pPr>
              <w:pStyle w:val="Normal-pool"/>
              <w:spacing w:before="40" w:after="40"/>
              <w:rPr>
                <w:rFonts w:eastAsia="SimSun"/>
                <w:sz w:val="18"/>
                <w:szCs w:val="18"/>
              </w:rPr>
            </w:pPr>
            <w:r w:rsidRPr="00573EB5">
              <w:rPr>
                <w:i/>
                <w:iCs/>
                <w:sz w:val="18"/>
                <w:szCs w:val="18"/>
                <w:lang w:val="es-ES"/>
              </w:rPr>
              <w:t>Plazo</w:t>
            </w:r>
          </w:p>
        </w:tc>
        <w:tc>
          <w:tcPr>
            <w:tcW w:w="7200" w:type="dxa"/>
            <w:tcBorders>
              <w:top w:val="single" w:sz="4" w:space="0" w:color="auto"/>
              <w:bottom w:val="single" w:sz="12" w:space="0" w:color="auto"/>
            </w:tcBorders>
            <w:shd w:val="clear" w:color="auto" w:fill="auto"/>
          </w:tcPr>
          <w:p w14:paraId="6B99931B" w14:textId="77777777" w:rsidR="00E5245E" w:rsidRPr="00573EB5" w:rsidDel="000C28ED" w:rsidRDefault="00230862" w:rsidP="00FC5E47">
            <w:pPr>
              <w:pStyle w:val="Normal-pool"/>
              <w:spacing w:before="40" w:after="40"/>
              <w:rPr>
                <w:rFonts w:eastAsia="SimSun"/>
                <w:sz w:val="18"/>
                <w:szCs w:val="18"/>
              </w:rPr>
            </w:pPr>
            <w:r w:rsidRPr="00573EB5">
              <w:rPr>
                <w:i/>
                <w:iCs/>
                <w:sz w:val="18"/>
                <w:szCs w:val="18"/>
                <w:lang w:val="es-ES"/>
              </w:rPr>
              <w:t>Reuniones e hitos</w:t>
            </w:r>
          </w:p>
        </w:tc>
      </w:tr>
      <w:tr w:rsidR="0037124A" w:rsidRPr="00573EB5" w14:paraId="44E60F72" w14:textId="77777777" w:rsidTr="00E8569A">
        <w:trPr>
          <w:trHeight w:val="233"/>
        </w:trPr>
        <w:tc>
          <w:tcPr>
            <w:tcW w:w="1152" w:type="dxa"/>
            <w:vMerge w:val="restart"/>
            <w:tcBorders>
              <w:top w:val="single" w:sz="12" w:space="0" w:color="auto"/>
            </w:tcBorders>
            <w:shd w:val="clear" w:color="auto" w:fill="auto"/>
            <w:vAlign w:val="center"/>
          </w:tcPr>
          <w:p w14:paraId="7DDDBCFA" w14:textId="593F0715" w:rsidR="0037124A" w:rsidRPr="00573EB5" w:rsidRDefault="0037124A" w:rsidP="00FC5E47">
            <w:pPr>
              <w:pStyle w:val="Normal-pool"/>
              <w:spacing w:before="40" w:after="40"/>
              <w:rPr>
                <w:rFonts w:eastAsia="SimSun"/>
                <w:sz w:val="18"/>
                <w:szCs w:val="18"/>
              </w:rPr>
            </w:pPr>
            <w:r w:rsidRPr="00573EB5">
              <w:rPr>
                <w:sz w:val="18"/>
                <w:szCs w:val="18"/>
                <w:lang w:val="es-ES"/>
              </w:rPr>
              <w:t>2019</w:t>
            </w:r>
          </w:p>
        </w:tc>
        <w:tc>
          <w:tcPr>
            <w:tcW w:w="7200" w:type="dxa"/>
            <w:tcBorders>
              <w:top w:val="single" w:sz="12" w:space="0" w:color="auto"/>
            </w:tcBorders>
            <w:shd w:val="clear" w:color="auto" w:fill="auto"/>
          </w:tcPr>
          <w:p w14:paraId="3EA7C2B9" w14:textId="77777777" w:rsidR="0037124A" w:rsidRPr="00573EB5" w:rsidRDefault="0037124A" w:rsidP="00FC5E47">
            <w:pPr>
              <w:pStyle w:val="Normal-pool"/>
              <w:spacing w:before="40" w:after="40"/>
              <w:rPr>
                <w:rFonts w:eastAsia="SimSun"/>
                <w:sz w:val="18"/>
                <w:szCs w:val="18"/>
                <w:lang w:val="es-ES_tradnl"/>
              </w:rPr>
            </w:pPr>
            <w:r w:rsidRPr="00573EB5">
              <w:rPr>
                <w:sz w:val="18"/>
                <w:szCs w:val="18"/>
                <w:lang w:val="es-ES"/>
              </w:rPr>
              <w:t>El Plenario aprueba un proceso de análisis inicial en su totalidad</w:t>
            </w:r>
          </w:p>
        </w:tc>
      </w:tr>
      <w:tr w:rsidR="0037124A" w:rsidRPr="00573EB5" w14:paraId="234AE353" w14:textId="77777777" w:rsidTr="00E8569A">
        <w:trPr>
          <w:trHeight w:val="233"/>
        </w:trPr>
        <w:tc>
          <w:tcPr>
            <w:tcW w:w="1152" w:type="dxa"/>
            <w:vMerge/>
            <w:shd w:val="clear" w:color="auto" w:fill="auto"/>
            <w:vAlign w:val="center"/>
          </w:tcPr>
          <w:p w14:paraId="48EB52E4" w14:textId="77777777" w:rsidR="0037124A" w:rsidRPr="00573EB5" w:rsidRDefault="0037124A" w:rsidP="00FC5E47">
            <w:pPr>
              <w:pStyle w:val="Normal-pool"/>
              <w:spacing w:before="40" w:after="40"/>
              <w:rPr>
                <w:rFonts w:eastAsia="SimSun"/>
                <w:sz w:val="18"/>
                <w:szCs w:val="18"/>
                <w:lang w:val="es-ES_tradnl" w:eastAsia="zh-CN"/>
              </w:rPr>
            </w:pPr>
          </w:p>
        </w:tc>
        <w:tc>
          <w:tcPr>
            <w:tcW w:w="7200" w:type="dxa"/>
            <w:shd w:val="clear" w:color="auto" w:fill="auto"/>
          </w:tcPr>
          <w:p w14:paraId="06D7E3CD" w14:textId="7FCD092A" w:rsidR="0037124A" w:rsidRPr="00573EB5" w:rsidRDefault="000E033B" w:rsidP="00FC5E47">
            <w:pPr>
              <w:pStyle w:val="Normal-pool"/>
              <w:spacing w:before="40" w:after="40"/>
              <w:rPr>
                <w:rFonts w:eastAsia="SimSun"/>
                <w:sz w:val="18"/>
                <w:szCs w:val="18"/>
                <w:lang w:val="es-ES_tradnl"/>
              </w:rPr>
            </w:pPr>
            <w:r w:rsidRPr="00573EB5">
              <w:rPr>
                <w:sz w:val="18"/>
                <w:szCs w:val="18"/>
                <w:lang w:val="es-ES"/>
              </w:rPr>
              <w:t>Conferencia</w:t>
            </w:r>
            <w:r w:rsidR="0037124A" w:rsidRPr="00573EB5">
              <w:rPr>
                <w:sz w:val="18"/>
                <w:szCs w:val="18"/>
                <w:lang w:val="es-ES"/>
              </w:rPr>
              <w:t xml:space="preserve"> </w:t>
            </w:r>
            <w:r w:rsidRPr="00573EB5">
              <w:rPr>
                <w:sz w:val="18"/>
                <w:szCs w:val="18"/>
                <w:lang w:val="es-ES"/>
              </w:rPr>
              <w:t>electrónica</w:t>
            </w:r>
            <w:r w:rsidR="0037124A" w:rsidRPr="00573EB5">
              <w:rPr>
                <w:sz w:val="18"/>
                <w:szCs w:val="18"/>
                <w:lang w:val="es-ES"/>
              </w:rPr>
              <w:t xml:space="preserve"> sobre el análisis inicial</w:t>
            </w:r>
          </w:p>
        </w:tc>
      </w:tr>
      <w:tr w:rsidR="0037124A" w:rsidRPr="00573EB5" w14:paraId="0AB8135D" w14:textId="77777777" w:rsidTr="00E8569A">
        <w:trPr>
          <w:trHeight w:val="233"/>
        </w:trPr>
        <w:tc>
          <w:tcPr>
            <w:tcW w:w="1152" w:type="dxa"/>
            <w:vMerge/>
            <w:shd w:val="clear" w:color="auto" w:fill="auto"/>
            <w:vAlign w:val="center"/>
          </w:tcPr>
          <w:p w14:paraId="0AFFB54E" w14:textId="77777777" w:rsidR="0037124A" w:rsidRPr="00573EB5" w:rsidRDefault="0037124A" w:rsidP="00FC5E47">
            <w:pPr>
              <w:pStyle w:val="Normal-pool"/>
              <w:spacing w:before="40" w:after="40"/>
              <w:rPr>
                <w:rFonts w:eastAsia="SimSun"/>
                <w:sz w:val="18"/>
                <w:szCs w:val="18"/>
                <w:lang w:val="es-ES_tradnl" w:eastAsia="zh-CN"/>
              </w:rPr>
            </w:pPr>
          </w:p>
        </w:tc>
        <w:tc>
          <w:tcPr>
            <w:tcW w:w="7200" w:type="dxa"/>
            <w:shd w:val="clear" w:color="auto" w:fill="auto"/>
          </w:tcPr>
          <w:p w14:paraId="0EDB3620" w14:textId="77777777" w:rsidR="0037124A" w:rsidRPr="00573EB5" w:rsidRDefault="0037124A" w:rsidP="00FC5E47">
            <w:pPr>
              <w:pStyle w:val="Normal-pool"/>
              <w:spacing w:before="40" w:after="40"/>
              <w:rPr>
                <w:rFonts w:eastAsia="SimSun"/>
                <w:sz w:val="18"/>
                <w:szCs w:val="18"/>
                <w:lang w:val="es-ES_tradnl"/>
              </w:rPr>
            </w:pPr>
            <w:r w:rsidRPr="00573EB5">
              <w:rPr>
                <w:sz w:val="18"/>
                <w:szCs w:val="18"/>
                <w:lang w:val="es-ES"/>
              </w:rPr>
              <w:t>Presentación de candidaturas y selección de expertos para la reunión de análisis inicial</w:t>
            </w:r>
          </w:p>
        </w:tc>
      </w:tr>
      <w:tr w:rsidR="0037124A" w:rsidRPr="00573EB5" w14:paraId="6A2F62BF" w14:textId="77777777" w:rsidTr="00E8569A">
        <w:trPr>
          <w:trHeight w:val="233"/>
        </w:trPr>
        <w:tc>
          <w:tcPr>
            <w:tcW w:w="1152" w:type="dxa"/>
            <w:vMerge/>
            <w:shd w:val="clear" w:color="auto" w:fill="auto"/>
            <w:vAlign w:val="center"/>
          </w:tcPr>
          <w:p w14:paraId="52CB90EE" w14:textId="77777777" w:rsidR="0037124A" w:rsidRPr="00573EB5" w:rsidRDefault="0037124A" w:rsidP="00FC5E47">
            <w:pPr>
              <w:pStyle w:val="Normal-pool"/>
              <w:spacing w:before="40" w:after="40"/>
              <w:rPr>
                <w:rFonts w:eastAsia="SimSun"/>
                <w:sz w:val="18"/>
                <w:szCs w:val="18"/>
                <w:lang w:val="es-ES_tradnl" w:eastAsia="zh-CN"/>
              </w:rPr>
            </w:pPr>
          </w:p>
        </w:tc>
        <w:tc>
          <w:tcPr>
            <w:tcW w:w="7200" w:type="dxa"/>
            <w:shd w:val="clear" w:color="auto" w:fill="auto"/>
          </w:tcPr>
          <w:p w14:paraId="6683D280" w14:textId="77777777" w:rsidR="0037124A" w:rsidRPr="00573EB5" w:rsidRDefault="0037124A" w:rsidP="00FC5E47">
            <w:pPr>
              <w:pStyle w:val="Normal-pool"/>
              <w:spacing w:before="40" w:after="40"/>
              <w:rPr>
                <w:rFonts w:eastAsia="SimSun"/>
                <w:sz w:val="18"/>
                <w:szCs w:val="18"/>
              </w:rPr>
            </w:pPr>
            <w:r w:rsidRPr="00573EB5">
              <w:rPr>
                <w:sz w:val="18"/>
                <w:szCs w:val="18"/>
                <w:lang w:val="es-ES"/>
              </w:rPr>
              <w:t>Reunión de análisis inicial</w:t>
            </w:r>
          </w:p>
        </w:tc>
      </w:tr>
      <w:tr w:rsidR="0037124A" w:rsidRPr="00573EB5" w14:paraId="256B6BB5" w14:textId="77777777" w:rsidTr="00E8569A">
        <w:trPr>
          <w:trHeight w:val="233"/>
        </w:trPr>
        <w:tc>
          <w:tcPr>
            <w:tcW w:w="1152" w:type="dxa"/>
            <w:vMerge/>
            <w:shd w:val="clear" w:color="auto" w:fill="auto"/>
            <w:vAlign w:val="center"/>
          </w:tcPr>
          <w:p w14:paraId="36EC28F5" w14:textId="77777777" w:rsidR="0037124A" w:rsidRPr="00573EB5" w:rsidRDefault="0037124A" w:rsidP="00FC5E47">
            <w:pPr>
              <w:pStyle w:val="Normal-pool"/>
              <w:spacing w:before="40" w:after="40"/>
              <w:rPr>
                <w:rFonts w:eastAsia="SimSun"/>
                <w:sz w:val="18"/>
                <w:szCs w:val="18"/>
                <w:lang w:eastAsia="zh-CN"/>
              </w:rPr>
            </w:pPr>
          </w:p>
        </w:tc>
        <w:tc>
          <w:tcPr>
            <w:tcW w:w="7200" w:type="dxa"/>
            <w:shd w:val="clear" w:color="auto" w:fill="auto"/>
          </w:tcPr>
          <w:p w14:paraId="1CEC043D" w14:textId="77777777" w:rsidR="0037124A" w:rsidRPr="00573EB5" w:rsidRDefault="0037124A" w:rsidP="00FC5E47">
            <w:pPr>
              <w:pStyle w:val="Normal-pool"/>
              <w:spacing w:before="40" w:after="40"/>
              <w:rPr>
                <w:rFonts w:eastAsia="SimSun"/>
                <w:sz w:val="18"/>
                <w:szCs w:val="18"/>
                <w:lang w:val="es-ES_tradnl"/>
              </w:rPr>
            </w:pPr>
            <w:r w:rsidRPr="00573EB5">
              <w:rPr>
                <w:sz w:val="18"/>
                <w:szCs w:val="18"/>
                <w:lang w:val="es-ES"/>
              </w:rPr>
              <w:t>El Plenario revisa y aprueba el documento de análisis inicial e inicia la preparación de la evaluación</w:t>
            </w:r>
          </w:p>
        </w:tc>
      </w:tr>
      <w:tr w:rsidR="007C4EA7" w:rsidRPr="00573EB5" w14:paraId="634C2491" w14:textId="77777777" w:rsidTr="00E8569A">
        <w:trPr>
          <w:trHeight w:val="233"/>
        </w:trPr>
        <w:tc>
          <w:tcPr>
            <w:tcW w:w="1152" w:type="dxa"/>
            <w:shd w:val="clear" w:color="auto" w:fill="auto"/>
            <w:vAlign w:val="center"/>
          </w:tcPr>
          <w:p w14:paraId="250FC68A" w14:textId="77777777" w:rsidR="007C4EA7" w:rsidRPr="00573EB5" w:rsidRDefault="007C4EA7" w:rsidP="00FC5E47">
            <w:pPr>
              <w:pStyle w:val="Normal-pool"/>
              <w:spacing w:before="40" w:after="40"/>
              <w:rPr>
                <w:rFonts w:eastAsia="SimSun"/>
                <w:sz w:val="18"/>
                <w:szCs w:val="18"/>
              </w:rPr>
            </w:pPr>
            <w:r w:rsidRPr="00573EB5">
              <w:rPr>
                <w:sz w:val="18"/>
                <w:szCs w:val="18"/>
                <w:lang w:val="es-ES"/>
              </w:rPr>
              <w:t>2020</w:t>
            </w:r>
          </w:p>
        </w:tc>
        <w:tc>
          <w:tcPr>
            <w:tcW w:w="7200" w:type="dxa"/>
            <w:shd w:val="clear" w:color="auto" w:fill="auto"/>
          </w:tcPr>
          <w:p w14:paraId="6940500E" w14:textId="77777777" w:rsidR="007C4EA7" w:rsidRPr="00573EB5" w:rsidRDefault="00662AD3" w:rsidP="00FC5E47">
            <w:pPr>
              <w:pStyle w:val="Normal-pool"/>
              <w:spacing w:before="40" w:after="40"/>
              <w:rPr>
                <w:rFonts w:eastAsia="SimSun"/>
                <w:sz w:val="18"/>
                <w:szCs w:val="18"/>
                <w:lang w:val="es-ES_tradnl"/>
              </w:rPr>
            </w:pPr>
            <w:r w:rsidRPr="00573EB5">
              <w:rPr>
                <w:sz w:val="18"/>
                <w:szCs w:val="18"/>
                <w:lang w:val="es-ES"/>
              </w:rPr>
              <w:t>Presentación de candidaturas y selección de expertos</w:t>
            </w:r>
          </w:p>
        </w:tc>
      </w:tr>
      <w:tr w:rsidR="007C4EA7" w:rsidRPr="00573EB5" w14:paraId="77221D6B" w14:textId="77777777" w:rsidTr="00E8569A">
        <w:trPr>
          <w:trHeight w:val="145"/>
        </w:trPr>
        <w:tc>
          <w:tcPr>
            <w:tcW w:w="1152" w:type="dxa"/>
            <w:vMerge w:val="restart"/>
            <w:shd w:val="clear" w:color="auto" w:fill="auto"/>
            <w:vAlign w:val="center"/>
          </w:tcPr>
          <w:p w14:paraId="7B23B5B3" w14:textId="77777777" w:rsidR="007C4EA7" w:rsidRPr="00573EB5" w:rsidRDefault="007C4EA7" w:rsidP="00FC5E47">
            <w:pPr>
              <w:pStyle w:val="Normal-pool"/>
              <w:spacing w:before="40" w:after="40"/>
              <w:rPr>
                <w:rFonts w:eastAsia="SimSun"/>
                <w:sz w:val="18"/>
                <w:szCs w:val="18"/>
              </w:rPr>
            </w:pPr>
            <w:r w:rsidRPr="00573EB5">
              <w:rPr>
                <w:sz w:val="18"/>
                <w:szCs w:val="18"/>
                <w:lang w:val="es-ES"/>
              </w:rPr>
              <w:t>2021</w:t>
            </w:r>
          </w:p>
        </w:tc>
        <w:tc>
          <w:tcPr>
            <w:tcW w:w="7200" w:type="dxa"/>
            <w:shd w:val="clear" w:color="auto" w:fill="auto"/>
          </w:tcPr>
          <w:p w14:paraId="23FE8ADE" w14:textId="77777777" w:rsidR="007C4EA7" w:rsidRPr="00573EB5" w:rsidRDefault="007C4EA7" w:rsidP="00FC5E47">
            <w:pPr>
              <w:pStyle w:val="Normal-pool"/>
              <w:spacing w:before="40" w:after="40"/>
              <w:rPr>
                <w:rFonts w:eastAsia="SimSun"/>
                <w:sz w:val="18"/>
                <w:szCs w:val="18"/>
                <w:lang w:val="es-ES_tradnl"/>
              </w:rPr>
            </w:pPr>
            <w:r w:rsidRPr="00573EB5">
              <w:rPr>
                <w:sz w:val="18"/>
                <w:szCs w:val="18"/>
                <w:lang w:val="es-ES"/>
              </w:rPr>
              <w:t>Reunión del comité de gestión</w:t>
            </w:r>
          </w:p>
        </w:tc>
      </w:tr>
      <w:tr w:rsidR="00E5245E" w:rsidRPr="00573EB5" w14:paraId="67C446F6" w14:textId="77777777" w:rsidTr="00E8569A">
        <w:trPr>
          <w:trHeight w:val="189"/>
        </w:trPr>
        <w:tc>
          <w:tcPr>
            <w:tcW w:w="1152" w:type="dxa"/>
            <w:vMerge/>
            <w:shd w:val="clear" w:color="auto" w:fill="auto"/>
            <w:vAlign w:val="center"/>
          </w:tcPr>
          <w:p w14:paraId="72CF899B" w14:textId="77777777" w:rsidR="00E5245E" w:rsidRPr="00573EB5" w:rsidRDefault="00E5245E" w:rsidP="00FC5E47">
            <w:pPr>
              <w:pStyle w:val="Normal-pool"/>
              <w:spacing w:before="40" w:after="40"/>
              <w:rPr>
                <w:rFonts w:eastAsia="SimSun"/>
                <w:sz w:val="18"/>
                <w:szCs w:val="18"/>
                <w:lang w:val="es-ES_tradnl" w:eastAsia="zh-CN"/>
              </w:rPr>
            </w:pPr>
          </w:p>
        </w:tc>
        <w:tc>
          <w:tcPr>
            <w:tcW w:w="7200" w:type="dxa"/>
            <w:shd w:val="clear" w:color="auto" w:fill="auto"/>
          </w:tcPr>
          <w:p w14:paraId="1EDEE357" w14:textId="77777777" w:rsidR="00E5245E" w:rsidRPr="00573EB5" w:rsidRDefault="00E5245E" w:rsidP="00FC5E47">
            <w:pPr>
              <w:pStyle w:val="Normal-pool"/>
              <w:spacing w:before="40" w:after="40"/>
              <w:rPr>
                <w:rFonts w:eastAsia="SimSun"/>
                <w:sz w:val="18"/>
                <w:szCs w:val="18"/>
              </w:rPr>
            </w:pPr>
            <w:r w:rsidRPr="00573EB5">
              <w:rPr>
                <w:sz w:val="18"/>
                <w:szCs w:val="18"/>
                <w:lang w:val="es-ES"/>
              </w:rPr>
              <w:t>Primera reunión de autores</w:t>
            </w:r>
          </w:p>
        </w:tc>
      </w:tr>
      <w:tr w:rsidR="00E5245E" w:rsidRPr="00573EB5" w14:paraId="4E209B2F" w14:textId="77777777" w:rsidTr="00E8569A">
        <w:trPr>
          <w:trHeight w:val="271"/>
        </w:trPr>
        <w:tc>
          <w:tcPr>
            <w:tcW w:w="1152" w:type="dxa"/>
            <w:vMerge/>
            <w:shd w:val="clear" w:color="auto" w:fill="auto"/>
            <w:vAlign w:val="center"/>
          </w:tcPr>
          <w:p w14:paraId="6FE33AB5" w14:textId="77777777" w:rsidR="00E5245E" w:rsidRPr="00573EB5" w:rsidRDefault="00E5245E" w:rsidP="00FC5E47">
            <w:pPr>
              <w:pStyle w:val="Normal-pool"/>
              <w:spacing w:before="40" w:after="40"/>
              <w:rPr>
                <w:rFonts w:eastAsia="SimSun"/>
                <w:sz w:val="18"/>
                <w:szCs w:val="18"/>
                <w:lang w:eastAsia="zh-CN"/>
              </w:rPr>
            </w:pPr>
          </w:p>
        </w:tc>
        <w:tc>
          <w:tcPr>
            <w:tcW w:w="7200" w:type="dxa"/>
            <w:shd w:val="clear" w:color="auto" w:fill="auto"/>
          </w:tcPr>
          <w:p w14:paraId="7B502ECE" w14:textId="77777777" w:rsidR="00E5245E" w:rsidRPr="00573EB5" w:rsidRDefault="007C4EA7" w:rsidP="00FC5E47">
            <w:pPr>
              <w:pStyle w:val="Normal-pool"/>
              <w:spacing w:before="40" w:after="40"/>
              <w:rPr>
                <w:rFonts w:eastAsia="SimSun"/>
                <w:sz w:val="18"/>
                <w:szCs w:val="18"/>
                <w:lang w:val="es-ES_tradnl"/>
              </w:rPr>
            </w:pPr>
            <w:r w:rsidRPr="00573EB5">
              <w:rPr>
                <w:sz w:val="18"/>
                <w:szCs w:val="18"/>
                <w:lang w:val="es-ES"/>
              </w:rPr>
              <w:t>Primer diálogo sobre conocimientos indígenas y locales</w:t>
            </w:r>
          </w:p>
        </w:tc>
      </w:tr>
      <w:tr w:rsidR="00A26807" w:rsidRPr="00573EB5" w14:paraId="1D360F51" w14:textId="77777777" w:rsidTr="00E8569A">
        <w:trPr>
          <w:trHeight w:val="235"/>
        </w:trPr>
        <w:tc>
          <w:tcPr>
            <w:tcW w:w="1152" w:type="dxa"/>
            <w:vMerge w:val="restart"/>
            <w:tcBorders>
              <w:bottom w:val="single" w:sz="12" w:space="0" w:color="auto"/>
            </w:tcBorders>
            <w:shd w:val="clear" w:color="auto" w:fill="auto"/>
            <w:vAlign w:val="center"/>
          </w:tcPr>
          <w:p w14:paraId="53EE27C6" w14:textId="77777777" w:rsidR="00A26807" w:rsidRPr="00573EB5" w:rsidRDefault="00A26807" w:rsidP="00ED76A4">
            <w:pPr>
              <w:pStyle w:val="Normal-pool"/>
              <w:keepNext/>
              <w:keepLines/>
              <w:spacing w:before="40" w:after="40"/>
              <w:rPr>
                <w:rFonts w:eastAsia="SimSun"/>
                <w:sz w:val="18"/>
                <w:szCs w:val="18"/>
              </w:rPr>
            </w:pPr>
            <w:r w:rsidRPr="00573EB5">
              <w:rPr>
                <w:sz w:val="18"/>
                <w:szCs w:val="18"/>
                <w:lang w:val="es-ES"/>
              </w:rPr>
              <w:t>2022</w:t>
            </w:r>
          </w:p>
        </w:tc>
        <w:tc>
          <w:tcPr>
            <w:tcW w:w="7200" w:type="dxa"/>
            <w:shd w:val="clear" w:color="auto" w:fill="auto"/>
          </w:tcPr>
          <w:p w14:paraId="7278BEA1" w14:textId="77777777" w:rsidR="00A26807" w:rsidRPr="00573EB5" w:rsidRDefault="00A26807" w:rsidP="00ED76A4">
            <w:pPr>
              <w:pStyle w:val="Normal-pool"/>
              <w:keepNext/>
              <w:keepLines/>
              <w:spacing w:before="40" w:after="40"/>
              <w:rPr>
                <w:rFonts w:eastAsia="SimSun"/>
                <w:sz w:val="18"/>
                <w:szCs w:val="18"/>
              </w:rPr>
            </w:pPr>
            <w:r w:rsidRPr="00573EB5">
              <w:rPr>
                <w:sz w:val="18"/>
                <w:szCs w:val="18"/>
                <w:lang w:val="es-ES"/>
              </w:rPr>
              <w:t>Segunda reunión de autores</w:t>
            </w:r>
          </w:p>
        </w:tc>
      </w:tr>
      <w:tr w:rsidR="000A36C9" w:rsidRPr="00573EB5" w14:paraId="4F9DEFAF" w14:textId="77777777" w:rsidTr="005C34BE">
        <w:trPr>
          <w:trHeight w:val="242"/>
        </w:trPr>
        <w:tc>
          <w:tcPr>
            <w:tcW w:w="1152" w:type="dxa"/>
            <w:vMerge/>
            <w:tcBorders>
              <w:top w:val="single" w:sz="4" w:space="0" w:color="auto"/>
              <w:bottom w:val="single" w:sz="12" w:space="0" w:color="auto"/>
            </w:tcBorders>
            <w:shd w:val="clear" w:color="auto" w:fill="auto"/>
          </w:tcPr>
          <w:p w14:paraId="3DF64E66" w14:textId="77777777" w:rsidR="000A36C9" w:rsidRPr="00573EB5" w:rsidRDefault="000A36C9" w:rsidP="00ED76A4">
            <w:pPr>
              <w:pStyle w:val="Normal-pool"/>
              <w:keepNext/>
              <w:keepLines/>
              <w:spacing w:before="40" w:after="40"/>
              <w:jc w:val="center"/>
              <w:rPr>
                <w:rFonts w:eastAsia="SimSun"/>
                <w:sz w:val="18"/>
                <w:szCs w:val="18"/>
                <w:lang w:eastAsia="zh-CN"/>
              </w:rPr>
            </w:pPr>
          </w:p>
        </w:tc>
        <w:tc>
          <w:tcPr>
            <w:tcW w:w="7200" w:type="dxa"/>
            <w:shd w:val="clear" w:color="auto" w:fill="auto"/>
          </w:tcPr>
          <w:p w14:paraId="2D2A6CD5" w14:textId="1677D79C" w:rsidR="000A36C9" w:rsidRPr="00573EB5" w:rsidRDefault="000A36C9" w:rsidP="00ED76A4">
            <w:pPr>
              <w:pStyle w:val="Normal-pool"/>
              <w:keepNext/>
              <w:keepLines/>
              <w:spacing w:before="40" w:after="40"/>
              <w:rPr>
                <w:rFonts w:eastAsia="SimSun"/>
                <w:sz w:val="18"/>
                <w:szCs w:val="18"/>
                <w:lang w:val="es-ES_tradnl"/>
              </w:rPr>
            </w:pPr>
            <w:r w:rsidRPr="00573EB5">
              <w:rPr>
                <w:sz w:val="18"/>
                <w:szCs w:val="18"/>
                <w:lang w:val="es-ES"/>
              </w:rPr>
              <w:t>Revisión del primer borrador de los capítulos y del resumen para los encargados de la formulación de</w:t>
            </w:r>
            <w:r w:rsidR="00B20B0E" w:rsidRPr="00573EB5">
              <w:rPr>
                <w:sz w:val="18"/>
                <w:szCs w:val="18"/>
                <w:lang w:val="es-ES"/>
              </w:rPr>
              <w:t xml:space="preserve"> </w:t>
            </w:r>
            <w:r w:rsidRPr="00573EB5">
              <w:rPr>
                <w:sz w:val="18"/>
                <w:szCs w:val="18"/>
                <w:lang w:val="es-ES"/>
              </w:rPr>
              <w:t>políticas</w:t>
            </w:r>
          </w:p>
        </w:tc>
      </w:tr>
      <w:tr w:rsidR="00636CCA" w:rsidRPr="00573EB5" w14:paraId="729DB252" w14:textId="77777777" w:rsidTr="005C34BE">
        <w:trPr>
          <w:trHeight w:val="242"/>
        </w:trPr>
        <w:tc>
          <w:tcPr>
            <w:tcW w:w="1152" w:type="dxa"/>
            <w:vMerge/>
            <w:tcBorders>
              <w:top w:val="single" w:sz="4" w:space="0" w:color="auto"/>
              <w:bottom w:val="single" w:sz="12" w:space="0" w:color="auto"/>
            </w:tcBorders>
            <w:shd w:val="clear" w:color="auto" w:fill="auto"/>
          </w:tcPr>
          <w:p w14:paraId="7900F146" w14:textId="77777777" w:rsidR="00636CCA" w:rsidRPr="00573EB5" w:rsidRDefault="00636CCA" w:rsidP="00ED76A4">
            <w:pPr>
              <w:pStyle w:val="Normal-pool"/>
              <w:keepNext/>
              <w:keepLines/>
              <w:spacing w:before="40" w:after="40"/>
              <w:jc w:val="center"/>
              <w:rPr>
                <w:rFonts w:eastAsia="SimSun"/>
                <w:sz w:val="18"/>
                <w:szCs w:val="18"/>
                <w:lang w:val="es-ES_tradnl" w:eastAsia="zh-CN"/>
              </w:rPr>
            </w:pPr>
          </w:p>
        </w:tc>
        <w:tc>
          <w:tcPr>
            <w:tcW w:w="7200" w:type="dxa"/>
            <w:shd w:val="clear" w:color="auto" w:fill="auto"/>
          </w:tcPr>
          <w:p w14:paraId="34350F6E" w14:textId="77777777" w:rsidR="00636CCA" w:rsidRPr="00573EB5" w:rsidRDefault="00636CCA" w:rsidP="00ED76A4">
            <w:pPr>
              <w:pStyle w:val="Normal-pool"/>
              <w:keepNext/>
              <w:keepLines/>
              <w:spacing w:before="40" w:after="40"/>
              <w:rPr>
                <w:rFonts w:eastAsia="SimSun"/>
                <w:sz w:val="18"/>
                <w:szCs w:val="18"/>
                <w:lang w:val="es-ES_tradnl"/>
              </w:rPr>
            </w:pPr>
            <w:r w:rsidRPr="00573EB5">
              <w:rPr>
                <w:sz w:val="18"/>
                <w:szCs w:val="18"/>
                <w:lang w:val="es-ES"/>
              </w:rPr>
              <w:t>Reunión para revisar el resumen para los encargados de la formulación de políticas (copresidentes y autores principales encargados de la coordinación)</w:t>
            </w:r>
          </w:p>
        </w:tc>
      </w:tr>
      <w:tr w:rsidR="000A36C9" w:rsidRPr="00573EB5" w14:paraId="17B11285" w14:textId="77777777" w:rsidTr="005C34BE">
        <w:trPr>
          <w:trHeight w:val="280"/>
        </w:trPr>
        <w:tc>
          <w:tcPr>
            <w:tcW w:w="1152" w:type="dxa"/>
            <w:vMerge/>
            <w:tcBorders>
              <w:top w:val="single" w:sz="4" w:space="0" w:color="auto"/>
              <w:bottom w:val="single" w:sz="12" w:space="0" w:color="auto"/>
            </w:tcBorders>
            <w:shd w:val="clear" w:color="auto" w:fill="auto"/>
          </w:tcPr>
          <w:p w14:paraId="26CED8F2" w14:textId="77777777" w:rsidR="000A36C9" w:rsidRPr="00573EB5" w:rsidRDefault="000A36C9" w:rsidP="00ED76A4">
            <w:pPr>
              <w:pStyle w:val="Normal-pool"/>
              <w:keepNext/>
              <w:keepLines/>
              <w:spacing w:before="40" w:after="40"/>
              <w:jc w:val="center"/>
              <w:rPr>
                <w:rFonts w:eastAsia="SimSun"/>
                <w:sz w:val="18"/>
                <w:szCs w:val="18"/>
                <w:lang w:val="es-ES_tradnl" w:eastAsia="zh-CN"/>
              </w:rPr>
            </w:pPr>
          </w:p>
        </w:tc>
        <w:tc>
          <w:tcPr>
            <w:tcW w:w="7200" w:type="dxa"/>
            <w:shd w:val="clear" w:color="auto" w:fill="auto"/>
          </w:tcPr>
          <w:p w14:paraId="686577C8" w14:textId="61FF8BE4" w:rsidR="000A36C9" w:rsidRPr="00573EB5" w:rsidRDefault="000A36C9" w:rsidP="00ED76A4">
            <w:pPr>
              <w:pStyle w:val="Normal-pool"/>
              <w:keepNext/>
              <w:keepLines/>
              <w:spacing w:before="40" w:after="40"/>
              <w:rPr>
                <w:rFonts w:eastAsia="SimSun"/>
                <w:sz w:val="18"/>
                <w:szCs w:val="18"/>
                <w:lang w:val="es-ES_tradnl"/>
              </w:rPr>
            </w:pPr>
            <w:r w:rsidRPr="00573EB5">
              <w:rPr>
                <w:sz w:val="18"/>
                <w:szCs w:val="18"/>
                <w:lang w:val="es-ES"/>
              </w:rPr>
              <w:t>Revisión final del resumen para los encargados de la formulación de políticas por parte de los Gobiernos</w:t>
            </w:r>
          </w:p>
        </w:tc>
      </w:tr>
      <w:tr w:rsidR="000A36C9" w:rsidRPr="00573EB5" w14:paraId="0FD3B4AB" w14:textId="77777777" w:rsidTr="005C34BE">
        <w:trPr>
          <w:trHeight w:val="280"/>
        </w:trPr>
        <w:tc>
          <w:tcPr>
            <w:tcW w:w="1152" w:type="dxa"/>
            <w:vMerge/>
            <w:tcBorders>
              <w:top w:val="single" w:sz="4" w:space="0" w:color="auto"/>
              <w:bottom w:val="single" w:sz="12" w:space="0" w:color="auto"/>
            </w:tcBorders>
            <w:shd w:val="clear" w:color="auto" w:fill="auto"/>
          </w:tcPr>
          <w:p w14:paraId="7F202A24" w14:textId="77777777" w:rsidR="000A36C9" w:rsidRPr="00573EB5" w:rsidRDefault="000A36C9" w:rsidP="00FC5E47">
            <w:pPr>
              <w:pStyle w:val="Normal-pool"/>
              <w:spacing w:before="40" w:after="40"/>
              <w:jc w:val="center"/>
              <w:rPr>
                <w:rFonts w:eastAsia="SimSun"/>
                <w:sz w:val="18"/>
                <w:szCs w:val="18"/>
                <w:lang w:val="es-ES_tradnl" w:eastAsia="zh-CN"/>
              </w:rPr>
            </w:pPr>
          </w:p>
        </w:tc>
        <w:tc>
          <w:tcPr>
            <w:tcW w:w="7200" w:type="dxa"/>
            <w:shd w:val="clear" w:color="auto" w:fill="auto"/>
          </w:tcPr>
          <w:p w14:paraId="0FFD9F44" w14:textId="77777777" w:rsidR="000A36C9" w:rsidRPr="00573EB5" w:rsidRDefault="000A36C9" w:rsidP="00FC5E47">
            <w:pPr>
              <w:pStyle w:val="Normal-pool"/>
              <w:spacing w:before="40" w:after="40"/>
              <w:rPr>
                <w:rFonts w:eastAsia="SimSun"/>
                <w:sz w:val="18"/>
                <w:szCs w:val="18"/>
                <w:lang w:val="es-ES_tradnl"/>
              </w:rPr>
            </w:pPr>
            <w:r w:rsidRPr="00573EB5">
              <w:rPr>
                <w:sz w:val="18"/>
                <w:szCs w:val="18"/>
                <w:lang w:val="es-ES"/>
              </w:rPr>
              <w:t>Examen de la evaluación por el Plenario</w:t>
            </w:r>
          </w:p>
        </w:tc>
      </w:tr>
      <w:tr w:rsidR="000A36C9" w:rsidRPr="00573EB5" w14:paraId="447DD3FF" w14:textId="77777777" w:rsidTr="005C34BE">
        <w:trPr>
          <w:trHeight w:val="280"/>
        </w:trPr>
        <w:tc>
          <w:tcPr>
            <w:tcW w:w="1152" w:type="dxa"/>
            <w:vMerge/>
            <w:tcBorders>
              <w:top w:val="single" w:sz="4" w:space="0" w:color="auto"/>
              <w:bottom w:val="single" w:sz="12" w:space="0" w:color="auto"/>
            </w:tcBorders>
            <w:shd w:val="clear" w:color="auto" w:fill="auto"/>
          </w:tcPr>
          <w:p w14:paraId="47C6CA1B" w14:textId="77777777" w:rsidR="000A36C9" w:rsidRPr="00573EB5" w:rsidRDefault="000A36C9" w:rsidP="00FC5E47">
            <w:pPr>
              <w:pStyle w:val="Normal-pool"/>
              <w:spacing w:before="40" w:after="40"/>
              <w:jc w:val="center"/>
              <w:rPr>
                <w:rFonts w:eastAsia="SimSun"/>
                <w:sz w:val="18"/>
                <w:szCs w:val="18"/>
                <w:lang w:val="es-ES_tradnl" w:eastAsia="zh-CN"/>
              </w:rPr>
            </w:pPr>
          </w:p>
        </w:tc>
        <w:tc>
          <w:tcPr>
            <w:tcW w:w="7200" w:type="dxa"/>
            <w:tcBorders>
              <w:bottom w:val="single" w:sz="12" w:space="0" w:color="auto"/>
            </w:tcBorders>
            <w:shd w:val="clear" w:color="auto" w:fill="auto"/>
          </w:tcPr>
          <w:p w14:paraId="30443A50" w14:textId="77777777" w:rsidR="000A36C9" w:rsidRPr="00573EB5" w:rsidRDefault="000A36C9" w:rsidP="00FC5E47">
            <w:pPr>
              <w:pStyle w:val="Normal-pool"/>
              <w:spacing w:before="40" w:after="40"/>
              <w:rPr>
                <w:rFonts w:eastAsia="SimSun"/>
                <w:sz w:val="18"/>
                <w:szCs w:val="18"/>
                <w:lang w:val="es-ES_tradnl"/>
              </w:rPr>
            </w:pPr>
            <w:r w:rsidRPr="00573EB5">
              <w:rPr>
                <w:sz w:val="18"/>
                <w:szCs w:val="18"/>
                <w:lang w:val="es-ES"/>
              </w:rPr>
              <w:t>Diseño, maquetación, distribución y divulgación</w:t>
            </w:r>
          </w:p>
        </w:tc>
      </w:tr>
    </w:tbl>
    <w:p w14:paraId="2A3ABBAC" w14:textId="77777777" w:rsidR="00B54807" w:rsidRPr="006361AF" w:rsidRDefault="006361AF" w:rsidP="00F1172E">
      <w:pPr>
        <w:pStyle w:val="CH1"/>
        <w:rPr>
          <w:lang w:val="es-ES_tradnl"/>
        </w:rPr>
      </w:pPr>
      <w:r>
        <w:rPr>
          <w:lang w:val="es-ES"/>
        </w:rPr>
        <w:tab/>
      </w:r>
      <w:r w:rsidR="00771BDE">
        <w:rPr>
          <w:lang w:val="es-ES"/>
        </w:rPr>
        <w:t>II.</w:t>
      </w:r>
      <w:r w:rsidR="00771BDE">
        <w:rPr>
          <w:lang w:val="es-ES"/>
        </w:rPr>
        <w:tab/>
      </w:r>
      <w:r w:rsidR="00771BDE">
        <w:rPr>
          <w:bCs/>
          <w:lang w:val="es-ES"/>
        </w:rPr>
        <w:t>Objetivo 2: creación de capacidad</w:t>
      </w:r>
    </w:p>
    <w:p w14:paraId="2A3E8DC0" w14:textId="77777777" w:rsidR="00690364" w:rsidRPr="006361AF" w:rsidRDefault="00771BDE" w:rsidP="005C34BE">
      <w:pPr>
        <w:pStyle w:val="CH2"/>
        <w:rPr>
          <w:lang w:val="es-ES_tradnl"/>
        </w:rPr>
      </w:pPr>
      <w:r>
        <w:rPr>
          <w:lang w:val="es-ES"/>
        </w:rPr>
        <w:tab/>
      </w:r>
      <w:r>
        <w:rPr>
          <w:lang w:val="es-ES"/>
        </w:rPr>
        <w:tab/>
      </w:r>
      <w:r>
        <w:rPr>
          <w:bCs/>
          <w:lang w:val="es-ES"/>
        </w:rPr>
        <w:t>Antecedentes</w:t>
      </w:r>
    </w:p>
    <w:p w14:paraId="3CD0D78A" w14:textId="65076B83" w:rsidR="00F83F89" w:rsidRPr="006361AF" w:rsidRDefault="00F83F89" w:rsidP="0043299F">
      <w:pPr>
        <w:pStyle w:val="Normalnumber"/>
        <w:numPr>
          <w:ilvl w:val="0"/>
          <w:numId w:val="5"/>
        </w:numPr>
        <w:tabs>
          <w:tab w:val="left" w:pos="1871"/>
          <w:tab w:val="left" w:pos="2495"/>
        </w:tabs>
        <w:ind w:left="1247" w:firstLine="0"/>
        <w:rPr>
          <w:lang w:val="es-ES_tradnl"/>
        </w:rPr>
      </w:pPr>
      <w:r>
        <w:rPr>
          <w:lang w:val="es-ES"/>
        </w:rPr>
        <w:t>El primer programa de trabajo de la Plataforma, que figura en el anexo I de la decisión</w:t>
      </w:r>
      <w:r w:rsidR="00573EB5">
        <w:rPr>
          <w:lang w:val="es-ES"/>
        </w:rPr>
        <w:t> </w:t>
      </w:r>
      <w:r>
        <w:rPr>
          <w:lang w:val="es-ES"/>
        </w:rPr>
        <w:t>IPBES</w:t>
      </w:r>
      <w:r w:rsidR="00573EB5">
        <w:rPr>
          <w:lang w:val="es-ES"/>
        </w:rPr>
        <w:noBreakHyphen/>
      </w:r>
      <w:r>
        <w:rPr>
          <w:lang w:val="es-ES"/>
        </w:rPr>
        <w:t>2/5, incluía el producto previsto 1 a): “se compatibilizan las necesidades de creación de capacidad para ejecutar el programa de trabajo de la Plataforma con los recursos mediante la catalización de</w:t>
      </w:r>
      <w:r w:rsidR="000E033B">
        <w:rPr>
          <w:lang w:val="es-ES"/>
        </w:rPr>
        <w:t>l</w:t>
      </w:r>
      <w:r>
        <w:rPr>
          <w:lang w:val="es-ES"/>
        </w:rPr>
        <w:t xml:space="preserve"> apoyo financiero y en especie” y el producto previsto 1 b): “se crean las capacidades necesarias para ejecutar el programa de trabajo de la Plataforma”. Posteriormente, el Plenario estableció un equipo de tareas para la implementación de esos productos, cuyo mandato figura en el</w:t>
      </w:r>
      <w:r w:rsidR="00573EB5">
        <w:rPr>
          <w:lang w:val="es-ES"/>
        </w:rPr>
        <w:t> </w:t>
      </w:r>
      <w:r>
        <w:rPr>
          <w:lang w:val="es-ES"/>
        </w:rPr>
        <w:t xml:space="preserve">anexo II de la decisión IPBES-2/5. </w:t>
      </w:r>
    </w:p>
    <w:p w14:paraId="32E9AC57" w14:textId="33F40F4C" w:rsidR="00F83F89" w:rsidRPr="006361AF" w:rsidRDefault="00F83F89" w:rsidP="0043299F">
      <w:pPr>
        <w:pStyle w:val="Normalnumber"/>
        <w:numPr>
          <w:ilvl w:val="0"/>
          <w:numId w:val="5"/>
        </w:numPr>
        <w:tabs>
          <w:tab w:val="left" w:pos="1871"/>
          <w:tab w:val="left" w:pos="2495"/>
        </w:tabs>
        <w:ind w:left="1247" w:firstLine="0"/>
        <w:rPr>
          <w:lang w:val="es-ES_tradnl"/>
        </w:rPr>
      </w:pPr>
      <w:r>
        <w:rPr>
          <w:lang w:val="es-ES"/>
        </w:rPr>
        <w:t>Durante el primer programa de trabajo, el equipo de tareas sobre creación de capacidad elaboró</w:t>
      </w:r>
      <w:r w:rsidR="008B35D8">
        <w:rPr>
          <w:lang w:val="es-ES"/>
        </w:rPr>
        <w:t> </w:t>
      </w:r>
      <w:r>
        <w:rPr>
          <w:lang w:val="es-ES"/>
        </w:rPr>
        <w:t>un plan renovable de creación de capacidad con el objetivo de determinar los principios, las</w:t>
      </w:r>
      <w:r w:rsidR="008B35D8">
        <w:rPr>
          <w:lang w:val="es-ES"/>
        </w:rPr>
        <w:t> </w:t>
      </w:r>
      <w:r>
        <w:rPr>
          <w:lang w:val="es-ES"/>
        </w:rPr>
        <w:t>orientaciones estratégicas, las modalidades y las medidas para crear y desarrollar la capacidad de</w:t>
      </w:r>
      <w:r w:rsidR="008B35D8">
        <w:rPr>
          <w:lang w:val="es-ES"/>
        </w:rPr>
        <w:t> </w:t>
      </w:r>
      <w:r>
        <w:rPr>
          <w:lang w:val="es-ES"/>
        </w:rPr>
        <w:t>las personas y las instituciones sobre la base de las necesidades prioritarias establecidas por el Plenario</w:t>
      </w:r>
      <w:r w:rsidR="008B35D8">
        <w:rPr>
          <w:lang w:val="es-ES"/>
        </w:rPr>
        <w:t> </w:t>
      </w:r>
      <w:r>
        <w:rPr>
          <w:lang w:val="es-ES"/>
        </w:rPr>
        <w:t>en</w:t>
      </w:r>
      <w:r w:rsidR="008B35D8">
        <w:rPr>
          <w:lang w:val="es-ES"/>
        </w:rPr>
        <w:t> </w:t>
      </w:r>
      <w:r>
        <w:rPr>
          <w:lang w:val="es-ES"/>
        </w:rPr>
        <w:t>la decisión IPBES-3/1. El plan comprende tres estrategias: potenciar el aprendizaje y</w:t>
      </w:r>
      <w:r w:rsidR="008B35D8">
        <w:rPr>
          <w:lang w:val="es-ES"/>
        </w:rPr>
        <w:t> </w:t>
      </w:r>
      <w:r>
        <w:rPr>
          <w:lang w:val="es-ES"/>
        </w:rPr>
        <w:t>la</w:t>
      </w:r>
      <w:r w:rsidR="008B35D8">
        <w:rPr>
          <w:lang w:val="es-ES"/>
        </w:rPr>
        <w:t> </w:t>
      </w:r>
      <w:r>
        <w:rPr>
          <w:lang w:val="es-ES"/>
        </w:rPr>
        <w:t>participación, facilitar el acceso a los conocimientos especializados y la información, y fortalecer</w:t>
      </w:r>
      <w:r w:rsidR="00217D7E">
        <w:rPr>
          <w:lang w:val="es-ES"/>
        </w:rPr>
        <w:t> </w:t>
      </w:r>
      <w:r>
        <w:rPr>
          <w:lang w:val="es-ES"/>
        </w:rPr>
        <w:t>las</w:t>
      </w:r>
      <w:r w:rsidR="008B35D8">
        <w:rPr>
          <w:lang w:val="es-ES"/>
        </w:rPr>
        <w:t> </w:t>
      </w:r>
      <w:r>
        <w:rPr>
          <w:lang w:val="es-ES"/>
        </w:rPr>
        <w:t>capacidades nacionales y regionales. El Plenario, en el párrafo 1 de la sección II de la</w:t>
      </w:r>
      <w:r w:rsidR="00217D7E">
        <w:rPr>
          <w:lang w:val="es-ES"/>
        </w:rPr>
        <w:t> </w:t>
      </w:r>
      <w:r>
        <w:rPr>
          <w:lang w:val="es-ES"/>
        </w:rPr>
        <w:t>decisión</w:t>
      </w:r>
      <w:r w:rsidR="008B35D8">
        <w:rPr>
          <w:lang w:val="es-ES"/>
        </w:rPr>
        <w:t> </w:t>
      </w:r>
      <w:r>
        <w:rPr>
          <w:lang w:val="es-ES"/>
        </w:rPr>
        <w:t>IPBES</w:t>
      </w:r>
      <w:r w:rsidR="008B35D8">
        <w:rPr>
          <w:lang w:val="es-ES"/>
        </w:rPr>
        <w:noBreakHyphen/>
      </w:r>
      <w:r>
        <w:rPr>
          <w:lang w:val="es-ES"/>
        </w:rPr>
        <w:t xml:space="preserve">5/1, acogió con beneplácito el plan y su resumen. El plan ha sido actualizado continuamente por el equipo de tareas mediante actividades de apoyo a la ejecución de las tres estrategias. </w:t>
      </w:r>
    </w:p>
    <w:p w14:paraId="49854BF6" w14:textId="23A68CCF" w:rsidR="00F83F89" w:rsidRPr="006361AF" w:rsidRDefault="00F83F89" w:rsidP="0043299F">
      <w:pPr>
        <w:pStyle w:val="Normalnumber"/>
        <w:numPr>
          <w:ilvl w:val="0"/>
          <w:numId w:val="5"/>
        </w:numPr>
        <w:tabs>
          <w:tab w:val="left" w:pos="1871"/>
          <w:tab w:val="left" w:pos="2495"/>
        </w:tabs>
        <w:ind w:left="1247" w:firstLine="0"/>
        <w:rPr>
          <w:lang w:val="es-ES_tradnl"/>
        </w:rPr>
      </w:pPr>
      <w:r>
        <w:rPr>
          <w:lang w:val="es-ES"/>
        </w:rPr>
        <w:t xml:space="preserve">Una parte fundamental de la labor de la IPBES en materia de creación de capacidad ha sido la colaboración con instituciones científicas nacionales, regionales e internacionales, centros de excelencia y entidades reconocidas por sus conocimientos especializados, por ejemplo, expertos en conocimientos indígenas y locales, </w:t>
      </w:r>
      <w:r w:rsidR="001D5CE4">
        <w:rPr>
          <w:lang w:val="es-ES"/>
        </w:rPr>
        <w:t xml:space="preserve">y </w:t>
      </w:r>
      <w:r>
        <w:rPr>
          <w:lang w:val="es-ES"/>
        </w:rPr>
        <w:t>en cuestiones relacionadas con las funciones y el programa de trabajo de la IPBES. De conformidad con la orientación sobre el establecimiento de asociaciones estratégicas y otros arreglos de colaboración</w:t>
      </w:r>
      <w:r w:rsidRPr="00A63824">
        <w:rPr>
          <w:szCs w:val="18"/>
          <w:vertAlign w:val="superscript"/>
          <w:lang w:val="es-ES" w:eastAsia="nb-NO"/>
        </w:rPr>
        <w:footnoteReference w:id="6"/>
      </w:r>
      <w:r>
        <w:rPr>
          <w:lang w:val="es-ES"/>
        </w:rPr>
        <w:t xml:space="preserve">, el equipo de tareas ha centrado su atención </w:t>
      </w:r>
      <w:r w:rsidR="000E033B">
        <w:rPr>
          <w:lang w:val="es-ES"/>
        </w:rPr>
        <w:t>en la</w:t>
      </w:r>
      <w:r>
        <w:rPr>
          <w:lang w:val="es-ES"/>
        </w:rPr>
        <w:t xml:space="preserve"> labor de informar y potencialmente influir en las prioridades de esas entidades, promover la cooperación y la coordinación entre ellas y determinar qué producen esas entidades o qué aportes pueden realizar a la labor de la IPBES en el ámbito de la creación de capacidad. La principal plataforma para la difusión de información a esas entidades y la promoción de la cooperación entre ellas ha sido el foro de la IPBES para la creación de capacidad, que se menciona en las funciones de la IPBES en materia de creación de capacidad en la resolución por la que se estableció la Plataforma. La experiencia del primer programa de trabajo dejó en claro que la colaboración con otras entidades es un elemento fundamental de la labor de la IPBES </w:t>
      </w:r>
      <w:r w:rsidR="001D5CE4">
        <w:rPr>
          <w:lang w:val="es-ES"/>
        </w:rPr>
        <w:t>que</w:t>
      </w:r>
      <w:r>
        <w:rPr>
          <w:lang w:val="es-ES"/>
        </w:rPr>
        <w:t xml:space="preserve"> se debería seguir fortaleciendo en el futuro.</w:t>
      </w:r>
    </w:p>
    <w:p w14:paraId="19C00BB7" w14:textId="4C131D51" w:rsidR="00F83F89" w:rsidRPr="006361AF" w:rsidRDefault="00F83F89" w:rsidP="0043299F">
      <w:pPr>
        <w:pStyle w:val="Normalnumber"/>
        <w:numPr>
          <w:ilvl w:val="0"/>
          <w:numId w:val="5"/>
        </w:numPr>
        <w:tabs>
          <w:tab w:val="left" w:pos="1871"/>
          <w:tab w:val="left" w:pos="2495"/>
        </w:tabs>
        <w:ind w:left="1247" w:firstLine="0"/>
        <w:rPr>
          <w:lang w:val="es-ES_tradnl"/>
        </w:rPr>
      </w:pPr>
      <w:r>
        <w:rPr>
          <w:lang w:val="es-ES"/>
        </w:rPr>
        <w:t xml:space="preserve">Por tanto, para el próximo programa de trabajo de la IPBES se recomienda que los representantes de esas entidades se incluyan como miembros del equipo de tareas sobre creación de capacidad. Asimismo, se recomienda que el plan renovable de creación de capacidad </w:t>
      </w:r>
      <w:r w:rsidR="008B35D8">
        <w:rPr>
          <w:lang w:val="es-ES"/>
        </w:rPr>
        <w:t>–</w:t>
      </w:r>
      <w:r>
        <w:rPr>
          <w:lang w:val="es-ES"/>
        </w:rPr>
        <w:t>el cual se actualiza constantemente</w:t>
      </w:r>
      <w:r w:rsidR="008B35D8">
        <w:rPr>
          <w:lang w:val="es-ES"/>
        </w:rPr>
        <w:t>–</w:t>
      </w:r>
      <w:r>
        <w:rPr>
          <w:lang w:val="es-ES"/>
        </w:rPr>
        <w:t xml:space="preserve"> oriente la labor en materia de creación de capacidad, y que el foro de la</w:t>
      </w:r>
      <w:r w:rsidR="008B35D8">
        <w:rPr>
          <w:lang w:val="es-ES"/>
        </w:rPr>
        <w:t> </w:t>
      </w:r>
      <w:r>
        <w:rPr>
          <w:lang w:val="es-ES"/>
        </w:rPr>
        <w:t>IPBES sobre creación de capacidad se siga desarrollando con vistas a promover la labor de la</w:t>
      </w:r>
      <w:r w:rsidR="008B35D8">
        <w:rPr>
          <w:lang w:val="es-ES"/>
        </w:rPr>
        <w:t> </w:t>
      </w:r>
      <w:r>
        <w:rPr>
          <w:lang w:val="es-ES"/>
        </w:rPr>
        <w:t>IPBES y fortalecer el apoyo de otras entidades en lo que respecta a su labor</w:t>
      </w:r>
      <w:r w:rsidRPr="00A63824">
        <w:rPr>
          <w:szCs w:val="18"/>
          <w:vertAlign w:val="superscript"/>
          <w:lang w:val="es-ES" w:eastAsia="nb-NO"/>
        </w:rPr>
        <w:footnoteReference w:id="7"/>
      </w:r>
      <w:r w:rsidR="001D5CE4">
        <w:rPr>
          <w:lang w:val="es-ES"/>
        </w:rPr>
        <w:t>.</w:t>
      </w:r>
      <w:r>
        <w:rPr>
          <w:lang w:val="es-ES"/>
        </w:rPr>
        <w:t xml:space="preserve"> </w:t>
      </w:r>
    </w:p>
    <w:p w14:paraId="778E1BCE" w14:textId="177AC8B6" w:rsidR="00F83F89" w:rsidRPr="006361AF" w:rsidRDefault="00F83F89" w:rsidP="0043299F">
      <w:pPr>
        <w:pStyle w:val="Normalnumber"/>
        <w:numPr>
          <w:ilvl w:val="0"/>
          <w:numId w:val="5"/>
        </w:numPr>
        <w:tabs>
          <w:tab w:val="left" w:pos="1871"/>
          <w:tab w:val="left" w:pos="2495"/>
        </w:tabs>
        <w:ind w:left="1247" w:firstLine="0"/>
        <w:rPr>
          <w:lang w:val="es-ES_tradnl"/>
        </w:rPr>
      </w:pPr>
      <w:r>
        <w:rPr>
          <w:lang w:val="es-ES"/>
        </w:rPr>
        <w:t>Este objetivo supondrá la organización de reuniones ordinarias de</w:t>
      </w:r>
      <w:r w:rsidR="001D5CE4">
        <w:rPr>
          <w:lang w:val="es-ES"/>
        </w:rPr>
        <w:t>l</w:t>
      </w:r>
      <w:r>
        <w:rPr>
          <w:lang w:val="es-ES"/>
        </w:rPr>
        <w:t xml:space="preserve"> foro sobre creación de capacidad </w:t>
      </w:r>
      <w:r w:rsidR="001D5CE4">
        <w:rPr>
          <w:lang w:val="es-ES"/>
        </w:rPr>
        <w:t xml:space="preserve">con vistas a </w:t>
      </w:r>
      <w:r>
        <w:rPr>
          <w:lang w:val="es-ES"/>
        </w:rPr>
        <w:t xml:space="preserve">seguir </w:t>
      </w:r>
      <w:r w:rsidR="001D5CE4">
        <w:rPr>
          <w:lang w:val="es-ES"/>
        </w:rPr>
        <w:t>fortaleciendo</w:t>
      </w:r>
      <w:r>
        <w:rPr>
          <w:lang w:val="es-ES"/>
        </w:rPr>
        <w:t xml:space="preserve"> la colaboración con otras organizaciones en la ejecución del plan renovable. También incluirá el desarrollo de un portal web dedicado a la creación de capacidad en el </w:t>
      </w:r>
      <w:r w:rsidR="001D5CE4">
        <w:rPr>
          <w:lang w:val="es-ES"/>
        </w:rPr>
        <w:t xml:space="preserve">marco del </w:t>
      </w:r>
      <w:r>
        <w:rPr>
          <w:lang w:val="es-ES"/>
        </w:rPr>
        <w:t xml:space="preserve">sitio web de la IPBES </w:t>
      </w:r>
      <w:r w:rsidR="001D5CE4">
        <w:rPr>
          <w:lang w:val="es-ES"/>
        </w:rPr>
        <w:t xml:space="preserve">con objeto de </w:t>
      </w:r>
      <w:r>
        <w:rPr>
          <w:lang w:val="es-ES"/>
        </w:rPr>
        <w:t>reflejar las actividades en curso y las</w:t>
      </w:r>
      <w:r w:rsidR="008B35D8">
        <w:rPr>
          <w:lang w:val="es-ES"/>
        </w:rPr>
        <w:t> </w:t>
      </w:r>
      <w:r>
        <w:rPr>
          <w:lang w:val="es-ES"/>
        </w:rPr>
        <w:t>contribuciones, y para facilitar una mayor participación en la labor de creación de capacidad.</w:t>
      </w:r>
    </w:p>
    <w:p w14:paraId="21CDB41C" w14:textId="14C67BFC" w:rsidR="00F83F89" w:rsidRPr="006361AF" w:rsidRDefault="00F83F89" w:rsidP="0043299F">
      <w:pPr>
        <w:pStyle w:val="Normalnumber"/>
        <w:numPr>
          <w:ilvl w:val="0"/>
          <w:numId w:val="5"/>
        </w:numPr>
        <w:tabs>
          <w:tab w:val="left" w:pos="1871"/>
          <w:tab w:val="left" w:pos="2495"/>
        </w:tabs>
        <w:ind w:left="1247" w:firstLine="0"/>
        <w:rPr>
          <w:lang w:val="es-ES_tradnl"/>
        </w:rPr>
      </w:pPr>
      <w:r>
        <w:rPr>
          <w:lang w:val="es-ES"/>
        </w:rPr>
        <w:t xml:space="preserve">La labor </w:t>
      </w:r>
      <w:r w:rsidR="001D5CE4">
        <w:rPr>
          <w:lang w:val="es-ES"/>
        </w:rPr>
        <w:t>de</w:t>
      </w:r>
      <w:r>
        <w:rPr>
          <w:lang w:val="es-ES"/>
        </w:rPr>
        <w:t xml:space="preserve"> creación de capacidad en relación con los tres productos previstos también ampliará su alcance para incluir nuevos temas aprobados por el Plenario después de la segunda y tercera convocatorias para la presentación de solicitudes, aportaciones y sugerencias. </w:t>
      </w:r>
    </w:p>
    <w:p w14:paraId="6B835CD4" w14:textId="77777777" w:rsidR="00F83F89" w:rsidRPr="006361AF" w:rsidRDefault="00F83F89" w:rsidP="0043299F">
      <w:pPr>
        <w:pStyle w:val="Normalnumber"/>
        <w:numPr>
          <w:ilvl w:val="0"/>
          <w:numId w:val="5"/>
        </w:numPr>
        <w:tabs>
          <w:tab w:val="left" w:pos="1871"/>
          <w:tab w:val="left" w:pos="2495"/>
        </w:tabs>
        <w:ind w:left="1247" w:firstLine="0"/>
        <w:rPr>
          <w:lang w:val="es-ES_tradnl"/>
        </w:rPr>
      </w:pPr>
      <w:r>
        <w:rPr>
          <w:lang w:val="es-ES"/>
        </w:rPr>
        <w:t xml:space="preserve">En el documento IPBES/7/INF/7 se reproducen una reseña de la labor realizada desde el sexto período de sesiones del Plenario y las medidas futuras propuestas para 2019 y 2020. </w:t>
      </w:r>
    </w:p>
    <w:p w14:paraId="298D15DF" w14:textId="77777777" w:rsidR="00E60887" w:rsidRPr="00732E7C" w:rsidRDefault="006361AF" w:rsidP="005C34BE">
      <w:pPr>
        <w:pStyle w:val="CH3"/>
      </w:pPr>
      <w:r>
        <w:rPr>
          <w:lang w:val="es-ES"/>
        </w:rPr>
        <w:tab/>
      </w:r>
      <w:r w:rsidR="00E63AFB">
        <w:rPr>
          <w:lang w:val="es-ES"/>
        </w:rPr>
        <w:t>1.</w:t>
      </w:r>
      <w:r w:rsidR="00E63AFB">
        <w:rPr>
          <w:lang w:val="es-ES"/>
        </w:rPr>
        <w:tab/>
      </w:r>
      <w:r w:rsidR="00E63AFB">
        <w:rPr>
          <w:bCs/>
          <w:lang w:val="es-ES"/>
        </w:rPr>
        <w:t>Supuestos y arreglos institucionales</w:t>
      </w:r>
    </w:p>
    <w:p w14:paraId="248CD25F" w14:textId="23127127" w:rsidR="00931329" w:rsidRPr="006361AF" w:rsidRDefault="008D6347" w:rsidP="00991C02">
      <w:pPr>
        <w:pStyle w:val="Normalnumber"/>
        <w:numPr>
          <w:ilvl w:val="0"/>
          <w:numId w:val="5"/>
        </w:numPr>
        <w:tabs>
          <w:tab w:val="left" w:pos="1871"/>
          <w:tab w:val="left" w:pos="2495"/>
        </w:tabs>
        <w:ind w:left="1247" w:firstLine="0"/>
        <w:rPr>
          <w:lang w:val="es-ES_tradnl"/>
        </w:rPr>
      </w:pPr>
      <w:r>
        <w:rPr>
          <w:lang w:val="es-ES"/>
        </w:rPr>
        <w:t xml:space="preserve">El Plenario prorrogará el mandato del equipo de tareas sobre creación de capacidad, que prestará apoyo a los productos previstos 2 a), 2 b) y 2 c). El mandato del equipo de tareas establecido </w:t>
      </w:r>
      <w:r w:rsidR="000E033B">
        <w:rPr>
          <w:lang w:val="es-ES"/>
        </w:rPr>
        <w:t>para el</w:t>
      </w:r>
      <w:r>
        <w:rPr>
          <w:lang w:val="es-ES"/>
        </w:rPr>
        <w:t xml:space="preserve"> primer programa de trabajo ha sido revisado a la luz de las experiencias y las enseñanzas extraídas y se reproduce en el documento IPBES/7/6. En el intervalo entre cada uno de los períodos de</w:t>
      </w:r>
      <w:r w:rsidR="008B35D8">
        <w:rPr>
          <w:lang w:val="es-ES"/>
        </w:rPr>
        <w:t> </w:t>
      </w:r>
      <w:r>
        <w:rPr>
          <w:lang w:val="es-ES"/>
        </w:rPr>
        <w:t>sesiones se celebra</w:t>
      </w:r>
      <w:r w:rsidR="000E033B">
        <w:rPr>
          <w:lang w:val="es-ES"/>
        </w:rPr>
        <w:t xml:space="preserve">rá </w:t>
      </w:r>
      <w:r>
        <w:rPr>
          <w:lang w:val="es-ES"/>
        </w:rPr>
        <w:t xml:space="preserve">una reunión del equipo de tareas y una reunión del foro de la IPBES sobre creación de capacidad. </w:t>
      </w:r>
    </w:p>
    <w:p w14:paraId="496F4F7E" w14:textId="0E16E31D" w:rsidR="00995053" w:rsidRPr="006361AF" w:rsidRDefault="00995053" w:rsidP="00991C02">
      <w:pPr>
        <w:pStyle w:val="Normalnumber"/>
        <w:numPr>
          <w:ilvl w:val="0"/>
          <w:numId w:val="5"/>
        </w:numPr>
        <w:tabs>
          <w:tab w:val="left" w:pos="1871"/>
          <w:tab w:val="left" w:pos="2495"/>
        </w:tabs>
        <w:ind w:left="1247" w:firstLine="0"/>
        <w:rPr>
          <w:lang w:val="es-ES_tradnl"/>
        </w:rPr>
      </w:pPr>
      <w:r>
        <w:rPr>
          <w:lang w:val="es-ES"/>
        </w:rPr>
        <w:t xml:space="preserve">La Secretaría </w:t>
      </w:r>
      <w:r w:rsidR="001D5CE4">
        <w:rPr>
          <w:lang w:val="es-ES"/>
        </w:rPr>
        <w:t>celebrará acuerdos con instituciones</w:t>
      </w:r>
      <w:r>
        <w:rPr>
          <w:lang w:val="es-ES"/>
        </w:rPr>
        <w:t xml:space="preserve"> asociadas para la prestación del apoyo técnico que apruebe la Mesa</w:t>
      </w:r>
      <w:r w:rsidR="001D5CE4">
        <w:rPr>
          <w:lang w:val="es-ES"/>
        </w:rPr>
        <w:t xml:space="preserve">, el cual </w:t>
      </w:r>
      <w:r>
        <w:rPr>
          <w:lang w:val="es-ES"/>
        </w:rPr>
        <w:t>será financiado en parte por la Plataforma y en parte mediante contribuciones en especie aprobadas por el Plenario.</w:t>
      </w:r>
    </w:p>
    <w:p w14:paraId="4E496B77" w14:textId="77777777" w:rsidR="00070C57" w:rsidRPr="00A63824" w:rsidRDefault="006361AF" w:rsidP="005C34BE">
      <w:pPr>
        <w:pStyle w:val="CH3"/>
        <w:rPr>
          <w:rFonts w:eastAsia="SimSun"/>
        </w:rPr>
      </w:pPr>
      <w:r>
        <w:rPr>
          <w:lang w:val="es-ES"/>
        </w:rPr>
        <w:tab/>
      </w:r>
      <w:r w:rsidR="00E63AFB">
        <w:rPr>
          <w:lang w:val="es-ES"/>
        </w:rPr>
        <w:t>2.</w:t>
      </w:r>
      <w:r w:rsidR="00E63AFB">
        <w:rPr>
          <w:lang w:val="es-ES"/>
        </w:rPr>
        <w:tab/>
      </w:r>
      <w:r w:rsidR="00E63AFB">
        <w:rPr>
          <w:bCs/>
          <w:lang w:val="es-ES"/>
        </w:rPr>
        <w:t>Reuniones e hitos</w:t>
      </w:r>
      <w:r w:rsidR="00E63AFB">
        <w:rPr>
          <w:lang w:val="es-ES"/>
        </w:rPr>
        <w:t xml:space="preserve"> </w:t>
      </w:r>
    </w:p>
    <w:p w14:paraId="71AC9423" w14:textId="77777777" w:rsidR="00070C57" w:rsidRPr="006361AF" w:rsidRDefault="00C53C6C" w:rsidP="00991C02">
      <w:pPr>
        <w:pStyle w:val="Normalnumber"/>
        <w:numPr>
          <w:ilvl w:val="0"/>
          <w:numId w:val="5"/>
        </w:numPr>
        <w:tabs>
          <w:tab w:val="left" w:pos="1871"/>
          <w:tab w:val="left" w:pos="2495"/>
        </w:tabs>
        <w:ind w:left="1247" w:firstLine="0"/>
        <w:rPr>
          <w:lang w:val="es-ES_tradnl"/>
        </w:rPr>
      </w:pPr>
      <w:r>
        <w:rPr>
          <w:lang w:val="es-ES"/>
        </w:rPr>
        <w:t>A continuación figura una sinopsis de las medidas que han de adoptarse en relación con este producto previsto. En el cuadro A-7 del anexo del documento IPBES/7/4 figura un proyecto de presupuesto para las actividades relacionadas con este producto previsto.</w:t>
      </w:r>
    </w:p>
    <w:tbl>
      <w:tblPr>
        <w:tblW w:w="8357" w:type="dxa"/>
        <w:tblInd w:w="1248" w:type="dxa"/>
        <w:tblLayout w:type="fixed"/>
        <w:tblLook w:val="04A0" w:firstRow="1" w:lastRow="0" w:firstColumn="1" w:lastColumn="0" w:noHBand="0" w:noVBand="1"/>
      </w:tblPr>
      <w:tblGrid>
        <w:gridCol w:w="1153"/>
        <w:gridCol w:w="7204"/>
      </w:tblGrid>
      <w:tr w:rsidR="008F25B4" w:rsidRPr="008B35D8" w14:paraId="5988523F" w14:textId="77777777" w:rsidTr="00234A9A">
        <w:trPr>
          <w:trHeight w:val="233"/>
          <w:tblHeader/>
        </w:trPr>
        <w:tc>
          <w:tcPr>
            <w:tcW w:w="1153" w:type="dxa"/>
            <w:tcBorders>
              <w:top w:val="single" w:sz="4" w:space="0" w:color="auto"/>
              <w:bottom w:val="single" w:sz="12" w:space="0" w:color="auto"/>
            </w:tcBorders>
            <w:shd w:val="clear" w:color="auto" w:fill="auto"/>
            <w:vAlign w:val="center"/>
          </w:tcPr>
          <w:p w14:paraId="04BBEFBD" w14:textId="77777777" w:rsidR="008F25B4" w:rsidRPr="008B35D8" w:rsidDel="003F5A7B" w:rsidRDefault="008F25B4" w:rsidP="00FC5E47">
            <w:pPr>
              <w:pStyle w:val="Normal-pool"/>
              <w:spacing w:before="40" w:after="40"/>
              <w:rPr>
                <w:rFonts w:eastAsia="SimSun"/>
                <w:sz w:val="18"/>
                <w:szCs w:val="18"/>
              </w:rPr>
            </w:pPr>
            <w:r w:rsidRPr="008B35D8">
              <w:rPr>
                <w:i/>
                <w:iCs/>
                <w:sz w:val="18"/>
                <w:szCs w:val="18"/>
                <w:lang w:val="es-ES"/>
              </w:rPr>
              <w:t>Plazo</w:t>
            </w:r>
          </w:p>
        </w:tc>
        <w:tc>
          <w:tcPr>
            <w:tcW w:w="7204" w:type="dxa"/>
            <w:tcBorders>
              <w:top w:val="single" w:sz="4" w:space="0" w:color="auto"/>
              <w:bottom w:val="single" w:sz="12" w:space="0" w:color="auto"/>
            </w:tcBorders>
            <w:shd w:val="clear" w:color="auto" w:fill="auto"/>
            <w:vAlign w:val="center"/>
          </w:tcPr>
          <w:p w14:paraId="38E8E43A" w14:textId="77777777" w:rsidR="008F25B4" w:rsidRPr="008B35D8" w:rsidDel="000C28ED" w:rsidRDefault="00230862" w:rsidP="005C34BE">
            <w:pPr>
              <w:pStyle w:val="Normal-pool"/>
              <w:keepNext/>
              <w:keepLines/>
              <w:spacing w:before="40" w:after="40"/>
              <w:rPr>
                <w:rFonts w:eastAsia="SimSun"/>
                <w:sz w:val="18"/>
                <w:szCs w:val="18"/>
              </w:rPr>
            </w:pPr>
            <w:r w:rsidRPr="008B35D8">
              <w:rPr>
                <w:i/>
                <w:iCs/>
                <w:sz w:val="18"/>
                <w:szCs w:val="18"/>
                <w:lang w:val="es-ES"/>
              </w:rPr>
              <w:t>Reuniones e hitos</w:t>
            </w:r>
          </w:p>
        </w:tc>
      </w:tr>
      <w:tr w:rsidR="00FC0BC6" w:rsidRPr="008B35D8" w14:paraId="7F90B583" w14:textId="77777777" w:rsidTr="00ED76A4">
        <w:tblPrEx>
          <w:tblCellMar>
            <w:left w:w="0" w:type="dxa"/>
            <w:right w:w="0" w:type="dxa"/>
          </w:tblCellMar>
        </w:tblPrEx>
        <w:trPr>
          <w:trHeight w:val="233"/>
        </w:trPr>
        <w:tc>
          <w:tcPr>
            <w:tcW w:w="1153" w:type="dxa"/>
            <w:vMerge w:val="restart"/>
            <w:tcBorders>
              <w:top w:val="single" w:sz="12" w:space="0" w:color="auto"/>
              <w:bottom w:val="single" w:sz="12" w:space="0" w:color="auto"/>
            </w:tcBorders>
            <w:tcMar>
              <w:top w:w="0" w:type="dxa"/>
              <w:left w:w="108" w:type="dxa"/>
              <w:bottom w:w="0" w:type="dxa"/>
              <w:right w:w="108" w:type="dxa"/>
            </w:tcMar>
            <w:vAlign w:val="center"/>
            <w:hideMark/>
          </w:tcPr>
          <w:p w14:paraId="5DC8182C" w14:textId="4A00627D" w:rsidR="00FC0BC6" w:rsidRPr="008B35D8" w:rsidRDefault="00B90361" w:rsidP="001D5CE4">
            <w:pPr>
              <w:pStyle w:val="Normal-pool"/>
              <w:spacing w:before="40" w:after="40"/>
              <w:rPr>
                <w:sz w:val="18"/>
                <w:szCs w:val="18"/>
              </w:rPr>
            </w:pPr>
            <w:r w:rsidRPr="008B35D8">
              <w:rPr>
                <w:sz w:val="18"/>
                <w:szCs w:val="18"/>
                <w:lang w:val="es-ES"/>
              </w:rPr>
              <w:t>Anualmente</w:t>
            </w:r>
          </w:p>
        </w:tc>
        <w:tc>
          <w:tcPr>
            <w:tcW w:w="7204" w:type="dxa"/>
            <w:tcBorders>
              <w:top w:val="single" w:sz="12" w:space="0" w:color="auto"/>
            </w:tcBorders>
            <w:tcMar>
              <w:top w:w="0" w:type="dxa"/>
              <w:left w:w="108" w:type="dxa"/>
              <w:bottom w:w="0" w:type="dxa"/>
              <w:right w:w="108" w:type="dxa"/>
            </w:tcMar>
            <w:hideMark/>
          </w:tcPr>
          <w:p w14:paraId="60542F4B" w14:textId="77777777" w:rsidR="00FC0BC6" w:rsidRPr="008B35D8" w:rsidRDefault="00FC0BC6" w:rsidP="005C34BE">
            <w:pPr>
              <w:pStyle w:val="Normal-pool"/>
              <w:keepNext/>
              <w:spacing w:before="40" w:after="40"/>
              <w:rPr>
                <w:sz w:val="18"/>
                <w:szCs w:val="18"/>
                <w:lang w:val="es-ES_tradnl"/>
              </w:rPr>
            </w:pPr>
            <w:r w:rsidRPr="008B35D8">
              <w:rPr>
                <w:sz w:val="18"/>
                <w:szCs w:val="18"/>
                <w:lang w:val="es-ES"/>
              </w:rPr>
              <w:t>Actividades comunes a los productos previstos 2 a), 2 b) y 2 c):</w:t>
            </w:r>
          </w:p>
          <w:p w14:paraId="18A72BE3" w14:textId="77777777" w:rsidR="00FC0BC6" w:rsidRPr="008B35D8" w:rsidRDefault="00FC0BC6" w:rsidP="005C34BE">
            <w:pPr>
              <w:pStyle w:val="Normal-pool"/>
              <w:keepNext/>
              <w:tabs>
                <w:tab w:val="left" w:pos="4779"/>
              </w:tabs>
              <w:spacing w:before="40" w:after="40"/>
              <w:ind w:left="288"/>
              <w:rPr>
                <w:sz w:val="18"/>
                <w:szCs w:val="18"/>
                <w:lang w:val="es-ES_tradnl"/>
              </w:rPr>
            </w:pPr>
            <w:r w:rsidRPr="008B35D8">
              <w:rPr>
                <w:sz w:val="18"/>
                <w:szCs w:val="18"/>
                <w:lang w:val="es-ES"/>
              </w:rPr>
              <w:t>Una reunión del equipo de tareas</w:t>
            </w:r>
          </w:p>
          <w:p w14:paraId="604B5C8F" w14:textId="77777777" w:rsidR="00FC0BC6" w:rsidRPr="008B35D8" w:rsidRDefault="00FC0BC6" w:rsidP="005C34BE">
            <w:pPr>
              <w:pStyle w:val="Normal-pool"/>
              <w:keepNext/>
              <w:tabs>
                <w:tab w:val="left" w:pos="4779"/>
              </w:tabs>
              <w:spacing w:before="40" w:after="40"/>
              <w:ind w:left="288"/>
              <w:rPr>
                <w:sz w:val="18"/>
                <w:szCs w:val="18"/>
                <w:lang w:val="es-ES_tradnl"/>
              </w:rPr>
            </w:pPr>
            <w:r w:rsidRPr="008B35D8">
              <w:rPr>
                <w:sz w:val="18"/>
                <w:szCs w:val="18"/>
                <w:lang w:val="es-ES"/>
              </w:rPr>
              <w:t>El foro sobre creación de capacidad colabora con organizaciones en apoyo de la ejecución del plan renovable de creación de capacidad</w:t>
            </w:r>
          </w:p>
          <w:p w14:paraId="462AC386" w14:textId="77777777" w:rsidR="00FC0BC6" w:rsidRPr="008B35D8" w:rsidRDefault="00FC0BC6" w:rsidP="005C34BE">
            <w:pPr>
              <w:pStyle w:val="Normal-pool"/>
              <w:keepNext/>
              <w:tabs>
                <w:tab w:val="left" w:pos="4779"/>
              </w:tabs>
              <w:spacing w:before="40" w:after="40"/>
              <w:ind w:left="288"/>
              <w:rPr>
                <w:sz w:val="18"/>
                <w:szCs w:val="18"/>
                <w:lang w:val="es-ES_tradnl"/>
              </w:rPr>
            </w:pPr>
            <w:r w:rsidRPr="008B35D8">
              <w:rPr>
                <w:sz w:val="18"/>
                <w:szCs w:val="18"/>
                <w:lang w:val="es-ES"/>
              </w:rPr>
              <w:t>Actividades en apoyo de la implementación de otros productos previstos</w:t>
            </w:r>
          </w:p>
          <w:p w14:paraId="719BC2E5" w14:textId="77777777" w:rsidR="00FC0BC6" w:rsidRPr="008B35D8" w:rsidRDefault="00FC0BC6" w:rsidP="005C34BE">
            <w:pPr>
              <w:pStyle w:val="Normal-pool"/>
              <w:keepNext/>
              <w:tabs>
                <w:tab w:val="left" w:pos="4779"/>
              </w:tabs>
              <w:spacing w:before="40" w:after="40"/>
              <w:ind w:left="288"/>
              <w:rPr>
                <w:sz w:val="18"/>
                <w:szCs w:val="18"/>
                <w:lang w:val="es-ES_tradnl"/>
              </w:rPr>
            </w:pPr>
            <w:r w:rsidRPr="008B35D8">
              <w:rPr>
                <w:sz w:val="18"/>
                <w:szCs w:val="18"/>
                <w:lang w:val="es-ES"/>
              </w:rPr>
              <w:t>Elaboración de material de aprendizaje electrónico</w:t>
            </w:r>
          </w:p>
        </w:tc>
      </w:tr>
      <w:tr w:rsidR="00FC0BC6" w:rsidRPr="008B35D8" w14:paraId="12FBAE71" w14:textId="77777777" w:rsidTr="005C34BE">
        <w:tblPrEx>
          <w:tblCellMar>
            <w:left w:w="0" w:type="dxa"/>
            <w:right w:w="0" w:type="dxa"/>
          </w:tblCellMar>
        </w:tblPrEx>
        <w:trPr>
          <w:trHeight w:val="233"/>
        </w:trPr>
        <w:tc>
          <w:tcPr>
            <w:tcW w:w="1153" w:type="dxa"/>
            <w:vMerge/>
            <w:tcBorders>
              <w:bottom w:val="single" w:sz="12" w:space="0" w:color="auto"/>
            </w:tcBorders>
            <w:vAlign w:val="center"/>
            <w:hideMark/>
          </w:tcPr>
          <w:p w14:paraId="6D905933" w14:textId="77777777" w:rsidR="00FC0BC6" w:rsidRPr="008B35D8" w:rsidRDefault="00FC0BC6" w:rsidP="005C34BE">
            <w:pPr>
              <w:spacing w:before="40" w:after="40"/>
              <w:rPr>
                <w:rFonts w:ascii="Times New Roman" w:eastAsia="Times New Roman" w:hAnsi="Times New Roman"/>
                <w:sz w:val="18"/>
                <w:szCs w:val="18"/>
                <w:lang w:eastAsia="zh-CN"/>
              </w:rPr>
            </w:pPr>
          </w:p>
        </w:tc>
        <w:tc>
          <w:tcPr>
            <w:tcW w:w="7204" w:type="dxa"/>
            <w:tcMar>
              <w:top w:w="0" w:type="dxa"/>
              <w:left w:w="108" w:type="dxa"/>
              <w:bottom w:w="0" w:type="dxa"/>
              <w:right w:w="108" w:type="dxa"/>
            </w:tcMar>
            <w:hideMark/>
          </w:tcPr>
          <w:p w14:paraId="55BAE80C" w14:textId="6F26BFB0" w:rsidR="00FC0BC6" w:rsidRPr="008B35D8" w:rsidRDefault="005B72D7" w:rsidP="00217D7E">
            <w:pPr>
              <w:pStyle w:val="Normal-pool"/>
              <w:keepNext/>
              <w:spacing w:before="40" w:after="40"/>
              <w:rPr>
                <w:sz w:val="18"/>
                <w:szCs w:val="18"/>
                <w:lang w:val="es-ES_tradnl"/>
              </w:rPr>
            </w:pPr>
            <w:r w:rsidRPr="008B35D8">
              <w:rPr>
                <w:sz w:val="18"/>
                <w:szCs w:val="18"/>
                <w:lang w:val="es-ES"/>
              </w:rPr>
              <w:t>Actividades específicas para el producto previsto 2 a):</w:t>
            </w:r>
          </w:p>
          <w:p w14:paraId="7E64EB33" w14:textId="77777777" w:rsidR="00FC0BC6" w:rsidRPr="008B35D8" w:rsidRDefault="00FC0BC6" w:rsidP="005C34BE">
            <w:pPr>
              <w:pStyle w:val="Normal-pool"/>
              <w:keepNext/>
              <w:tabs>
                <w:tab w:val="left" w:pos="4779"/>
              </w:tabs>
              <w:spacing w:before="40" w:after="40"/>
              <w:ind w:left="288"/>
              <w:rPr>
                <w:sz w:val="18"/>
                <w:szCs w:val="18"/>
                <w:lang w:val="es-ES_tradnl"/>
              </w:rPr>
            </w:pPr>
            <w:r w:rsidRPr="008B35D8">
              <w:rPr>
                <w:sz w:val="18"/>
                <w:szCs w:val="18"/>
                <w:lang w:val="es-ES"/>
              </w:rPr>
              <w:t>Ejecución del programa de becas para las evaluaciones en curso y otros productos previstos</w:t>
            </w:r>
          </w:p>
          <w:p w14:paraId="009FF160" w14:textId="77777777" w:rsidR="00FC0BC6" w:rsidRPr="008B35D8" w:rsidRDefault="00FC0BC6" w:rsidP="005C34BE">
            <w:pPr>
              <w:pStyle w:val="Normal-pool"/>
              <w:keepNext/>
              <w:tabs>
                <w:tab w:val="left" w:pos="4779"/>
              </w:tabs>
              <w:spacing w:before="40" w:after="40"/>
              <w:ind w:left="288"/>
              <w:rPr>
                <w:sz w:val="18"/>
                <w:szCs w:val="18"/>
                <w:lang w:val="es-ES_tradnl"/>
              </w:rPr>
            </w:pPr>
            <w:r w:rsidRPr="008B35D8">
              <w:rPr>
                <w:sz w:val="18"/>
                <w:szCs w:val="18"/>
                <w:lang w:val="es-ES"/>
              </w:rPr>
              <w:t>Actividades realizadas en el marco del programa de capacitación y familiarización</w:t>
            </w:r>
          </w:p>
        </w:tc>
      </w:tr>
      <w:tr w:rsidR="00FC0BC6" w:rsidRPr="008B35D8" w14:paraId="5AF451F0" w14:textId="77777777" w:rsidTr="005C34BE">
        <w:tblPrEx>
          <w:tblCellMar>
            <w:left w:w="0" w:type="dxa"/>
            <w:right w:w="0" w:type="dxa"/>
          </w:tblCellMar>
        </w:tblPrEx>
        <w:trPr>
          <w:trHeight w:val="233"/>
        </w:trPr>
        <w:tc>
          <w:tcPr>
            <w:tcW w:w="1153" w:type="dxa"/>
            <w:vMerge/>
            <w:tcBorders>
              <w:bottom w:val="single" w:sz="12" w:space="0" w:color="auto"/>
            </w:tcBorders>
            <w:vAlign w:val="center"/>
            <w:hideMark/>
          </w:tcPr>
          <w:p w14:paraId="5C5FF23A" w14:textId="77777777" w:rsidR="00FC0BC6" w:rsidRPr="008B35D8" w:rsidRDefault="00FC0BC6" w:rsidP="005C34BE">
            <w:pPr>
              <w:spacing w:before="40" w:after="40"/>
              <w:rPr>
                <w:rFonts w:ascii="Times New Roman" w:eastAsia="Times New Roman" w:hAnsi="Times New Roman"/>
                <w:sz w:val="18"/>
                <w:szCs w:val="18"/>
                <w:lang w:eastAsia="zh-CN"/>
              </w:rPr>
            </w:pPr>
          </w:p>
        </w:tc>
        <w:tc>
          <w:tcPr>
            <w:tcW w:w="7204" w:type="dxa"/>
            <w:tcMar>
              <w:top w:w="0" w:type="dxa"/>
              <w:left w:w="108" w:type="dxa"/>
              <w:bottom w:w="0" w:type="dxa"/>
              <w:right w:w="108" w:type="dxa"/>
            </w:tcMar>
            <w:hideMark/>
          </w:tcPr>
          <w:p w14:paraId="67DC83DB" w14:textId="269A3321" w:rsidR="00FC0BC6" w:rsidRPr="008B35D8" w:rsidRDefault="005B72D7" w:rsidP="00217D7E">
            <w:pPr>
              <w:pStyle w:val="Normal-pool"/>
              <w:keepNext/>
              <w:spacing w:before="40" w:after="40"/>
              <w:rPr>
                <w:sz w:val="18"/>
                <w:szCs w:val="18"/>
                <w:lang w:val="es-ES_tradnl"/>
              </w:rPr>
            </w:pPr>
            <w:r w:rsidRPr="008B35D8">
              <w:rPr>
                <w:sz w:val="18"/>
                <w:szCs w:val="18"/>
                <w:lang w:val="es-ES"/>
              </w:rPr>
              <w:t>Actividades específicas para el producto previsto 2 b):</w:t>
            </w:r>
          </w:p>
          <w:p w14:paraId="11BB568E" w14:textId="1CB882B0" w:rsidR="00FC0BC6" w:rsidRPr="008B35D8" w:rsidRDefault="00FC0BC6" w:rsidP="005C34BE">
            <w:pPr>
              <w:pStyle w:val="Normal-pool"/>
              <w:keepNext/>
              <w:tabs>
                <w:tab w:val="left" w:pos="4779"/>
              </w:tabs>
              <w:spacing w:before="40" w:after="40"/>
              <w:ind w:left="288"/>
              <w:rPr>
                <w:sz w:val="18"/>
                <w:szCs w:val="18"/>
                <w:lang w:val="es-ES_tradnl"/>
              </w:rPr>
            </w:pPr>
            <w:r w:rsidRPr="008B35D8">
              <w:rPr>
                <w:sz w:val="18"/>
                <w:szCs w:val="18"/>
                <w:lang w:val="es-ES"/>
              </w:rPr>
              <w:t xml:space="preserve">Facilitar el acceso a los conocimientos especializados y a la información, incluida la puesta en práctica de los productos </w:t>
            </w:r>
            <w:r w:rsidR="001D5CE4" w:rsidRPr="008B35D8">
              <w:rPr>
                <w:sz w:val="18"/>
                <w:szCs w:val="18"/>
                <w:lang w:val="es-ES"/>
              </w:rPr>
              <w:t xml:space="preserve">finalizados </w:t>
            </w:r>
            <w:r w:rsidRPr="008B35D8">
              <w:rPr>
                <w:sz w:val="18"/>
                <w:szCs w:val="18"/>
                <w:lang w:val="es-ES"/>
              </w:rPr>
              <w:t>de la IPBES</w:t>
            </w:r>
          </w:p>
        </w:tc>
      </w:tr>
      <w:tr w:rsidR="00FC0BC6" w:rsidRPr="008B35D8" w14:paraId="6743A344" w14:textId="77777777" w:rsidTr="005C34BE">
        <w:tblPrEx>
          <w:tblCellMar>
            <w:left w:w="0" w:type="dxa"/>
            <w:right w:w="0" w:type="dxa"/>
          </w:tblCellMar>
        </w:tblPrEx>
        <w:trPr>
          <w:trHeight w:val="233"/>
        </w:trPr>
        <w:tc>
          <w:tcPr>
            <w:tcW w:w="1153" w:type="dxa"/>
            <w:vMerge/>
            <w:tcBorders>
              <w:bottom w:val="single" w:sz="12" w:space="0" w:color="auto"/>
            </w:tcBorders>
            <w:vAlign w:val="center"/>
            <w:hideMark/>
          </w:tcPr>
          <w:p w14:paraId="69F8418C" w14:textId="77777777" w:rsidR="00FC0BC6" w:rsidRPr="008B35D8" w:rsidRDefault="00FC0BC6" w:rsidP="005C34BE">
            <w:pPr>
              <w:spacing w:before="40" w:after="40"/>
              <w:rPr>
                <w:rFonts w:ascii="Times New Roman" w:eastAsia="Times New Roman" w:hAnsi="Times New Roman"/>
                <w:sz w:val="18"/>
                <w:szCs w:val="18"/>
                <w:lang w:eastAsia="zh-CN"/>
              </w:rPr>
            </w:pPr>
          </w:p>
        </w:tc>
        <w:tc>
          <w:tcPr>
            <w:tcW w:w="7204" w:type="dxa"/>
            <w:tcBorders>
              <w:bottom w:val="single" w:sz="12" w:space="0" w:color="auto"/>
            </w:tcBorders>
            <w:tcMar>
              <w:top w:w="0" w:type="dxa"/>
              <w:left w:w="108" w:type="dxa"/>
              <w:bottom w:w="0" w:type="dxa"/>
              <w:right w:w="108" w:type="dxa"/>
            </w:tcMar>
            <w:hideMark/>
          </w:tcPr>
          <w:p w14:paraId="73F77E22" w14:textId="77777777" w:rsidR="00FC0BC6" w:rsidRPr="008B35D8" w:rsidRDefault="005B72D7" w:rsidP="005C34BE">
            <w:pPr>
              <w:pStyle w:val="Normal-pool"/>
              <w:keepNext/>
              <w:spacing w:before="40" w:after="40"/>
              <w:rPr>
                <w:sz w:val="18"/>
                <w:szCs w:val="18"/>
                <w:lang w:val="es-ES_tradnl"/>
              </w:rPr>
            </w:pPr>
            <w:r w:rsidRPr="008B35D8">
              <w:rPr>
                <w:sz w:val="18"/>
                <w:szCs w:val="18"/>
                <w:lang w:val="es-ES"/>
              </w:rPr>
              <w:t>Actividades específicas para el producto previsto 2 c):</w:t>
            </w:r>
          </w:p>
          <w:p w14:paraId="78AEDC3A" w14:textId="77777777" w:rsidR="00EB236B" w:rsidRPr="008B35D8" w:rsidRDefault="00FC0BC6" w:rsidP="005C34BE">
            <w:pPr>
              <w:pStyle w:val="Normal-pool"/>
              <w:keepNext/>
              <w:tabs>
                <w:tab w:val="left" w:pos="4779"/>
              </w:tabs>
              <w:spacing w:before="40" w:after="40"/>
              <w:ind w:left="288"/>
              <w:rPr>
                <w:sz w:val="18"/>
                <w:szCs w:val="18"/>
                <w:lang w:val="es-ES_tradnl"/>
              </w:rPr>
            </w:pPr>
            <w:r w:rsidRPr="008B35D8">
              <w:rPr>
                <w:sz w:val="18"/>
                <w:szCs w:val="18"/>
                <w:lang w:val="es-ES"/>
              </w:rPr>
              <w:t>Actividades relacionadas con el fortalecimiento de la capacidad nacional y regional, incluidas las iniciativas para estimular la elaboración de plataformas nacionales y el uso de metodologías de la IPBES, así como el marco conceptual de la IPBES en las políticas, programas y evaluaciones nacionales o subregionales</w:t>
            </w:r>
          </w:p>
        </w:tc>
      </w:tr>
    </w:tbl>
    <w:p w14:paraId="28DB4DD5" w14:textId="77777777" w:rsidR="00697A66" w:rsidRPr="006361AF" w:rsidRDefault="006361AF" w:rsidP="005C34BE">
      <w:pPr>
        <w:pStyle w:val="CH1"/>
        <w:rPr>
          <w:lang w:val="es-ES_tradnl"/>
        </w:rPr>
      </w:pPr>
      <w:r>
        <w:rPr>
          <w:lang w:val="es-ES"/>
        </w:rPr>
        <w:tab/>
      </w:r>
      <w:r w:rsidR="00771BDE">
        <w:rPr>
          <w:lang w:val="es-ES"/>
        </w:rPr>
        <w:t>III.</w:t>
      </w:r>
      <w:r w:rsidR="00771BDE">
        <w:rPr>
          <w:lang w:val="es-ES"/>
        </w:rPr>
        <w:tab/>
      </w:r>
      <w:r w:rsidR="00771BDE">
        <w:rPr>
          <w:bCs/>
          <w:lang w:val="es-ES"/>
        </w:rPr>
        <w:t>Objetivo 3: fortalecimiento de la base de conocimientos</w:t>
      </w:r>
    </w:p>
    <w:p w14:paraId="0045ADF6" w14:textId="6351DCB2" w:rsidR="003B57A4" w:rsidRPr="006361AF" w:rsidRDefault="006361AF" w:rsidP="005C34BE">
      <w:pPr>
        <w:pStyle w:val="CH2"/>
        <w:rPr>
          <w:lang w:val="es-ES_tradnl"/>
        </w:rPr>
      </w:pPr>
      <w:r>
        <w:rPr>
          <w:lang w:val="es-ES"/>
        </w:rPr>
        <w:tab/>
      </w:r>
      <w:r w:rsidR="00CB3B9B">
        <w:rPr>
          <w:lang w:val="es-ES"/>
        </w:rPr>
        <w:t>A.</w:t>
      </w:r>
      <w:r w:rsidR="00CB3B9B">
        <w:rPr>
          <w:lang w:val="es-ES"/>
        </w:rPr>
        <w:tab/>
      </w:r>
      <w:r w:rsidR="00CB3B9B">
        <w:rPr>
          <w:bCs/>
          <w:lang w:val="es-ES"/>
        </w:rPr>
        <w:t>Producto previsto 3 a): avance</w:t>
      </w:r>
      <w:r w:rsidR="009008A8">
        <w:rPr>
          <w:bCs/>
          <w:lang w:val="es-ES"/>
        </w:rPr>
        <w:t xml:space="preserve"> de la</w:t>
      </w:r>
      <w:r w:rsidR="00CB3B9B">
        <w:rPr>
          <w:bCs/>
          <w:lang w:val="es-ES"/>
        </w:rPr>
        <w:t xml:space="preserve"> labor en materia de conocimientos y</w:t>
      </w:r>
      <w:r w:rsidR="002817E9">
        <w:rPr>
          <w:bCs/>
          <w:lang w:val="es-ES"/>
        </w:rPr>
        <w:t> </w:t>
      </w:r>
      <w:r w:rsidR="00CB3B9B">
        <w:rPr>
          <w:bCs/>
          <w:lang w:val="es-ES"/>
        </w:rPr>
        <w:t>datos</w:t>
      </w:r>
    </w:p>
    <w:p w14:paraId="0C2F7815" w14:textId="77777777" w:rsidR="0043299F" w:rsidRPr="00732E7C" w:rsidRDefault="006361AF" w:rsidP="005C34BE">
      <w:pPr>
        <w:pStyle w:val="CH3"/>
        <w:rPr>
          <w:rFonts w:eastAsia="SimSun"/>
        </w:rPr>
      </w:pPr>
      <w:bookmarkStart w:id="3" w:name="_Hlk523988766"/>
      <w:r>
        <w:rPr>
          <w:lang w:val="es-ES"/>
        </w:rPr>
        <w:tab/>
      </w:r>
      <w:r w:rsidR="00E63AFB">
        <w:rPr>
          <w:lang w:val="es-ES"/>
        </w:rPr>
        <w:t>1.</w:t>
      </w:r>
      <w:r w:rsidR="00E63AFB">
        <w:rPr>
          <w:lang w:val="es-ES"/>
        </w:rPr>
        <w:tab/>
      </w:r>
      <w:r w:rsidR="00E63AFB">
        <w:rPr>
          <w:bCs/>
          <w:lang w:val="es-ES"/>
        </w:rPr>
        <w:t>Antec</w:t>
      </w:r>
      <w:r w:rsidR="00E63AFB">
        <w:rPr>
          <w:lang w:val="es-ES"/>
        </w:rPr>
        <w:t>edentes</w:t>
      </w:r>
    </w:p>
    <w:p w14:paraId="141E7C93" w14:textId="44E1AEE1" w:rsidR="0043299F" w:rsidRPr="006361AF" w:rsidRDefault="0043299F" w:rsidP="0043299F">
      <w:pPr>
        <w:pStyle w:val="Normalnumber"/>
        <w:numPr>
          <w:ilvl w:val="0"/>
          <w:numId w:val="5"/>
        </w:numPr>
        <w:tabs>
          <w:tab w:val="left" w:pos="1871"/>
          <w:tab w:val="left" w:pos="2495"/>
        </w:tabs>
        <w:ind w:left="1247" w:firstLine="0"/>
        <w:rPr>
          <w:lang w:val="es-ES_tradnl"/>
        </w:rPr>
      </w:pPr>
      <w:r>
        <w:rPr>
          <w:lang w:val="es-ES"/>
        </w:rPr>
        <w:t xml:space="preserve">El primer programa de trabajo incluyó el producto previsto 1 d): “se satisfacen las necesidades prioritarias de conocimientos y datos catalizando la actividad encaminada a generar nuevos conocimientos y a establecer contactos” y el producto previsto 4 b): “elaboración de un plan de gestión de información y datos”. Posteriormente, el Plenario estableció un equipo de tareas para la implementación de esos productos, cuyo mandato figura en el anexo III de la decisión IPBES-2/5. Durante el primer programa de trabajo, el equipo de tareas sobre datos y conocimientos trabajó en tres grupos de tareas para apoyar la producción de evaluaciones: un grupo dedicó su labor a los indicadores y datos para las evaluaciones de la Plataforma; otro se centró en una infraestructura basada en la web para apoyar las necesidades </w:t>
      </w:r>
      <w:r w:rsidR="009008A8">
        <w:rPr>
          <w:lang w:val="es-ES"/>
        </w:rPr>
        <w:t xml:space="preserve">en materia </w:t>
      </w:r>
      <w:r>
        <w:rPr>
          <w:lang w:val="es-ES"/>
        </w:rPr>
        <w:t xml:space="preserve">de gestión de datos e información; y un tercero trabajó en la catalización de la generación de conocimientos. </w:t>
      </w:r>
    </w:p>
    <w:p w14:paraId="709DC511" w14:textId="0B1B88DD" w:rsidR="0043299F" w:rsidRPr="006361AF" w:rsidRDefault="0043299F" w:rsidP="0043299F">
      <w:pPr>
        <w:pStyle w:val="Normalnumber"/>
        <w:numPr>
          <w:ilvl w:val="0"/>
          <w:numId w:val="5"/>
        </w:numPr>
        <w:tabs>
          <w:tab w:val="left" w:pos="1871"/>
          <w:tab w:val="left" w:pos="2495"/>
        </w:tabs>
        <w:ind w:left="1247" w:firstLine="0"/>
        <w:rPr>
          <w:lang w:val="es-ES_tradnl"/>
        </w:rPr>
      </w:pPr>
      <w:r>
        <w:rPr>
          <w:lang w:val="es-ES"/>
        </w:rPr>
        <w:t xml:space="preserve">El grupo de tareas sobre indicadores </w:t>
      </w:r>
      <w:r w:rsidR="00E37AC2">
        <w:rPr>
          <w:lang w:val="es-ES"/>
        </w:rPr>
        <w:t>examinó</w:t>
      </w:r>
      <w:r>
        <w:rPr>
          <w:lang w:val="es-ES"/>
        </w:rPr>
        <w:t xml:space="preserve"> el mandato del equipo de tareas </w:t>
      </w:r>
      <w:r w:rsidR="009008A8">
        <w:rPr>
          <w:lang w:val="es-ES"/>
        </w:rPr>
        <w:t xml:space="preserve">relativo a brindar asesoramiento </w:t>
      </w:r>
      <w:r>
        <w:rPr>
          <w:lang w:val="es-ES"/>
        </w:rPr>
        <w:t>sobre los indicadores y sistemas de medi</w:t>
      </w:r>
      <w:r w:rsidR="009008A8">
        <w:rPr>
          <w:lang w:val="es-ES"/>
        </w:rPr>
        <w:t>ción</w:t>
      </w:r>
      <w:r>
        <w:rPr>
          <w:lang w:val="es-ES"/>
        </w:rPr>
        <w:t xml:space="preserve"> que se utilizarán en los productos de la IPBES y sobre las normas necesarias para capt</w:t>
      </w:r>
      <w:r w:rsidR="009008A8">
        <w:rPr>
          <w:lang w:val="es-ES"/>
        </w:rPr>
        <w:t>ar</w:t>
      </w:r>
      <w:r>
        <w:rPr>
          <w:lang w:val="es-ES"/>
        </w:rPr>
        <w:t xml:space="preserve"> y gestionar los datos conexos. También respondió a las solicitudes que figuraban en los documentos de análisis inicial de las evaluaciones regionales y la evaluación mundial de la diversidad biológica y los servicios de los ecosistemas respecto de un marco común sobre las normas relativas a los datos, una orientación activa sobre la calidad, la confianza, los indicadores, los </w:t>
      </w:r>
      <w:r w:rsidR="000E033B">
        <w:rPr>
          <w:lang w:val="es-ES"/>
        </w:rPr>
        <w:t>parámetros</w:t>
      </w:r>
      <w:r>
        <w:rPr>
          <w:lang w:val="es-ES"/>
        </w:rPr>
        <w:t xml:space="preserve"> de referencia y la representatividad de los datos y</w:t>
      </w:r>
      <w:r w:rsidR="00217D7E">
        <w:rPr>
          <w:lang w:val="es-ES"/>
        </w:rPr>
        <w:t> </w:t>
      </w:r>
      <w:r>
        <w:rPr>
          <w:lang w:val="es-ES"/>
        </w:rPr>
        <w:t xml:space="preserve">la información, y la utilización de un conjunto básico de indicadores con parámetros de referencia adecuados en todas las evaluaciones mundiales y regionales. El grupo </w:t>
      </w:r>
      <w:r w:rsidR="000E033B">
        <w:rPr>
          <w:lang w:val="es-ES"/>
        </w:rPr>
        <w:t>de tareas</w:t>
      </w:r>
      <w:r>
        <w:rPr>
          <w:lang w:val="es-ES"/>
        </w:rPr>
        <w:t xml:space="preserve"> elaboró una lista de</w:t>
      </w:r>
      <w:r w:rsidR="00217D7E">
        <w:rPr>
          <w:lang w:val="es-ES"/>
        </w:rPr>
        <w:t> </w:t>
      </w:r>
      <w:r>
        <w:rPr>
          <w:lang w:val="es-ES"/>
        </w:rPr>
        <w:t>30</w:t>
      </w:r>
      <w:r w:rsidR="00217D7E">
        <w:rPr>
          <w:lang w:val="es-ES"/>
        </w:rPr>
        <w:t> </w:t>
      </w:r>
      <w:r>
        <w:rPr>
          <w:lang w:val="es-ES"/>
        </w:rPr>
        <w:t>“indicadores básicos” y exhortó a los autores de las evaluaciones a utilizarla junto con otros indicadores o fuentes de datos de su elección; también elaboró una lista de 42 “indicadores destacados” e invit</w:t>
      </w:r>
      <w:r w:rsidR="009008A8">
        <w:rPr>
          <w:lang w:val="es-ES"/>
        </w:rPr>
        <w:t>ó</w:t>
      </w:r>
      <w:r>
        <w:rPr>
          <w:lang w:val="es-ES"/>
        </w:rPr>
        <w:t xml:space="preserve"> a los autores de las evaluaciones a utilizarlos, pero no indicó expectativa alguna</w:t>
      </w:r>
      <w:r w:rsidR="00217D7E">
        <w:rPr>
          <w:lang w:val="es-ES"/>
        </w:rPr>
        <w:t> </w:t>
      </w:r>
      <w:r>
        <w:rPr>
          <w:lang w:val="es-ES"/>
        </w:rPr>
        <w:t>respecto de su utilización sistemática en las evaluaciones</w:t>
      </w:r>
      <w:r w:rsidRPr="00A63824">
        <w:rPr>
          <w:rStyle w:val="FootnoteReference"/>
          <w:lang w:val="es-ES" w:eastAsia="nb-NO"/>
        </w:rPr>
        <w:footnoteReference w:id="8"/>
      </w:r>
      <w:r>
        <w:rPr>
          <w:lang w:val="es-ES"/>
        </w:rPr>
        <w:t xml:space="preserve">. La dependencia de apoyo técnico </w:t>
      </w:r>
      <w:r w:rsidR="009008A8">
        <w:rPr>
          <w:lang w:val="es-ES"/>
        </w:rPr>
        <w:t>relacionada con el</w:t>
      </w:r>
      <w:r>
        <w:rPr>
          <w:lang w:val="es-ES"/>
        </w:rPr>
        <w:t xml:space="preserve"> producto previsto, bajo la dirección del grupo de tareas, prestó apoyo al suministro de información y datos relacionados con esos indicadores y preparó visualizaciones normalizadas para los indicadores. De cara al futuro, se recomienda que los autores de las evaluaciones participen en la elaboración de los indicadores a fin de asegurar la coherencia entre los productos previstos conexos del programa de trabajo. </w:t>
      </w:r>
    </w:p>
    <w:p w14:paraId="6F9E1E89" w14:textId="568C8768" w:rsidR="0043299F" w:rsidRPr="006361AF" w:rsidRDefault="0043299F" w:rsidP="0043299F">
      <w:pPr>
        <w:pStyle w:val="Normalnumber"/>
        <w:numPr>
          <w:ilvl w:val="0"/>
          <w:numId w:val="5"/>
        </w:numPr>
        <w:tabs>
          <w:tab w:val="left" w:pos="1871"/>
          <w:tab w:val="left" w:pos="2495"/>
        </w:tabs>
        <w:ind w:left="1247" w:firstLine="0"/>
        <w:rPr>
          <w:lang w:val="es-ES_tradnl"/>
        </w:rPr>
      </w:pPr>
      <w:r>
        <w:rPr>
          <w:lang w:val="es-ES"/>
        </w:rPr>
        <w:t xml:space="preserve">El grupo de tareas sobre el desarrollo de una infraestructura basada en la web </w:t>
      </w:r>
      <w:r w:rsidR="00E37AC2">
        <w:rPr>
          <w:lang w:val="es-ES"/>
        </w:rPr>
        <w:t>dirigida a</w:t>
      </w:r>
      <w:r>
        <w:rPr>
          <w:lang w:val="es-ES"/>
        </w:rPr>
        <w:t xml:space="preserve"> apoyar las necesidades de gestión de datos e información examinó el mandato de prestar apoyo a la Secretaría en la supervisión de la gestión de los datos, la información y los conocimientos utilizados en la elaboración de productos de la </w:t>
      </w:r>
      <w:r w:rsidR="000E033B">
        <w:rPr>
          <w:lang w:val="es-ES"/>
        </w:rPr>
        <w:t>IPBES a</w:t>
      </w:r>
      <w:r>
        <w:rPr>
          <w:lang w:val="es-ES"/>
        </w:rPr>
        <w:t xml:space="preserve"> fin de garantizar su disponibilidad a largo plazo y de identificar oportunidades para mejorar el acceso a los datos, la información y los conocimientos existentes. El grupo de tareas conceptualizó y supervisó el desarrollo de una infraestructura basada en la web, como parte del sitio web de la IPBES. La infraestructura ofrece a los miembros de la IPBES información clave, por ejemplo,</w:t>
      </w:r>
      <w:r w:rsidR="00B20B0E">
        <w:rPr>
          <w:lang w:val="es-ES"/>
        </w:rPr>
        <w:t xml:space="preserve"> </w:t>
      </w:r>
      <w:r>
        <w:rPr>
          <w:lang w:val="es-ES"/>
        </w:rPr>
        <w:t xml:space="preserve">documentación oficial, catálogos de la IPBES, información sobre los productos previstos finalizados y otros productos, y facilita información a los expertos de la IPBES relativa a su labor, así como una vía para que estos puedan establecer contacto con los expertos </w:t>
      </w:r>
      <w:r w:rsidR="000E033B">
        <w:rPr>
          <w:lang w:val="es-ES"/>
        </w:rPr>
        <w:t>e interesados</w:t>
      </w:r>
      <w:r>
        <w:rPr>
          <w:lang w:val="es-ES"/>
        </w:rPr>
        <w:t xml:space="preserve"> pertinentes. El grupo </w:t>
      </w:r>
      <w:r w:rsidR="000E033B">
        <w:rPr>
          <w:lang w:val="es-ES"/>
        </w:rPr>
        <w:t>de tareas</w:t>
      </w:r>
      <w:r>
        <w:rPr>
          <w:lang w:val="es-ES"/>
        </w:rPr>
        <w:t xml:space="preserve"> recomendó que la Secretaría debería seguir desarrollando el sitio web de la IPBES y debería añadir diversas características en apoyo de los productos previstos del próximo programa de trabajo de la Plataforma. </w:t>
      </w:r>
    </w:p>
    <w:p w14:paraId="20067205" w14:textId="440D8A23" w:rsidR="0043299F" w:rsidRPr="006361AF" w:rsidRDefault="0043299F" w:rsidP="0043299F">
      <w:pPr>
        <w:pStyle w:val="Normalnumber"/>
        <w:numPr>
          <w:ilvl w:val="0"/>
          <w:numId w:val="5"/>
        </w:numPr>
        <w:tabs>
          <w:tab w:val="left" w:pos="1871"/>
          <w:tab w:val="left" w:pos="2495"/>
        </w:tabs>
        <w:ind w:left="1247" w:firstLine="0"/>
        <w:rPr>
          <w:lang w:val="es-ES_tradnl"/>
        </w:rPr>
      </w:pPr>
      <w:r>
        <w:rPr>
          <w:lang w:val="es-ES"/>
        </w:rPr>
        <w:t xml:space="preserve">El grupo de tareas sobre la catalización de la generación de conocimientos examinó el mandato del equipo de tareas relativo a prestar apoyo al Grupo y la Mesa en el examen de las necesidades y deficiencias en materia de conocimientos identificadas por medio de los procesos de análisis inicial y evaluaciones de la Plataforma y catalizar la producción de nuevos conocimientos y datos en la celebración de diálogos con organizaciones científicas, responsables de </w:t>
      </w:r>
      <w:r w:rsidR="00E37AC2">
        <w:rPr>
          <w:lang w:val="es-ES"/>
        </w:rPr>
        <w:t xml:space="preserve">la </w:t>
      </w:r>
      <w:r>
        <w:rPr>
          <w:lang w:val="es-ES"/>
        </w:rPr>
        <w:t>formula</w:t>
      </w:r>
      <w:r w:rsidR="00E37AC2">
        <w:rPr>
          <w:lang w:val="es-ES"/>
        </w:rPr>
        <w:t>ción de</w:t>
      </w:r>
      <w:r>
        <w:rPr>
          <w:lang w:val="es-ES"/>
        </w:rPr>
        <w:t xml:space="preserve"> políticas y organizaciones de financiación y en la realización de otras actividades dirigidas a atender las necesidades definidas en el programa de trabajo. El grupo de tareas ha </w:t>
      </w:r>
      <w:r w:rsidR="000E033B">
        <w:rPr>
          <w:lang w:val="es-ES"/>
        </w:rPr>
        <w:t>trabajado para</w:t>
      </w:r>
      <w:r>
        <w:rPr>
          <w:lang w:val="es-ES"/>
        </w:rPr>
        <w:t xml:space="preserve"> desarrollar un proceso dirigido a identificar las lagunas en los conocimientos y llevó a cabo un proceso experimental en relación con la evaluación de la degradación y restauración de la tierra. En lo que respecta a las evaluaciones, tanto en curso como las futuras, se recomienda identificar </w:t>
      </w:r>
      <w:r w:rsidR="000E033B">
        <w:rPr>
          <w:lang w:val="es-ES"/>
        </w:rPr>
        <w:t>explícitamente</w:t>
      </w:r>
      <w:r>
        <w:rPr>
          <w:lang w:val="es-ES"/>
        </w:rPr>
        <w:t xml:space="preserve"> las lagunas de conocimientos como parte del proceso de evaluación y que el equipo de tareas se centre en facilitar las consultas relativas a las deficiencias identificadas y las dé a conocer a las organizaciones científicas, los encargados de la formulación de políticas y las organizaciones de financiación. </w:t>
      </w:r>
    </w:p>
    <w:p w14:paraId="3250F439" w14:textId="77777777" w:rsidR="0043299F" w:rsidRPr="006361AF" w:rsidRDefault="0043299F" w:rsidP="0043299F">
      <w:pPr>
        <w:pStyle w:val="Normalnumber"/>
        <w:numPr>
          <w:ilvl w:val="0"/>
          <w:numId w:val="5"/>
        </w:numPr>
        <w:tabs>
          <w:tab w:val="left" w:pos="1871"/>
          <w:tab w:val="left" w:pos="2495"/>
        </w:tabs>
        <w:ind w:left="1247" w:firstLine="0"/>
        <w:rPr>
          <w:lang w:val="es-ES_tradnl"/>
        </w:rPr>
      </w:pPr>
      <w:r>
        <w:rPr>
          <w:lang w:val="es-ES"/>
        </w:rPr>
        <w:t>En el próximo programa de trabajo de la IPBES, se recomienda revisar la composición del equipo de tareas para incluir a miembros de los grupos de expertos de las evaluaciones en curso a fin de garantizar la coherencia entre los productos previstos. También se recomienda que el equipo de tareas cuente entre sus miembros con representantes de las organizaciones competentes en su ámbito de trabajo, en particular de las organizaciones que proporcionan indicadores y datos.</w:t>
      </w:r>
    </w:p>
    <w:p w14:paraId="66B5F058" w14:textId="77777777" w:rsidR="0043299F" w:rsidRPr="006361AF" w:rsidRDefault="0043299F" w:rsidP="0043299F">
      <w:pPr>
        <w:pStyle w:val="Normalnumber"/>
        <w:numPr>
          <w:ilvl w:val="0"/>
          <w:numId w:val="5"/>
        </w:numPr>
        <w:tabs>
          <w:tab w:val="left" w:pos="1871"/>
          <w:tab w:val="left" w:pos="2495"/>
        </w:tabs>
        <w:ind w:left="1247" w:firstLine="0"/>
        <w:rPr>
          <w:lang w:val="es-ES_tradnl"/>
        </w:rPr>
      </w:pPr>
      <w:r>
        <w:rPr>
          <w:lang w:val="es-ES"/>
        </w:rPr>
        <w:t xml:space="preserve">En el documento IPBES/7/INF/9 se reproducen una reseña de la labor realizada desde el sexto período de sesiones del Plenario y las medidas futuras propuestas para 2019 y 2020. </w:t>
      </w:r>
    </w:p>
    <w:p w14:paraId="6CD23E4D" w14:textId="77777777" w:rsidR="00E62C59" w:rsidRPr="00732E7C" w:rsidRDefault="006361AF" w:rsidP="005C34BE">
      <w:pPr>
        <w:pStyle w:val="CH3"/>
      </w:pPr>
      <w:r>
        <w:rPr>
          <w:lang w:val="es-ES"/>
        </w:rPr>
        <w:tab/>
      </w:r>
      <w:r w:rsidR="00E63AFB">
        <w:rPr>
          <w:lang w:val="es-ES"/>
        </w:rPr>
        <w:t>2.</w:t>
      </w:r>
      <w:r w:rsidR="00E63AFB">
        <w:rPr>
          <w:lang w:val="es-ES"/>
        </w:rPr>
        <w:tab/>
      </w:r>
      <w:r w:rsidR="00E63AFB">
        <w:rPr>
          <w:bCs/>
          <w:lang w:val="es-ES"/>
        </w:rPr>
        <w:t>Supuestos y arreglos institucionales</w:t>
      </w:r>
    </w:p>
    <w:p w14:paraId="58AD041C" w14:textId="56793C5A" w:rsidR="00E62C59" w:rsidRPr="006361AF" w:rsidRDefault="00E62C59" w:rsidP="0043299F">
      <w:pPr>
        <w:pStyle w:val="Normalnumber"/>
        <w:numPr>
          <w:ilvl w:val="0"/>
          <w:numId w:val="5"/>
        </w:numPr>
        <w:tabs>
          <w:tab w:val="left" w:pos="1871"/>
          <w:tab w:val="left" w:pos="2495"/>
        </w:tabs>
        <w:ind w:left="1247" w:firstLine="0"/>
        <w:rPr>
          <w:lang w:val="es-ES_tradnl"/>
        </w:rPr>
      </w:pPr>
      <w:bookmarkStart w:id="4" w:name="_Hlk536792529"/>
      <w:r>
        <w:rPr>
          <w:lang w:val="es-ES"/>
        </w:rPr>
        <w:t xml:space="preserve">El Plenario reconstituirá el equipo de tareas sobre conocimientos y datos, que prestará apoyo en la elaboración del producto previsto 3 a). El mandato del equipo de tareas establecido </w:t>
      </w:r>
      <w:r w:rsidR="000E033B">
        <w:rPr>
          <w:lang w:val="es-ES"/>
        </w:rPr>
        <w:t>para el</w:t>
      </w:r>
      <w:r>
        <w:rPr>
          <w:lang w:val="es-ES"/>
        </w:rPr>
        <w:t xml:space="preserve"> primer programa de trabajo de la IPBES ha sido revisado a la luz de las experiencias y las enseñanzas extraídas y se reproduce en el documento IPBES/7/6. En el intervalo entre cada uno de los períodos de sesiones se celebrará una reunión del equipo de tareas. Se podrán organizar conferencias en la web para celebrar consultas respecto de las necesidades de conocimientos dimanantes de las evaluaciones de la IPBES. </w:t>
      </w:r>
    </w:p>
    <w:bookmarkEnd w:id="4"/>
    <w:p w14:paraId="008394FF" w14:textId="7D73B5F7" w:rsidR="00E62C59" w:rsidRPr="006361AF" w:rsidRDefault="00E62C59" w:rsidP="0043299F">
      <w:pPr>
        <w:pStyle w:val="Normalnumber"/>
        <w:numPr>
          <w:ilvl w:val="0"/>
          <w:numId w:val="5"/>
        </w:numPr>
        <w:tabs>
          <w:tab w:val="left" w:pos="1871"/>
          <w:tab w:val="left" w:pos="2495"/>
        </w:tabs>
        <w:ind w:left="1247" w:firstLine="0"/>
        <w:rPr>
          <w:lang w:val="es-ES_tradnl"/>
        </w:rPr>
      </w:pPr>
      <w:r>
        <w:rPr>
          <w:lang w:val="es-ES"/>
        </w:rPr>
        <w:t xml:space="preserve">La Secretaría </w:t>
      </w:r>
      <w:r w:rsidR="001D5CE4">
        <w:rPr>
          <w:lang w:val="es-ES"/>
        </w:rPr>
        <w:t>celebrará acuerdos con instituciones</w:t>
      </w:r>
      <w:r>
        <w:rPr>
          <w:lang w:val="es-ES"/>
        </w:rPr>
        <w:t xml:space="preserve"> asociadas para la prestación del apoyo técnico que apruebe la Mesa</w:t>
      </w:r>
      <w:r w:rsidR="00E37AC2">
        <w:rPr>
          <w:lang w:val="es-ES"/>
        </w:rPr>
        <w:t xml:space="preserve">, el cual </w:t>
      </w:r>
      <w:r>
        <w:rPr>
          <w:lang w:val="es-ES"/>
        </w:rPr>
        <w:t>será financiado en parte por la Plataforma y en parte mediante contribuciones en especie aprobadas por el Plenario.</w:t>
      </w:r>
    </w:p>
    <w:bookmarkEnd w:id="3"/>
    <w:p w14:paraId="52F7A08D" w14:textId="3A5E39C3" w:rsidR="003D6E88" w:rsidRPr="00A63824" w:rsidRDefault="006361AF" w:rsidP="005C34BE">
      <w:pPr>
        <w:pStyle w:val="CH3"/>
        <w:rPr>
          <w:rFonts w:eastAsia="SimSun"/>
        </w:rPr>
      </w:pPr>
      <w:r>
        <w:rPr>
          <w:lang w:val="es-ES"/>
        </w:rPr>
        <w:tab/>
      </w:r>
      <w:r w:rsidR="00E63AFB">
        <w:rPr>
          <w:lang w:val="es-ES"/>
        </w:rPr>
        <w:t>3.</w:t>
      </w:r>
      <w:r w:rsidR="00E63AFB">
        <w:rPr>
          <w:lang w:val="es-ES"/>
        </w:rPr>
        <w:tab/>
      </w:r>
      <w:r w:rsidR="00E63AFB">
        <w:rPr>
          <w:bCs/>
          <w:lang w:val="es-ES"/>
        </w:rPr>
        <w:t>Reuniones e hitos</w:t>
      </w:r>
    </w:p>
    <w:p w14:paraId="00D7179F" w14:textId="77777777" w:rsidR="003D6E88" w:rsidRPr="006361AF" w:rsidRDefault="003D6E88" w:rsidP="0043299F">
      <w:pPr>
        <w:pStyle w:val="Normalnumber"/>
        <w:numPr>
          <w:ilvl w:val="0"/>
          <w:numId w:val="5"/>
        </w:numPr>
        <w:tabs>
          <w:tab w:val="left" w:pos="1871"/>
          <w:tab w:val="left" w:pos="2495"/>
        </w:tabs>
        <w:ind w:left="1247" w:firstLine="0"/>
        <w:rPr>
          <w:lang w:val="es-ES_tradnl"/>
        </w:rPr>
      </w:pPr>
      <w:r>
        <w:rPr>
          <w:lang w:val="es-ES"/>
        </w:rPr>
        <w:t>A continuación figura una sinopsis de las medidas que han de adoptarse en relación con este producto previsto. En el cuadro A-8 del anexo del documento IPBES/7/4 figura un proyecto de presupuesto para las actividades relacionadas con este producto previsto.</w:t>
      </w:r>
    </w:p>
    <w:tbl>
      <w:tblPr>
        <w:tblW w:w="8352" w:type="dxa"/>
        <w:tblInd w:w="1248" w:type="dxa"/>
        <w:tblLayout w:type="fixed"/>
        <w:tblLook w:val="04A0" w:firstRow="1" w:lastRow="0" w:firstColumn="1" w:lastColumn="0" w:noHBand="0" w:noVBand="1"/>
      </w:tblPr>
      <w:tblGrid>
        <w:gridCol w:w="1152"/>
        <w:gridCol w:w="7200"/>
      </w:tblGrid>
      <w:tr w:rsidR="003D6E88" w:rsidRPr="00217D7E" w14:paraId="46142E52" w14:textId="77777777" w:rsidTr="005C34BE">
        <w:trPr>
          <w:trHeight w:val="233"/>
          <w:tblHeader/>
        </w:trPr>
        <w:tc>
          <w:tcPr>
            <w:tcW w:w="1152" w:type="dxa"/>
            <w:tcBorders>
              <w:top w:val="single" w:sz="4" w:space="0" w:color="auto"/>
              <w:bottom w:val="single" w:sz="12" w:space="0" w:color="auto"/>
            </w:tcBorders>
            <w:shd w:val="clear" w:color="auto" w:fill="auto"/>
            <w:vAlign w:val="center"/>
          </w:tcPr>
          <w:p w14:paraId="56B1D7E5" w14:textId="77777777" w:rsidR="003D6E88" w:rsidRPr="00217D7E" w:rsidDel="003F5A7B" w:rsidRDefault="003D6E88" w:rsidP="00FC5E47">
            <w:pPr>
              <w:pStyle w:val="Normal-pool"/>
              <w:spacing w:before="40" w:after="40"/>
              <w:rPr>
                <w:rFonts w:eastAsia="SimSun"/>
                <w:sz w:val="18"/>
                <w:szCs w:val="18"/>
              </w:rPr>
            </w:pPr>
            <w:r w:rsidRPr="00217D7E">
              <w:rPr>
                <w:i/>
                <w:iCs/>
                <w:sz w:val="18"/>
                <w:szCs w:val="18"/>
                <w:lang w:val="es-ES"/>
              </w:rPr>
              <w:t>Plazo</w:t>
            </w:r>
          </w:p>
        </w:tc>
        <w:tc>
          <w:tcPr>
            <w:tcW w:w="7200" w:type="dxa"/>
            <w:tcBorders>
              <w:top w:val="single" w:sz="4" w:space="0" w:color="auto"/>
              <w:bottom w:val="single" w:sz="12" w:space="0" w:color="auto"/>
            </w:tcBorders>
            <w:shd w:val="clear" w:color="auto" w:fill="auto"/>
          </w:tcPr>
          <w:p w14:paraId="7FB461AD" w14:textId="77777777" w:rsidR="003D6E88" w:rsidRPr="00217D7E" w:rsidDel="000C28ED" w:rsidRDefault="00230862" w:rsidP="00FC5E47">
            <w:pPr>
              <w:pStyle w:val="Normal-pool"/>
              <w:spacing w:before="40" w:after="40"/>
              <w:rPr>
                <w:rFonts w:eastAsia="SimSun"/>
                <w:sz w:val="18"/>
                <w:szCs w:val="18"/>
              </w:rPr>
            </w:pPr>
            <w:r w:rsidRPr="00217D7E">
              <w:rPr>
                <w:i/>
                <w:iCs/>
                <w:sz w:val="18"/>
                <w:szCs w:val="18"/>
                <w:lang w:val="es-ES"/>
              </w:rPr>
              <w:t>Reuniones e hitos</w:t>
            </w:r>
          </w:p>
        </w:tc>
      </w:tr>
      <w:tr w:rsidR="003D6E88" w:rsidRPr="00217D7E" w14:paraId="76211169" w14:textId="77777777" w:rsidTr="00ED76A4">
        <w:trPr>
          <w:trHeight w:val="233"/>
        </w:trPr>
        <w:tc>
          <w:tcPr>
            <w:tcW w:w="1152" w:type="dxa"/>
            <w:vMerge w:val="restart"/>
            <w:tcBorders>
              <w:top w:val="single" w:sz="12" w:space="0" w:color="auto"/>
              <w:bottom w:val="single" w:sz="12" w:space="0" w:color="auto"/>
            </w:tcBorders>
            <w:shd w:val="clear" w:color="auto" w:fill="auto"/>
            <w:vAlign w:val="center"/>
          </w:tcPr>
          <w:p w14:paraId="0F41DF07" w14:textId="5E8CA288" w:rsidR="003D6E88" w:rsidRPr="00217D7E" w:rsidRDefault="00B90361" w:rsidP="00FC5E47">
            <w:pPr>
              <w:pStyle w:val="Normal-pool"/>
              <w:spacing w:before="40" w:after="40"/>
              <w:rPr>
                <w:rFonts w:eastAsia="SimSun"/>
                <w:sz w:val="18"/>
                <w:szCs w:val="18"/>
              </w:rPr>
            </w:pPr>
            <w:r w:rsidRPr="00217D7E">
              <w:rPr>
                <w:sz w:val="18"/>
                <w:szCs w:val="18"/>
                <w:lang w:val="es-ES"/>
              </w:rPr>
              <w:t>Anualmente</w:t>
            </w:r>
          </w:p>
        </w:tc>
        <w:tc>
          <w:tcPr>
            <w:tcW w:w="7200" w:type="dxa"/>
            <w:tcBorders>
              <w:top w:val="single" w:sz="12" w:space="0" w:color="auto"/>
            </w:tcBorders>
            <w:shd w:val="clear" w:color="auto" w:fill="auto"/>
          </w:tcPr>
          <w:p w14:paraId="6D15BDD9" w14:textId="77777777" w:rsidR="003D6E88" w:rsidRPr="00217D7E" w:rsidRDefault="00E73FD3" w:rsidP="00FC5E47">
            <w:pPr>
              <w:pStyle w:val="Normal-pool"/>
              <w:spacing w:before="40" w:after="40"/>
              <w:rPr>
                <w:rFonts w:eastAsia="SimSun"/>
                <w:sz w:val="18"/>
                <w:szCs w:val="18"/>
                <w:lang w:val="es-ES_tradnl"/>
              </w:rPr>
            </w:pPr>
            <w:r w:rsidRPr="00217D7E">
              <w:rPr>
                <w:sz w:val="18"/>
                <w:szCs w:val="18"/>
                <w:lang w:val="es-ES"/>
              </w:rPr>
              <w:t>Una reunión del equipo de tareas</w:t>
            </w:r>
          </w:p>
        </w:tc>
      </w:tr>
      <w:tr w:rsidR="003D6E88" w:rsidRPr="00217D7E" w14:paraId="709EC627" w14:textId="77777777" w:rsidTr="005C34BE">
        <w:trPr>
          <w:trHeight w:val="233"/>
        </w:trPr>
        <w:tc>
          <w:tcPr>
            <w:tcW w:w="1152" w:type="dxa"/>
            <w:vMerge/>
            <w:tcBorders>
              <w:top w:val="single" w:sz="4" w:space="0" w:color="auto"/>
              <w:bottom w:val="single" w:sz="12" w:space="0" w:color="auto"/>
            </w:tcBorders>
            <w:shd w:val="clear" w:color="auto" w:fill="auto"/>
          </w:tcPr>
          <w:p w14:paraId="6DA5D26B" w14:textId="77777777" w:rsidR="003D6E88" w:rsidRPr="00217D7E" w:rsidRDefault="003D6E88" w:rsidP="00FC5E47">
            <w:pPr>
              <w:pStyle w:val="Normal-pool"/>
              <w:spacing w:before="40" w:after="40"/>
              <w:rPr>
                <w:rFonts w:eastAsia="SimSun"/>
                <w:sz w:val="18"/>
                <w:szCs w:val="18"/>
                <w:lang w:val="es-ES_tradnl" w:eastAsia="zh-CN"/>
              </w:rPr>
            </w:pPr>
          </w:p>
        </w:tc>
        <w:tc>
          <w:tcPr>
            <w:tcW w:w="7200" w:type="dxa"/>
            <w:shd w:val="clear" w:color="auto" w:fill="auto"/>
          </w:tcPr>
          <w:p w14:paraId="0D8634A8" w14:textId="77777777" w:rsidR="003D6E88" w:rsidRPr="00217D7E" w:rsidRDefault="003D6E88" w:rsidP="00FC5E47">
            <w:pPr>
              <w:pStyle w:val="Normal-pool"/>
              <w:spacing w:before="40" w:after="40"/>
              <w:rPr>
                <w:rFonts w:eastAsia="SimSun"/>
                <w:sz w:val="18"/>
                <w:szCs w:val="18"/>
                <w:lang w:val="es-ES_tradnl"/>
              </w:rPr>
            </w:pPr>
            <w:r w:rsidRPr="00217D7E">
              <w:rPr>
                <w:sz w:val="18"/>
                <w:szCs w:val="18"/>
                <w:lang w:val="es-ES"/>
              </w:rPr>
              <w:t>Actividades relacionadas con la tarea de identificar, priorizar y movilizar los conocimientos y los datos existentes necesarios para las evaluaciones de la IPBES</w:t>
            </w:r>
          </w:p>
        </w:tc>
      </w:tr>
      <w:tr w:rsidR="003D6E88" w:rsidRPr="00217D7E" w14:paraId="6A818699" w14:textId="77777777" w:rsidTr="005C34BE">
        <w:trPr>
          <w:trHeight w:val="233"/>
        </w:trPr>
        <w:tc>
          <w:tcPr>
            <w:tcW w:w="1152" w:type="dxa"/>
            <w:vMerge/>
            <w:tcBorders>
              <w:top w:val="single" w:sz="4" w:space="0" w:color="auto"/>
              <w:bottom w:val="single" w:sz="12" w:space="0" w:color="auto"/>
            </w:tcBorders>
            <w:shd w:val="clear" w:color="auto" w:fill="auto"/>
          </w:tcPr>
          <w:p w14:paraId="1624BE0E" w14:textId="77777777" w:rsidR="003D6E88" w:rsidRPr="00217D7E" w:rsidRDefault="003D6E88" w:rsidP="00FC5E47">
            <w:pPr>
              <w:pStyle w:val="Normal-pool"/>
              <w:spacing w:before="40" w:after="40"/>
              <w:rPr>
                <w:rFonts w:eastAsia="SimSun"/>
                <w:sz w:val="18"/>
                <w:szCs w:val="18"/>
                <w:lang w:val="es-ES_tradnl" w:eastAsia="zh-CN"/>
              </w:rPr>
            </w:pPr>
          </w:p>
        </w:tc>
        <w:tc>
          <w:tcPr>
            <w:tcW w:w="7200" w:type="dxa"/>
            <w:shd w:val="clear" w:color="auto" w:fill="auto"/>
          </w:tcPr>
          <w:p w14:paraId="1A9BEA8B" w14:textId="77777777" w:rsidR="003D6E88" w:rsidRPr="00217D7E" w:rsidRDefault="00E73FD3" w:rsidP="00FC5E47">
            <w:pPr>
              <w:pStyle w:val="Normal-pool"/>
              <w:spacing w:before="40" w:after="40"/>
              <w:rPr>
                <w:rFonts w:eastAsia="SimSun"/>
                <w:sz w:val="18"/>
                <w:szCs w:val="18"/>
                <w:lang w:val="es-ES_tradnl"/>
              </w:rPr>
            </w:pPr>
            <w:r w:rsidRPr="00217D7E">
              <w:rPr>
                <w:sz w:val="18"/>
                <w:szCs w:val="18"/>
                <w:lang w:val="es-ES"/>
              </w:rPr>
              <w:t>Actividades relacionadas con la creación de una infraestructura basada en la web para apoyar las necesidades de gestión de datos e información</w:t>
            </w:r>
          </w:p>
        </w:tc>
      </w:tr>
      <w:tr w:rsidR="003D6E88" w:rsidRPr="00217D7E" w14:paraId="6E505C56" w14:textId="77777777" w:rsidTr="005C34BE">
        <w:trPr>
          <w:trHeight w:val="343"/>
        </w:trPr>
        <w:tc>
          <w:tcPr>
            <w:tcW w:w="1152" w:type="dxa"/>
            <w:vMerge/>
            <w:tcBorders>
              <w:top w:val="single" w:sz="4" w:space="0" w:color="auto"/>
              <w:bottom w:val="single" w:sz="12" w:space="0" w:color="auto"/>
            </w:tcBorders>
            <w:shd w:val="clear" w:color="auto" w:fill="auto"/>
          </w:tcPr>
          <w:p w14:paraId="06158CF4" w14:textId="77777777" w:rsidR="003D6E88" w:rsidRPr="00217D7E" w:rsidRDefault="003D6E88" w:rsidP="00FC5E47">
            <w:pPr>
              <w:pStyle w:val="Normal-pool"/>
              <w:spacing w:before="40" w:after="40"/>
              <w:rPr>
                <w:rFonts w:eastAsia="SimSun"/>
                <w:sz w:val="18"/>
                <w:szCs w:val="18"/>
                <w:lang w:val="es-ES_tradnl" w:eastAsia="zh-CN"/>
              </w:rPr>
            </w:pPr>
          </w:p>
        </w:tc>
        <w:tc>
          <w:tcPr>
            <w:tcW w:w="7200" w:type="dxa"/>
            <w:tcBorders>
              <w:bottom w:val="single" w:sz="12" w:space="0" w:color="auto"/>
            </w:tcBorders>
            <w:shd w:val="clear" w:color="auto" w:fill="auto"/>
          </w:tcPr>
          <w:p w14:paraId="03CD194D" w14:textId="77777777" w:rsidR="003D6E88" w:rsidRPr="00217D7E" w:rsidRDefault="00E73FD3" w:rsidP="00FC5E47">
            <w:pPr>
              <w:pStyle w:val="Normal-pool"/>
              <w:spacing w:before="40" w:after="40"/>
              <w:rPr>
                <w:rFonts w:eastAsia="SimSun"/>
                <w:sz w:val="18"/>
                <w:szCs w:val="18"/>
                <w:lang w:val="es-ES_tradnl"/>
              </w:rPr>
            </w:pPr>
            <w:bookmarkStart w:id="5" w:name="_Hlk536031660"/>
            <w:r w:rsidRPr="00217D7E">
              <w:rPr>
                <w:sz w:val="18"/>
                <w:szCs w:val="18"/>
                <w:lang w:val="es-ES"/>
              </w:rPr>
              <w:t>Actividades relativas a la catalización de la generación de nuevos conocimientos, incluidas las conferencias en la web para celebrar consultas sobre las necesidades de conocimientos resultantes de las evaluaciones de la IPBES</w:t>
            </w:r>
            <w:bookmarkEnd w:id="5"/>
          </w:p>
        </w:tc>
      </w:tr>
    </w:tbl>
    <w:p w14:paraId="1BF34661" w14:textId="77777777" w:rsidR="008045CB" w:rsidRPr="006361AF" w:rsidRDefault="007753E2" w:rsidP="002817E9">
      <w:pPr>
        <w:pStyle w:val="CH2"/>
        <w:spacing w:before="240"/>
        <w:rPr>
          <w:lang w:val="es-ES_tradnl"/>
        </w:rPr>
      </w:pPr>
      <w:r>
        <w:rPr>
          <w:lang w:val="es-ES"/>
        </w:rPr>
        <w:tab/>
      </w:r>
      <w:r w:rsidR="00CB3B9B">
        <w:rPr>
          <w:lang w:val="es-ES"/>
        </w:rPr>
        <w:t>B.</w:t>
      </w:r>
      <w:r w:rsidR="00CB3B9B">
        <w:rPr>
          <w:lang w:val="es-ES"/>
        </w:rPr>
        <w:tab/>
      </w:r>
      <w:r w:rsidR="00CB3B9B">
        <w:rPr>
          <w:bCs/>
          <w:lang w:val="es-ES"/>
        </w:rPr>
        <w:t>Producto previsto 3 b): mayor reconocimiento y utilización de los sistemas de conocimientos indígenas y locales</w:t>
      </w:r>
    </w:p>
    <w:p w14:paraId="5EDFC9E2" w14:textId="77777777" w:rsidR="0043299F" w:rsidRPr="00732E7C" w:rsidRDefault="007753E2" w:rsidP="005C34BE">
      <w:pPr>
        <w:pStyle w:val="CH3"/>
        <w:rPr>
          <w:rFonts w:eastAsia="SimSun"/>
        </w:rPr>
      </w:pPr>
      <w:r>
        <w:rPr>
          <w:lang w:val="es-ES"/>
        </w:rPr>
        <w:tab/>
      </w:r>
      <w:r w:rsidR="00691435">
        <w:rPr>
          <w:lang w:val="es-ES"/>
        </w:rPr>
        <w:t>1.</w:t>
      </w:r>
      <w:r w:rsidR="00691435">
        <w:rPr>
          <w:lang w:val="es-ES"/>
        </w:rPr>
        <w:tab/>
      </w:r>
      <w:r w:rsidR="00691435">
        <w:rPr>
          <w:bCs/>
          <w:lang w:val="es-ES"/>
        </w:rPr>
        <w:t>Antec</w:t>
      </w:r>
      <w:r w:rsidR="00691435">
        <w:rPr>
          <w:lang w:val="es-ES"/>
        </w:rPr>
        <w:t>edentes</w:t>
      </w:r>
    </w:p>
    <w:p w14:paraId="4A50CA5A" w14:textId="5F50A1B1" w:rsidR="0043299F" w:rsidRPr="006361AF" w:rsidRDefault="0043299F" w:rsidP="0043299F">
      <w:pPr>
        <w:pStyle w:val="Normalnumber"/>
        <w:numPr>
          <w:ilvl w:val="0"/>
          <w:numId w:val="5"/>
        </w:numPr>
        <w:tabs>
          <w:tab w:val="left" w:pos="1871"/>
          <w:tab w:val="left" w:pos="2495"/>
        </w:tabs>
        <w:ind w:left="1247" w:firstLine="0"/>
        <w:rPr>
          <w:lang w:val="es-ES_tradnl"/>
        </w:rPr>
      </w:pPr>
      <w:r>
        <w:rPr>
          <w:lang w:val="es-ES"/>
        </w:rPr>
        <w:t>El primer programa de trabajo incluy</w:t>
      </w:r>
      <w:r w:rsidR="00E37AC2">
        <w:rPr>
          <w:lang w:val="es-ES"/>
        </w:rPr>
        <w:t>ó</w:t>
      </w:r>
      <w:r>
        <w:rPr>
          <w:lang w:val="es-ES"/>
        </w:rPr>
        <w:t xml:space="preserve"> el producto previsto 1 c) relativo a los procedimientos, enfoques y procesos participativos para utilizar los sistemas de conocimientos indígenas y locales. Posteriormente, el Plenario estableció un equipo de tareas para la implementación de ese producto previsto, cuyo mandato figura en el anexo IV de la decisión IPBES-2/5. </w:t>
      </w:r>
    </w:p>
    <w:p w14:paraId="186FC413" w14:textId="0C55DB59" w:rsidR="0043299F" w:rsidRPr="006361AF" w:rsidRDefault="0043299F" w:rsidP="0043299F">
      <w:pPr>
        <w:pStyle w:val="Normalnumber"/>
        <w:numPr>
          <w:ilvl w:val="0"/>
          <w:numId w:val="5"/>
        </w:numPr>
        <w:tabs>
          <w:tab w:val="left" w:pos="1871"/>
          <w:tab w:val="left" w:pos="2495"/>
        </w:tabs>
        <w:ind w:left="1247" w:firstLine="0"/>
        <w:rPr>
          <w:lang w:val="es-ES_tradnl"/>
        </w:rPr>
      </w:pPr>
      <w:r>
        <w:rPr>
          <w:lang w:val="es-ES"/>
        </w:rPr>
        <w:t xml:space="preserve">Durante el primer programa de trabajo, el equipo de tareas sobre sistemas de conocimientos indígenas y locales elaboró </w:t>
      </w:r>
      <w:r w:rsidR="00E37AC2">
        <w:rPr>
          <w:lang w:val="es-ES"/>
        </w:rPr>
        <w:t>un</w:t>
      </w:r>
      <w:r>
        <w:rPr>
          <w:lang w:val="es-ES"/>
        </w:rPr>
        <w:t xml:space="preserve"> enfoque </w:t>
      </w:r>
      <w:r w:rsidR="00E37AC2">
        <w:rPr>
          <w:lang w:val="es-ES"/>
        </w:rPr>
        <w:t>dirigido a</w:t>
      </w:r>
      <w:r>
        <w:rPr>
          <w:lang w:val="es-ES"/>
        </w:rPr>
        <w:t xml:space="preserve"> reconocer y utilizar los conocimientos indígenas y locales en la IPBES</w:t>
      </w:r>
      <w:r w:rsidRPr="00A63824">
        <w:rPr>
          <w:rStyle w:val="FootnoteReference"/>
          <w:lang w:val="es-ES"/>
        </w:rPr>
        <w:footnoteReference w:id="9"/>
      </w:r>
      <w:r>
        <w:rPr>
          <w:lang w:val="es-ES"/>
        </w:rPr>
        <w:t>. El enfoque establece las actividades que se han de realizar respecto de cada una de las cuatro funciones de la IPBES. También incluy</w:t>
      </w:r>
      <w:r w:rsidR="00E37AC2">
        <w:rPr>
          <w:lang w:val="es-ES"/>
        </w:rPr>
        <w:t>ó</w:t>
      </w:r>
      <w:r>
        <w:rPr>
          <w:lang w:val="es-ES"/>
        </w:rPr>
        <w:t xml:space="preserve"> un mecanismo de participación que tiene por objeto facilitar la participación efectiva y significativa de los depositarios de conocimientos indígenas y locales, los expertos en conocimientos indígenas y locales y sus organizaciones o redes a fin de fortalecer su capacidad para contribuir a la labor de la IPBES en todas las escalas y beneficiarse de</w:t>
      </w:r>
      <w:r w:rsidR="00217D7E">
        <w:rPr>
          <w:lang w:val="es-ES"/>
        </w:rPr>
        <w:t> </w:t>
      </w:r>
      <w:r>
        <w:rPr>
          <w:lang w:val="es-ES"/>
        </w:rPr>
        <w:t>sus</w:t>
      </w:r>
      <w:r w:rsidR="00217D7E">
        <w:rPr>
          <w:lang w:val="es-ES"/>
        </w:rPr>
        <w:t> </w:t>
      </w:r>
      <w:r>
        <w:rPr>
          <w:lang w:val="es-ES"/>
        </w:rPr>
        <w:t xml:space="preserve">productos. El mecanismo de participación establece actividades de aplicación, entre otras, proporcionar una plataforma basada en la </w:t>
      </w:r>
      <w:r w:rsidR="000E033B">
        <w:rPr>
          <w:lang w:val="es-ES"/>
        </w:rPr>
        <w:t>web</w:t>
      </w:r>
      <w:r>
        <w:rPr>
          <w:lang w:val="es-ES"/>
        </w:rPr>
        <w:t xml:space="preserve"> para facilitar la participación de las redes existentes de pueblos indígenas y comunidades locales y de expertos pertinentes, y propiciar la creación de nuevas redes; promover, a través de consultas, un diálogo con una variedad de redes, expertos pertinentes y encargados de formular políticas para movilizar las aportaciones y difundir los resultados durante las cuatro fases del proceso de evaluación; crear oportunidades para el aprendizaje compartido y el intercambio a través de foros de debate específicos; y establecer alianzas para promover y aplicar el</w:t>
      </w:r>
      <w:r w:rsidR="00217D7E">
        <w:rPr>
          <w:lang w:val="es-ES"/>
        </w:rPr>
        <w:t> </w:t>
      </w:r>
      <w:r>
        <w:rPr>
          <w:lang w:val="es-ES"/>
        </w:rPr>
        <w:t xml:space="preserve">enfoque. </w:t>
      </w:r>
    </w:p>
    <w:p w14:paraId="12C1DD87" w14:textId="168F8D33" w:rsidR="0043299F" w:rsidRPr="006361AF" w:rsidRDefault="0043299F" w:rsidP="00217D7E">
      <w:pPr>
        <w:pStyle w:val="Normalnumber"/>
        <w:numPr>
          <w:ilvl w:val="0"/>
          <w:numId w:val="5"/>
        </w:numPr>
        <w:tabs>
          <w:tab w:val="clear" w:pos="624"/>
        </w:tabs>
        <w:ind w:left="1247" w:firstLine="0"/>
        <w:rPr>
          <w:lang w:val="es-ES_tradnl"/>
        </w:rPr>
      </w:pPr>
      <w:r>
        <w:rPr>
          <w:lang w:val="es-ES"/>
        </w:rPr>
        <w:t>Durante el primer programa de trabajo, la evaluación mundial de la diversidad biológica y los</w:t>
      </w:r>
      <w:r w:rsidR="00217D7E">
        <w:rPr>
          <w:lang w:val="es-ES"/>
        </w:rPr>
        <w:t> </w:t>
      </w:r>
      <w:r>
        <w:rPr>
          <w:lang w:val="es-ES"/>
        </w:rPr>
        <w:t>servicios de los ecosistemas puso a prueba la aplicación del enfoque de cuatro fases y de las actividades previstas en el marco del mecanismo de participación. Sobre la base de esa labor, el equipo</w:t>
      </w:r>
      <w:r w:rsidR="00217D7E">
        <w:rPr>
          <w:lang w:val="es-ES"/>
        </w:rPr>
        <w:t> </w:t>
      </w:r>
      <w:r>
        <w:rPr>
          <w:lang w:val="es-ES"/>
        </w:rPr>
        <w:t>de tareas preparó orientaciones metodológicas, incluidas actividades concretas en el marco del</w:t>
      </w:r>
      <w:r w:rsidR="00217D7E">
        <w:rPr>
          <w:lang w:val="es-ES"/>
        </w:rPr>
        <w:t> </w:t>
      </w:r>
      <w:r>
        <w:rPr>
          <w:lang w:val="es-ES"/>
        </w:rPr>
        <w:t>mecanismo de participación, con el fin de facilitar la aplicación del enfoque en las futuras evaluaciones</w:t>
      </w:r>
      <w:r w:rsidRPr="00A63824">
        <w:rPr>
          <w:rStyle w:val="FootnoteReference"/>
          <w:lang w:val="es-ES"/>
        </w:rPr>
        <w:footnoteReference w:id="10"/>
      </w:r>
      <w:r>
        <w:rPr>
          <w:lang w:val="es-ES"/>
        </w:rPr>
        <w:t xml:space="preserve">. Para el próximo programa de trabajo de la IPBES, se sugiere que </w:t>
      </w:r>
      <w:r w:rsidR="000E033B">
        <w:rPr>
          <w:lang w:val="es-ES"/>
        </w:rPr>
        <w:t>las actividades deben</w:t>
      </w:r>
      <w:r>
        <w:rPr>
          <w:lang w:val="es-ES"/>
        </w:rPr>
        <w:t xml:space="preserve"> aprovechar los resultados de las actividades realizadas durante el primer programa de trabajo y que debe de haber continuidad a la aplicación del enfoque de la IPBES para reconocer y utilizar los conocimientos indígenas y locales. </w:t>
      </w:r>
    </w:p>
    <w:p w14:paraId="325C489B" w14:textId="77777777" w:rsidR="0043299F" w:rsidRPr="006361AF" w:rsidRDefault="0043299F" w:rsidP="00217D7E">
      <w:pPr>
        <w:pStyle w:val="Normalnumber"/>
        <w:numPr>
          <w:ilvl w:val="0"/>
          <w:numId w:val="5"/>
        </w:numPr>
        <w:tabs>
          <w:tab w:val="clear" w:pos="624"/>
        </w:tabs>
        <w:ind w:left="1247" w:firstLine="0"/>
        <w:rPr>
          <w:lang w:val="es-ES_tradnl"/>
        </w:rPr>
      </w:pPr>
      <w:r>
        <w:rPr>
          <w:lang w:val="es-ES"/>
        </w:rPr>
        <w:t xml:space="preserve">Se recomienda revisar la composición del equipo de tareas para incluir a miembros de otros equipos de tareas y, en particular, grupos de expertos de las evaluaciones en curso, a fin garantizar la coherencia entre los productos previstos. También se recomienda incluir como miembros del equipo de tareas a representantes de las organizaciones con competencia en el ámbito del equipo de tareas y representantes de los pueblos indígenas y las comunidades locales con el fin de mejorar la aplicación del mecanismo de participación. </w:t>
      </w:r>
    </w:p>
    <w:p w14:paraId="195A1D81" w14:textId="674DA96D" w:rsidR="0043299F" w:rsidRPr="006361AF" w:rsidRDefault="0043299F" w:rsidP="00217D7E">
      <w:pPr>
        <w:pStyle w:val="Normalnumber"/>
        <w:numPr>
          <w:ilvl w:val="0"/>
          <w:numId w:val="5"/>
        </w:numPr>
        <w:tabs>
          <w:tab w:val="clear" w:pos="624"/>
        </w:tabs>
        <w:ind w:left="1247" w:firstLine="0"/>
        <w:rPr>
          <w:lang w:val="es-ES_tradnl"/>
        </w:rPr>
      </w:pPr>
      <w:r>
        <w:rPr>
          <w:lang w:val="es-ES"/>
        </w:rPr>
        <w:t xml:space="preserve">En el producto previsto 3 se prevé dar continuidad a la aplicación del enfoque de la </w:t>
      </w:r>
      <w:r w:rsidR="000E033B">
        <w:rPr>
          <w:lang w:val="es-ES"/>
        </w:rPr>
        <w:t>IPBES para</w:t>
      </w:r>
      <w:r>
        <w:rPr>
          <w:lang w:val="es-ES"/>
        </w:rPr>
        <w:t xml:space="preserve"> reconocer y utilizar los conocimientos indígenas y locales en cada una de sus cuatro funciones por conducto de las siguientes actividades: </w:t>
      </w:r>
    </w:p>
    <w:p w14:paraId="312AA45F" w14:textId="1C82F157" w:rsidR="0043299F" w:rsidRPr="006361AF" w:rsidRDefault="0043299F" w:rsidP="003A7116">
      <w:pPr>
        <w:pStyle w:val="Normalnumber"/>
        <w:numPr>
          <w:ilvl w:val="1"/>
          <w:numId w:val="6"/>
        </w:numPr>
        <w:tabs>
          <w:tab w:val="clear" w:pos="567"/>
          <w:tab w:val="clear" w:pos="624"/>
        </w:tabs>
        <w:ind w:firstLine="624"/>
        <w:rPr>
          <w:lang w:val="es-ES_tradnl"/>
        </w:rPr>
      </w:pPr>
      <w:r>
        <w:rPr>
          <w:lang w:val="es-ES"/>
        </w:rPr>
        <w:t>Para las evaluaciones (productos previstos en el marco del objetivo 1</w:t>
      </w:r>
      <w:r w:rsidR="00E37AC2">
        <w:rPr>
          <w:lang w:val="es-ES"/>
        </w:rPr>
        <w:t>)</w:t>
      </w:r>
      <w:r>
        <w:rPr>
          <w:lang w:val="es-ES"/>
        </w:rPr>
        <w:t>): i) definir de consu</w:t>
      </w:r>
      <w:r w:rsidR="002817E9">
        <w:rPr>
          <w:lang w:val="es-ES"/>
        </w:rPr>
        <w:t>n</w:t>
      </w:r>
      <w:r>
        <w:rPr>
          <w:lang w:val="es-ES"/>
        </w:rPr>
        <w:t>o</w:t>
      </w:r>
      <w:r w:rsidR="00B20B0E">
        <w:rPr>
          <w:lang w:val="es-ES"/>
        </w:rPr>
        <w:t xml:space="preserve"> </w:t>
      </w:r>
      <w:r>
        <w:rPr>
          <w:lang w:val="es-ES"/>
        </w:rPr>
        <w:t>problemas y objetivos durante el análisis inicial de la evaluación; ii) sintetizar e incluir en la evaluación una amplia diversidad de pruebas y datos procedentes de múltiples fuentes de conocimientos indígenas y locales relacionados con la propia evaluación; iii) lograr la participación adecuada y eficiente de los pueblos indígenas y las comunidades locales en el examen de los diversos proyectos de una evaluación; y iv) compartir las experiencias y los conocimientos adquiridos mediante la evaluación con los pueblos indígenas y las comunidades locales, una vez que esta se haya finalizado</w:t>
      </w:r>
      <w:r w:rsidR="00E01BDB">
        <w:rPr>
          <w:lang w:val="es-ES"/>
        </w:rPr>
        <w:t>;</w:t>
      </w:r>
    </w:p>
    <w:p w14:paraId="4BF0A76E" w14:textId="77777777" w:rsidR="0043299F" w:rsidRPr="006361AF" w:rsidRDefault="0043299F" w:rsidP="003A7116">
      <w:pPr>
        <w:pStyle w:val="Normalnumber"/>
        <w:numPr>
          <w:ilvl w:val="1"/>
          <w:numId w:val="6"/>
        </w:numPr>
        <w:tabs>
          <w:tab w:val="clear" w:pos="567"/>
          <w:tab w:val="clear" w:pos="624"/>
        </w:tabs>
        <w:ind w:firstLine="624"/>
        <w:rPr>
          <w:lang w:val="es-ES_tradnl"/>
        </w:rPr>
      </w:pPr>
      <w:r>
        <w:rPr>
          <w:lang w:val="es-ES"/>
        </w:rPr>
        <w:t>Respecto de los conocimientos y datos (producto previsto 3 a)): identificar a los expertos competentes; facilitar, a través de la infraestructura basada en la web de la Plataforma, el acceso y la gestión de las fuentes disponibles relacionadas con los conocimientos indígenas y locales; promover y catalizar la movilización de conocimientos indígenas y locales; tener en cuenta en la labor sobre los conocimientos y datos, los aspectos relativos a los conocimientos indígenas y locales y los pueblos indígenas y las comunidades locales;</w:t>
      </w:r>
    </w:p>
    <w:p w14:paraId="6A53F569" w14:textId="71F1E51F" w:rsidR="0043299F" w:rsidRPr="006361AF" w:rsidRDefault="0043299F" w:rsidP="003A7116">
      <w:pPr>
        <w:pStyle w:val="Normalnumber"/>
        <w:numPr>
          <w:ilvl w:val="1"/>
          <w:numId w:val="6"/>
        </w:numPr>
        <w:tabs>
          <w:tab w:val="clear" w:pos="567"/>
          <w:tab w:val="clear" w:pos="624"/>
        </w:tabs>
        <w:ind w:firstLine="624"/>
        <w:rPr>
          <w:lang w:val="es-ES_tradnl"/>
        </w:rPr>
      </w:pPr>
      <w:r>
        <w:rPr>
          <w:lang w:val="es-ES"/>
        </w:rPr>
        <w:t>En lo que se refiere al apoyo a las políticas (productos previstos en el marco del objetivo 4</w:t>
      </w:r>
      <w:r w:rsidR="00E37AC2">
        <w:rPr>
          <w:lang w:val="es-ES"/>
        </w:rPr>
        <w:t>)</w:t>
      </w:r>
      <w:r>
        <w:rPr>
          <w:lang w:val="es-ES"/>
        </w:rPr>
        <w:t xml:space="preserve">): determinar, describir y facilitar el uso de herramientas, métodos y directrices pertinentes para la aplicación de las cuatro fases del enfoque relativo a las evaluaciones resumido en el apartado a) anterior, y promover y catalizar su perfeccionamiento; reflejar </w:t>
      </w:r>
      <w:r w:rsidR="00E01BDB">
        <w:rPr>
          <w:lang w:val="es-ES"/>
        </w:rPr>
        <w:t>–</w:t>
      </w:r>
      <w:r>
        <w:rPr>
          <w:lang w:val="es-ES"/>
        </w:rPr>
        <w:t>en las evaluaciones de la IPBES</w:t>
      </w:r>
      <w:r w:rsidR="00E01BDB">
        <w:rPr>
          <w:lang w:val="es-ES"/>
        </w:rPr>
        <w:t>–</w:t>
      </w:r>
      <w:r>
        <w:rPr>
          <w:lang w:val="es-ES"/>
        </w:rPr>
        <w:t xml:space="preserve"> herramientas y metodologías que guarden relación con los conocimientos indígenas y locales y con los pueblos indígenas y las comunidades locales</w:t>
      </w:r>
      <w:r w:rsidR="00E01BDB">
        <w:rPr>
          <w:lang w:val="es-ES"/>
        </w:rPr>
        <w:t>;</w:t>
      </w:r>
    </w:p>
    <w:p w14:paraId="31FA9DCE" w14:textId="082AD40C" w:rsidR="0043299F" w:rsidRPr="006361AF" w:rsidRDefault="0043299F" w:rsidP="003A7116">
      <w:pPr>
        <w:pStyle w:val="Normalnumber"/>
        <w:numPr>
          <w:ilvl w:val="1"/>
          <w:numId w:val="6"/>
        </w:numPr>
        <w:tabs>
          <w:tab w:val="clear" w:pos="567"/>
          <w:tab w:val="clear" w:pos="624"/>
        </w:tabs>
        <w:ind w:firstLine="624"/>
        <w:rPr>
          <w:lang w:val="es-ES_tradnl"/>
        </w:rPr>
      </w:pPr>
      <w:r>
        <w:rPr>
          <w:lang w:val="es-ES"/>
        </w:rPr>
        <w:t>En cuanto a la creación de capacidad (productos previstos en el marco del objetivo 2</w:t>
      </w:r>
      <w:r w:rsidR="00E37AC2">
        <w:rPr>
          <w:lang w:val="es-ES"/>
        </w:rPr>
        <w:t>)</w:t>
      </w:r>
      <w:r>
        <w:rPr>
          <w:lang w:val="es-ES"/>
        </w:rPr>
        <w:t>): identificar, priorizar y crear capacidades esenciales para la aplicación del enfoque; y promover la colaboración y las asociaciones con las organizaciones pertinentes.</w:t>
      </w:r>
    </w:p>
    <w:p w14:paraId="7684A772" w14:textId="77777777" w:rsidR="0043299F" w:rsidRPr="006361AF" w:rsidRDefault="0043299F" w:rsidP="0043299F">
      <w:pPr>
        <w:pStyle w:val="Normalnumber"/>
        <w:numPr>
          <w:ilvl w:val="0"/>
          <w:numId w:val="5"/>
        </w:numPr>
        <w:tabs>
          <w:tab w:val="left" w:pos="1871"/>
          <w:tab w:val="left" w:pos="2495"/>
        </w:tabs>
        <w:ind w:left="1247" w:firstLine="0"/>
        <w:rPr>
          <w:lang w:val="es-ES_tradnl"/>
        </w:rPr>
      </w:pPr>
      <w:r>
        <w:rPr>
          <w:lang w:val="es-ES"/>
        </w:rPr>
        <w:t xml:space="preserve">En el documento IPBES/7/INF/8 se reproducen una reseña de la labor realizada desde el sexto período de sesiones del Plenario y las medidas futuras propuestas para 2019 y 2020. </w:t>
      </w:r>
    </w:p>
    <w:p w14:paraId="5A18C8C8" w14:textId="77777777" w:rsidR="008045CB" w:rsidRPr="00732E7C" w:rsidRDefault="007753E2" w:rsidP="005C34BE">
      <w:pPr>
        <w:pStyle w:val="CH3"/>
      </w:pPr>
      <w:r>
        <w:rPr>
          <w:lang w:val="es-ES"/>
        </w:rPr>
        <w:tab/>
      </w:r>
      <w:r w:rsidR="00691435">
        <w:rPr>
          <w:lang w:val="es-ES"/>
        </w:rPr>
        <w:t>2.</w:t>
      </w:r>
      <w:r w:rsidR="00691435">
        <w:rPr>
          <w:lang w:val="es-ES"/>
        </w:rPr>
        <w:tab/>
      </w:r>
      <w:r w:rsidR="00691435">
        <w:rPr>
          <w:bCs/>
          <w:lang w:val="es-ES"/>
        </w:rPr>
        <w:t>Supuestos y arreglos institucionales</w:t>
      </w:r>
    </w:p>
    <w:p w14:paraId="03DB90FA" w14:textId="16C765F5" w:rsidR="00274AE1" w:rsidRPr="006361AF" w:rsidRDefault="008045CB" w:rsidP="00274AE1">
      <w:pPr>
        <w:pStyle w:val="Normalnumber"/>
        <w:numPr>
          <w:ilvl w:val="0"/>
          <w:numId w:val="5"/>
        </w:numPr>
        <w:tabs>
          <w:tab w:val="left" w:pos="1871"/>
          <w:tab w:val="left" w:pos="2495"/>
        </w:tabs>
        <w:ind w:left="1247" w:firstLine="0"/>
        <w:rPr>
          <w:lang w:val="es-ES_tradnl"/>
        </w:rPr>
      </w:pPr>
      <w:r>
        <w:rPr>
          <w:lang w:val="es-ES"/>
        </w:rPr>
        <w:t xml:space="preserve">El Plenario prorrogará el mandato del equipo de tareas sobre conocimientos indígenas y locales, que prestará apoyo en la elaboración del producto previsto 3 b). El mandato del equipo de tareas establecido </w:t>
      </w:r>
      <w:r w:rsidR="000E033B">
        <w:rPr>
          <w:lang w:val="es-ES"/>
        </w:rPr>
        <w:t>para el</w:t>
      </w:r>
      <w:r>
        <w:rPr>
          <w:lang w:val="es-ES"/>
        </w:rPr>
        <w:t xml:space="preserve"> primer programa de trabajo de la IPBES ha sido revisado a la luz de las experiencias y las enseñanzas extraídas y se reproducen en el documento IPBES/7/6. En el intervalo entre cada uno de los períodos de sesiones se celebrará una reunión del equipo de tareas. Una vez realizado el procedimiento estándar para las evaluaciones, se sugiere celebrar tres reuniones de diálogo por cada evaluación que se esté preparando a fin de aplicar el enfoque de la IPBE</w:t>
      </w:r>
      <w:r w:rsidR="000E033B">
        <w:rPr>
          <w:lang w:val="es-ES"/>
        </w:rPr>
        <w:t>S</w:t>
      </w:r>
      <w:r>
        <w:rPr>
          <w:lang w:val="es-ES"/>
        </w:rPr>
        <w:t xml:space="preserve"> dirigido a reconocer y utilizar los conocimientos indígenas y locales. </w:t>
      </w:r>
    </w:p>
    <w:p w14:paraId="19558503" w14:textId="07ED1D42" w:rsidR="008045CB" w:rsidRPr="006361AF" w:rsidRDefault="008045CB" w:rsidP="0043299F">
      <w:pPr>
        <w:pStyle w:val="Normalnumber"/>
        <w:numPr>
          <w:ilvl w:val="0"/>
          <w:numId w:val="5"/>
        </w:numPr>
        <w:tabs>
          <w:tab w:val="left" w:pos="1871"/>
          <w:tab w:val="left" w:pos="2495"/>
        </w:tabs>
        <w:ind w:left="1247" w:firstLine="0"/>
        <w:rPr>
          <w:lang w:val="es-ES_tradnl"/>
        </w:rPr>
      </w:pPr>
      <w:r>
        <w:rPr>
          <w:lang w:val="es-ES"/>
        </w:rPr>
        <w:t xml:space="preserve">La Secretaría </w:t>
      </w:r>
      <w:r w:rsidR="001D5CE4">
        <w:rPr>
          <w:lang w:val="es-ES"/>
        </w:rPr>
        <w:t>celebrará acuerdos con instituciones</w:t>
      </w:r>
      <w:r>
        <w:rPr>
          <w:lang w:val="es-ES"/>
        </w:rPr>
        <w:t xml:space="preserve"> asociadas para la prestación del apoyo técnico que apruebe la Mesa</w:t>
      </w:r>
      <w:r w:rsidR="00E37AC2">
        <w:rPr>
          <w:lang w:val="es-ES"/>
        </w:rPr>
        <w:t xml:space="preserve">, el cual </w:t>
      </w:r>
      <w:r>
        <w:rPr>
          <w:lang w:val="es-ES"/>
        </w:rPr>
        <w:t>será financiado en parte por la Plataforma y en parte mediante contribuciones en especie aprobadas por el Plenario.</w:t>
      </w:r>
    </w:p>
    <w:p w14:paraId="00DC94CB" w14:textId="77777777" w:rsidR="00196D35" w:rsidRPr="00A63824" w:rsidRDefault="007753E2" w:rsidP="005C34BE">
      <w:pPr>
        <w:pStyle w:val="CH3"/>
        <w:rPr>
          <w:rFonts w:eastAsia="SimSun"/>
        </w:rPr>
      </w:pPr>
      <w:r>
        <w:rPr>
          <w:lang w:val="es-ES"/>
        </w:rPr>
        <w:tab/>
      </w:r>
      <w:r w:rsidR="00691435">
        <w:rPr>
          <w:lang w:val="es-ES"/>
        </w:rPr>
        <w:t>3.</w:t>
      </w:r>
      <w:r w:rsidR="00691435">
        <w:rPr>
          <w:lang w:val="es-ES"/>
        </w:rPr>
        <w:tab/>
      </w:r>
      <w:r w:rsidR="00691435">
        <w:rPr>
          <w:bCs/>
          <w:lang w:val="es-ES"/>
        </w:rPr>
        <w:t>Reuniones e hitos</w:t>
      </w:r>
      <w:r w:rsidR="00691435">
        <w:rPr>
          <w:lang w:val="es-ES"/>
        </w:rPr>
        <w:t xml:space="preserve"> </w:t>
      </w:r>
    </w:p>
    <w:p w14:paraId="2944D4EA" w14:textId="77777777" w:rsidR="00196D35" w:rsidRPr="006361AF" w:rsidRDefault="00196D35" w:rsidP="0043299F">
      <w:pPr>
        <w:pStyle w:val="Normalnumber"/>
        <w:numPr>
          <w:ilvl w:val="0"/>
          <w:numId w:val="5"/>
        </w:numPr>
        <w:tabs>
          <w:tab w:val="left" w:pos="1871"/>
          <w:tab w:val="left" w:pos="2495"/>
        </w:tabs>
        <w:ind w:left="1247" w:firstLine="0"/>
        <w:rPr>
          <w:lang w:val="es-ES_tradnl"/>
        </w:rPr>
      </w:pPr>
      <w:r>
        <w:rPr>
          <w:lang w:val="es-ES"/>
        </w:rPr>
        <w:t xml:space="preserve">A continuación figura una sinopsis de las medidas que han de adoptarse en relación con este producto previsto. En el cuadro A-9 del anexo del documento IPBES/7/4 figura un proyecto de presupuesto para las actividades relacionadas con este producto previsto. </w:t>
      </w:r>
    </w:p>
    <w:tbl>
      <w:tblPr>
        <w:tblW w:w="8352" w:type="dxa"/>
        <w:tblInd w:w="1248" w:type="dxa"/>
        <w:tblLayout w:type="fixed"/>
        <w:tblLook w:val="04A0" w:firstRow="1" w:lastRow="0" w:firstColumn="1" w:lastColumn="0" w:noHBand="0" w:noVBand="1"/>
      </w:tblPr>
      <w:tblGrid>
        <w:gridCol w:w="1152"/>
        <w:gridCol w:w="7200"/>
      </w:tblGrid>
      <w:tr w:rsidR="00196D35" w:rsidRPr="00217D7E" w14:paraId="75CE9918" w14:textId="77777777" w:rsidTr="005C34BE">
        <w:trPr>
          <w:trHeight w:val="233"/>
          <w:tblHeader/>
        </w:trPr>
        <w:tc>
          <w:tcPr>
            <w:tcW w:w="1152" w:type="dxa"/>
            <w:tcBorders>
              <w:top w:val="single" w:sz="4" w:space="0" w:color="auto"/>
              <w:bottom w:val="single" w:sz="12" w:space="0" w:color="auto"/>
            </w:tcBorders>
            <w:shd w:val="clear" w:color="auto" w:fill="auto"/>
            <w:vAlign w:val="center"/>
          </w:tcPr>
          <w:p w14:paraId="50A8CC15" w14:textId="77777777" w:rsidR="00196D35" w:rsidRPr="00217D7E" w:rsidDel="003F5A7B" w:rsidRDefault="00196D35" w:rsidP="00FC5E47">
            <w:pPr>
              <w:pStyle w:val="Normal-pool"/>
              <w:spacing w:before="40" w:after="40"/>
              <w:rPr>
                <w:rFonts w:eastAsia="SimSun"/>
                <w:sz w:val="18"/>
                <w:szCs w:val="18"/>
              </w:rPr>
            </w:pPr>
            <w:r w:rsidRPr="00217D7E">
              <w:rPr>
                <w:i/>
                <w:iCs/>
                <w:sz w:val="18"/>
                <w:szCs w:val="18"/>
                <w:lang w:val="es-ES"/>
              </w:rPr>
              <w:t>Plazo</w:t>
            </w:r>
          </w:p>
        </w:tc>
        <w:tc>
          <w:tcPr>
            <w:tcW w:w="7200" w:type="dxa"/>
            <w:tcBorders>
              <w:top w:val="single" w:sz="4" w:space="0" w:color="auto"/>
              <w:bottom w:val="single" w:sz="12" w:space="0" w:color="auto"/>
            </w:tcBorders>
            <w:shd w:val="clear" w:color="auto" w:fill="auto"/>
            <w:vAlign w:val="center"/>
          </w:tcPr>
          <w:p w14:paraId="76AA1402" w14:textId="77777777" w:rsidR="00196D35" w:rsidRPr="00217D7E" w:rsidDel="000C28ED" w:rsidRDefault="00230862" w:rsidP="00FC5E47">
            <w:pPr>
              <w:pStyle w:val="Normal-pool"/>
              <w:spacing w:before="40" w:after="40"/>
              <w:rPr>
                <w:rFonts w:eastAsia="SimSun"/>
                <w:sz w:val="18"/>
                <w:szCs w:val="18"/>
              </w:rPr>
            </w:pPr>
            <w:r w:rsidRPr="00217D7E">
              <w:rPr>
                <w:i/>
                <w:iCs/>
                <w:sz w:val="18"/>
                <w:szCs w:val="18"/>
                <w:lang w:val="es-ES"/>
              </w:rPr>
              <w:t>Reuniones e hitos</w:t>
            </w:r>
          </w:p>
        </w:tc>
      </w:tr>
      <w:tr w:rsidR="00196D35" w:rsidRPr="00217D7E" w14:paraId="081B0639" w14:textId="77777777" w:rsidTr="00ED76A4">
        <w:trPr>
          <w:trHeight w:val="233"/>
        </w:trPr>
        <w:tc>
          <w:tcPr>
            <w:tcW w:w="1152" w:type="dxa"/>
            <w:vMerge w:val="restart"/>
            <w:tcBorders>
              <w:top w:val="single" w:sz="12" w:space="0" w:color="auto"/>
              <w:bottom w:val="single" w:sz="12" w:space="0" w:color="auto"/>
            </w:tcBorders>
            <w:shd w:val="clear" w:color="auto" w:fill="auto"/>
            <w:vAlign w:val="center"/>
          </w:tcPr>
          <w:p w14:paraId="11D41E0A" w14:textId="77777777" w:rsidR="00196D35" w:rsidRPr="00217D7E" w:rsidRDefault="00B90361" w:rsidP="00FC5E47">
            <w:pPr>
              <w:pStyle w:val="Normal-pool"/>
              <w:spacing w:before="40" w:after="40"/>
              <w:rPr>
                <w:rFonts w:eastAsia="SimSun"/>
                <w:sz w:val="18"/>
                <w:szCs w:val="18"/>
              </w:rPr>
            </w:pPr>
            <w:r w:rsidRPr="00217D7E">
              <w:rPr>
                <w:sz w:val="18"/>
                <w:szCs w:val="18"/>
                <w:lang w:val="es-ES"/>
              </w:rPr>
              <w:t>Anualmente</w:t>
            </w:r>
          </w:p>
        </w:tc>
        <w:tc>
          <w:tcPr>
            <w:tcW w:w="7200" w:type="dxa"/>
            <w:tcBorders>
              <w:top w:val="single" w:sz="12" w:space="0" w:color="auto"/>
            </w:tcBorders>
            <w:shd w:val="clear" w:color="auto" w:fill="auto"/>
          </w:tcPr>
          <w:p w14:paraId="119123E7" w14:textId="77777777" w:rsidR="00196D35" w:rsidRPr="00217D7E" w:rsidRDefault="00196D35" w:rsidP="00FC5E47">
            <w:pPr>
              <w:pStyle w:val="Normal-pool"/>
              <w:spacing w:before="40" w:after="40"/>
              <w:rPr>
                <w:rFonts w:eastAsia="SimSun"/>
                <w:sz w:val="18"/>
                <w:szCs w:val="18"/>
                <w:lang w:val="es-ES_tradnl"/>
              </w:rPr>
            </w:pPr>
            <w:r w:rsidRPr="00217D7E">
              <w:rPr>
                <w:sz w:val="18"/>
                <w:szCs w:val="18"/>
                <w:lang w:val="es-ES"/>
              </w:rPr>
              <w:t>Una reunión del equipo de tareas</w:t>
            </w:r>
          </w:p>
        </w:tc>
      </w:tr>
      <w:tr w:rsidR="00196D35" w:rsidRPr="00217D7E" w14:paraId="64DD37B1" w14:textId="77777777" w:rsidTr="005C34BE">
        <w:trPr>
          <w:trHeight w:val="233"/>
        </w:trPr>
        <w:tc>
          <w:tcPr>
            <w:tcW w:w="1152" w:type="dxa"/>
            <w:vMerge/>
            <w:tcBorders>
              <w:bottom w:val="single" w:sz="12" w:space="0" w:color="auto"/>
            </w:tcBorders>
            <w:shd w:val="clear" w:color="auto" w:fill="auto"/>
            <w:vAlign w:val="center"/>
          </w:tcPr>
          <w:p w14:paraId="0FCA801E" w14:textId="77777777" w:rsidR="00196D35" w:rsidRPr="00217D7E" w:rsidRDefault="00196D35" w:rsidP="00FC5E47">
            <w:pPr>
              <w:pStyle w:val="Normal-pool"/>
              <w:spacing w:before="40" w:after="40"/>
              <w:rPr>
                <w:rFonts w:eastAsia="SimSun"/>
                <w:sz w:val="18"/>
                <w:szCs w:val="18"/>
                <w:lang w:val="es-ES_tradnl" w:eastAsia="zh-CN"/>
              </w:rPr>
            </w:pPr>
          </w:p>
        </w:tc>
        <w:tc>
          <w:tcPr>
            <w:tcW w:w="7200" w:type="dxa"/>
            <w:shd w:val="clear" w:color="auto" w:fill="auto"/>
          </w:tcPr>
          <w:p w14:paraId="66A1B658" w14:textId="67EFCC92" w:rsidR="00196D35" w:rsidRPr="00217D7E" w:rsidRDefault="00196D35" w:rsidP="00FC5E47">
            <w:pPr>
              <w:pStyle w:val="Normal-pool"/>
              <w:spacing w:before="40" w:after="40"/>
              <w:rPr>
                <w:rFonts w:eastAsia="SimSun"/>
                <w:sz w:val="18"/>
                <w:szCs w:val="18"/>
                <w:lang w:val="es-ES_tradnl"/>
              </w:rPr>
            </w:pPr>
            <w:r w:rsidRPr="00217D7E">
              <w:rPr>
                <w:sz w:val="18"/>
                <w:szCs w:val="18"/>
                <w:lang w:val="es-ES"/>
              </w:rPr>
              <w:t>Reuniones de diálogo para aplicar el enfoque dirigido a reconocer y utilizar los conocimientos indígenas y locales en las distintas etapas de las evaluaciones en curso de la IPBES</w:t>
            </w:r>
          </w:p>
        </w:tc>
      </w:tr>
      <w:tr w:rsidR="00196D35" w:rsidRPr="00217D7E" w14:paraId="546825A1" w14:textId="77777777" w:rsidTr="005C34BE">
        <w:trPr>
          <w:trHeight w:val="613"/>
        </w:trPr>
        <w:tc>
          <w:tcPr>
            <w:tcW w:w="1152" w:type="dxa"/>
            <w:vMerge/>
            <w:tcBorders>
              <w:bottom w:val="single" w:sz="12" w:space="0" w:color="auto"/>
            </w:tcBorders>
            <w:shd w:val="clear" w:color="auto" w:fill="auto"/>
            <w:vAlign w:val="center"/>
          </w:tcPr>
          <w:p w14:paraId="15AE6675" w14:textId="77777777" w:rsidR="00196D35" w:rsidRPr="00217D7E" w:rsidRDefault="00196D35" w:rsidP="00FC5E47">
            <w:pPr>
              <w:pStyle w:val="Normal-pool"/>
              <w:spacing w:before="40" w:after="40"/>
              <w:rPr>
                <w:rFonts w:eastAsia="SimSun"/>
                <w:sz w:val="18"/>
                <w:szCs w:val="18"/>
                <w:lang w:val="es-ES_tradnl" w:eastAsia="zh-CN"/>
              </w:rPr>
            </w:pPr>
          </w:p>
        </w:tc>
        <w:tc>
          <w:tcPr>
            <w:tcW w:w="7200" w:type="dxa"/>
            <w:shd w:val="clear" w:color="auto" w:fill="auto"/>
          </w:tcPr>
          <w:p w14:paraId="5E9D5238" w14:textId="7587F60C" w:rsidR="00196D35" w:rsidRPr="00217D7E" w:rsidRDefault="00B05800" w:rsidP="00FC5E47">
            <w:pPr>
              <w:pStyle w:val="Normal-pool"/>
              <w:spacing w:before="40" w:after="40"/>
              <w:rPr>
                <w:rFonts w:eastAsia="SimSun"/>
                <w:sz w:val="18"/>
                <w:szCs w:val="18"/>
                <w:lang w:val="es-ES_tradnl"/>
              </w:rPr>
            </w:pPr>
            <w:r w:rsidRPr="00217D7E">
              <w:rPr>
                <w:sz w:val="18"/>
                <w:szCs w:val="18"/>
                <w:lang w:val="es-ES"/>
              </w:rPr>
              <w:t>Actividades en apoyo de los productos previstos 2 y 4 a), incluida la determinación de las capacidades esenciales para la aplicación del enfoque, su desarrollo y el establecimiento de prioridades respecto de ellas; y el fomento de la colaboración y las asociaciones con las organizaciones pertinentes</w:t>
            </w:r>
          </w:p>
        </w:tc>
      </w:tr>
      <w:tr w:rsidR="00196D35" w:rsidRPr="00217D7E" w14:paraId="457E3C35" w14:textId="77777777" w:rsidTr="005C34BE">
        <w:trPr>
          <w:trHeight w:val="233"/>
        </w:trPr>
        <w:tc>
          <w:tcPr>
            <w:tcW w:w="1152" w:type="dxa"/>
            <w:vMerge/>
            <w:tcBorders>
              <w:bottom w:val="single" w:sz="12" w:space="0" w:color="auto"/>
            </w:tcBorders>
            <w:shd w:val="clear" w:color="auto" w:fill="auto"/>
            <w:vAlign w:val="center"/>
          </w:tcPr>
          <w:p w14:paraId="3A7871EC" w14:textId="77777777" w:rsidR="00196D35" w:rsidRPr="00217D7E" w:rsidRDefault="00196D35" w:rsidP="00FC5E47">
            <w:pPr>
              <w:pStyle w:val="Normal-pool"/>
              <w:spacing w:before="40" w:after="40"/>
              <w:rPr>
                <w:rFonts w:eastAsia="SimSun"/>
                <w:sz w:val="18"/>
                <w:szCs w:val="18"/>
                <w:lang w:val="es-ES_tradnl" w:eastAsia="zh-CN"/>
              </w:rPr>
            </w:pPr>
          </w:p>
        </w:tc>
        <w:tc>
          <w:tcPr>
            <w:tcW w:w="7200" w:type="dxa"/>
            <w:tcBorders>
              <w:bottom w:val="single" w:sz="12" w:space="0" w:color="auto"/>
            </w:tcBorders>
            <w:shd w:val="clear" w:color="auto" w:fill="auto"/>
          </w:tcPr>
          <w:p w14:paraId="39B73BCF" w14:textId="77777777" w:rsidR="00196D35" w:rsidRPr="00217D7E" w:rsidRDefault="00B05800" w:rsidP="00FC5E47">
            <w:pPr>
              <w:pStyle w:val="Normal-pool"/>
              <w:spacing w:before="40" w:after="40"/>
              <w:rPr>
                <w:rFonts w:eastAsia="SimSun"/>
                <w:sz w:val="18"/>
                <w:szCs w:val="18"/>
                <w:lang w:val="es-ES_tradnl"/>
              </w:rPr>
            </w:pPr>
            <w:r w:rsidRPr="00217D7E">
              <w:rPr>
                <w:sz w:val="18"/>
                <w:szCs w:val="18"/>
                <w:lang w:val="es-ES"/>
              </w:rPr>
              <w:t>Actividades en apoyo de los productos previstos 3 a), 4 b) y 4 c), en particular teniendo en cuenta los aspectos relativos a los conocimientos indígenas y locales y los pueblos indígenas y las comunidades locales en la labor relativa a los conocimientos y datos, las hipótesis y los modelos, y los valores</w:t>
            </w:r>
          </w:p>
        </w:tc>
      </w:tr>
    </w:tbl>
    <w:p w14:paraId="16D88616" w14:textId="77777777" w:rsidR="00697A66" w:rsidRPr="006361AF" w:rsidRDefault="007753E2" w:rsidP="00CB3B9B">
      <w:pPr>
        <w:pStyle w:val="CH1"/>
        <w:rPr>
          <w:lang w:val="es-ES_tradnl"/>
        </w:rPr>
      </w:pPr>
      <w:r>
        <w:rPr>
          <w:lang w:val="es-ES"/>
        </w:rPr>
        <w:tab/>
      </w:r>
      <w:r w:rsidR="00CB3B9B">
        <w:rPr>
          <w:lang w:val="es-ES"/>
        </w:rPr>
        <w:t>IV.</w:t>
      </w:r>
      <w:r w:rsidR="00CB3B9B">
        <w:rPr>
          <w:lang w:val="es-ES"/>
        </w:rPr>
        <w:tab/>
      </w:r>
      <w:r w:rsidR="00CB3B9B">
        <w:rPr>
          <w:bCs/>
          <w:lang w:val="es-ES"/>
        </w:rPr>
        <w:t>Objetivo 4: apoyo a la aplicación de políticas</w:t>
      </w:r>
    </w:p>
    <w:p w14:paraId="0B9CC2C0" w14:textId="77777777" w:rsidR="00AA1FD9" w:rsidRPr="006361AF" w:rsidRDefault="007753E2" w:rsidP="00CB3B9B">
      <w:pPr>
        <w:pStyle w:val="CH2"/>
        <w:rPr>
          <w:lang w:val="es-ES_tradnl"/>
        </w:rPr>
      </w:pPr>
      <w:r>
        <w:rPr>
          <w:lang w:val="es-ES"/>
        </w:rPr>
        <w:tab/>
      </w:r>
      <w:r w:rsidR="00CB3B9B">
        <w:rPr>
          <w:lang w:val="es-ES"/>
        </w:rPr>
        <w:t>A.</w:t>
      </w:r>
      <w:r w:rsidR="00CB3B9B">
        <w:rPr>
          <w:lang w:val="es-ES"/>
        </w:rPr>
        <w:tab/>
      </w:r>
      <w:r w:rsidR="00CB3B9B">
        <w:rPr>
          <w:bCs/>
          <w:lang w:val="es-ES"/>
        </w:rPr>
        <w:t>Producto previsto 4 a) avance en la labor relativa a los instrumentos y las metodologías normativos</w:t>
      </w:r>
    </w:p>
    <w:p w14:paraId="17E8018A" w14:textId="77777777" w:rsidR="0043299F" w:rsidRPr="00732E7C" w:rsidRDefault="007753E2" w:rsidP="005C34BE">
      <w:pPr>
        <w:pStyle w:val="CH3"/>
        <w:rPr>
          <w:rFonts w:eastAsia="SimSun"/>
        </w:rPr>
      </w:pPr>
      <w:r>
        <w:rPr>
          <w:lang w:val="es-ES"/>
        </w:rPr>
        <w:tab/>
      </w:r>
      <w:r w:rsidR="00691435">
        <w:rPr>
          <w:lang w:val="es-ES"/>
        </w:rPr>
        <w:t>1.</w:t>
      </w:r>
      <w:r w:rsidR="00691435">
        <w:rPr>
          <w:lang w:val="es-ES"/>
        </w:rPr>
        <w:tab/>
      </w:r>
      <w:r w:rsidR="00691435">
        <w:rPr>
          <w:bCs/>
          <w:lang w:val="es-ES"/>
        </w:rPr>
        <w:t>Antec</w:t>
      </w:r>
      <w:r w:rsidR="00691435">
        <w:rPr>
          <w:lang w:val="es-ES"/>
        </w:rPr>
        <w:t>edentes</w:t>
      </w:r>
    </w:p>
    <w:p w14:paraId="3A8FD10B" w14:textId="4B03AE63" w:rsidR="0043299F" w:rsidRPr="006361AF" w:rsidRDefault="0043299F" w:rsidP="00217D7E">
      <w:pPr>
        <w:pStyle w:val="Normalnumber"/>
        <w:numPr>
          <w:ilvl w:val="0"/>
          <w:numId w:val="5"/>
        </w:numPr>
        <w:tabs>
          <w:tab w:val="clear" w:pos="624"/>
        </w:tabs>
        <w:ind w:left="1247" w:firstLine="0"/>
        <w:rPr>
          <w:lang w:val="es-ES_tradnl"/>
        </w:rPr>
      </w:pPr>
      <w:r>
        <w:rPr>
          <w:lang w:val="es-ES"/>
        </w:rPr>
        <w:t>El primer programa de trabajo incluyó el producto previsto 4 a): “catálogo de evaluaciones pertinentes” y el producto previsto 4 c): “catálogo de instrumentos de apoyo normativo y metodologías”. El Plenario estableció un grupo de expertos para tareas específicas encargado de</w:t>
      </w:r>
      <w:r w:rsidR="00217D7E">
        <w:rPr>
          <w:lang w:val="es-ES"/>
        </w:rPr>
        <w:t> </w:t>
      </w:r>
      <w:r>
        <w:rPr>
          <w:lang w:val="es-ES"/>
        </w:rPr>
        <w:t>prestar apoyo al Grupo y a la Mesa, según sea necesario, en la preparación de un catálogo de instrumentos y metodologías de apoyo normativo y de proporcionar orientación sobre la manera de promover y catalizar el perfeccionamiento de esos instrumentos y metodologías en el contexto de la Plataforma</w:t>
      </w:r>
      <w:r w:rsidRPr="00A63824">
        <w:rPr>
          <w:rStyle w:val="FootnoteReference"/>
          <w:lang w:val="es-ES"/>
        </w:rPr>
        <w:footnoteReference w:id="11"/>
      </w:r>
      <w:r>
        <w:rPr>
          <w:lang w:val="es-ES"/>
        </w:rPr>
        <w:t>. En la sección VII de la decisión IPBES-5/1, el Plenario solicitó que se reconstituyese el</w:t>
      </w:r>
      <w:r w:rsidR="00217D7E">
        <w:rPr>
          <w:lang w:val="es-ES"/>
        </w:rPr>
        <w:t> </w:t>
      </w:r>
      <w:r>
        <w:rPr>
          <w:lang w:val="es-ES"/>
        </w:rPr>
        <w:t xml:space="preserve">grupo de expertos. </w:t>
      </w:r>
    </w:p>
    <w:p w14:paraId="3A535888" w14:textId="3735151B" w:rsidR="0043299F" w:rsidRPr="006361AF" w:rsidRDefault="0043299F" w:rsidP="00217D7E">
      <w:pPr>
        <w:pStyle w:val="Normalnumber"/>
        <w:numPr>
          <w:ilvl w:val="0"/>
          <w:numId w:val="5"/>
        </w:numPr>
        <w:tabs>
          <w:tab w:val="clear" w:pos="624"/>
        </w:tabs>
        <w:ind w:left="1247" w:firstLine="0"/>
        <w:rPr>
          <w:lang w:val="es-ES_tradnl"/>
        </w:rPr>
      </w:pPr>
      <w:bookmarkStart w:id="6" w:name="_Hlk536175949"/>
      <w:r>
        <w:rPr>
          <w:lang w:val="es-ES"/>
        </w:rPr>
        <w:t>Durante el primer programa de trabajo, el grupo de expertos sobre instrumentos y metodologías de apoyo normativo elaboró orientaciones metodológicas para los expertos de la evaluación sobre la manera de evaluar los instrumentos normativos y facilitar el uso de instrumentos y metodologías de apoyo normativo en las evaluaciones de la IPBES</w:t>
      </w:r>
      <w:r w:rsidRPr="00A63824">
        <w:rPr>
          <w:rStyle w:val="FootnoteReference"/>
          <w:lang w:val="es-ES"/>
        </w:rPr>
        <w:footnoteReference w:id="12"/>
      </w:r>
      <w:r>
        <w:rPr>
          <w:lang w:val="es-ES"/>
        </w:rPr>
        <w:t>, y desarroll</w:t>
      </w:r>
      <w:r w:rsidR="00E37AC2">
        <w:rPr>
          <w:lang w:val="es-ES"/>
        </w:rPr>
        <w:t>ó</w:t>
      </w:r>
      <w:r>
        <w:rPr>
          <w:lang w:val="es-ES"/>
        </w:rPr>
        <w:t xml:space="preserve"> un portal de apoyo normativo (anteriormente conocido como el catálogo de instrumentos y metodologías de apoyo normativo)</w:t>
      </w:r>
      <w:r w:rsidRPr="00A63824">
        <w:rPr>
          <w:rStyle w:val="FootnoteReference"/>
          <w:lang w:val="es-ES"/>
        </w:rPr>
        <w:footnoteReference w:id="13"/>
      </w:r>
      <w:r>
        <w:rPr>
          <w:lang w:val="es-ES"/>
        </w:rPr>
        <w:t>. El portal proporciona acceso a los recursos necesarios para que la IPBES pueda cumplir su mandato de apoyar la formulación y aplicación de políticas para la conservación y el uso sostenible de la diversidad biológica y los ecosistemas. El catálogo de evaluaciones se incorporó al portal de apoyo normativo. Además, el grupo de expertos elaboró procedimientos para subir contenidos al catálogo y para validar el contenido cargado</w:t>
      </w:r>
      <w:r w:rsidR="009C2644" w:rsidRPr="005C34BE">
        <w:rPr>
          <w:rStyle w:val="FootnoteReference"/>
          <w:lang w:val="es-ES"/>
        </w:rPr>
        <w:footnoteReference w:id="14"/>
      </w:r>
      <w:r>
        <w:rPr>
          <w:lang w:val="es-ES"/>
        </w:rPr>
        <w:t xml:space="preserve">. </w:t>
      </w:r>
    </w:p>
    <w:bookmarkEnd w:id="6"/>
    <w:p w14:paraId="2A782277" w14:textId="4691BC79" w:rsidR="0043299F" w:rsidRPr="006361AF" w:rsidRDefault="0043299F" w:rsidP="00217D7E">
      <w:pPr>
        <w:pStyle w:val="Normalnumber"/>
        <w:numPr>
          <w:ilvl w:val="0"/>
          <w:numId w:val="5"/>
        </w:numPr>
        <w:tabs>
          <w:tab w:val="clear" w:pos="624"/>
        </w:tabs>
        <w:ind w:left="1247" w:firstLine="0"/>
        <w:rPr>
          <w:lang w:val="es-ES_tradnl"/>
        </w:rPr>
      </w:pPr>
      <w:r>
        <w:rPr>
          <w:lang w:val="es-ES"/>
        </w:rPr>
        <w:t xml:space="preserve">Se sugirió que debía establecerse un grupo de tareas en </w:t>
      </w:r>
      <w:r w:rsidR="000E033B">
        <w:rPr>
          <w:lang w:val="es-ES"/>
        </w:rPr>
        <w:t>apoyo</w:t>
      </w:r>
      <w:r>
        <w:rPr>
          <w:lang w:val="es-ES"/>
        </w:rPr>
        <w:t xml:space="preserve"> del producto previsto 4 a). </w:t>
      </w:r>
    </w:p>
    <w:p w14:paraId="5DCEE687" w14:textId="54A79A9B" w:rsidR="0043299F" w:rsidRPr="006361AF" w:rsidRDefault="0043299F" w:rsidP="00217D7E">
      <w:pPr>
        <w:pStyle w:val="Normalnumber"/>
        <w:numPr>
          <w:ilvl w:val="0"/>
          <w:numId w:val="5"/>
        </w:numPr>
        <w:tabs>
          <w:tab w:val="clear" w:pos="624"/>
        </w:tabs>
        <w:ind w:left="1247" w:firstLine="0"/>
        <w:rPr>
          <w:lang w:val="es-ES_tradnl"/>
        </w:rPr>
      </w:pPr>
      <w:r>
        <w:rPr>
          <w:lang w:val="es-ES"/>
        </w:rPr>
        <w:t xml:space="preserve">En el documento IPBES/7/INF/13 figura una reseña de la labor </w:t>
      </w:r>
      <w:r w:rsidR="000E033B">
        <w:rPr>
          <w:lang w:val="es-ES"/>
        </w:rPr>
        <w:t>realizada en</w:t>
      </w:r>
      <w:r>
        <w:rPr>
          <w:lang w:val="es-ES"/>
        </w:rPr>
        <w:t xml:space="preserve"> ese ámbito desde el sexto período de sesiones del Plenario y las medidas futuras propuestas para 2019 y 2020. </w:t>
      </w:r>
    </w:p>
    <w:p w14:paraId="656EA4D4" w14:textId="77777777" w:rsidR="00F93252" w:rsidRPr="00732E7C" w:rsidRDefault="007753E2" w:rsidP="005C34BE">
      <w:pPr>
        <w:pStyle w:val="CH3"/>
      </w:pPr>
      <w:r>
        <w:rPr>
          <w:lang w:val="es-ES"/>
        </w:rPr>
        <w:tab/>
      </w:r>
      <w:r w:rsidR="00691435">
        <w:rPr>
          <w:lang w:val="es-ES"/>
        </w:rPr>
        <w:t>2.</w:t>
      </w:r>
      <w:r w:rsidR="00691435">
        <w:rPr>
          <w:lang w:val="es-ES"/>
        </w:rPr>
        <w:tab/>
      </w:r>
      <w:r w:rsidR="00691435">
        <w:rPr>
          <w:bCs/>
          <w:lang w:val="es-ES"/>
        </w:rPr>
        <w:t>Supuestos y arreglos institucionales</w:t>
      </w:r>
    </w:p>
    <w:p w14:paraId="60B64669" w14:textId="77777777" w:rsidR="00F93252" w:rsidRPr="006361AF" w:rsidRDefault="00F93252" w:rsidP="00217D7E">
      <w:pPr>
        <w:pStyle w:val="Normalnumber"/>
        <w:numPr>
          <w:ilvl w:val="0"/>
          <w:numId w:val="5"/>
        </w:numPr>
        <w:tabs>
          <w:tab w:val="clear" w:pos="624"/>
        </w:tabs>
        <w:ind w:left="1247" w:firstLine="0"/>
        <w:rPr>
          <w:lang w:val="es-ES_tradnl"/>
        </w:rPr>
      </w:pPr>
      <w:r>
        <w:rPr>
          <w:lang w:val="es-ES"/>
        </w:rPr>
        <w:t xml:space="preserve">El Plenario establecerá un equipo de tareas sobre instrumentos y metodologías de apoyo normativo, en apoyo del producto previsto 4 a). El proyecto de mandato del equipo de tareas refleja las experiencias y las enseñanzas extraídas de la labor del grupo de expertos establecido durante el primer programa de trabajo de la IPBES, las cuales han quedado recogidas en el documento IPBES/7/6. En el intervalo entre los períodos de sesiones se celebrará una reunión del equipo de tareas. </w:t>
      </w:r>
    </w:p>
    <w:p w14:paraId="4BB80B7A" w14:textId="154F96EA" w:rsidR="00F93252" w:rsidRPr="006361AF" w:rsidRDefault="00F93252" w:rsidP="00217D7E">
      <w:pPr>
        <w:pStyle w:val="Normalnumber"/>
        <w:numPr>
          <w:ilvl w:val="0"/>
          <w:numId w:val="5"/>
        </w:numPr>
        <w:tabs>
          <w:tab w:val="clear" w:pos="624"/>
        </w:tabs>
        <w:ind w:left="1247" w:firstLine="0"/>
        <w:rPr>
          <w:lang w:val="es-ES_tradnl"/>
        </w:rPr>
      </w:pPr>
      <w:r>
        <w:rPr>
          <w:lang w:val="es-ES"/>
        </w:rPr>
        <w:t xml:space="preserve">La Secretaría </w:t>
      </w:r>
      <w:r w:rsidR="001D5CE4">
        <w:rPr>
          <w:lang w:val="es-ES"/>
        </w:rPr>
        <w:t>celebrará acuerdos con instituciones</w:t>
      </w:r>
      <w:r>
        <w:rPr>
          <w:lang w:val="es-ES"/>
        </w:rPr>
        <w:t xml:space="preserve"> asociadas para la prestación del apoyo técnico que apruebe la Mesa</w:t>
      </w:r>
      <w:r w:rsidR="00E37AC2">
        <w:rPr>
          <w:lang w:val="es-ES"/>
        </w:rPr>
        <w:t>, el cual</w:t>
      </w:r>
      <w:r>
        <w:rPr>
          <w:lang w:val="es-ES"/>
        </w:rPr>
        <w:t xml:space="preserve"> será financiado en parte por la Plataforma y en parte mediante contribuciones en especie aprobadas por el Plenario.</w:t>
      </w:r>
    </w:p>
    <w:p w14:paraId="6E9D1F49" w14:textId="77777777" w:rsidR="00104CEC" w:rsidRPr="00A63824" w:rsidRDefault="007753E2" w:rsidP="005C34BE">
      <w:pPr>
        <w:pStyle w:val="CH3"/>
        <w:rPr>
          <w:rFonts w:eastAsia="SimSun"/>
        </w:rPr>
      </w:pPr>
      <w:r>
        <w:rPr>
          <w:lang w:val="es-ES"/>
        </w:rPr>
        <w:tab/>
      </w:r>
      <w:r w:rsidR="00691435">
        <w:rPr>
          <w:lang w:val="es-ES"/>
        </w:rPr>
        <w:t>3.</w:t>
      </w:r>
      <w:r w:rsidR="00691435">
        <w:rPr>
          <w:lang w:val="es-ES"/>
        </w:rPr>
        <w:tab/>
      </w:r>
      <w:r w:rsidR="00691435">
        <w:rPr>
          <w:bCs/>
          <w:lang w:val="es-ES"/>
        </w:rPr>
        <w:t>Reuniones e hitos</w:t>
      </w:r>
      <w:r w:rsidR="00691435">
        <w:rPr>
          <w:lang w:val="es-ES"/>
        </w:rPr>
        <w:t xml:space="preserve"> </w:t>
      </w:r>
    </w:p>
    <w:p w14:paraId="1CC616CD" w14:textId="77777777" w:rsidR="00104CEC" w:rsidRPr="006361AF" w:rsidRDefault="00104CEC" w:rsidP="00217D7E">
      <w:pPr>
        <w:pStyle w:val="Normalnumber"/>
        <w:numPr>
          <w:ilvl w:val="0"/>
          <w:numId w:val="5"/>
        </w:numPr>
        <w:tabs>
          <w:tab w:val="clear" w:pos="624"/>
        </w:tabs>
        <w:ind w:left="1247" w:firstLine="0"/>
        <w:rPr>
          <w:lang w:val="es-ES_tradnl"/>
        </w:rPr>
      </w:pPr>
      <w:r>
        <w:rPr>
          <w:lang w:val="es-ES"/>
        </w:rPr>
        <w:t xml:space="preserve">A continuación figura una sinopsis de las medidas que han de adoptarse en relación con este producto previsto. En el cuadro A-10 del anexo del documento IPBES/7/4 figura un proyecto de presupuesto para las actividades relacionadas con este producto previsto. </w:t>
      </w:r>
    </w:p>
    <w:tbl>
      <w:tblPr>
        <w:tblW w:w="8352" w:type="dxa"/>
        <w:tblInd w:w="1248" w:type="dxa"/>
        <w:tblLayout w:type="fixed"/>
        <w:tblLook w:val="04A0" w:firstRow="1" w:lastRow="0" w:firstColumn="1" w:lastColumn="0" w:noHBand="0" w:noVBand="1"/>
      </w:tblPr>
      <w:tblGrid>
        <w:gridCol w:w="1152"/>
        <w:gridCol w:w="7200"/>
      </w:tblGrid>
      <w:tr w:rsidR="00104CEC" w:rsidRPr="00217D7E" w14:paraId="012541D7" w14:textId="77777777" w:rsidTr="00E9285A">
        <w:trPr>
          <w:trHeight w:val="233"/>
          <w:tblHeader/>
        </w:trPr>
        <w:tc>
          <w:tcPr>
            <w:tcW w:w="1152" w:type="dxa"/>
            <w:tcBorders>
              <w:top w:val="single" w:sz="4" w:space="0" w:color="auto"/>
              <w:bottom w:val="single" w:sz="12" w:space="0" w:color="auto"/>
            </w:tcBorders>
            <w:shd w:val="clear" w:color="auto" w:fill="auto"/>
            <w:vAlign w:val="center"/>
          </w:tcPr>
          <w:p w14:paraId="766583DF" w14:textId="77777777" w:rsidR="00104CEC" w:rsidRPr="00217D7E" w:rsidDel="003F5A7B" w:rsidRDefault="00104CEC" w:rsidP="00FC5E47">
            <w:pPr>
              <w:pStyle w:val="Normal-pool"/>
              <w:spacing w:before="20" w:after="20"/>
              <w:jc w:val="both"/>
              <w:rPr>
                <w:rFonts w:eastAsia="SimSun"/>
                <w:sz w:val="18"/>
                <w:szCs w:val="18"/>
              </w:rPr>
            </w:pPr>
            <w:r w:rsidRPr="00217D7E">
              <w:rPr>
                <w:i/>
                <w:iCs/>
                <w:sz w:val="18"/>
                <w:szCs w:val="18"/>
                <w:lang w:val="es-ES"/>
              </w:rPr>
              <w:t>Plazo</w:t>
            </w:r>
          </w:p>
        </w:tc>
        <w:tc>
          <w:tcPr>
            <w:tcW w:w="7200" w:type="dxa"/>
            <w:tcBorders>
              <w:top w:val="single" w:sz="4" w:space="0" w:color="auto"/>
              <w:bottom w:val="single" w:sz="12" w:space="0" w:color="auto"/>
            </w:tcBorders>
            <w:shd w:val="clear" w:color="auto" w:fill="auto"/>
            <w:vAlign w:val="center"/>
          </w:tcPr>
          <w:p w14:paraId="2F80F434" w14:textId="77777777" w:rsidR="00104CEC" w:rsidRPr="00217D7E" w:rsidDel="000C28ED" w:rsidRDefault="00230862" w:rsidP="00FC5E47">
            <w:pPr>
              <w:pStyle w:val="Normal-pool"/>
              <w:spacing w:before="20" w:after="20"/>
              <w:jc w:val="both"/>
              <w:rPr>
                <w:rFonts w:eastAsia="SimSun"/>
                <w:sz w:val="18"/>
                <w:szCs w:val="18"/>
              </w:rPr>
            </w:pPr>
            <w:r w:rsidRPr="00217D7E">
              <w:rPr>
                <w:i/>
                <w:iCs/>
                <w:sz w:val="18"/>
                <w:szCs w:val="18"/>
                <w:lang w:val="es-ES"/>
              </w:rPr>
              <w:t>Reuniones e hitos</w:t>
            </w:r>
          </w:p>
        </w:tc>
      </w:tr>
      <w:tr w:rsidR="00E7329C" w:rsidRPr="00217D7E" w14:paraId="036DF81A" w14:textId="77777777" w:rsidTr="00ED76A4">
        <w:trPr>
          <w:trHeight w:val="181"/>
        </w:trPr>
        <w:tc>
          <w:tcPr>
            <w:tcW w:w="1152" w:type="dxa"/>
            <w:vMerge w:val="restart"/>
            <w:tcBorders>
              <w:top w:val="single" w:sz="12" w:space="0" w:color="auto"/>
              <w:bottom w:val="single" w:sz="12" w:space="0" w:color="auto"/>
            </w:tcBorders>
            <w:shd w:val="clear" w:color="auto" w:fill="auto"/>
            <w:vAlign w:val="center"/>
          </w:tcPr>
          <w:p w14:paraId="0D5B8B82" w14:textId="77777777" w:rsidR="00E7329C" w:rsidRPr="00217D7E" w:rsidRDefault="00B90361" w:rsidP="00FC5E47">
            <w:pPr>
              <w:pStyle w:val="Normal-pool"/>
              <w:spacing w:before="20" w:after="20"/>
              <w:jc w:val="both"/>
              <w:rPr>
                <w:rFonts w:eastAsia="SimSun"/>
                <w:sz w:val="18"/>
                <w:szCs w:val="18"/>
              </w:rPr>
            </w:pPr>
            <w:r w:rsidRPr="00217D7E">
              <w:rPr>
                <w:sz w:val="18"/>
                <w:szCs w:val="18"/>
                <w:lang w:val="es-ES"/>
              </w:rPr>
              <w:t>Anualmente</w:t>
            </w:r>
          </w:p>
        </w:tc>
        <w:tc>
          <w:tcPr>
            <w:tcW w:w="7200" w:type="dxa"/>
            <w:tcBorders>
              <w:top w:val="single" w:sz="12" w:space="0" w:color="auto"/>
            </w:tcBorders>
            <w:shd w:val="clear" w:color="auto" w:fill="auto"/>
          </w:tcPr>
          <w:p w14:paraId="0C03A8C3" w14:textId="77777777" w:rsidR="00E7329C" w:rsidRPr="00217D7E" w:rsidRDefault="00E7329C" w:rsidP="00FC5E47">
            <w:pPr>
              <w:pStyle w:val="Normal-pool"/>
              <w:spacing w:before="20" w:after="20"/>
              <w:jc w:val="both"/>
              <w:rPr>
                <w:rFonts w:eastAsia="SimSun"/>
                <w:sz w:val="18"/>
                <w:szCs w:val="18"/>
                <w:lang w:val="es-ES_tradnl"/>
              </w:rPr>
            </w:pPr>
            <w:r w:rsidRPr="00217D7E">
              <w:rPr>
                <w:sz w:val="18"/>
                <w:szCs w:val="18"/>
                <w:lang w:val="es-ES"/>
              </w:rPr>
              <w:t>Una reunión del equipo de tareas</w:t>
            </w:r>
          </w:p>
        </w:tc>
      </w:tr>
      <w:tr w:rsidR="00E7329C" w:rsidRPr="00217D7E" w14:paraId="5F831B6C" w14:textId="77777777" w:rsidTr="00E9285A">
        <w:trPr>
          <w:trHeight w:val="235"/>
        </w:trPr>
        <w:tc>
          <w:tcPr>
            <w:tcW w:w="1152" w:type="dxa"/>
            <w:vMerge/>
            <w:tcBorders>
              <w:top w:val="single" w:sz="4" w:space="0" w:color="auto"/>
              <w:bottom w:val="single" w:sz="12" w:space="0" w:color="auto"/>
            </w:tcBorders>
            <w:shd w:val="clear" w:color="auto" w:fill="auto"/>
            <w:vAlign w:val="center"/>
          </w:tcPr>
          <w:p w14:paraId="2CD3C291" w14:textId="77777777" w:rsidR="00E7329C" w:rsidRPr="00217D7E" w:rsidRDefault="00E7329C" w:rsidP="00FC5E47">
            <w:pPr>
              <w:pStyle w:val="Normal-pool"/>
              <w:spacing w:before="20" w:after="20"/>
              <w:jc w:val="both"/>
              <w:rPr>
                <w:rFonts w:eastAsia="SimSun"/>
                <w:sz w:val="18"/>
                <w:szCs w:val="18"/>
                <w:lang w:val="es-ES_tradnl" w:eastAsia="zh-CN"/>
              </w:rPr>
            </w:pPr>
          </w:p>
        </w:tc>
        <w:tc>
          <w:tcPr>
            <w:tcW w:w="7200" w:type="dxa"/>
            <w:shd w:val="clear" w:color="auto" w:fill="auto"/>
          </w:tcPr>
          <w:p w14:paraId="52DC10F3" w14:textId="77777777" w:rsidR="00E7329C" w:rsidRPr="00217D7E" w:rsidRDefault="00E7329C" w:rsidP="00FC5E47">
            <w:pPr>
              <w:pStyle w:val="Normal-pool"/>
              <w:spacing w:before="20" w:after="20"/>
              <w:jc w:val="both"/>
              <w:rPr>
                <w:rFonts w:eastAsia="SimSun"/>
                <w:sz w:val="18"/>
                <w:szCs w:val="18"/>
                <w:lang w:val="es-ES_tradnl"/>
              </w:rPr>
            </w:pPr>
            <w:r w:rsidRPr="00217D7E">
              <w:rPr>
                <w:sz w:val="18"/>
                <w:szCs w:val="18"/>
                <w:lang w:val="es-ES"/>
              </w:rPr>
              <w:t>Actividades en apoyo de la elaboración del portal web relativo al apoyo normativo</w:t>
            </w:r>
          </w:p>
        </w:tc>
      </w:tr>
      <w:tr w:rsidR="00E7329C" w:rsidRPr="00217D7E" w14:paraId="50E1D0E7" w14:textId="77777777" w:rsidTr="00E9285A">
        <w:trPr>
          <w:trHeight w:val="233"/>
        </w:trPr>
        <w:tc>
          <w:tcPr>
            <w:tcW w:w="1152" w:type="dxa"/>
            <w:vMerge/>
            <w:tcBorders>
              <w:top w:val="single" w:sz="4" w:space="0" w:color="auto"/>
              <w:bottom w:val="single" w:sz="12" w:space="0" w:color="auto"/>
            </w:tcBorders>
            <w:shd w:val="clear" w:color="auto" w:fill="auto"/>
            <w:vAlign w:val="center"/>
          </w:tcPr>
          <w:p w14:paraId="43BFD800" w14:textId="77777777" w:rsidR="00E7329C" w:rsidRPr="00217D7E" w:rsidRDefault="00E7329C" w:rsidP="00FC5E47">
            <w:pPr>
              <w:pStyle w:val="Normal-pool"/>
              <w:spacing w:before="20" w:after="20"/>
              <w:jc w:val="both"/>
              <w:rPr>
                <w:rFonts w:eastAsia="SimSun"/>
                <w:sz w:val="18"/>
                <w:szCs w:val="18"/>
                <w:lang w:val="es-ES_tradnl" w:eastAsia="zh-CN"/>
              </w:rPr>
            </w:pPr>
          </w:p>
        </w:tc>
        <w:tc>
          <w:tcPr>
            <w:tcW w:w="7200" w:type="dxa"/>
            <w:shd w:val="clear" w:color="auto" w:fill="auto"/>
          </w:tcPr>
          <w:p w14:paraId="31CE42B4" w14:textId="77777777" w:rsidR="00E7329C" w:rsidRPr="00217D7E" w:rsidRDefault="00E7329C" w:rsidP="00FC5E47">
            <w:pPr>
              <w:pStyle w:val="Normal-pool"/>
              <w:spacing w:before="20" w:after="20"/>
              <w:jc w:val="both"/>
              <w:rPr>
                <w:rFonts w:eastAsia="SimSun"/>
                <w:sz w:val="18"/>
                <w:szCs w:val="18"/>
                <w:lang w:val="es-ES_tradnl"/>
              </w:rPr>
            </w:pPr>
            <w:r w:rsidRPr="00217D7E">
              <w:rPr>
                <w:sz w:val="18"/>
                <w:szCs w:val="18"/>
                <w:lang w:val="es-ES"/>
              </w:rPr>
              <w:t>Actividades en apoyo de otros productos previstos</w:t>
            </w:r>
          </w:p>
        </w:tc>
      </w:tr>
      <w:tr w:rsidR="00E7329C" w:rsidRPr="00217D7E" w14:paraId="6028AFB0" w14:textId="77777777" w:rsidTr="00E9285A">
        <w:trPr>
          <w:trHeight w:val="233"/>
        </w:trPr>
        <w:tc>
          <w:tcPr>
            <w:tcW w:w="1152" w:type="dxa"/>
            <w:vMerge/>
            <w:tcBorders>
              <w:top w:val="single" w:sz="4" w:space="0" w:color="auto"/>
              <w:bottom w:val="single" w:sz="12" w:space="0" w:color="auto"/>
            </w:tcBorders>
            <w:shd w:val="clear" w:color="auto" w:fill="auto"/>
            <w:vAlign w:val="center"/>
          </w:tcPr>
          <w:p w14:paraId="0217FBC6" w14:textId="77777777" w:rsidR="00E7329C" w:rsidRPr="00217D7E" w:rsidRDefault="00E7329C" w:rsidP="00FC5E47">
            <w:pPr>
              <w:pStyle w:val="Normal-pool"/>
              <w:spacing w:before="20" w:after="20"/>
              <w:jc w:val="both"/>
              <w:rPr>
                <w:rFonts w:eastAsia="SimSun"/>
                <w:sz w:val="18"/>
                <w:szCs w:val="18"/>
                <w:lang w:val="es-ES_tradnl" w:eastAsia="zh-CN"/>
              </w:rPr>
            </w:pPr>
          </w:p>
        </w:tc>
        <w:tc>
          <w:tcPr>
            <w:tcW w:w="7200" w:type="dxa"/>
            <w:tcBorders>
              <w:bottom w:val="single" w:sz="12" w:space="0" w:color="auto"/>
            </w:tcBorders>
            <w:shd w:val="clear" w:color="auto" w:fill="auto"/>
          </w:tcPr>
          <w:p w14:paraId="6D2283D7" w14:textId="77777777" w:rsidR="00E7329C" w:rsidRPr="00217D7E" w:rsidRDefault="00E7329C" w:rsidP="00FC5E47">
            <w:pPr>
              <w:pStyle w:val="Normal-pool"/>
              <w:spacing w:before="20" w:after="20"/>
              <w:jc w:val="both"/>
              <w:rPr>
                <w:rFonts w:eastAsia="SimSun"/>
                <w:sz w:val="18"/>
                <w:szCs w:val="18"/>
                <w:lang w:val="es-ES_tradnl"/>
              </w:rPr>
            </w:pPr>
            <w:r w:rsidRPr="00217D7E">
              <w:rPr>
                <w:sz w:val="18"/>
                <w:szCs w:val="18"/>
                <w:lang w:val="es-ES"/>
              </w:rPr>
              <w:t>Actividades en apoyo de la adopción de instrumentos y metodologías de apoyo normativo</w:t>
            </w:r>
          </w:p>
        </w:tc>
      </w:tr>
    </w:tbl>
    <w:p w14:paraId="13E8E8F4" w14:textId="77777777" w:rsidR="00AA1FD9" w:rsidRPr="006361AF" w:rsidRDefault="007753E2" w:rsidP="00E01BDB">
      <w:pPr>
        <w:pStyle w:val="CH2"/>
        <w:spacing w:before="240"/>
        <w:rPr>
          <w:lang w:val="es-ES_tradnl"/>
        </w:rPr>
      </w:pPr>
      <w:r>
        <w:rPr>
          <w:lang w:val="es-ES"/>
        </w:rPr>
        <w:tab/>
      </w:r>
      <w:r w:rsidR="00CB3B9B">
        <w:rPr>
          <w:lang w:val="es-ES"/>
        </w:rPr>
        <w:t>B.</w:t>
      </w:r>
      <w:r w:rsidR="00CB3B9B">
        <w:rPr>
          <w:lang w:val="es-ES"/>
        </w:rPr>
        <w:tab/>
      </w:r>
      <w:r w:rsidR="00CB3B9B">
        <w:rPr>
          <w:bCs/>
          <w:lang w:val="es-ES"/>
        </w:rPr>
        <w:t>Producto previsto 4 b): avance en la labor sobre hipótesis y modelos</w:t>
      </w:r>
    </w:p>
    <w:p w14:paraId="693D8F56" w14:textId="77777777" w:rsidR="009E6502" w:rsidRPr="00732E7C" w:rsidRDefault="007753E2" w:rsidP="005C34BE">
      <w:pPr>
        <w:pStyle w:val="CH3"/>
        <w:rPr>
          <w:rFonts w:eastAsia="SimSun"/>
        </w:rPr>
      </w:pPr>
      <w:r>
        <w:rPr>
          <w:lang w:val="es-ES"/>
        </w:rPr>
        <w:tab/>
      </w:r>
      <w:r w:rsidR="00691435">
        <w:rPr>
          <w:lang w:val="es-ES"/>
        </w:rPr>
        <w:t>1.</w:t>
      </w:r>
      <w:r w:rsidR="00691435">
        <w:rPr>
          <w:lang w:val="es-ES"/>
        </w:rPr>
        <w:tab/>
      </w:r>
      <w:r w:rsidR="00691435">
        <w:rPr>
          <w:bCs/>
          <w:lang w:val="es-ES"/>
        </w:rPr>
        <w:t>Antec</w:t>
      </w:r>
      <w:r w:rsidR="00691435">
        <w:rPr>
          <w:lang w:val="es-ES"/>
        </w:rPr>
        <w:t>edentes</w:t>
      </w:r>
    </w:p>
    <w:p w14:paraId="79B0C702" w14:textId="6DC2E237" w:rsidR="009E6502" w:rsidRPr="006361AF" w:rsidRDefault="009E6502" w:rsidP="00217D7E">
      <w:pPr>
        <w:pStyle w:val="Normalnumber"/>
        <w:numPr>
          <w:ilvl w:val="0"/>
          <w:numId w:val="5"/>
        </w:numPr>
        <w:tabs>
          <w:tab w:val="clear" w:pos="624"/>
        </w:tabs>
        <w:ind w:left="1247" w:firstLine="0"/>
        <w:rPr>
          <w:lang w:val="es-ES_tradnl"/>
        </w:rPr>
      </w:pPr>
      <w:r>
        <w:rPr>
          <w:lang w:val="es-ES"/>
        </w:rPr>
        <w:t xml:space="preserve">El primer programa de trabajo incluyó el producto previsto 3 c): “instrumentos de apoyo normativo y metodologías para el análisis de hipótesis y la elaboración de modelos de la diversidad biológica y los servicios de los ecosistemas basados en una evaluación por vía </w:t>
      </w:r>
      <w:r w:rsidR="000E033B">
        <w:rPr>
          <w:lang w:val="es-ES"/>
        </w:rPr>
        <w:t>rápida</w:t>
      </w:r>
      <w:r>
        <w:rPr>
          <w:lang w:val="es-ES"/>
        </w:rPr>
        <w:t xml:space="preserve"> y una orientación”. </w:t>
      </w:r>
    </w:p>
    <w:p w14:paraId="0DCF7FBB" w14:textId="4A7E5480" w:rsidR="009E6502" w:rsidRPr="006361AF" w:rsidRDefault="009E6502" w:rsidP="00217D7E">
      <w:pPr>
        <w:pStyle w:val="Normalnumber"/>
        <w:numPr>
          <w:ilvl w:val="0"/>
          <w:numId w:val="5"/>
        </w:numPr>
        <w:tabs>
          <w:tab w:val="clear" w:pos="624"/>
        </w:tabs>
        <w:ind w:left="1247" w:firstLine="0"/>
        <w:rPr>
          <w:lang w:val="es-ES_tradnl"/>
        </w:rPr>
      </w:pPr>
      <w:r>
        <w:rPr>
          <w:lang w:val="es-ES"/>
        </w:rPr>
        <w:t xml:space="preserve">El Plenario aprobó la realización de esa evaluación en su decisión IPBES-2/5 </w:t>
      </w:r>
      <w:r w:rsidR="000E033B">
        <w:rPr>
          <w:lang w:val="es-ES"/>
        </w:rPr>
        <w:t>y en</w:t>
      </w:r>
      <w:r>
        <w:rPr>
          <w:lang w:val="es-ES"/>
        </w:rPr>
        <w:t xml:space="preserve"> la sección V de la decisión IPBES-4/1 aprobó el resumen para los encargados de la formulación de políticas, y aceptó los capítulos de la evaluación. En la decisión IPBES-4/1, el Plenario también estableció un grupo de expertos encargado de realizar una labor más a fondo en esa esfera. El mandato del grupo figura en el anexo V de la decisión e incluye dos actividades principales, a saber, la prestación de asesoramiento especializado sobre la utilización de modelos e hipótesis existentes para atender las necesidades actuales de la Plataforma, y la catalización de la elaboración de hipótesis y modelos conexos por la comunidad científica en general.</w:t>
      </w:r>
    </w:p>
    <w:p w14:paraId="6C63E0E7" w14:textId="1549CF0A" w:rsidR="009E6502" w:rsidRPr="006361AF" w:rsidRDefault="009E6502" w:rsidP="00217D7E">
      <w:pPr>
        <w:pStyle w:val="Normalnumber"/>
        <w:numPr>
          <w:ilvl w:val="0"/>
          <w:numId w:val="5"/>
        </w:numPr>
        <w:tabs>
          <w:tab w:val="clear" w:pos="624"/>
        </w:tabs>
        <w:ind w:left="1247" w:firstLine="0"/>
        <w:rPr>
          <w:lang w:val="es-ES_tradnl"/>
        </w:rPr>
      </w:pPr>
      <w:r>
        <w:rPr>
          <w:lang w:val="es-ES"/>
        </w:rPr>
        <w:t xml:space="preserve">En el período comprendido entre los períodos de sesiones cuarto y séptimo del Plenario, el grupo de expertos brindó su </w:t>
      </w:r>
      <w:r w:rsidR="000E033B">
        <w:rPr>
          <w:lang w:val="es-ES"/>
        </w:rPr>
        <w:t>apoyo</w:t>
      </w:r>
      <w:r>
        <w:rPr>
          <w:lang w:val="es-ES"/>
        </w:rPr>
        <w:t xml:space="preserve"> a los capítulos sobre las hipótesis y los modelos de las evaluaciones regionales y la evaluación mundial de la diversidad biológica y los servicios de los ecosistemas, la evaluación de la degradación y restauración de la tierra, la evaluación sobre los valores y la evaluación del uso sostenible de las especies silvestres, facilitando el acceso a la literatura pertinente relativa a las hipótesis y los modelos y a productos resultantes de hipótesis. El grupo de expertos colaboró con el grupo de expertos sobre instrumentos y metodologías de apoyo normativo en la preparación de una orientación sobre el uso de hipótesis y modelos basados en la evaluación, la cual puede encontrarse en el portal web de apoyo normativo</w:t>
      </w:r>
      <w:r w:rsidRPr="00A63824">
        <w:rPr>
          <w:rStyle w:val="FootnoteReference"/>
          <w:lang w:val="es-ES"/>
        </w:rPr>
        <w:footnoteReference w:id="15"/>
      </w:r>
      <w:r>
        <w:rPr>
          <w:lang w:val="es-ES"/>
        </w:rPr>
        <w:t xml:space="preserve">. Habida cuenta de los beneficios que ese apoyo brinda a las evaluaciones, se sugiere continuar esa labor en el próximo programa de trabajo. </w:t>
      </w:r>
      <w:bookmarkStart w:id="7" w:name="_Hlk346018"/>
      <w:bookmarkEnd w:id="7"/>
    </w:p>
    <w:p w14:paraId="4EB7F20E" w14:textId="28E9A8C3" w:rsidR="009E6502" w:rsidRPr="006361AF" w:rsidRDefault="009E6502" w:rsidP="00217D7E">
      <w:pPr>
        <w:pStyle w:val="Normalnumber"/>
        <w:numPr>
          <w:ilvl w:val="0"/>
          <w:numId w:val="5"/>
        </w:numPr>
        <w:tabs>
          <w:tab w:val="clear" w:pos="624"/>
        </w:tabs>
        <w:ind w:left="1247" w:firstLine="0"/>
        <w:rPr>
          <w:lang w:val="es-ES_tradnl"/>
        </w:rPr>
      </w:pPr>
      <w:r>
        <w:rPr>
          <w:lang w:val="es-ES"/>
        </w:rPr>
        <w:t>El grupo de expertos también catalizó el desarrollo, para su utilización en el futuro por la</w:t>
      </w:r>
      <w:r w:rsidR="0054511A">
        <w:rPr>
          <w:lang w:val="es-ES"/>
        </w:rPr>
        <w:t> </w:t>
      </w:r>
      <w:r>
        <w:rPr>
          <w:lang w:val="es-ES"/>
        </w:rPr>
        <w:t xml:space="preserve">IPBES, de nuevas hipótesis </w:t>
      </w:r>
      <w:r w:rsidR="000E033B">
        <w:rPr>
          <w:lang w:val="es-ES"/>
        </w:rPr>
        <w:t>de factores</w:t>
      </w:r>
      <w:r>
        <w:rPr>
          <w:lang w:val="es-ES"/>
        </w:rPr>
        <w:t xml:space="preserve"> impulsores directos e indirectos, en colaboración con centros</w:t>
      </w:r>
      <w:r w:rsidR="006E1004">
        <w:rPr>
          <w:lang w:val="es-ES"/>
        </w:rPr>
        <w:t> </w:t>
      </w:r>
      <w:r>
        <w:rPr>
          <w:lang w:val="es-ES"/>
        </w:rPr>
        <w:t xml:space="preserve">de investigación sobre escenarios pertinentes, incluso en colaboración con investigadores que están desarrollando las vías socioeconómicas compartidas que están siendo impulsadas por el IPCC. Dado que se trata de un esfuerzo plurianual, se sugiere que esa labor continúe en el próximo programa de trabajo para que futuras evaluaciones de la IPBES (en particular la evaluación propuesta en relación con los nexos y una futura evaluación regional-mundial) se beneficien de ellas. </w:t>
      </w:r>
    </w:p>
    <w:p w14:paraId="01CDF1E9" w14:textId="77777777" w:rsidR="009E6502" w:rsidRPr="006361AF" w:rsidRDefault="009E6502" w:rsidP="00217D7E">
      <w:pPr>
        <w:pStyle w:val="Normalnumber"/>
        <w:numPr>
          <w:ilvl w:val="0"/>
          <w:numId w:val="5"/>
        </w:numPr>
        <w:tabs>
          <w:tab w:val="clear" w:pos="624"/>
        </w:tabs>
        <w:ind w:left="1247" w:firstLine="0"/>
        <w:rPr>
          <w:lang w:val="es-ES_tradnl"/>
        </w:rPr>
      </w:pPr>
      <w:r>
        <w:rPr>
          <w:lang w:val="es-ES"/>
        </w:rPr>
        <w:t xml:space="preserve">Se recomendó establecer un grupo de tareas en apoyo del producto previsto 4 b). </w:t>
      </w:r>
    </w:p>
    <w:p w14:paraId="54C61D8F" w14:textId="77777777" w:rsidR="009E6502" w:rsidRPr="006361AF" w:rsidRDefault="009E6502" w:rsidP="00217D7E">
      <w:pPr>
        <w:pStyle w:val="Normalnumber"/>
        <w:numPr>
          <w:ilvl w:val="0"/>
          <w:numId w:val="5"/>
        </w:numPr>
        <w:tabs>
          <w:tab w:val="clear" w:pos="624"/>
        </w:tabs>
        <w:ind w:left="1247" w:firstLine="0"/>
        <w:rPr>
          <w:lang w:val="es-ES_tradnl"/>
        </w:rPr>
      </w:pPr>
      <w:r>
        <w:rPr>
          <w:lang w:val="es-ES"/>
        </w:rPr>
        <w:t xml:space="preserve">En el documento IPBES/7/INF/11 se reproduce una reseña de la labor realizada desde el sexto período de sesiones del Plenario y las medidas futuras propuestas para 2019 y 2020. </w:t>
      </w:r>
    </w:p>
    <w:p w14:paraId="4F68CD58" w14:textId="77777777" w:rsidR="00AA7975" w:rsidRPr="00732E7C" w:rsidRDefault="007753E2" w:rsidP="005C34BE">
      <w:pPr>
        <w:pStyle w:val="CH3"/>
      </w:pPr>
      <w:r>
        <w:rPr>
          <w:lang w:val="es-ES"/>
        </w:rPr>
        <w:tab/>
      </w:r>
      <w:r w:rsidR="00691435">
        <w:rPr>
          <w:lang w:val="es-ES"/>
        </w:rPr>
        <w:t>2.</w:t>
      </w:r>
      <w:r w:rsidR="00691435">
        <w:rPr>
          <w:lang w:val="es-ES"/>
        </w:rPr>
        <w:tab/>
      </w:r>
      <w:r w:rsidR="00691435">
        <w:rPr>
          <w:bCs/>
          <w:lang w:val="es-ES"/>
        </w:rPr>
        <w:t>Supuestos y arreglos institucionales</w:t>
      </w:r>
    </w:p>
    <w:p w14:paraId="029A8403" w14:textId="77777777" w:rsidR="00AA7975" w:rsidRPr="006361AF" w:rsidRDefault="00AA7975" w:rsidP="00217D7E">
      <w:pPr>
        <w:pStyle w:val="Normalnumber"/>
        <w:numPr>
          <w:ilvl w:val="0"/>
          <w:numId w:val="5"/>
        </w:numPr>
        <w:tabs>
          <w:tab w:val="clear" w:pos="624"/>
        </w:tabs>
        <w:ind w:left="1247" w:firstLine="0"/>
        <w:rPr>
          <w:lang w:val="es-ES_tradnl"/>
        </w:rPr>
      </w:pPr>
      <w:r>
        <w:rPr>
          <w:lang w:val="es-ES"/>
        </w:rPr>
        <w:t>El Plenario establecerá un equipo de tareas sobre hipótesis y modelos. El proyecto de mandato del equipo de tareas, que figura en el documento IPBES/7/6, refleja las experiencias obtenidas con el primer programa de trabajo de la IPBES y se basa en el mandato del grupo de expertos sobre hipótesis y modelos creado por el Plenario en su cuarto período de sesiones</w:t>
      </w:r>
      <w:r w:rsidR="00586FAA" w:rsidRPr="00A63824">
        <w:rPr>
          <w:rStyle w:val="FootnoteReference"/>
          <w:lang w:val="es-ES" w:eastAsia="nb-NO"/>
        </w:rPr>
        <w:footnoteReference w:id="16"/>
      </w:r>
      <w:r>
        <w:rPr>
          <w:lang w:val="es-ES"/>
        </w:rPr>
        <w:t xml:space="preserve">. </w:t>
      </w:r>
    </w:p>
    <w:p w14:paraId="7CC70ECC" w14:textId="7F7FC92C" w:rsidR="00AA7975" w:rsidRPr="006361AF" w:rsidRDefault="00AA7975" w:rsidP="00217D7E">
      <w:pPr>
        <w:pStyle w:val="Normalnumber"/>
        <w:numPr>
          <w:ilvl w:val="0"/>
          <w:numId w:val="5"/>
        </w:numPr>
        <w:tabs>
          <w:tab w:val="clear" w:pos="624"/>
        </w:tabs>
        <w:ind w:left="1247" w:firstLine="0"/>
        <w:rPr>
          <w:lang w:val="es-ES_tradnl"/>
        </w:rPr>
      </w:pPr>
      <w:r>
        <w:rPr>
          <w:lang w:val="es-ES"/>
        </w:rPr>
        <w:t xml:space="preserve">La Secretaría </w:t>
      </w:r>
      <w:r w:rsidR="001D5CE4">
        <w:rPr>
          <w:lang w:val="es-ES"/>
        </w:rPr>
        <w:t>celebrará acuerdos con instituciones</w:t>
      </w:r>
      <w:r>
        <w:rPr>
          <w:lang w:val="es-ES"/>
        </w:rPr>
        <w:t xml:space="preserve"> asociadas para la prestación del apoyo técnico que apruebe la Mesa</w:t>
      </w:r>
      <w:r w:rsidR="003E0184">
        <w:rPr>
          <w:lang w:val="es-ES"/>
        </w:rPr>
        <w:t xml:space="preserve">, el cual </w:t>
      </w:r>
      <w:r>
        <w:rPr>
          <w:lang w:val="es-ES"/>
        </w:rPr>
        <w:t>será financiado en parte por la Plataforma y en parte mediante contribuciones en especie aprobadas por el Plenario.</w:t>
      </w:r>
    </w:p>
    <w:p w14:paraId="7B8FB2A7" w14:textId="77777777" w:rsidR="000B3182" w:rsidRPr="00A63824" w:rsidRDefault="007753E2" w:rsidP="005C34BE">
      <w:pPr>
        <w:pStyle w:val="CH3"/>
        <w:rPr>
          <w:rFonts w:eastAsia="SimSun"/>
        </w:rPr>
      </w:pPr>
      <w:r>
        <w:rPr>
          <w:lang w:val="es-ES"/>
        </w:rPr>
        <w:tab/>
      </w:r>
      <w:r w:rsidR="00691435">
        <w:rPr>
          <w:lang w:val="es-ES"/>
        </w:rPr>
        <w:t>3.</w:t>
      </w:r>
      <w:r w:rsidR="00691435">
        <w:rPr>
          <w:lang w:val="es-ES"/>
        </w:rPr>
        <w:tab/>
        <w:t xml:space="preserve">Reuniones e hitos </w:t>
      </w:r>
    </w:p>
    <w:p w14:paraId="52C59BE4" w14:textId="77777777" w:rsidR="000B3182" w:rsidRPr="006361AF" w:rsidRDefault="000B3182" w:rsidP="00217D7E">
      <w:pPr>
        <w:pStyle w:val="Normalnumber"/>
        <w:numPr>
          <w:ilvl w:val="0"/>
          <w:numId w:val="5"/>
        </w:numPr>
        <w:tabs>
          <w:tab w:val="clear" w:pos="624"/>
        </w:tabs>
        <w:ind w:left="1247" w:firstLine="0"/>
        <w:rPr>
          <w:lang w:val="es-ES_tradnl"/>
        </w:rPr>
      </w:pPr>
      <w:r>
        <w:rPr>
          <w:lang w:val="es-ES"/>
        </w:rPr>
        <w:t xml:space="preserve">A continuación figura una sinopsis de las medidas que han de adoptarse en relación con este producto previsto. En el cuadro A-1 del anexo del documento IPBES/7/4 figura un proyecto de presupuesto para las actividades relacionadas con este producto previsto. </w:t>
      </w:r>
    </w:p>
    <w:tbl>
      <w:tblPr>
        <w:tblW w:w="8352" w:type="dxa"/>
        <w:tblInd w:w="1248" w:type="dxa"/>
        <w:tblLayout w:type="fixed"/>
        <w:tblLook w:val="04A0" w:firstRow="1" w:lastRow="0" w:firstColumn="1" w:lastColumn="0" w:noHBand="0" w:noVBand="1"/>
      </w:tblPr>
      <w:tblGrid>
        <w:gridCol w:w="1152"/>
        <w:gridCol w:w="7200"/>
      </w:tblGrid>
      <w:tr w:rsidR="000B3182" w:rsidRPr="0093471E" w14:paraId="74D39912" w14:textId="77777777" w:rsidTr="00ED76A4">
        <w:trPr>
          <w:trHeight w:val="233"/>
          <w:tblHeader/>
        </w:trPr>
        <w:tc>
          <w:tcPr>
            <w:tcW w:w="1152" w:type="dxa"/>
            <w:tcBorders>
              <w:top w:val="single" w:sz="4" w:space="0" w:color="auto"/>
              <w:bottom w:val="single" w:sz="12" w:space="0" w:color="auto"/>
            </w:tcBorders>
            <w:shd w:val="clear" w:color="auto" w:fill="auto"/>
            <w:vAlign w:val="center"/>
          </w:tcPr>
          <w:p w14:paraId="01FA50F9" w14:textId="77777777" w:rsidR="000B3182" w:rsidRPr="0093471E" w:rsidDel="003F5A7B" w:rsidRDefault="000B3182" w:rsidP="00FC5E47">
            <w:pPr>
              <w:pStyle w:val="Normal-pool"/>
              <w:spacing w:before="20" w:after="20"/>
              <w:rPr>
                <w:rFonts w:eastAsia="SimSun"/>
                <w:sz w:val="18"/>
                <w:szCs w:val="18"/>
              </w:rPr>
            </w:pPr>
            <w:r w:rsidRPr="0093471E">
              <w:rPr>
                <w:i/>
                <w:iCs/>
                <w:sz w:val="18"/>
                <w:szCs w:val="18"/>
                <w:lang w:val="es-ES"/>
              </w:rPr>
              <w:t>Plazo</w:t>
            </w:r>
          </w:p>
        </w:tc>
        <w:tc>
          <w:tcPr>
            <w:tcW w:w="7200" w:type="dxa"/>
            <w:tcBorders>
              <w:top w:val="single" w:sz="4" w:space="0" w:color="auto"/>
              <w:bottom w:val="single" w:sz="12" w:space="0" w:color="auto"/>
            </w:tcBorders>
            <w:shd w:val="clear" w:color="auto" w:fill="auto"/>
            <w:vAlign w:val="center"/>
          </w:tcPr>
          <w:p w14:paraId="7B011D72" w14:textId="77777777" w:rsidR="000B3182" w:rsidRPr="0093471E" w:rsidDel="000C28ED" w:rsidRDefault="00230862" w:rsidP="00FC5E47">
            <w:pPr>
              <w:pStyle w:val="Normal-pool"/>
              <w:spacing w:before="20" w:after="20"/>
              <w:rPr>
                <w:rFonts w:eastAsia="SimSun"/>
                <w:sz w:val="18"/>
                <w:szCs w:val="18"/>
              </w:rPr>
            </w:pPr>
            <w:r w:rsidRPr="0093471E">
              <w:rPr>
                <w:i/>
                <w:iCs/>
                <w:sz w:val="18"/>
                <w:szCs w:val="18"/>
                <w:lang w:val="es-ES"/>
              </w:rPr>
              <w:t>Reuniones e hitos</w:t>
            </w:r>
          </w:p>
        </w:tc>
      </w:tr>
      <w:tr w:rsidR="000B3182" w:rsidRPr="0093471E" w14:paraId="60D9720F" w14:textId="77777777" w:rsidTr="00ED76A4">
        <w:trPr>
          <w:trHeight w:val="181"/>
        </w:trPr>
        <w:tc>
          <w:tcPr>
            <w:tcW w:w="1152" w:type="dxa"/>
            <w:vMerge w:val="restart"/>
            <w:tcBorders>
              <w:top w:val="single" w:sz="12" w:space="0" w:color="auto"/>
              <w:bottom w:val="single" w:sz="12" w:space="0" w:color="auto"/>
            </w:tcBorders>
            <w:shd w:val="clear" w:color="auto" w:fill="auto"/>
            <w:vAlign w:val="center"/>
          </w:tcPr>
          <w:p w14:paraId="74A445A4" w14:textId="77777777" w:rsidR="000B3182" w:rsidRPr="0093471E" w:rsidRDefault="00B90361" w:rsidP="00FC5E47">
            <w:pPr>
              <w:pStyle w:val="Normal-pool"/>
              <w:spacing w:before="20" w:after="20"/>
              <w:rPr>
                <w:rFonts w:eastAsia="SimSun"/>
                <w:sz w:val="18"/>
                <w:szCs w:val="18"/>
              </w:rPr>
            </w:pPr>
            <w:r w:rsidRPr="0093471E">
              <w:rPr>
                <w:sz w:val="18"/>
                <w:szCs w:val="18"/>
                <w:lang w:val="es-ES"/>
              </w:rPr>
              <w:t>Anualmente</w:t>
            </w:r>
          </w:p>
        </w:tc>
        <w:tc>
          <w:tcPr>
            <w:tcW w:w="7200" w:type="dxa"/>
            <w:tcBorders>
              <w:top w:val="single" w:sz="12" w:space="0" w:color="auto"/>
            </w:tcBorders>
            <w:shd w:val="clear" w:color="auto" w:fill="auto"/>
          </w:tcPr>
          <w:p w14:paraId="5D109964" w14:textId="77777777" w:rsidR="000B3182" w:rsidRPr="0093471E" w:rsidRDefault="000B3182" w:rsidP="00FC5E47">
            <w:pPr>
              <w:pStyle w:val="Normal-pool"/>
              <w:spacing w:before="20" w:after="20"/>
              <w:rPr>
                <w:rFonts w:eastAsia="SimSun"/>
                <w:sz w:val="18"/>
                <w:szCs w:val="18"/>
                <w:lang w:val="es-ES_tradnl"/>
              </w:rPr>
            </w:pPr>
            <w:r w:rsidRPr="0093471E">
              <w:rPr>
                <w:sz w:val="18"/>
                <w:szCs w:val="18"/>
                <w:lang w:val="es-ES"/>
              </w:rPr>
              <w:t>Una reunión del equipo de tareas</w:t>
            </w:r>
          </w:p>
        </w:tc>
      </w:tr>
      <w:tr w:rsidR="000B3182" w:rsidRPr="0093471E" w14:paraId="1E03BE19" w14:textId="77777777" w:rsidTr="00E9285A">
        <w:trPr>
          <w:trHeight w:val="235"/>
        </w:trPr>
        <w:tc>
          <w:tcPr>
            <w:tcW w:w="1152" w:type="dxa"/>
            <w:vMerge/>
            <w:tcBorders>
              <w:bottom w:val="single" w:sz="12" w:space="0" w:color="auto"/>
            </w:tcBorders>
            <w:shd w:val="clear" w:color="auto" w:fill="auto"/>
            <w:vAlign w:val="center"/>
          </w:tcPr>
          <w:p w14:paraId="10F99666" w14:textId="77777777" w:rsidR="000B3182" w:rsidRPr="0093471E" w:rsidRDefault="000B3182" w:rsidP="00FC5E47">
            <w:pPr>
              <w:pStyle w:val="Normal-pool"/>
              <w:spacing w:before="20" w:after="20"/>
              <w:rPr>
                <w:rFonts w:eastAsia="SimSun"/>
                <w:sz w:val="18"/>
                <w:szCs w:val="18"/>
                <w:lang w:val="es-ES_tradnl" w:eastAsia="zh-CN"/>
              </w:rPr>
            </w:pPr>
          </w:p>
        </w:tc>
        <w:tc>
          <w:tcPr>
            <w:tcW w:w="7200" w:type="dxa"/>
            <w:shd w:val="clear" w:color="auto" w:fill="auto"/>
          </w:tcPr>
          <w:p w14:paraId="520B7E93" w14:textId="77777777" w:rsidR="000B3182" w:rsidRPr="0093471E" w:rsidRDefault="0066196B" w:rsidP="00FC5E47">
            <w:pPr>
              <w:pStyle w:val="Normal-pool"/>
              <w:spacing w:before="20" w:after="20"/>
              <w:rPr>
                <w:rFonts w:eastAsia="SimSun"/>
                <w:sz w:val="18"/>
                <w:szCs w:val="18"/>
                <w:lang w:val="es-ES_tradnl"/>
              </w:rPr>
            </w:pPr>
            <w:r w:rsidRPr="0093471E">
              <w:rPr>
                <w:sz w:val="18"/>
                <w:szCs w:val="18"/>
                <w:lang w:val="es-ES"/>
              </w:rPr>
              <w:t xml:space="preserve">Actividades para apoyar el uso de hipótesis y modelos en las evaluaciones en curso de la IPBES y otros productos previstos de la Plataforma </w:t>
            </w:r>
          </w:p>
        </w:tc>
      </w:tr>
      <w:tr w:rsidR="0066196B" w:rsidRPr="0093471E" w14:paraId="74ED7DA7" w14:textId="77777777" w:rsidTr="00E9285A">
        <w:trPr>
          <w:trHeight w:val="523"/>
        </w:trPr>
        <w:tc>
          <w:tcPr>
            <w:tcW w:w="1152" w:type="dxa"/>
            <w:vMerge/>
            <w:tcBorders>
              <w:bottom w:val="single" w:sz="12" w:space="0" w:color="auto"/>
            </w:tcBorders>
            <w:shd w:val="clear" w:color="auto" w:fill="auto"/>
            <w:vAlign w:val="center"/>
          </w:tcPr>
          <w:p w14:paraId="10A07FC1" w14:textId="77777777" w:rsidR="0066196B" w:rsidRPr="0093471E" w:rsidRDefault="0066196B" w:rsidP="00FC5E47">
            <w:pPr>
              <w:pStyle w:val="Normal-pool"/>
              <w:spacing w:before="20" w:after="20"/>
              <w:rPr>
                <w:rFonts w:eastAsia="SimSun"/>
                <w:sz w:val="18"/>
                <w:szCs w:val="18"/>
                <w:lang w:val="es-ES_tradnl" w:eastAsia="zh-CN"/>
              </w:rPr>
            </w:pPr>
          </w:p>
        </w:tc>
        <w:tc>
          <w:tcPr>
            <w:tcW w:w="7200" w:type="dxa"/>
            <w:tcBorders>
              <w:bottom w:val="single" w:sz="12" w:space="0" w:color="auto"/>
            </w:tcBorders>
            <w:shd w:val="clear" w:color="auto" w:fill="auto"/>
          </w:tcPr>
          <w:p w14:paraId="7851CB34" w14:textId="77777777" w:rsidR="0066196B" w:rsidRPr="0093471E" w:rsidRDefault="0066196B" w:rsidP="00FC5E47">
            <w:pPr>
              <w:pStyle w:val="Normal-pool"/>
              <w:spacing w:before="20" w:after="20"/>
              <w:rPr>
                <w:rFonts w:eastAsia="SimSun"/>
                <w:sz w:val="18"/>
                <w:szCs w:val="18"/>
                <w:lang w:val="es-ES_tradnl"/>
              </w:rPr>
            </w:pPr>
            <w:r w:rsidRPr="0093471E">
              <w:rPr>
                <w:sz w:val="18"/>
                <w:szCs w:val="18"/>
                <w:lang w:val="es-ES"/>
              </w:rPr>
              <w:t>Actividades para catalizar la elaboración de hipótesis y modelos para la IPBES por la comunidad científica en general</w:t>
            </w:r>
          </w:p>
        </w:tc>
      </w:tr>
    </w:tbl>
    <w:p w14:paraId="55FA61EF" w14:textId="77777777" w:rsidR="00AA1FD9" w:rsidRPr="006361AF" w:rsidRDefault="007753E2" w:rsidP="00E01BDB">
      <w:pPr>
        <w:pStyle w:val="CH2"/>
        <w:spacing w:before="240"/>
        <w:rPr>
          <w:lang w:val="es-ES_tradnl"/>
        </w:rPr>
      </w:pPr>
      <w:r>
        <w:rPr>
          <w:lang w:val="es-ES"/>
        </w:rPr>
        <w:tab/>
      </w:r>
      <w:r w:rsidR="00CB3B9B">
        <w:rPr>
          <w:lang w:val="es-ES"/>
        </w:rPr>
        <w:t>C.</w:t>
      </w:r>
      <w:r w:rsidR="00CB3B9B">
        <w:rPr>
          <w:lang w:val="es-ES"/>
        </w:rPr>
        <w:tab/>
      </w:r>
      <w:r w:rsidR="00CB3B9B">
        <w:rPr>
          <w:bCs/>
          <w:lang w:val="es-ES"/>
        </w:rPr>
        <w:t>Producto previsto 4 c): avance en la labor relativa a las diversas conceptualizaciones de valores</w:t>
      </w:r>
    </w:p>
    <w:p w14:paraId="018BE7D1" w14:textId="77777777" w:rsidR="009E6502" w:rsidRPr="00732E7C" w:rsidRDefault="007753E2" w:rsidP="005C34BE">
      <w:pPr>
        <w:pStyle w:val="CH3"/>
        <w:rPr>
          <w:rFonts w:eastAsia="SimSun"/>
        </w:rPr>
      </w:pPr>
      <w:r>
        <w:rPr>
          <w:lang w:val="es-ES"/>
        </w:rPr>
        <w:tab/>
      </w:r>
      <w:r w:rsidR="00CB3B9B">
        <w:rPr>
          <w:lang w:val="es-ES"/>
        </w:rPr>
        <w:t>1.</w:t>
      </w:r>
      <w:r w:rsidR="00CB3B9B">
        <w:rPr>
          <w:lang w:val="es-ES"/>
        </w:rPr>
        <w:tab/>
      </w:r>
      <w:r w:rsidR="00CB3B9B">
        <w:rPr>
          <w:bCs/>
          <w:lang w:val="es-ES"/>
        </w:rPr>
        <w:t>Antec</w:t>
      </w:r>
      <w:r w:rsidR="00CB3B9B">
        <w:rPr>
          <w:lang w:val="es-ES"/>
        </w:rPr>
        <w:t>edentes</w:t>
      </w:r>
    </w:p>
    <w:p w14:paraId="6F48F62B" w14:textId="77777777" w:rsidR="009E6502" w:rsidRPr="006361AF" w:rsidRDefault="009E6502" w:rsidP="00217D7E">
      <w:pPr>
        <w:pStyle w:val="Normalnumber"/>
        <w:numPr>
          <w:ilvl w:val="0"/>
          <w:numId w:val="5"/>
        </w:numPr>
        <w:tabs>
          <w:tab w:val="clear" w:pos="624"/>
        </w:tabs>
        <w:ind w:left="1247" w:firstLine="0"/>
        <w:rPr>
          <w:lang w:val="es-ES_tradnl"/>
        </w:rPr>
      </w:pPr>
      <w:r>
        <w:rPr>
          <w:lang w:val="es-ES"/>
        </w:rPr>
        <w:t xml:space="preserve">El primer programa de trabajo incluyó el producto previsto 3 d) relativo a los instrumentos y las metodologías de apoyo normativo en relación con la diversa conceptualización de los valores de la diversidad biológica y los beneficios de la naturaleza para las personas, entre otros los servicios de los ecosistemas, sobre la base de una evaluación y una guía. </w:t>
      </w:r>
    </w:p>
    <w:p w14:paraId="5D18C722" w14:textId="2DA600CB" w:rsidR="009E6502" w:rsidRPr="006361AF" w:rsidRDefault="009E6502" w:rsidP="00217D7E">
      <w:pPr>
        <w:pStyle w:val="Normalnumber"/>
        <w:numPr>
          <w:ilvl w:val="0"/>
          <w:numId w:val="5"/>
        </w:numPr>
        <w:tabs>
          <w:tab w:val="clear" w:pos="624"/>
        </w:tabs>
        <w:ind w:left="1247" w:firstLine="0"/>
        <w:rPr>
          <w:lang w:val="es-ES_tradnl"/>
        </w:rPr>
      </w:pPr>
      <w:r>
        <w:rPr>
          <w:lang w:val="es-ES"/>
        </w:rPr>
        <w:t>El Plenario estableció un grupo de expertos para la preparación de la guía. La guía preliminar sobre la conceptualización de los valores de la diversidad biológica y los beneficios de la naturaleza para las personas</w:t>
      </w:r>
      <w:r w:rsidRPr="00A63824">
        <w:rPr>
          <w:rStyle w:val="FootnoteReference"/>
          <w:lang w:val="es-ES"/>
        </w:rPr>
        <w:footnoteReference w:id="17"/>
      </w:r>
      <w:r>
        <w:rPr>
          <w:lang w:val="es-ES"/>
        </w:rPr>
        <w:t xml:space="preserve"> fue acogida con beneplácito por el Plenario en la sección V de la decisión IPBES</w:t>
      </w:r>
      <w:r w:rsidR="0093471E">
        <w:rPr>
          <w:lang w:val="es-ES"/>
        </w:rPr>
        <w:noBreakHyphen/>
      </w:r>
      <w:r>
        <w:rPr>
          <w:lang w:val="es-ES"/>
        </w:rPr>
        <w:t xml:space="preserve">4/1. En la misma decisión, el Plenario encomendó el establecimiento de un grupo de expertos de menor tamaño encargado de garantizar, en colaboración con el Grupo multidisciplinario de expertos, que los valores y la valoración se incorporasen debidamente en todas las evaluaciones de la Plataforma. En el período comprendido entre los períodos de sesiones cuarto y sexto del Plenario, ese grupo llevó a cabo actividades para brindar apoyo a las evaluaciones regionales y la evaluación mundial de la diversidad biológica y los servicios de los ecosistemas y a la evaluación de la degradación y restauración de la tierra en la tarea de reflejar adecuadamente las diversas conceptualizaciones de los valores en esas evaluaciones. </w:t>
      </w:r>
    </w:p>
    <w:p w14:paraId="1A9C3DF1" w14:textId="1E29DAF0" w:rsidR="009E6502" w:rsidRPr="006361AF" w:rsidRDefault="009E6502" w:rsidP="00217D7E">
      <w:pPr>
        <w:pStyle w:val="Normalnumber"/>
        <w:numPr>
          <w:ilvl w:val="0"/>
          <w:numId w:val="5"/>
        </w:numPr>
        <w:tabs>
          <w:tab w:val="clear" w:pos="624"/>
        </w:tabs>
        <w:ind w:left="1247" w:firstLine="0"/>
        <w:rPr>
          <w:lang w:val="es-ES_tradnl"/>
        </w:rPr>
      </w:pPr>
      <w:r>
        <w:rPr>
          <w:lang w:val="es-ES"/>
        </w:rPr>
        <w:t>En la sección VI de la decisión IPBES-6/1, el Plenario aprobó la realización de una evaluación metodológica de la diversa conceptualización de los múltiples valores de la naturaleza y sus beneficios, incluidos la diversidad biológica y las funciones y los servicios de los ecosistemas. El grupo de expertos seleccionado para llevar a cabo la evaluación también ha asumido la tarea de prestar</w:t>
      </w:r>
      <w:r w:rsidR="00E01BDB">
        <w:rPr>
          <w:lang w:val="es-ES"/>
        </w:rPr>
        <w:t> </w:t>
      </w:r>
      <w:r>
        <w:rPr>
          <w:lang w:val="es-ES"/>
        </w:rPr>
        <w:t xml:space="preserve">apoyo a otras evaluaciones en curso en la tarea de reflejar adecuadamente las diversas conceptualizaciones de los valores en esas evaluaciones. </w:t>
      </w:r>
    </w:p>
    <w:p w14:paraId="7701112D" w14:textId="77777777" w:rsidR="009E6502" w:rsidRPr="006361AF" w:rsidRDefault="009E6502" w:rsidP="00217D7E">
      <w:pPr>
        <w:pStyle w:val="Normalnumber"/>
        <w:numPr>
          <w:ilvl w:val="0"/>
          <w:numId w:val="5"/>
        </w:numPr>
        <w:tabs>
          <w:tab w:val="clear" w:pos="624"/>
        </w:tabs>
        <w:ind w:left="1247" w:firstLine="0"/>
        <w:rPr>
          <w:lang w:val="es-ES_tradnl"/>
        </w:rPr>
      </w:pPr>
      <w:r>
        <w:rPr>
          <w:lang w:val="es-ES"/>
        </w:rPr>
        <w:t xml:space="preserve">En el documento IPBES/7/INF/6 figura una reseña de la labor realizada desde el sexto período de sesiones del Plenario. </w:t>
      </w:r>
    </w:p>
    <w:p w14:paraId="7EFCE840" w14:textId="77777777" w:rsidR="009E6502" w:rsidRPr="00732E7C" w:rsidRDefault="007753E2" w:rsidP="005C34BE">
      <w:pPr>
        <w:pStyle w:val="CH3"/>
      </w:pPr>
      <w:r>
        <w:rPr>
          <w:lang w:val="es-ES"/>
        </w:rPr>
        <w:tab/>
      </w:r>
      <w:r w:rsidR="00CB3B9B">
        <w:rPr>
          <w:lang w:val="es-ES"/>
        </w:rPr>
        <w:t>2.</w:t>
      </w:r>
      <w:r w:rsidR="00CB3B9B">
        <w:rPr>
          <w:lang w:val="es-ES"/>
        </w:rPr>
        <w:tab/>
      </w:r>
      <w:r w:rsidR="00CB3B9B">
        <w:rPr>
          <w:bCs/>
          <w:lang w:val="es-ES"/>
        </w:rPr>
        <w:t>Supuestos y arreglos institucionales</w:t>
      </w:r>
    </w:p>
    <w:p w14:paraId="4766D7A9" w14:textId="7478C267" w:rsidR="00AA7975" w:rsidRPr="006361AF" w:rsidRDefault="00FA5021" w:rsidP="00217D7E">
      <w:pPr>
        <w:pStyle w:val="Normalnumber"/>
        <w:numPr>
          <w:ilvl w:val="0"/>
          <w:numId w:val="5"/>
        </w:numPr>
        <w:tabs>
          <w:tab w:val="clear" w:pos="624"/>
        </w:tabs>
        <w:ind w:left="1247" w:firstLine="0"/>
        <w:rPr>
          <w:lang w:val="es-ES_tradnl"/>
        </w:rPr>
      </w:pPr>
      <w:r>
        <w:rPr>
          <w:lang w:val="es-ES"/>
        </w:rPr>
        <w:t>Durante la elaboración de la evaluación sobre los valores, el grupo de expertos sobre la evaluación también apoyará el producto previsto 4 c), promoviendo la labor relativa a las diversas conceptualizaciones de los valores. Una vez que se haya finalizado la evaluación sobre valores, el Plenario tal vez desee establecer un grupo de tareas en apoyo de apoyar ese producto previsto teniendo en cuenta las experiencias extraídas por el grupo de expertos establecido de conformidad con el párrafo 5 de la sección V de la decisión IPBES-4/1 durante la preparación del mandato del equipo de</w:t>
      </w:r>
      <w:r w:rsidR="00E01BDB">
        <w:rPr>
          <w:lang w:val="es-ES"/>
        </w:rPr>
        <w:t> </w:t>
      </w:r>
      <w:r>
        <w:rPr>
          <w:lang w:val="es-ES"/>
        </w:rPr>
        <w:t xml:space="preserve">tareas. </w:t>
      </w:r>
    </w:p>
    <w:p w14:paraId="4F6C4456" w14:textId="57C6E785" w:rsidR="00842024" w:rsidRPr="00A63824" w:rsidRDefault="007753E2" w:rsidP="005C34BE">
      <w:pPr>
        <w:pStyle w:val="CH3"/>
        <w:rPr>
          <w:rFonts w:eastAsia="SimSun"/>
        </w:rPr>
      </w:pPr>
      <w:r>
        <w:rPr>
          <w:lang w:val="es-ES"/>
        </w:rPr>
        <w:tab/>
      </w:r>
      <w:r w:rsidR="00CB3B9B">
        <w:rPr>
          <w:lang w:val="es-ES"/>
        </w:rPr>
        <w:t>3.</w:t>
      </w:r>
      <w:r w:rsidR="00CB3B9B">
        <w:rPr>
          <w:lang w:val="es-ES"/>
        </w:rPr>
        <w:tab/>
      </w:r>
      <w:r w:rsidR="00CB3B9B">
        <w:rPr>
          <w:bCs/>
          <w:lang w:val="es-ES"/>
        </w:rPr>
        <w:t>Reuniones e hitos</w:t>
      </w:r>
    </w:p>
    <w:p w14:paraId="07867E33" w14:textId="77777777" w:rsidR="00842024" w:rsidRPr="006361AF" w:rsidRDefault="00842024" w:rsidP="009E6502">
      <w:pPr>
        <w:pStyle w:val="Normalnumber"/>
        <w:numPr>
          <w:ilvl w:val="0"/>
          <w:numId w:val="5"/>
        </w:numPr>
        <w:tabs>
          <w:tab w:val="left" w:pos="1871"/>
          <w:tab w:val="left" w:pos="2495"/>
        </w:tabs>
        <w:ind w:left="1247" w:firstLine="0"/>
        <w:rPr>
          <w:lang w:val="es-ES_tradnl"/>
        </w:rPr>
      </w:pPr>
      <w:r>
        <w:rPr>
          <w:lang w:val="es-ES"/>
        </w:rPr>
        <w:t xml:space="preserve">A continuación figura una sinopsis de las medidas que han de adoptarse en relación con este producto previsto. En el cuadro 1 del anexo del documento IPBES/7/4 figura un proyecto de presupuesto para las actividades relacionadas con el producto previsto. </w:t>
      </w:r>
    </w:p>
    <w:tbl>
      <w:tblPr>
        <w:tblW w:w="8352" w:type="dxa"/>
        <w:tblInd w:w="1248" w:type="dxa"/>
        <w:tblLayout w:type="fixed"/>
        <w:tblLook w:val="04A0" w:firstRow="1" w:lastRow="0" w:firstColumn="1" w:lastColumn="0" w:noHBand="0" w:noVBand="1"/>
      </w:tblPr>
      <w:tblGrid>
        <w:gridCol w:w="2296"/>
        <w:gridCol w:w="6056"/>
      </w:tblGrid>
      <w:tr w:rsidR="00FA542E" w:rsidRPr="006E1004" w14:paraId="759FAC7E" w14:textId="77777777" w:rsidTr="00F363AB">
        <w:trPr>
          <w:trHeight w:val="233"/>
          <w:tblHeader/>
        </w:trPr>
        <w:tc>
          <w:tcPr>
            <w:tcW w:w="2296" w:type="dxa"/>
            <w:tcBorders>
              <w:top w:val="single" w:sz="4" w:space="0" w:color="auto"/>
              <w:bottom w:val="single" w:sz="12" w:space="0" w:color="auto"/>
            </w:tcBorders>
            <w:shd w:val="clear" w:color="auto" w:fill="auto"/>
            <w:vAlign w:val="center"/>
          </w:tcPr>
          <w:p w14:paraId="4DA40DAB" w14:textId="77777777" w:rsidR="00FA542E" w:rsidRPr="006E1004" w:rsidDel="003F5A7B" w:rsidRDefault="00FA542E" w:rsidP="00F363AB">
            <w:pPr>
              <w:pStyle w:val="Normal-pool"/>
              <w:spacing w:before="20" w:after="20"/>
              <w:rPr>
                <w:rFonts w:eastAsia="SimSun"/>
                <w:sz w:val="18"/>
                <w:szCs w:val="18"/>
              </w:rPr>
            </w:pPr>
            <w:r w:rsidRPr="006E1004">
              <w:rPr>
                <w:i/>
                <w:iCs/>
                <w:sz w:val="18"/>
                <w:szCs w:val="18"/>
                <w:lang w:val="es-ES"/>
              </w:rPr>
              <w:t>Plazo</w:t>
            </w:r>
          </w:p>
        </w:tc>
        <w:tc>
          <w:tcPr>
            <w:tcW w:w="6056" w:type="dxa"/>
            <w:tcBorders>
              <w:top w:val="single" w:sz="4" w:space="0" w:color="auto"/>
              <w:bottom w:val="single" w:sz="12" w:space="0" w:color="auto"/>
            </w:tcBorders>
            <w:shd w:val="clear" w:color="auto" w:fill="auto"/>
            <w:vAlign w:val="center"/>
          </w:tcPr>
          <w:p w14:paraId="29AD3A3B" w14:textId="77777777" w:rsidR="00FA542E" w:rsidRPr="006E1004" w:rsidDel="000C28ED" w:rsidRDefault="00FA542E" w:rsidP="00F363AB">
            <w:pPr>
              <w:pStyle w:val="Normal-pool"/>
              <w:spacing w:before="20" w:after="20"/>
              <w:rPr>
                <w:rFonts w:eastAsia="SimSun"/>
                <w:sz w:val="18"/>
                <w:szCs w:val="18"/>
              </w:rPr>
            </w:pPr>
            <w:r w:rsidRPr="006E1004">
              <w:rPr>
                <w:i/>
                <w:iCs/>
                <w:sz w:val="18"/>
                <w:szCs w:val="18"/>
                <w:lang w:val="es-ES"/>
              </w:rPr>
              <w:t>Reuniones e hitos</w:t>
            </w:r>
          </w:p>
        </w:tc>
      </w:tr>
      <w:tr w:rsidR="00FA542E" w:rsidRPr="006E1004" w14:paraId="42F33E11" w14:textId="77777777" w:rsidTr="00F363AB">
        <w:trPr>
          <w:trHeight w:val="181"/>
        </w:trPr>
        <w:tc>
          <w:tcPr>
            <w:tcW w:w="2296" w:type="dxa"/>
            <w:vMerge w:val="restart"/>
            <w:tcBorders>
              <w:top w:val="single" w:sz="12" w:space="0" w:color="auto"/>
              <w:bottom w:val="single" w:sz="12" w:space="0" w:color="auto"/>
            </w:tcBorders>
            <w:shd w:val="clear" w:color="auto" w:fill="auto"/>
            <w:vAlign w:val="center"/>
          </w:tcPr>
          <w:p w14:paraId="09A94D6C" w14:textId="77777777" w:rsidR="00FA542E" w:rsidRPr="006E1004" w:rsidRDefault="00FA542E" w:rsidP="00F363AB">
            <w:pPr>
              <w:pStyle w:val="Normal-pool"/>
              <w:spacing w:before="20" w:after="20"/>
              <w:rPr>
                <w:rFonts w:eastAsia="SimSun"/>
                <w:sz w:val="18"/>
                <w:szCs w:val="18"/>
                <w:lang w:val="es-ES_tradnl"/>
              </w:rPr>
            </w:pPr>
            <w:r w:rsidRPr="006E1004">
              <w:rPr>
                <w:sz w:val="18"/>
                <w:szCs w:val="18"/>
                <w:lang w:val="es-ES"/>
              </w:rPr>
              <w:t>Anualmente después de que se haya completado la evaluación de los valores</w:t>
            </w:r>
          </w:p>
        </w:tc>
        <w:tc>
          <w:tcPr>
            <w:tcW w:w="6056" w:type="dxa"/>
            <w:tcBorders>
              <w:top w:val="single" w:sz="12" w:space="0" w:color="auto"/>
            </w:tcBorders>
            <w:shd w:val="clear" w:color="auto" w:fill="auto"/>
          </w:tcPr>
          <w:p w14:paraId="3F0BCE39" w14:textId="77777777" w:rsidR="00FA542E" w:rsidRPr="006E1004" w:rsidRDefault="00FA542E" w:rsidP="00F363AB">
            <w:pPr>
              <w:pStyle w:val="Normal-pool"/>
              <w:spacing w:before="20" w:after="20"/>
              <w:rPr>
                <w:rFonts w:eastAsia="SimSun"/>
                <w:sz w:val="18"/>
                <w:szCs w:val="18"/>
                <w:lang w:val="es-ES_tradnl"/>
              </w:rPr>
            </w:pPr>
            <w:r w:rsidRPr="006E1004">
              <w:rPr>
                <w:sz w:val="18"/>
                <w:szCs w:val="18"/>
                <w:lang w:val="es-ES"/>
              </w:rPr>
              <w:t>Una reunión del equipo de tareas</w:t>
            </w:r>
          </w:p>
        </w:tc>
      </w:tr>
      <w:tr w:rsidR="00FA542E" w:rsidRPr="006E1004" w14:paraId="171179DE" w14:textId="77777777" w:rsidTr="00F363AB">
        <w:trPr>
          <w:trHeight w:val="235"/>
        </w:trPr>
        <w:tc>
          <w:tcPr>
            <w:tcW w:w="2296" w:type="dxa"/>
            <w:vMerge/>
            <w:tcBorders>
              <w:bottom w:val="single" w:sz="12" w:space="0" w:color="auto"/>
            </w:tcBorders>
            <w:shd w:val="clear" w:color="auto" w:fill="auto"/>
            <w:vAlign w:val="center"/>
          </w:tcPr>
          <w:p w14:paraId="08A0F875" w14:textId="77777777" w:rsidR="00FA542E" w:rsidRPr="006E1004" w:rsidRDefault="00FA542E" w:rsidP="00F363AB">
            <w:pPr>
              <w:pStyle w:val="Normal-pool"/>
              <w:spacing w:before="20" w:after="20"/>
              <w:rPr>
                <w:rFonts w:eastAsia="SimSun"/>
                <w:sz w:val="18"/>
                <w:szCs w:val="18"/>
                <w:lang w:val="es-ES_tradnl" w:eastAsia="zh-CN"/>
              </w:rPr>
            </w:pPr>
          </w:p>
        </w:tc>
        <w:tc>
          <w:tcPr>
            <w:tcW w:w="6056" w:type="dxa"/>
            <w:shd w:val="clear" w:color="auto" w:fill="auto"/>
          </w:tcPr>
          <w:p w14:paraId="226851A9" w14:textId="6FE59887" w:rsidR="00FA542E" w:rsidRPr="006E1004" w:rsidRDefault="00FA542E" w:rsidP="00F363AB">
            <w:pPr>
              <w:pStyle w:val="Normal-pool"/>
              <w:spacing w:before="20" w:after="20"/>
              <w:rPr>
                <w:rFonts w:eastAsia="SimSun"/>
                <w:sz w:val="18"/>
                <w:szCs w:val="18"/>
                <w:lang w:val="es-ES_tradnl"/>
              </w:rPr>
            </w:pPr>
            <w:r w:rsidRPr="006E1004">
              <w:rPr>
                <w:sz w:val="18"/>
                <w:szCs w:val="18"/>
                <w:lang w:val="es-ES"/>
              </w:rPr>
              <w:t xml:space="preserve">Actividades para catalizar la elaboración de métodos </w:t>
            </w:r>
            <w:r w:rsidR="003E0184" w:rsidRPr="006E1004">
              <w:rPr>
                <w:sz w:val="18"/>
                <w:szCs w:val="18"/>
                <w:lang w:val="es-ES"/>
              </w:rPr>
              <w:t xml:space="preserve">dirigidos a </w:t>
            </w:r>
            <w:r w:rsidRPr="006E1004">
              <w:rPr>
                <w:sz w:val="18"/>
                <w:szCs w:val="18"/>
                <w:lang w:val="es-ES"/>
              </w:rPr>
              <w:t>abordar la conceptualización de los múltiples valores</w:t>
            </w:r>
          </w:p>
        </w:tc>
      </w:tr>
      <w:tr w:rsidR="00FA542E" w:rsidRPr="006E1004" w14:paraId="68B0C72D" w14:textId="77777777" w:rsidTr="00F363AB">
        <w:trPr>
          <w:trHeight w:val="233"/>
        </w:trPr>
        <w:tc>
          <w:tcPr>
            <w:tcW w:w="2296" w:type="dxa"/>
            <w:vMerge/>
            <w:tcBorders>
              <w:bottom w:val="single" w:sz="12" w:space="0" w:color="auto"/>
            </w:tcBorders>
            <w:shd w:val="clear" w:color="auto" w:fill="auto"/>
            <w:vAlign w:val="center"/>
          </w:tcPr>
          <w:p w14:paraId="147CF957" w14:textId="77777777" w:rsidR="00FA542E" w:rsidRPr="006E1004" w:rsidRDefault="00FA542E" w:rsidP="00F363AB">
            <w:pPr>
              <w:pStyle w:val="Normal-pool"/>
              <w:spacing w:before="20" w:after="20"/>
              <w:rPr>
                <w:rFonts w:eastAsia="SimSun"/>
                <w:sz w:val="18"/>
                <w:szCs w:val="18"/>
                <w:lang w:val="es-ES_tradnl" w:eastAsia="zh-CN"/>
              </w:rPr>
            </w:pPr>
          </w:p>
        </w:tc>
        <w:tc>
          <w:tcPr>
            <w:tcW w:w="6056" w:type="dxa"/>
            <w:shd w:val="clear" w:color="auto" w:fill="auto"/>
          </w:tcPr>
          <w:p w14:paraId="19764138" w14:textId="3E8121DC" w:rsidR="00FA542E" w:rsidRPr="006E1004" w:rsidRDefault="00FA542E" w:rsidP="00F363AB">
            <w:pPr>
              <w:pStyle w:val="Normal-pool"/>
              <w:spacing w:before="20" w:after="20"/>
              <w:rPr>
                <w:rFonts w:eastAsia="SimSun"/>
                <w:sz w:val="18"/>
                <w:szCs w:val="18"/>
                <w:lang w:val="es-ES_tradnl"/>
              </w:rPr>
            </w:pPr>
            <w:r w:rsidRPr="006E1004">
              <w:rPr>
                <w:sz w:val="18"/>
                <w:szCs w:val="18"/>
                <w:lang w:val="es-ES"/>
              </w:rPr>
              <w:t>Actividades en apoyo de otros productos previstos</w:t>
            </w:r>
            <w:r w:rsidR="003E0184" w:rsidRPr="006E1004">
              <w:rPr>
                <w:sz w:val="18"/>
                <w:szCs w:val="18"/>
                <w:lang w:val="es-ES"/>
              </w:rPr>
              <w:t xml:space="preserve">, concretamente </w:t>
            </w:r>
            <w:r w:rsidRPr="006E1004">
              <w:rPr>
                <w:sz w:val="18"/>
                <w:szCs w:val="18"/>
                <w:lang w:val="es-ES"/>
              </w:rPr>
              <w:t>las evaluaciones</w:t>
            </w:r>
          </w:p>
        </w:tc>
      </w:tr>
      <w:tr w:rsidR="00FA542E" w:rsidRPr="006E1004" w14:paraId="78039560" w14:textId="77777777" w:rsidTr="00F363AB">
        <w:trPr>
          <w:trHeight w:val="233"/>
        </w:trPr>
        <w:tc>
          <w:tcPr>
            <w:tcW w:w="2296" w:type="dxa"/>
            <w:vMerge/>
            <w:tcBorders>
              <w:bottom w:val="single" w:sz="12" w:space="0" w:color="auto"/>
            </w:tcBorders>
            <w:shd w:val="clear" w:color="auto" w:fill="auto"/>
            <w:vAlign w:val="center"/>
          </w:tcPr>
          <w:p w14:paraId="60D5EE46" w14:textId="77777777" w:rsidR="00FA542E" w:rsidRPr="006E1004" w:rsidRDefault="00FA542E" w:rsidP="00F363AB">
            <w:pPr>
              <w:pStyle w:val="Normal-pool"/>
              <w:spacing w:before="20" w:after="20"/>
              <w:rPr>
                <w:rFonts w:eastAsia="SimSun"/>
                <w:sz w:val="18"/>
                <w:szCs w:val="18"/>
                <w:lang w:val="es-ES_tradnl" w:eastAsia="zh-CN"/>
              </w:rPr>
            </w:pPr>
          </w:p>
        </w:tc>
        <w:tc>
          <w:tcPr>
            <w:tcW w:w="6056" w:type="dxa"/>
            <w:tcBorders>
              <w:bottom w:val="single" w:sz="12" w:space="0" w:color="auto"/>
            </w:tcBorders>
            <w:shd w:val="clear" w:color="auto" w:fill="auto"/>
          </w:tcPr>
          <w:p w14:paraId="0A22E6F9" w14:textId="21EA7CBF" w:rsidR="00FA542E" w:rsidRPr="006E1004" w:rsidRDefault="00FA542E" w:rsidP="00F363AB">
            <w:pPr>
              <w:pStyle w:val="Normal-pool"/>
              <w:spacing w:before="20" w:after="20"/>
              <w:rPr>
                <w:rFonts w:eastAsia="SimSun"/>
                <w:sz w:val="18"/>
                <w:szCs w:val="18"/>
                <w:lang w:val="es-ES_tradnl"/>
              </w:rPr>
            </w:pPr>
            <w:r w:rsidRPr="006E1004">
              <w:rPr>
                <w:sz w:val="18"/>
                <w:szCs w:val="18"/>
                <w:lang w:val="es-ES"/>
              </w:rPr>
              <w:t>Actividades relacionadas con la puesta en práctica de l</w:t>
            </w:r>
            <w:r w:rsidR="003E0184" w:rsidRPr="006E1004">
              <w:rPr>
                <w:sz w:val="18"/>
                <w:szCs w:val="18"/>
                <w:lang w:val="es-ES"/>
              </w:rPr>
              <w:t>a labor terminada en relación co</w:t>
            </w:r>
            <w:r w:rsidRPr="006E1004">
              <w:rPr>
                <w:sz w:val="18"/>
                <w:szCs w:val="18"/>
                <w:lang w:val="es-ES"/>
              </w:rPr>
              <w:t>n los valores</w:t>
            </w:r>
          </w:p>
        </w:tc>
      </w:tr>
    </w:tbl>
    <w:p w14:paraId="51931856" w14:textId="37846E75" w:rsidR="00C84285" w:rsidRPr="00BE7E86" w:rsidRDefault="001C1E89" w:rsidP="00C84285">
      <w:pPr>
        <w:pStyle w:val="CH1"/>
        <w:rPr>
          <w:lang w:val="es-ES"/>
        </w:rPr>
      </w:pPr>
      <w:r>
        <w:rPr>
          <w:lang w:val="es-ES"/>
        </w:rPr>
        <w:tab/>
      </w:r>
      <w:r w:rsidR="00C84285">
        <w:rPr>
          <w:lang w:val="es-ES"/>
        </w:rPr>
        <w:t>V.</w:t>
      </w:r>
      <w:r w:rsidR="00C84285">
        <w:rPr>
          <w:lang w:val="es-ES"/>
        </w:rPr>
        <w:tab/>
      </w:r>
      <w:r w:rsidR="00C84285">
        <w:rPr>
          <w:bCs/>
          <w:lang w:val="es-ES"/>
        </w:rPr>
        <w:t>Objetivo 5: Comunicación y participación</w:t>
      </w:r>
      <w:r w:rsidR="00C84285">
        <w:rPr>
          <w:lang w:val="es-ES"/>
        </w:rPr>
        <w:t xml:space="preserve"> </w:t>
      </w:r>
    </w:p>
    <w:p w14:paraId="13197682" w14:textId="77777777" w:rsidR="00C84285" w:rsidRPr="00BE7E86" w:rsidRDefault="00C84285" w:rsidP="00C84285">
      <w:pPr>
        <w:pStyle w:val="CH2"/>
        <w:rPr>
          <w:lang w:val="es-ES"/>
        </w:rPr>
      </w:pPr>
      <w:r>
        <w:rPr>
          <w:lang w:val="es-ES"/>
        </w:rPr>
        <w:tab/>
        <w:t>A.</w:t>
      </w:r>
      <w:r>
        <w:rPr>
          <w:lang w:val="es-ES"/>
        </w:rPr>
        <w:tab/>
      </w:r>
      <w:r>
        <w:rPr>
          <w:bCs/>
          <w:lang w:val="es-ES"/>
        </w:rPr>
        <w:t>Producto previsto 5 a): Fortalecimiento de la comunicación</w:t>
      </w:r>
    </w:p>
    <w:p w14:paraId="52E415D8" w14:textId="77777777" w:rsidR="00C84285" w:rsidRPr="00A63824" w:rsidRDefault="00C84285" w:rsidP="00C84285">
      <w:pPr>
        <w:pStyle w:val="CH3"/>
        <w:rPr>
          <w:rFonts w:eastAsia="SimSun"/>
        </w:rPr>
      </w:pPr>
      <w:r>
        <w:rPr>
          <w:lang w:val="es-ES"/>
        </w:rPr>
        <w:tab/>
        <w:t>1.</w:t>
      </w:r>
      <w:r>
        <w:rPr>
          <w:lang w:val="es-ES"/>
        </w:rPr>
        <w:tab/>
      </w:r>
      <w:r>
        <w:rPr>
          <w:bCs/>
          <w:lang w:val="es-ES"/>
        </w:rPr>
        <w:t>Antecedentes</w:t>
      </w:r>
    </w:p>
    <w:p w14:paraId="1326D74A" w14:textId="5F8F96CC" w:rsidR="00C84285" w:rsidRPr="00BE7E86" w:rsidRDefault="00C84285" w:rsidP="001C1E89">
      <w:pPr>
        <w:pStyle w:val="Normalnumber"/>
        <w:numPr>
          <w:ilvl w:val="0"/>
          <w:numId w:val="5"/>
        </w:numPr>
        <w:tabs>
          <w:tab w:val="left" w:pos="1871"/>
          <w:tab w:val="left" w:pos="2495"/>
        </w:tabs>
        <w:ind w:left="1247" w:firstLine="0"/>
        <w:rPr>
          <w:lang w:val="es-ES"/>
        </w:rPr>
      </w:pPr>
      <w:r>
        <w:rPr>
          <w:lang w:val="es-ES"/>
        </w:rPr>
        <w:t>El primer programa de trabajo incluyó el producto previsto 4 d): “Conjunto de estrategias, productos y procesos actividades de comunicación, divulgación y participación”.</w:t>
      </w:r>
    </w:p>
    <w:p w14:paraId="541DE0DD" w14:textId="77777777" w:rsidR="00C84285" w:rsidRPr="00BE7E86" w:rsidRDefault="00C84285" w:rsidP="001C1E89">
      <w:pPr>
        <w:pStyle w:val="Normalnumber"/>
        <w:numPr>
          <w:ilvl w:val="0"/>
          <w:numId w:val="5"/>
        </w:numPr>
        <w:tabs>
          <w:tab w:val="left" w:pos="1871"/>
          <w:tab w:val="left" w:pos="2495"/>
        </w:tabs>
        <w:ind w:left="1247" w:firstLine="0"/>
        <w:rPr>
          <w:lang w:val="es-ES"/>
        </w:rPr>
      </w:pPr>
      <w:r>
        <w:rPr>
          <w:lang w:val="es-ES"/>
        </w:rPr>
        <w:t>Durante la ejecución del primer programa de trabajo, el Plenario, en la decisión IPBES-3/4, aprobó una estrategia de comunicación y divulgación</w:t>
      </w:r>
      <w:r w:rsidRPr="00A63824">
        <w:rPr>
          <w:rStyle w:val="FootnoteReference"/>
          <w:kern w:val="14"/>
          <w:lang w:val="es-ES" w:eastAsia="ja-JP"/>
        </w:rPr>
        <w:footnoteReference w:id="18"/>
      </w:r>
      <w:r>
        <w:rPr>
          <w:lang w:val="es-ES"/>
        </w:rPr>
        <w:t>, que fue aplicada por la Secretaría, bajo la orientación del Grupo y la Mesa en el marco de sus respectivos mandatos. La aplicación giró en torno a dos esferas principales: las comunicaciones cotidianas y la presentación de los informes de evaluación.</w:t>
      </w:r>
    </w:p>
    <w:p w14:paraId="194853DB" w14:textId="77777777" w:rsidR="00C84285" w:rsidRPr="00BE7E86" w:rsidRDefault="00C84285" w:rsidP="001C1E89">
      <w:pPr>
        <w:pStyle w:val="Normalnumber"/>
        <w:numPr>
          <w:ilvl w:val="0"/>
          <w:numId w:val="5"/>
        </w:numPr>
        <w:tabs>
          <w:tab w:val="left" w:pos="1871"/>
          <w:tab w:val="left" w:pos="2495"/>
        </w:tabs>
        <w:ind w:left="1247" w:firstLine="0"/>
        <w:rPr>
          <w:lang w:val="es-ES"/>
        </w:rPr>
      </w:pPr>
      <w:r>
        <w:rPr>
          <w:lang w:val="es-ES"/>
        </w:rPr>
        <w:t xml:space="preserve">Con respecto a las comunicaciones cotidianas, el establecimiento y la actualización de la identidad visual, la política sobre el uso del logotipo y la guía de estilo de la IPBES facilitaron la preparación de una amplia gama de materiales de divulgación y otros productos electrónicos y audiovisuales relacionados con la marca. Estos materiales, respaldados por el creciente número de productos de comunicación disponibles en los seis idiomas oficiales de las Naciones Unidas, fueron enviados por la Secretaría para apoyar tanto las actividades y la divulgación de la IPBES en todas las regiones, en particular las actividades de aceptación, como la participación de los interesados. Se elaboró una estrategia amplia e integrada para las redes sociales, centrada en los destinatarios prioritarios identificados por el Plenario, que se aplicó con todo éxito en cinco de las principales plataformas de redes sociales. Además de renovar el diseño del sitio web de la IPBES para que fuera más moderno y fácil de usar, la Secretaría también diseñó y puso en funcionamiento una base de datos para el seguimiento de los efectos del acceso público, que recopila ejemplos de los efectos de la promoción de la IPBES en todas las escalas, regiones y todos los productos previstos del programa de trabajo. Se asignó prioridad también a las relaciones con los medios de comunicación, gracias a la creación y el mantenimiento de una amplia base de datos sobre los contactos de la IPBES con esos medios. Se introdujeron también instrumentos de tecnología de la información y las comunicaciones, entre ellos, plataformas de colaboración electrónicas, conferencias en la web, servicios de videoconferencias, aplicaciones relacionadas con actividades y servicios de intercambio de archivos, a los que se prestó apoyo para aumentar la eficiencia de la labor de la Secretaría, los equipos de tareas y los grupos de expertos. </w:t>
      </w:r>
    </w:p>
    <w:p w14:paraId="06C5BCAC" w14:textId="77777777" w:rsidR="00C84285" w:rsidRPr="00BE7E86" w:rsidRDefault="00C84285" w:rsidP="001C1E89">
      <w:pPr>
        <w:pStyle w:val="Normalnumber"/>
        <w:numPr>
          <w:ilvl w:val="0"/>
          <w:numId w:val="5"/>
        </w:numPr>
        <w:tabs>
          <w:tab w:val="left" w:pos="1871"/>
          <w:tab w:val="left" w:pos="2495"/>
        </w:tabs>
        <w:ind w:left="1247" w:firstLine="0"/>
        <w:rPr>
          <w:lang w:val="es-ES"/>
        </w:rPr>
      </w:pPr>
      <w:r>
        <w:rPr>
          <w:lang w:val="es-ES"/>
        </w:rPr>
        <w:t xml:space="preserve">Para aumentar el alcance y la aceptación de los informes de evaluación presentados y aprovechar las experiencias adquiridas durante la presentación con éxito de informes sobre la polinización e informes sobre situaciones hipotéticas, la Secretaría estableció una estrategia detallada de comunicación y divulgación en tres etapas para todos esos informes, que abarcaba las actividades y los recursos específicos de cada etapa. La posterior presentación de los cuatro informes regionales de evaluación y del informe sobre la degradación y restauración de tierras en 2018 logró un aumento exponencial de la difusión tanto en los medios sociales como en los tradicionales, ya que más de cien actividades de aceptación posteriores celebradas en África, las Américas, Asia y el Pacífico, y Europa y Asia Central promovieron el interés en esos informes y su aceptación. Un elemento clave para el éxito de la estrategia ha sido el establecimiento de estrechas relaciones de colaboración con las dependencias de comunicaciones de los asociados de la IPBES y las organizaciones interesadas en ella, lo que, a su vez, ha facilitado el aumento del envío de mensajes de la IPBES. </w:t>
      </w:r>
    </w:p>
    <w:p w14:paraId="6AE3CA3B" w14:textId="62563E4A" w:rsidR="00C84285" w:rsidRPr="00BE7E86" w:rsidRDefault="00C84285" w:rsidP="001C1E89">
      <w:pPr>
        <w:pStyle w:val="Normalnumber"/>
        <w:numPr>
          <w:ilvl w:val="0"/>
          <w:numId w:val="5"/>
        </w:numPr>
        <w:tabs>
          <w:tab w:val="left" w:pos="1871"/>
          <w:tab w:val="left" w:pos="2495"/>
        </w:tabs>
        <w:ind w:left="1247" w:firstLine="0"/>
        <w:rPr>
          <w:lang w:val="es-ES"/>
        </w:rPr>
      </w:pPr>
      <w:r>
        <w:rPr>
          <w:lang w:val="es-ES"/>
        </w:rPr>
        <w:t>En el producto previsto 5 a) se incluirán actividades para continuar aplicando la estrategia de comunicación y divulgación de la Plataforma. Entre las esferas de atención específicas que habrá que mejorar figurarán la concienciación con respecto a todas las funciones de la IPBES</w:t>
      </w:r>
      <w:r w:rsidR="00B1021D">
        <w:rPr>
          <w:lang w:val="es-ES"/>
        </w:rPr>
        <w:t>,</w:t>
      </w:r>
      <w:r>
        <w:rPr>
          <w:lang w:val="es-ES"/>
        </w:rPr>
        <w:t xml:space="preserve"> un mayor uso, cuando sea factible, de los seis idiomas oficiales de las Naciones Unidas y una colaboración más estrecha con los asociados y las organizaciones interesadas para comunicar elementos de productos de la IPBES en formatos más orientados a destinatarios específicos. </w:t>
      </w:r>
    </w:p>
    <w:p w14:paraId="3FD218AB" w14:textId="77777777" w:rsidR="00C84285" w:rsidRPr="00BE7E86" w:rsidRDefault="00C84285" w:rsidP="001C1E89">
      <w:pPr>
        <w:pStyle w:val="Normalnumber"/>
        <w:numPr>
          <w:ilvl w:val="0"/>
          <w:numId w:val="5"/>
        </w:numPr>
        <w:tabs>
          <w:tab w:val="left" w:pos="1871"/>
          <w:tab w:val="left" w:pos="2495"/>
        </w:tabs>
        <w:ind w:left="1247" w:firstLine="0"/>
        <w:rPr>
          <w:lang w:val="es-ES"/>
        </w:rPr>
      </w:pPr>
      <w:r>
        <w:rPr>
          <w:lang w:val="es-ES"/>
        </w:rPr>
        <w:t xml:space="preserve">En el documento IPBES/7/INF/14 se reproducen una reseña de la labor realizada desde el sexto período de sesiones del Plenario y las próximas medidas propuestas para 2019 y 2020. </w:t>
      </w:r>
    </w:p>
    <w:p w14:paraId="7A092CDD" w14:textId="77777777" w:rsidR="00C84285" w:rsidRPr="00732E7C" w:rsidRDefault="00C84285" w:rsidP="00C84285">
      <w:pPr>
        <w:pStyle w:val="CH3"/>
      </w:pPr>
      <w:r>
        <w:rPr>
          <w:lang w:val="es-ES"/>
        </w:rPr>
        <w:tab/>
        <w:t>2.</w:t>
      </w:r>
      <w:r>
        <w:rPr>
          <w:lang w:val="es-ES"/>
        </w:rPr>
        <w:tab/>
      </w:r>
      <w:r>
        <w:rPr>
          <w:bCs/>
          <w:lang w:val="es-ES"/>
        </w:rPr>
        <w:t>Supuestos y arreglos institucionales</w:t>
      </w:r>
    </w:p>
    <w:p w14:paraId="4D0B04D5" w14:textId="77777777" w:rsidR="00C84285" w:rsidRPr="00BE7E86" w:rsidRDefault="00C84285" w:rsidP="001C1E89">
      <w:pPr>
        <w:pStyle w:val="Normalnumber"/>
        <w:numPr>
          <w:ilvl w:val="0"/>
          <w:numId w:val="5"/>
        </w:numPr>
        <w:tabs>
          <w:tab w:val="left" w:pos="1871"/>
          <w:tab w:val="left" w:pos="2495"/>
        </w:tabs>
        <w:ind w:left="1247" w:firstLine="0"/>
        <w:rPr>
          <w:lang w:val="es-ES"/>
        </w:rPr>
      </w:pPr>
      <w:r>
        <w:rPr>
          <w:lang w:val="es-ES"/>
        </w:rPr>
        <w:t>Cabe suponer que la Secretaría coordine la ejecución del producto previsto 5 a), comunicación, bajo la supervisión de la Mesa y su contribución activa y con la participación activa del Grupo, en particular con respecto a la comunicación sobre cuestiones científicas y a la participación de las comunidades de expertos, lo que reflejará el enfoque multidisciplinario de la Plataforma. Este producto previsto incluirá la cooperación con los asociados, en particular los organismos de comunicación externa y los medios de información.</w:t>
      </w:r>
    </w:p>
    <w:p w14:paraId="3AC5449C" w14:textId="77777777" w:rsidR="00C84285" w:rsidRPr="00A63824" w:rsidRDefault="00C84285" w:rsidP="00C84285">
      <w:pPr>
        <w:pStyle w:val="CH3"/>
        <w:rPr>
          <w:rFonts w:eastAsia="SimSun"/>
        </w:rPr>
      </w:pPr>
      <w:r>
        <w:rPr>
          <w:lang w:val="es-ES"/>
        </w:rPr>
        <w:tab/>
        <w:t>3.</w:t>
      </w:r>
      <w:r>
        <w:rPr>
          <w:lang w:val="es-ES"/>
        </w:rPr>
        <w:tab/>
      </w:r>
      <w:r>
        <w:rPr>
          <w:bCs/>
          <w:lang w:val="es-ES"/>
        </w:rPr>
        <w:t>Hitos y reuniones</w:t>
      </w:r>
      <w:r>
        <w:rPr>
          <w:lang w:val="es-ES"/>
        </w:rPr>
        <w:t xml:space="preserve"> </w:t>
      </w:r>
    </w:p>
    <w:p w14:paraId="3CE5D75C" w14:textId="77777777" w:rsidR="00C84285" w:rsidRPr="00BE7E86" w:rsidRDefault="00C84285" w:rsidP="001C1E89">
      <w:pPr>
        <w:pStyle w:val="Normalnumber"/>
        <w:numPr>
          <w:ilvl w:val="0"/>
          <w:numId w:val="5"/>
        </w:numPr>
        <w:tabs>
          <w:tab w:val="left" w:pos="1871"/>
          <w:tab w:val="left" w:pos="2495"/>
        </w:tabs>
        <w:ind w:left="1247" w:firstLine="0"/>
        <w:rPr>
          <w:lang w:val="es-ES"/>
        </w:rPr>
      </w:pPr>
      <w:r>
        <w:rPr>
          <w:lang w:val="es-ES"/>
        </w:rPr>
        <w:t xml:space="preserve">A continuación figura una sinopsis de las medidas que han de adoptarse en relación con este producto previsto. En el cuadro A-13 del anexo del documento IPBES/7/4 figura un proyecto de presupuesto para las actividades relacionadas con este producto previsto. </w:t>
      </w:r>
    </w:p>
    <w:tbl>
      <w:tblPr>
        <w:tblW w:w="8352" w:type="dxa"/>
        <w:tblInd w:w="1248" w:type="dxa"/>
        <w:tblLayout w:type="fixed"/>
        <w:tblLook w:val="04A0" w:firstRow="1" w:lastRow="0" w:firstColumn="1" w:lastColumn="0" w:noHBand="0" w:noVBand="1"/>
      </w:tblPr>
      <w:tblGrid>
        <w:gridCol w:w="1162"/>
        <w:gridCol w:w="7190"/>
      </w:tblGrid>
      <w:tr w:rsidR="00C84285" w:rsidRPr="006E1004" w14:paraId="67DD6D80" w14:textId="77777777" w:rsidTr="006E1004">
        <w:trPr>
          <w:trHeight w:val="233"/>
          <w:tblHeader/>
        </w:trPr>
        <w:tc>
          <w:tcPr>
            <w:tcW w:w="1162" w:type="dxa"/>
            <w:tcBorders>
              <w:top w:val="single" w:sz="4" w:space="0" w:color="auto"/>
              <w:bottom w:val="single" w:sz="12" w:space="0" w:color="auto"/>
            </w:tcBorders>
            <w:shd w:val="clear" w:color="auto" w:fill="auto"/>
            <w:vAlign w:val="center"/>
          </w:tcPr>
          <w:p w14:paraId="5883B139" w14:textId="77777777" w:rsidR="00C84285" w:rsidRPr="006E1004" w:rsidDel="003F5A7B" w:rsidRDefault="00C84285" w:rsidP="001C1E89">
            <w:pPr>
              <w:pStyle w:val="Normal-pool"/>
              <w:spacing w:before="40" w:after="40"/>
              <w:jc w:val="center"/>
              <w:rPr>
                <w:rFonts w:eastAsia="SimSun"/>
                <w:sz w:val="18"/>
                <w:szCs w:val="18"/>
              </w:rPr>
            </w:pPr>
            <w:r w:rsidRPr="006E1004">
              <w:rPr>
                <w:i/>
                <w:iCs/>
                <w:sz w:val="18"/>
                <w:szCs w:val="18"/>
                <w:lang w:val="es-ES"/>
              </w:rPr>
              <w:t>Marco temporal</w:t>
            </w:r>
          </w:p>
        </w:tc>
        <w:tc>
          <w:tcPr>
            <w:tcW w:w="7190" w:type="dxa"/>
            <w:tcBorders>
              <w:top w:val="single" w:sz="4" w:space="0" w:color="auto"/>
              <w:bottom w:val="single" w:sz="12" w:space="0" w:color="auto"/>
            </w:tcBorders>
            <w:shd w:val="clear" w:color="auto" w:fill="auto"/>
            <w:vAlign w:val="center"/>
          </w:tcPr>
          <w:p w14:paraId="4F32B884" w14:textId="77777777" w:rsidR="00C84285" w:rsidRPr="006E1004" w:rsidDel="000C28ED" w:rsidRDefault="00C84285" w:rsidP="001C1E89">
            <w:pPr>
              <w:pStyle w:val="Normal-pool"/>
              <w:spacing w:before="40" w:after="40"/>
              <w:rPr>
                <w:rFonts w:eastAsia="SimSun"/>
                <w:sz w:val="18"/>
                <w:szCs w:val="18"/>
              </w:rPr>
            </w:pPr>
            <w:r w:rsidRPr="006E1004">
              <w:rPr>
                <w:i/>
                <w:iCs/>
                <w:sz w:val="18"/>
                <w:szCs w:val="18"/>
                <w:lang w:val="es-ES"/>
              </w:rPr>
              <w:t>Hitos y reuniones</w:t>
            </w:r>
          </w:p>
        </w:tc>
      </w:tr>
      <w:tr w:rsidR="00C84285" w:rsidRPr="006E1004" w14:paraId="2E14D350" w14:textId="77777777" w:rsidTr="006E1004">
        <w:trPr>
          <w:trHeight w:val="181"/>
        </w:trPr>
        <w:tc>
          <w:tcPr>
            <w:tcW w:w="1162" w:type="dxa"/>
            <w:vMerge w:val="restart"/>
            <w:tcBorders>
              <w:top w:val="single" w:sz="12" w:space="0" w:color="auto"/>
              <w:bottom w:val="single" w:sz="12" w:space="0" w:color="auto"/>
            </w:tcBorders>
            <w:shd w:val="clear" w:color="auto" w:fill="auto"/>
            <w:vAlign w:val="center"/>
          </w:tcPr>
          <w:p w14:paraId="34BEC7A1" w14:textId="36413462" w:rsidR="00C84285" w:rsidRPr="006E1004" w:rsidRDefault="00C84285" w:rsidP="001C1E89">
            <w:pPr>
              <w:pStyle w:val="Normal-pool"/>
              <w:spacing w:before="40" w:after="40"/>
              <w:jc w:val="center"/>
              <w:rPr>
                <w:rFonts w:eastAsia="SimSun"/>
                <w:sz w:val="18"/>
                <w:szCs w:val="18"/>
              </w:rPr>
            </w:pPr>
            <w:r w:rsidRPr="006E1004">
              <w:rPr>
                <w:sz w:val="18"/>
                <w:szCs w:val="18"/>
                <w:lang w:val="es-ES"/>
              </w:rPr>
              <w:t>Anua</w:t>
            </w:r>
            <w:r w:rsidR="00B1021D">
              <w:rPr>
                <w:sz w:val="18"/>
                <w:szCs w:val="18"/>
                <w:lang w:val="es-ES"/>
              </w:rPr>
              <w:t>lmente</w:t>
            </w:r>
          </w:p>
        </w:tc>
        <w:tc>
          <w:tcPr>
            <w:tcW w:w="7190" w:type="dxa"/>
            <w:tcBorders>
              <w:top w:val="single" w:sz="12" w:space="0" w:color="auto"/>
            </w:tcBorders>
            <w:shd w:val="clear" w:color="auto" w:fill="auto"/>
          </w:tcPr>
          <w:p w14:paraId="15FD3632" w14:textId="098F7F28" w:rsidR="00C84285" w:rsidRPr="006E1004" w:rsidRDefault="00C84285" w:rsidP="001C1E89">
            <w:pPr>
              <w:pStyle w:val="Normal-pool"/>
              <w:spacing w:before="40" w:after="40"/>
              <w:rPr>
                <w:rFonts w:eastAsia="SimSun"/>
                <w:sz w:val="18"/>
                <w:szCs w:val="18"/>
                <w:lang w:val="es-ES"/>
              </w:rPr>
            </w:pPr>
            <w:r w:rsidRPr="006E1004">
              <w:rPr>
                <w:sz w:val="18"/>
                <w:szCs w:val="18"/>
                <w:lang w:val="es-ES"/>
              </w:rPr>
              <w:t>Apoyo a la web y las redes sociales, lo que incluye hospedaje, mantenimiento y desarrollo de</w:t>
            </w:r>
            <w:r w:rsidR="00993038">
              <w:rPr>
                <w:sz w:val="18"/>
                <w:szCs w:val="18"/>
                <w:lang w:val="es-ES"/>
              </w:rPr>
              <w:t> </w:t>
            </w:r>
            <w:r w:rsidRPr="006E1004">
              <w:rPr>
                <w:sz w:val="18"/>
                <w:szCs w:val="18"/>
                <w:lang w:val="es-ES"/>
              </w:rPr>
              <w:t>sitios web</w:t>
            </w:r>
            <w:r w:rsidR="00B1021D">
              <w:rPr>
                <w:sz w:val="18"/>
                <w:szCs w:val="18"/>
                <w:lang w:val="es-ES"/>
              </w:rPr>
              <w:t>,</w:t>
            </w:r>
            <w:r w:rsidRPr="006E1004">
              <w:rPr>
                <w:sz w:val="18"/>
                <w:szCs w:val="18"/>
                <w:lang w:val="es-ES"/>
              </w:rPr>
              <w:t xml:space="preserve"> apoyo estratégico y operacional a las redes sociales; programación, supervisión e</w:t>
            </w:r>
            <w:r w:rsidR="00993038">
              <w:rPr>
                <w:sz w:val="18"/>
                <w:szCs w:val="18"/>
                <w:lang w:val="es-ES"/>
              </w:rPr>
              <w:t> </w:t>
            </w:r>
            <w:r w:rsidRPr="006E1004">
              <w:rPr>
                <w:sz w:val="18"/>
                <w:szCs w:val="18"/>
                <w:lang w:val="es-ES"/>
              </w:rPr>
              <w:t>instrumentos analíticos y servicios a las redes sociales</w:t>
            </w:r>
            <w:r w:rsidR="00B1021D">
              <w:rPr>
                <w:sz w:val="18"/>
                <w:szCs w:val="18"/>
                <w:lang w:val="es-ES"/>
              </w:rPr>
              <w:t>,</w:t>
            </w:r>
            <w:r w:rsidRPr="006E1004">
              <w:rPr>
                <w:sz w:val="18"/>
                <w:szCs w:val="18"/>
                <w:lang w:val="es-ES"/>
              </w:rPr>
              <w:t xml:space="preserve"> suscripciones y pago por acceso a los</w:t>
            </w:r>
            <w:r w:rsidR="00993038">
              <w:rPr>
                <w:sz w:val="18"/>
                <w:szCs w:val="18"/>
                <w:lang w:val="es-ES"/>
              </w:rPr>
              <w:t> </w:t>
            </w:r>
            <w:r w:rsidRPr="006E1004">
              <w:rPr>
                <w:sz w:val="18"/>
                <w:szCs w:val="18"/>
                <w:lang w:val="es-ES"/>
              </w:rPr>
              <w:t xml:space="preserve">artículos </w:t>
            </w:r>
          </w:p>
        </w:tc>
      </w:tr>
      <w:tr w:rsidR="00C84285" w:rsidRPr="006E1004" w14:paraId="7494C3E3" w14:textId="77777777" w:rsidTr="006E1004">
        <w:trPr>
          <w:trHeight w:val="235"/>
        </w:trPr>
        <w:tc>
          <w:tcPr>
            <w:tcW w:w="1162" w:type="dxa"/>
            <w:vMerge/>
            <w:tcBorders>
              <w:top w:val="single" w:sz="12" w:space="0" w:color="auto"/>
              <w:bottom w:val="single" w:sz="12" w:space="0" w:color="auto"/>
            </w:tcBorders>
            <w:shd w:val="clear" w:color="auto" w:fill="auto"/>
            <w:vAlign w:val="center"/>
          </w:tcPr>
          <w:p w14:paraId="6FFB71E9" w14:textId="77777777" w:rsidR="00C84285" w:rsidRPr="006E1004" w:rsidRDefault="00C84285" w:rsidP="001C1E89">
            <w:pPr>
              <w:pStyle w:val="Normal-pool"/>
              <w:spacing w:before="40" w:after="40"/>
              <w:jc w:val="center"/>
              <w:rPr>
                <w:rFonts w:eastAsia="SimSun"/>
                <w:sz w:val="18"/>
                <w:szCs w:val="18"/>
                <w:lang w:val="es-ES" w:eastAsia="zh-CN"/>
              </w:rPr>
            </w:pPr>
          </w:p>
        </w:tc>
        <w:tc>
          <w:tcPr>
            <w:tcW w:w="7190" w:type="dxa"/>
            <w:shd w:val="clear" w:color="auto" w:fill="auto"/>
          </w:tcPr>
          <w:p w14:paraId="1C4DED49" w14:textId="53CF7A5F" w:rsidR="00C84285" w:rsidRPr="006E1004" w:rsidRDefault="00C84285" w:rsidP="001C1E89">
            <w:pPr>
              <w:pStyle w:val="Normal-pool"/>
              <w:spacing w:before="40" w:after="40"/>
              <w:rPr>
                <w:rFonts w:eastAsia="SimSun"/>
                <w:sz w:val="18"/>
                <w:szCs w:val="18"/>
                <w:lang w:val="es-ES"/>
              </w:rPr>
            </w:pPr>
            <w:r w:rsidRPr="006E1004">
              <w:rPr>
                <w:sz w:val="18"/>
                <w:szCs w:val="18"/>
                <w:lang w:val="es-ES"/>
              </w:rPr>
              <w:t>Apoyo audiovisual, incluida la producción de vídeos y subtitulación traducida de los vídeos de divulgación</w:t>
            </w:r>
            <w:r w:rsidR="00B1021D">
              <w:rPr>
                <w:sz w:val="18"/>
                <w:szCs w:val="18"/>
                <w:lang w:val="es-ES"/>
              </w:rPr>
              <w:t>,</w:t>
            </w:r>
            <w:r w:rsidRPr="006E1004">
              <w:rPr>
                <w:sz w:val="18"/>
                <w:szCs w:val="18"/>
                <w:lang w:val="es-ES"/>
              </w:rPr>
              <w:t xml:space="preserve"> filmaciones sin sonido</w:t>
            </w:r>
            <w:r w:rsidR="00B1021D">
              <w:rPr>
                <w:sz w:val="18"/>
                <w:szCs w:val="18"/>
                <w:lang w:val="es-ES"/>
              </w:rPr>
              <w:t>,</w:t>
            </w:r>
            <w:r w:rsidRPr="006E1004">
              <w:rPr>
                <w:sz w:val="18"/>
                <w:szCs w:val="18"/>
                <w:lang w:val="es-ES"/>
              </w:rPr>
              <w:t xml:space="preserve"> animaciones y material infográfico</w:t>
            </w:r>
            <w:r w:rsidR="00B1021D">
              <w:rPr>
                <w:sz w:val="18"/>
                <w:szCs w:val="18"/>
                <w:lang w:val="es-ES"/>
              </w:rPr>
              <w:t>,</w:t>
            </w:r>
            <w:r w:rsidRPr="006E1004">
              <w:rPr>
                <w:sz w:val="18"/>
                <w:szCs w:val="18"/>
                <w:lang w:val="es-ES"/>
              </w:rPr>
              <w:t xml:space="preserve"> equipos y programas informáticos de grabación, edición y diseño</w:t>
            </w:r>
          </w:p>
        </w:tc>
      </w:tr>
      <w:tr w:rsidR="00C84285" w:rsidRPr="006E1004" w14:paraId="3A5BB6FA" w14:textId="77777777" w:rsidTr="006E1004">
        <w:trPr>
          <w:trHeight w:val="233"/>
        </w:trPr>
        <w:tc>
          <w:tcPr>
            <w:tcW w:w="1162" w:type="dxa"/>
            <w:vMerge/>
            <w:tcBorders>
              <w:top w:val="single" w:sz="12" w:space="0" w:color="auto"/>
              <w:bottom w:val="single" w:sz="12" w:space="0" w:color="auto"/>
            </w:tcBorders>
            <w:shd w:val="clear" w:color="auto" w:fill="auto"/>
            <w:vAlign w:val="center"/>
          </w:tcPr>
          <w:p w14:paraId="0A2BC86A" w14:textId="77777777" w:rsidR="00C84285" w:rsidRPr="006E1004" w:rsidRDefault="00C84285" w:rsidP="001C1E89">
            <w:pPr>
              <w:pStyle w:val="Normal-pool"/>
              <w:spacing w:before="40" w:after="40"/>
              <w:jc w:val="center"/>
              <w:rPr>
                <w:rFonts w:eastAsia="SimSun"/>
                <w:sz w:val="18"/>
                <w:szCs w:val="18"/>
                <w:lang w:val="es-ES" w:eastAsia="zh-CN"/>
              </w:rPr>
            </w:pPr>
          </w:p>
        </w:tc>
        <w:tc>
          <w:tcPr>
            <w:tcW w:w="7190" w:type="dxa"/>
            <w:shd w:val="clear" w:color="auto" w:fill="auto"/>
          </w:tcPr>
          <w:p w14:paraId="4CB4422E" w14:textId="5A76164D" w:rsidR="00C84285" w:rsidRPr="006E1004" w:rsidRDefault="00C84285" w:rsidP="001C1E89">
            <w:pPr>
              <w:pStyle w:val="Normal-pool"/>
              <w:spacing w:before="40" w:after="40"/>
              <w:rPr>
                <w:rFonts w:eastAsia="SimSun"/>
                <w:sz w:val="18"/>
                <w:szCs w:val="18"/>
                <w:lang w:val="es-ES"/>
              </w:rPr>
            </w:pPr>
            <w:r w:rsidRPr="006E1004">
              <w:rPr>
                <w:sz w:val="18"/>
                <w:szCs w:val="18"/>
                <w:lang w:val="es-ES"/>
              </w:rPr>
              <w:t>Apoyo de los medios de información, incluido el apoyo a la estrategia, la divulgación y la promoción en los medios de información; apoyo de los medios de comunicación a determinadas actividades de aceptación</w:t>
            </w:r>
            <w:r w:rsidR="00B1021D">
              <w:rPr>
                <w:sz w:val="18"/>
                <w:szCs w:val="18"/>
                <w:lang w:val="es-ES"/>
              </w:rPr>
              <w:t>,</w:t>
            </w:r>
            <w:r w:rsidRPr="006E1004">
              <w:rPr>
                <w:sz w:val="18"/>
                <w:szCs w:val="18"/>
                <w:lang w:val="es-ES"/>
              </w:rPr>
              <w:t xml:space="preserve"> traducción de determinados materiales</w:t>
            </w:r>
            <w:r w:rsidR="00B1021D">
              <w:rPr>
                <w:sz w:val="18"/>
                <w:szCs w:val="18"/>
                <w:lang w:val="es-ES"/>
              </w:rPr>
              <w:t>,</w:t>
            </w:r>
            <w:r w:rsidRPr="006E1004">
              <w:rPr>
                <w:sz w:val="18"/>
                <w:szCs w:val="18"/>
                <w:lang w:val="es-ES"/>
              </w:rPr>
              <w:t xml:space="preserve"> materiales de promoción relacionados con actividades importantes y participación en ellas</w:t>
            </w:r>
            <w:r w:rsidR="00B1021D">
              <w:rPr>
                <w:sz w:val="18"/>
                <w:szCs w:val="18"/>
                <w:lang w:val="es-ES"/>
              </w:rPr>
              <w:t>,</w:t>
            </w:r>
            <w:r w:rsidRPr="006E1004">
              <w:rPr>
                <w:sz w:val="18"/>
                <w:szCs w:val="18"/>
                <w:lang w:val="es-ES"/>
              </w:rPr>
              <w:t xml:space="preserve"> seguimiento y análisis de los medios de comunicación</w:t>
            </w:r>
            <w:r w:rsidR="00B1021D">
              <w:rPr>
                <w:sz w:val="18"/>
                <w:szCs w:val="18"/>
                <w:lang w:val="es-ES"/>
              </w:rPr>
              <w:t>.</w:t>
            </w:r>
            <w:r w:rsidRPr="006E1004">
              <w:rPr>
                <w:sz w:val="18"/>
                <w:szCs w:val="18"/>
                <w:lang w:val="es-ES"/>
              </w:rPr>
              <w:t xml:space="preserve"> promociones pagadas en los medios de información</w:t>
            </w:r>
          </w:p>
        </w:tc>
      </w:tr>
      <w:tr w:rsidR="00C84285" w:rsidRPr="006E1004" w14:paraId="151A6A19" w14:textId="77777777" w:rsidTr="006E1004">
        <w:trPr>
          <w:trHeight w:val="233"/>
        </w:trPr>
        <w:tc>
          <w:tcPr>
            <w:tcW w:w="1162" w:type="dxa"/>
            <w:vMerge/>
            <w:tcBorders>
              <w:top w:val="single" w:sz="12" w:space="0" w:color="auto"/>
              <w:bottom w:val="single" w:sz="12" w:space="0" w:color="auto"/>
            </w:tcBorders>
            <w:shd w:val="clear" w:color="auto" w:fill="auto"/>
            <w:vAlign w:val="center"/>
          </w:tcPr>
          <w:p w14:paraId="6B876D9C" w14:textId="77777777" w:rsidR="00C84285" w:rsidRPr="006E1004" w:rsidRDefault="00C84285" w:rsidP="001C1E89">
            <w:pPr>
              <w:pStyle w:val="Normal-pool"/>
              <w:spacing w:before="40" w:after="40"/>
              <w:jc w:val="center"/>
              <w:rPr>
                <w:rFonts w:eastAsia="SimSun"/>
                <w:sz w:val="18"/>
                <w:szCs w:val="18"/>
                <w:lang w:val="es-ES" w:eastAsia="zh-CN"/>
              </w:rPr>
            </w:pPr>
          </w:p>
        </w:tc>
        <w:tc>
          <w:tcPr>
            <w:tcW w:w="7190" w:type="dxa"/>
            <w:tcBorders>
              <w:bottom w:val="single" w:sz="12" w:space="0" w:color="auto"/>
            </w:tcBorders>
            <w:shd w:val="clear" w:color="auto" w:fill="auto"/>
          </w:tcPr>
          <w:p w14:paraId="4584DCE0" w14:textId="4427682A" w:rsidR="00C84285" w:rsidRPr="006E1004" w:rsidRDefault="00C84285" w:rsidP="001C1E89">
            <w:pPr>
              <w:pStyle w:val="Normal-pool"/>
              <w:spacing w:before="40" w:after="40"/>
              <w:rPr>
                <w:rFonts w:eastAsia="SimSun"/>
                <w:sz w:val="18"/>
                <w:szCs w:val="18"/>
                <w:lang w:val="es-ES"/>
              </w:rPr>
            </w:pPr>
            <w:r w:rsidRPr="006E1004">
              <w:rPr>
                <w:sz w:val="18"/>
                <w:szCs w:val="18"/>
                <w:lang w:val="es-ES"/>
              </w:rPr>
              <w:t>Materiales impresos de comunicación y divulgación, en particular apoyo a la marca y a la identidad visual</w:t>
            </w:r>
            <w:r w:rsidR="00B1021D">
              <w:rPr>
                <w:sz w:val="18"/>
                <w:szCs w:val="18"/>
                <w:lang w:val="es-ES"/>
              </w:rPr>
              <w:t>,</w:t>
            </w:r>
            <w:r w:rsidRPr="006E1004">
              <w:rPr>
                <w:sz w:val="18"/>
                <w:szCs w:val="18"/>
                <w:lang w:val="es-ES"/>
              </w:rPr>
              <w:t xml:space="preserve"> diseño y producción de material colateral de divulgación</w:t>
            </w:r>
            <w:r w:rsidR="00B1021D">
              <w:rPr>
                <w:sz w:val="18"/>
                <w:szCs w:val="18"/>
                <w:lang w:val="es-ES"/>
              </w:rPr>
              <w:t>,</w:t>
            </w:r>
            <w:r w:rsidRPr="006E1004">
              <w:rPr>
                <w:sz w:val="18"/>
                <w:szCs w:val="18"/>
                <w:lang w:val="es-ES"/>
              </w:rPr>
              <w:t xml:space="preserve"> impresión y difusión de material (incluidas las reimpresiones de resúmenes para los encargados de formular políticas y de informes)</w:t>
            </w:r>
            <w:r w:rsidR="00B1021D">
              <w:rPr>
                <w:sz w:val="18"/>
                <w:szCs w:val="18"/>
                <w:lang w:val="es-ES"/>
              </w:rPr>
              <w:t>,</w:t>
            </w:r>
            <w:r w:rsidRPr="006E1004">
              <w:rPr>
                <w:sz w:val="18"/>
                <w:szCs w:val="18"/>
                <w:lang w:val="es-ES"/>
              </w:rPr>
              <w:t xml:space="preserve"> traducción de determinados materiales</w:t>
            </w:r>
            <w:r w:rsidR="00B1021D">
              <w:rPr>
                <w:sz w:val="18"/>
                <w:szCs w:val="18"/>
                <w:lang w:val="es-ES"/>
              </w:rPr>
              <w:t>,</w:t>
            </w:r>
            <w:r w:rsidRPr="006E1004">
              <w:rPr>
                <w:sz w:val="18"/>
                <w:szCs w:val="18"/>
                <w:lang w:val="es-ES"/>
              </w:rPr>
              <w:t xml:space="preserve"> apoyo a las comunicaciones de los períodos de sesiones del Plenario</w:t>
            </w:r>
          </w:p>
        </w:tc>
      </w:tr>
    </w:tbl>
    <w:p w14:paraId="31650A10" w14:textId="36D3F1E5" w:rsidR="00C84285" w:rsidRPr="00BE7E86" w:rsidRDefault="00C84285" w:rsidP="008D277A">
      <w:pPr>
        <w:pStyle w:val="CH2"/>
        <w:spacing w:before="240"/>
        <w:rPr>
          <w:lang w:val="es-ES"/>
        </w:rPr>
      </w:pPr>
      <w:r>
        <w:rPr>
          <w:lang w:val="es-ES"/>
        </w:rPr>
        <w:tab/>
        <w:t>B.</w:t>
      </w:r>
      <w:r>
        <w:rPr>
          <w:lang w:val="es-ES"/>
        </w:rPr>
        <w:tab/>
      </w:r>
      <w:r>
        <w:rPr>
          <w:bCs/>
          <w:lang w:val="es-ES"/>
        </w:rPr>
        <w:t xml:space="preserve">Producto previsto 5 b): Fortalecimiento del compromiso de los </w:t>
      </w:r>
      <w:r w:rsidR="00B1021D">
        <w:rPr>
          <w:bCs/>
          <w:lang w:val="es-ES"/>
        </w:rPr>
        <w:t>G</w:t>
      </w:r>
      <w:r>
        <w:rPr>
          <w:bCs/>
          <w:lang w:val="es-ES"/>
        </w:rPr>
        <w:t>obiernos y los interesados</w:t>
      </w:r>
    </w:p>
    <w:p w14:paraId="0C3FDE82" w14:textId="77777777" w:rsidR="00C84285" w:rsidRPr="00732E7C" w:rsidRDefault="00C84285" w:rsidP="00C84285">
      <w:pPr>
        <w:pStyle w:val="CH3"/>
        <w:rPr>
          <w:rFonts w:eastAsia="SimSun"/>
        </w:rPr>
      </w:pPr>
      <w:r>
        <w:rPr>
          <w:lang w:val="es-ES"/>
        </w:rPr>
        <w:tab/>
        <w:t>1.</w:t>
      </w:r>
      <w:r>
        <w:rPr>
          <w:lang w:val="es-ES"/>
        </w:rPr>
        <w:tab/>
      </w:r>
      <w:r>
        <w:rPr>
          <w:bCs/>
          <w:lang w:val="es-ES"/>
        </w:rPr>
        <w:t>Antecedentes</w:t>
      </w:r>
    </w:p>
    <w:p w14:paraId="0947DAC6" w14:textId="77777777" w:rsidR="00C84285" w:rsidRPr="00BE7E86" w:rsidRDefault="00C84285" w:rsidP="001C1E89">
      <w:pPr>
        <w:pStyle w:val="Normalnumber"/>
        <w:numPr>
          <w:ilvl w:val="0"/>
          <w:numId w:val="5"/>
        </w:numPr>
        <w:tabs>
          <w:tab w:val="left" w:pos="1871"/>
          <w:tab w:val="left" w:pos="2495"/>
        </w:tabs>
        <w:ind w:left="1247" w:firstLine="0"/>
        <w:rPr>
          <w:lang w:val="es-ES"/>
        </w:rPr>
      </w:pPr>
      <w:r>
        <w:rPr>
          <w:lang w:val="es-ES"/>
        </w:rPr>
        <w:t xml:space="preserve">El primer programa de trabajo incluyó el producto previsto 4 d): “Conjunto de estrategias, productos y procesos de comunicación, divulgación y participación”. </w:t>
      </w:r>
    </w:p>
    <w:p w14:paraId="24A0A497" w14:textId="77777777" w:rsidR="00C84285" w:rsidRPr="00BE7E86" w:rsidRDefault="00C84285" w:rsidP="001C1E89">
      <w:pPr>
        <w:pStyle w:val="Normalnumber"/>
        <w:numPr>
          <w:ilvl w:val="0"/>
          <w:numId w:val="5"/>
        </w:numPr>
        <w:tabs>
          <w:tab w:val="left" w:pos="1871"/>
          <w:tab w:val="left" w:pos="2495"/>
        </w:tabs>
        <w:ind w:left="1247" w:firstLine="0"/>
        <w:rPr>
          <w:lang w:val="es-ES"/>
        </w:rPr>
      </w:pPr>
      <w:r>
        <w:rPr>
          <w:lang w:val="es-ES"/>
        </w:rPr>
        <w:t>Durante la ejecución del primer programa de trabajo, el Plenario, en la decisión IPBES-3/4, aprobó una estrategia de comunicación y divulgación</w:t>
      </w:r>
      <w:r w:rsidRPr="00A63824">
        <w:rPr>
          <w:rStyle w:val="FootnoteReference"/>
          <w:kern w:val="14"/>
          <w:lang w:val="es-ES" w:eastAsia="ja-JP"/>
        </w:rPr>
        <w:footnoteReference w:id="19"/>
      </w:r>
      <w:r>
        <w:rPr>
          <w:lang w:val="es-ES"/>
        </w:rPr>
        <w:t xml:space="preserve">, que fue aplicada por la Secretaría, bajo la orientación del Grupo y la Mesa en el marco de sus respectivos mandatos. La aplicación se centró en la identificación, la localización y movilización de los interesados; la facilitación y la colaboración con las redes de interesados; la organización de actividades de los interesados y el aumento de la comunicación bidireccional entre la IPBES y los interesados en ella para apoyar la ejecución del programa de trabajo y los productos previstos conexos. </w:t>
      </w:r>
    </w:p>
    <w:p w14:paraId="41D6F359" w14:textId="77777777" w:rsidR="00C84285" w:rsidRPr="00BE7E86" w:rsidRDefault="00C84285" w:rsidP="001C1E89">
      <w:pPr>
        <w:pStyle w:val="Normalnumber"/>
        <w:numPr>
          <w:ilvl w:val="0"/>
          <w:numId w:val="5"/>
        </w:numPr>
        <w:tabs>
          <w:tab w:val="left" w:pos="1871"/>
          <w:tab w:val="left" w:pos="2495"/>
        </w:tabs>
        <w:ind w:left="1247" w:firstLine="0"/>
        <w:rPr>
          <w:lang w:val="es-ES"/>
        </w:rPr>
      </w:pPr>
      <w:r>
        <w:rPr>
          <w:lang w:val="es-ES"/>
        </w:rPr>
        <w:t xml:space="preserve">Los resultados del proceso de localización y de análisis de las necesidades no solo puso de relieve la diversidad de las entidades interesadas en la IPBES, sino que destacó también que la representación de grupos clave, como el sector privado, los pueblos indígenas y las comunidades locales, era insuficiente, sobre todo en determinadas regiones. En el estudio también se determinaron los principales incentivos y obstáculos para una mayor participación de los interesados en la labor de la Plataforma. La Secretaría colaboró con los equipos de tareas, las plataformas nacionales de la IPBES nuevas y existentes y las redes de interesados en la IPBES organizadas por cuenta propia como medio para comenzar a hacer frente a esos desafíos. En el transcurso del primer programa de trabajo se hizo evidente que la ejecución de dos mandatos diferentes en relación con las comunicaciones y la participación de los interesados era cada vez más convergente; esto se evidenció en particular en el mayor uso de los medios sociales, los materiales audiovisuales, el sitio web y la tecnología de la información y las comunicaciones de la IPBES para aumentar y mejorar la participación de los interesados en la labor de la Plataforma. </w:t>
      </w:r>
    </w:p>
    <w:p w14:paraId="6E42638A" w14:textId="6DFD302A" w:rsidR="00C84285" w:rsidRPr="00BE7E86" w:rsidRDefault="00C84285" w:rsidP="001C1E89">
      <w:pPr>
        <w:pStyle w:val="Normalnumber"/>
        <w:numPr>
          <w:ilvl w:val="0"/>
          <w:numId w:val="5"/>
        </w:numPr>
        <w:tabs>
          <w:tab w:val="left" w:pos="1871"/>
          <w:tab w:val="left" w:pos="2495"/>
        </w:tabs>
        <w:ind w:left="1247" w:firstLine="0"/>
        <w:rPr>
          <w:lang w:val="es-ES"/>
        </w:rPr>
      </w:pPr>
      <w:r>
        <w:rPr>
          <w:lang w:val="es-ES"/>
        </w:rPr>
        <w:t>El producto previsto 5 b) incluirá actividades para seguir aplicando la estrategia de participación de los interesados en favor de la IPBES. Entre las esferas de atención destinadas a mejorar la aplicación de la estrategia de participación de los interesados figurarán el fortalecimiento de</w:t>
      </w:r>
      <w:r w:rsidR="00993038">
        <w:rPr>
          <w:lang w:val="es-ES"/>
        </w:rPr>
        <w:t> </w:t>
      </w:r>
      <w:r>
        <w:rPr>
          <w:lang w:val="es-ES"/>
        </w:rPr>
        <w:t>las redes de interesados y las plataformas nacionales existentes; la facilitación del establecimiento de nuevas plataformas nacionales; una mejor utilización de las actividades de aceptación de la IPBES para comprometer a los centros nacionales de coordinación y a los encargados de la formulación de políticas, incluidos los grupos de interesados de difícil acceso, y la producción, por parte de la Secretaría, de materiales de divulgación y de consulta orientados a los interesados en los seis idiomas</w:t>
      </w:r>
      <w:r w:rsidR="00993038">
        <w:rPr>
          <w:lang w:val="es-ES"/>
        </w:rPr>
        <w:t> </w:t>
      </w:r>
      <w:r>
        <w:rPr>
          <w:lang w:val="es-ES"/>
        </w:rPr>
        <w:t xml:space="preserve">oficiales de las Naciones Unidas. </w:t>
      </w:r>
    </w:p>
    <w:p w14:paraId="03F1868B" w14:textId="77777777" w:rsidR="00C84285" w:rsidRPr="00BE7E86" w:rsidRDefault="00C84285" w:rsidP="001C1E89">
      <w:pPr>
        <w:pStyle w:val="Normalnumber"/>
        <w:numPr>
          <w:ilvl w:val="0"/>
          <w:numId w:val="5"/>
        </w:numPr>
        <w:tabs>
          <w:tab w:val="left" w:pos="1871"/>
          <w:tab w:val="left" w:pos="2495"/>
        </w:tabs>
        <w:ind w:left="1247" w:firstLine="0"/>
        <w:rPr>
          <w:lang w:val="es-ES"/>
        </w:rPr>
      </w:pPr>
      <w:r>
        <w:rPr>
          <w:lang w:val="es-ES"/>
        </w:rPr>
        <w:t xml:space="preserve">En el documento IPBES/7/INF/14 se reproducen una reseña de la labor realizada desde el sexto período de sesiones del Plenario y las próximas medidas propuestas en relación con la participación de los interesados. En el documento IPBES/5/INF/17 figura información adicional sobre los arreglos institucionales. </w:t>
      </w:r>
    </w:p>
    <w:p w14:paraId="63C33B11" w14:textId="77777777" w:rsidR="00C84285" w:rsidRPr="00732E7C" w:rsidRDefault="00C84285" w:rsidP="00C84285">
      <w:pPr>
        <w:pStyle w:val="CH3"/>
      </w:pPr>
      <w:r>
        <w:rPr>
          <w:lang w:val="es-ES"/>
        </w:rPr>
        <w:tab/>
        <w:t>2.</w:t>
      </w:r>
      <w:r>
        <w:rPr>
          <w:lang w:val="es-ES"/>
        </w:rPr>
        <w:tab/>
      </w:r>
      <w:r>
        <w:rPr>
          <w:bCs/>
          <w:lang w:val="es-ES"/>
        </w:rPr>
        <w:t>Supuestos y arreglos institucionales</w:t>
      </w:r>
    </w:p>
    <w:p w14:paraId="53BDDA55" w14:textId="7BF3A179" w:rsidR="00C84285" w:rsidRPr="00BE7E86" w:rsidRDefault="00C84285" w:rsidP="001C1E89">
      <w:pPr>
        <w:pStyle w:val="Normalnumber"/>
        <w:numPr>
          <w:ilvl w:val="0"/>
          <w:numId w:val="5"/>
        </w:numPr>
        <w:tabs>
          <w:tab w:val="left" w:pos="1871"/>
          <w:tab w:val="left" w:pos="2495"/>
        </w:tabs>
        <w:ind w:left="1247" w:firstLine="0"/>
        <w:rPr>
          <w:lang w:val="es-ES"/>
        </w:rPr>
      </w:pPr>
      <w:r>
        <w:rPr>
          <w:lang w:val="es-ES"/>
        </w:rPr>
        <w:t xml:space="preserve">Cabe suponer que la Secretaría coordine el producto previsto 5 b), la participación de los </w:t>
      </w:r>
      <w:r w:rsidR="00B1021D">
        <w:rPr>
          <w:lang w:val="es-ES"/>
        </w:rPr>
        <w:t>G</w:t>
      </w:r>
      <w:r>
        <w:rPr>
          <w:lang w:val="es-ES"/>
        </w:rPr>
        <w:t xml:space="preserve">obiernos y otros interesados, incluida la aplicación de la estrategia de participación de los interesados y la colaboración con las secretarías de los acuerdos ambientales multilaterales, los organismos de las Naciones Unidas y otras organizaciones, bajo la supervisión de la Mesa y con la participación activa del Grupo. </w:t>
      </w:r>
    </w:p>
    <w:p w14:paraId="356DE2F2" w14:textId="4C86A381" w:rsidR="00C84285" w:rsidRPr="00BE7E86" w:rsidRDefault="00C84285" w:rsidP="001C1E89">
      <w:pPr>
        <w:pStyle w:val="Normalnumber"/>
        <w:numPr>
          <w:ilvl w:val="0"/>
          <w:numId w:val="5"/>
        </w:numPr>
        <w:tabs>
          <w:tab w:val="left" w:pos="1871"/>
          <w:tab w:val="left" w:pos="2495"/>
        </w:tabs>
        <w:ind w:left="1247" w:firstLine="0"/>
        <w:rPr>
          <w:lang w:val="es-ES"/>
        </w:rPr>
      </w:pPr>
      <w:r>
        <w:rPr>
          <w:lang w:val="es-ES"/>
        </w:rPr>
        <w:t>La Secretaría podrá establecer acuerdos con instituciones asociadas para la prestación del apoyo técnico que apruebe la Mesa</w:t>
      </w:r>
      <w:r w:rsidR="00B1021D">
        <w:rPr>
          <w:lang w:val="es-ES"/>
        </w:rPr>
        <w:t xml:space="preserve">, el cual </w:t>
      </w:r>
      <w:r>
        <w:rPr>
          <w:lang w:val="es-ES"/>
        </w:rPr>
        <w:t>será financiado en parte por la Plataforma y en parte mediante contribuciones en especie aprobadas por el Plenario.</w:t>
      </w:r>
    </w:p>
    <w:p w14:paraId="53A81F40" w14:textId="77777777" w:rsidR="00C84285" w:rsidRPr="009E4014" w:rsidRDefault="00C84285" w:rsidP="00C84285">
      <w:pPr>
        <w:pStyle w:val="CH3"/>
        <w:rPr>
          <w:rFonts w:eastAsia="SimSun"/>
        </w:rPr>
      </w:pPr>
      <w:r>
        <w:rPr>
          <w:lang w:val="es-ES"/>
        </w:rPr>
        <w:tab/>
        <w:t>3.</w:t>
      </w:r>
      <w:r>
        <w:rPr>
          <w:lang w:val="es-ES"/>
        </w:rPr>
        <w:tab/>
      </w:r>
      <w:r>
        <w:rPr>
          <w:bCs/>
          <w:lang w:val="es-ES"/>
        </w:rPr>
        <w:t>Hitos y reuniones</w:t>
      </w:r>
      <w:r>
        <w:rPr>
          <w:lang w:val="es-ES"/>
        </w:rPr>
        <w:t xml:space="preserve"> </w:t>
      </w:r>
    </w:p>
    <w:p w14:paraId="73C3C312" w14:textId="77777777" w:rsidR="00C84285" w:rsidRPr="00BE7E86" w:rsidRDefault="00C84285" w:rsidP="001C1E89">
      <w:pPr>
        <w:pStyle w:val="Normalnumber"/>
        <w:numPr>
          <w:ilvl w:val="0"/>
          <w:numId w:val="5"/>
        </w:numPr>
        <w:tabs>
          <w:tab w:val="left" w:pos="1871"/>
          <w:tab w:val="left" w:pos="2495"/>
        </w:tabs>
        <w:ind w:left="1247" w:firstLine="0"/>
        <w:rPr>
          <w:lang w:val="es-ES"/>
        </w:rPr>
      </w:pPr>
      <w:r>
        <w:rPr>
          <w:lang w:val="es-ES"/>
        </w:rPr>
        <w:t xml:space="preserve">A continuación figura una sinopsis de las medidas que han de adoptarse en relación con este producto previsto. En el cuadro A-14 del anexo del documento IPBES/7/4 figura un proyecto de presupuesto para las actividades relacionadas con este producto previsto. </w:t>
      </w:r>
    </w:p>
    <w:tbl>
      <w:tblPr>
        <w:tblW w:w="8352" w:type="dxa"/>
        <w:tblInd w:w="1248" w:type="dxa"/>
        <w:tblLayout w:type="fixed"/>
        <w:tblLook w:val="04A0" w:firstRow="1" w:lastRow="0" w:firstColumn="1" w:lastColumn="0" w:noHBand="0" w:noVBand="1"/>
      </w:tblPr>
      <w:tblGrid>
        <w:gridCol w:w="1152"/>
        <w:gridCol w:w="7200"/>
      </w:tblGrid>
      <w:tr w:rsidR="00C84285" w:rsidRPr="006E1004" w14:paraId="144B2059" w14:textId="77777777" w:rsidTr="001C1E89">
        <w:trPr>
          <w:trHeight w:val="233"/>
          <w:tblHeader/>
        </w:trPr>
        <w:tc>
          <w:tcPr>
            <w:tcW w:w="1152" w:type="dxa"/>
            <w:tcBorders>
              <w:top w:val="single" w:sz="4" w:space="0" w:color="auto"/>
              <w:bottom w:val="single" w:sz="12" w:space="0" w:color="auto"/>
            </w:tcBorders>
            <w:shd w:val="clear" w:color="auto" w:fill="auto"/>
            <w:vAlign w:val="center"/>
          </w:tcPr>
          <w:p w14:paraId="381F8E2A" w14:textId="77777777" w:rsidR="00C84285" w:rsidRPr="006E1004" w:rsidDel="003F5A7B" w:rsidRDefault="00C84285" w:rsidP="001C1E89">
            <w:pPr>
              <w:pStyle w:val="Normal-pool"/>
              <w:spacing w:before="40" w:after="40"/>
              <w:rPr>
                <w:rFonts w:eastAsia="SimSun"/>
                <w:sz w:val="18"/>
                <w:szCs w:val="18"/>
              </w:rPr>
            </w:pPr>
            <w:r w:rsidRPr="006E1004">
              <w:rPr>
                <w:i/>
                <w:iCs/>
                <w:sz w:val="18"/>
                <w:szCs w:val="18"/>
                <w:lang w:val="es-ES"/>
              </w:rPr>
              <w:t>Marco temporal</w:t>
            </w:r>
          </w:p>
        </w:tc>
        <w:tc>
          <w:tcPr>
            <w:tcW w:w="7200" w:type="dxa"/>
            <w:tcBorders>
              <w:top w:val="single" w:sz="4" w:space="0" w:color="auto"/>
              <w:bottom w:val="single" w:sz="12" w:space="0" w:color="auto"/>
            </w:tcBorders>
            <w:shd w:val="clear" w:color="auto" w:fill="auto"/>
            <w:vAlign w:val="center"/>
          </w:tcPr>
          <w:p w14:paraId="2D9DA837" w14:textId="77777777" w:rsidR="00C84285" w:rsidRPr="006E1004" w:rsidDel="000C28ED" w:rsidRDefault="00C84285" w:rsidP="001C1E89">
            <w:pPr>
              <w:pStyle w:val="Normal-pool"/>
              <w:spacing w:before="40" w:after="40"/>
              <w:rPr>
                <w:rFonts w:eastAsia="SimSun"/>
                <w:sz w:val="18"/>
                <w:szCs w:val="18"/>
              </w:rPr>
            </w:pPr>
            <w:r w:rsidRPr="006E1004">
              <w:rPr>
                <w:i/>
                <w:iCs/>
                <w:sz w:val="18"/>
                <w:szCs w:val="18"/>
                <w:lang w:val="es-ES"/>
              </w:rPr>
              <w:t>Hitos y reuniones</w:t>
            </w:r>
          </w:p>
        </w:tc>
      </w:tr>
      <w:tr w:rsidR="00C84285" w:rsidRPr="006E1004" w14:paraId="15AD1C20" w14:textId="77777777" w:rsidTr="001C1E89">
        <w:trPr>
          <w:trHeight w:val="181"/>
        </w:trPr>
        <w:tc>
          <w:tcPr>
            <w:tcW w:w="1152" w:type="dxa"/>
            <w:vMerge w:val="restart"/>
            <w:tcBorders>
              <w:top w:val="single" w:sz="12" w:space="0" w:color="auto"/>
              <w:bottom w:val="single" w:sz="12" w:space="0" w:color="auto"/>
            </w:tcBorders>
            <w:shd w:val="clear" w:color="auto" w:fill="auto"/>
            <w:vAlign w:val="center"/>
          </w:tcPr>
          <w:p w14:paraId="2124AC0F" w14:textId="152DAF1A" w:rsidR="00C84285" w:rsidRPr="006E1004" w:rsidRDefault="00C84285" w:rsidP="001C1E89">
            <w:pPr>
              <w:pStyle w:val="Normal-pool"/>
              <w:spacing w:before="40" w:after="40"/>
              <w:rPr>
                <w:rFonts w:eastAsia="SimSun"/>
                <w:sz w:val="18"/>
                <w:szCs w:val="18"/>
              </w:rPr>
            </w:pPr>
            <w:r w:rsidRPr="006E1004">
              <w:rPr>
                <w:sz w:val="18"/>
                <w:szCs w:val="18"/>
                <w:lang w:val="es-ES"/>
              </w:rPr>
              <w:t>Anual</w:t>
            </w:r>
            <w:r w:rsidR="00B1021D">
              <w:rPr>
                <w:sz w:val="18"/>
                <w:szCs w:val="18"/>
                <w:lang w:val="es-ES"/>
              </w:rPr>
              <w:t>mente</w:t>
            </w:r>
          </w:p>
        </w:tc>
        <w:tc>
          <w:tcPr>
            <w:tcW w:w="7200" w:type="dxa"/>
            <w:tcBorders>
              <w:top w:val="single" w:sz="12" w:space="0" w:color="auto"/>
            </w:tcBorders>
            <w:shd w:val="clear" w:color="auto" w:fill="auto"/>
          </w:tcPr>
          <w:p w14:paraId="16E977FE" w14:textId="77777777" w:rsidR="00C84285" w:rsidRPr="006E1004" w:rsidRDefault="00C84285" w:rsidP="001C1E89">
            <w:pPr>
              <w:pStyle w:val="Normal-pool"/>
              <w:spacing w:before="40"/>
              <w:rPr>
                <w:rFonts w:eastAsia="SimSun"/>
                <w:sz w:val="18"/>
                <w:szCs w:val="18"/>
                <w:lang w:val="es-ES"/>
              </w:rPr>
            </w:pPr>
            <w:r w:rsidRPr="006E1004">
              <w:rPr>
                <w:sz w:val="18"/>
                <w:szCs w:val="18"/>
                <w:lang w:val="es-ES"/>
              </w:rPr>
              <w:t>Taller de consulta para coordinadores nacionales de la IPBES</w:t>
            </w:r>
          </w:p>
        </w:tc>
      </w:tr>
      <w:tr w:rsidR="00C84285" w:rsidRPr="006E1004" w14:paraId="6EAF04D5" w14:textId="77777777" w:rsidTr="001C1E89">
        <w:trPr>
          <w:trHeight w:val="235"/>
        </w:trPr>
        <w:tc>
          <w:tcPr>
            <w:tcW w:w="1152" w:type="dxa"/>
            <w:vMerge/>
            <w:tcBorders>
              <w:bottom w:val="single" w:sz="12" w:space="0" w:color="auto"/>
            </w:tcBorders>
            <w:shd w:val="clear" w:color="auto" w:fill="auto"/>
            <w:vAlign w:val="center"/>
          </w:tcPr>
          <w:p w14:paraId="2D1CAABA" w14:textId="77777777" w:rsidR="00C84285" w:rsidRPr="006E1004" w:rsidRDefault="00C84285" w:rsidP="001C1E89">
            <w:pPr>
              <w:pStyle w:val="Normal-pool"/>
              <w:spacing w:before="40" w:after="40"/>
              <w:jc w:val="center"/>
              <w:rPr>
                <w:rFonts w:eastAsia="SimSun"/>
                <w:sz w:val="18"/>
                <w:szCs w:val="18"/>
                <w:lang w:val="es-ES" w:eastAsia="zh-CN"/>
              </w:rPr>
            </w:pPr>
          </w:p>
        </w:tc>
        <w:tc>
          <w:tcPr>
            <w:tcW w:w="7200" w:type="dxa"/>
            <w:tcBorders>
              <w:bottom w:val="single" w:sz="12" w:space="0" w:color="auto"/>
            </w:tcBorders>
            <w:shd w:val="clear" w:color="auto" w:fill="auto"/>
          </w:tcPr>
          <w:p w14:paraId="3FCE76C4" w14:textId="77777777" w:rsidR="00C84285" w:rsidRPr="006E1004" w:rsidRDefault="00C84285" w:rsidP="001C1E89">
            <w:pPr>
              <w:pStyle w:val="Normal-pool"/>
              <w:spacing w:before="40" w:after="40"/>
              <w:rPr>
                <w:rFonts w:eastAsia="SimSun"/>
                <w:sz w:val="18"/>
                <w:szCs w:val="18"/>
                <w:lang w:val="es-ES"/>
              </w:rPr>
            </w:pPr>
            <w:r w:rsidRPr="006E1004">
              <w:rPr>
                <w:sz w:val="18"/>
                <w:szCs w:val="18"/>
                <w:lang w:val="es-ES"/>
              </w:rPr>
              <w:t>Participación de las partes interesadas, incluida la organización de un “día dedicado a las partes interesadas” y apoyo a actividades regionales y subregionales relacionadas con la participación de los interesados</w:t>
            </w:r>
          </w:p>
        </w:tc>
      </w:tr>
    </w:tbl>
    <w:p w14:paraId="4B595218" w14:textId="77777777" w:rsidR="00C84285" w:rsidRPr="00BE7E86" w:rsidRDefault="00C84285" w:rsidP="00C84285">
      <w:pPr>
        <w:pStyle w:val="CH1"/>
        <w:rPr>
          <w:sz w:val="24"/>
          <w:szCs w:val="24"/>
          <w:lang w:val="es-ES"/>
        </w:rPr>
      </w:pPr>
      <w:r>
        <w:rPr>
          <w:lang w:val="es-ES"/>
        </w:rPr>
        <w:tab/>
        <w:t>VI.</w:t>
      </w:r>
      <w:r>
        <w:rPr>
          <w:lang w:val="es-ES"/>
        </w:rPr>
        <w:tab/>
      </w:r>
      <w:r>
        <w:rPr>
          <w:bCs/>
          <w:lang w:val="es-ES"/>
        </w:rPr>
        <w:t>Objetivo 6: Examen de la eficacia</w:t>
      </w:r>
    </w:p>
    <w:p w14:paraId="3CAF4028" w14:textId="53B5C9FE" w:rsidR="00C84285" w:rsidRPr="00BE7E86" w:rsidRDefault="00C84285" w:rsidP="00C84285">
      <w:pPr>
        <w:pStyle w:val="CH2"/>
        <w:rPr>
          <w:lang w:val="es-ES"/>
        </w:rPr>
      </w:pPr>
      <w:r>
        <w:rPr>
          <w:lang w:val="es-ES"/>
        </w:rPr>
        <w:tab/>
        <w:t>A.</w:t>
      </w:r>
      <w:r>
        <w:rPr>
          <w:lang w:val="es-ES"/>
        </w:rPr>
        <w:tab/>
      </w:r>
      <w:r>
        <w:rPr>
          <w:bCs/>
          <w:lang w:val="es-ES"/>
        </w:rPr>
        <w:t>Producto previsto 6: Examen de la eficacia</w:t>
      </w:r>
    </w:p>
    <w:p w14:paraId="2A3D056A" w14:textId="77777777" w:rsidR="00C84285" w:rsidRPr="009E4014" w:rsidRDefault="00C84285" w:rsidP="00C84285">
      <w:pPr>
        <w:pStyle w:val="CH3"/>
        <w:rPr>
          <w:rFonts w:eastAsia="SimSun"/>
        </w:rPr>
      </w:pPr>
      <w:r>
        <w:rPr>
          <w:lang w:val="es-ES"/>
        </w:rPr>
        <w:tab/>
        <w:t>1.</w:t>
      </w:r>
      <w:r>
        <w:rPr>
          <w:lang w:val="es-ES"/>
        </w:rPr>
        <w:tab/>
      </w:r>
      <w:r>
        <w:rPr>
          <w:bCs/>
          <w:lang w:val="es-ES"/>
        </w:rPr>
        <w:t>Antecedentes</w:t>
      </w:r>
    </w:p>
    <w:p w14:paraId="020586E8" w14:textId="77777777" w:rsidR="00C84285" w:rsidRPr="00BE7E86" w:rsidRDefault="00C84285" w:rsidP="001C1E89">
      <w:pPr>
        <w:pStyle w:val="Normalnumber"/>
        <w:numPr>
          <w:ilvl w:val="0"/>
          <w:numId w:val="5"/>
        </w:numPr>
        <w:tabs>
          <w:tab w:val="left" w:pos="1871"/>
          <w:tab w:val="left" w:pos="2495"/>
        </w:tabs>
        <w:ind w:left="1247" w:firstLine="0"/>
        <w:rPr>
          <w:lang w:val="es-ES"/>
        </w:rPr>
      </w:pPr>
      <w:r>
        <w:rPr>
          <w:lang w:val="es-ES"/>
        </w:rPr>
        <w:t xml:space="preserve">El primer programa de trabajo incluyó el producto previsto 4 e): “Exámenes de la eficacia de las directrices, los procedimientos, los métodos y los enfoques para fundamentar el desarrollo futuro de la Plataforma”. </w:t>
      </w:r>
    </w:p>
    <w:p w14:paraId="29152C21" w14:textId="2B217D2F" w:rsidR="00C84285" w:rsidRPr="00BE7E86" w:rsidRDefault="00C84285" w:rsidP="001C1E89">
      <w:pPr>
        <w:pStyle w:val="Normalnumber"/>
        <w:numPr>
          <w:ilvl w:val="0"/>
          <w:numId w:val="5"/>
        </w:numPr>
        <w:tabs>
          <w:tab w:val="left" w:pos="1871"/>
          <w:tab w:val="left" w:pos="2495"/>
        </w:tabs>
        <w:ind w:left="1247" w:firstLine="0"/>
        <w:rPr>
          <w:lang w:val="es-ES"/>
        </w:rPr>
      </w:pPr>
      <w:r>
        <w:rPr>
          <w:lang w:val="es-ES"/>
        </w:rPr>
        <w:t>El examen de la Plataforma al término de su primer programa de trabajo, que incluyó un elemento interno y otro externo, fue iniciado por el Plenario en la decisión IPBES-5/2. El Plenario observó los resultados del examen interno en la decisión IPBES-6/1</w:t>
      </w:r>
      <w:r w:rsidR="00110F0D">
        <w:rPr>
          <w:lang w:val="es-ES"/>
        </w:rPr>
        <w:t>,</w:t>
      </w:r>
      <w:r w:rsidR="00BF25AE">
        <w:rPr>
          <w:lang w:val="es-ES"/>
        </w:rPr>
        <w:t xml:space="preserve"> que fueron utilizados por </w:t>
      </w:r>
      <w:r>
        <w:rPr>
          <w:lang w:val="es-ES"/>
        </w:rPr>
        <w:t>el Grupo y la Mesa para orientar la ejecución de los productos previstos restantes del primer programa de trabajo y fundamentar el diseño del programa de trabajo hasta 2030</w:t>
      </w:r>
      <w:r w:rsidR="008B412F">
        <w:rPr>
          <w:lang w:val="es-ES"/>
        </w:rPr>
        <w:t>,</w:t>
      </w:r>
      <w:r>
        <w:rPr>
          <w:lang w:val="es-ES"/>
        </w:rPr>
        <w:t xml:space="preserve"> y comunicados al equipo de examen externo. Los resultados del examen externo serán presentados al Plenario en su séptimo período de sesiones</w:t>
      </w:r>
      <w:r w:rsidRPr="009E4014">
        <w:rPr>
          <w:rStyle w:val="FootnoteReference"/>
          <w:szCs w:val="20"/>
          <w:lang w:val="es-ES"/>
        </w:rPr>
        <w:footnoteReference w:id="20"/>
      </w:r>
      <w:r>
        <w:rPr>
          <w:lang w:val="es-ES"/>
        </w:rPr>
        <w:t xml:space="preserve">. </w:t>
      </w:r>
    </w:p>
    <w:p w14:paraId="2C4AAA29" w14:textId="0A1B3DD3" w:rsidR="00C84285" w:rsidRPr="00BE7E86" w:rsidRDefault="00C84285" w:rsidP="001C1E89">
      <w:pPr>
        <w:pStyle w:val="Normalnumber"/>
        <w:numPr>
          <w:ilvl w:val="0"/>
          <w:numId w:val="5"/>
        </w:numPr>
        <w:tabs>
          <w:tab w:val="left" w:pos="1871"/>
          <w:tab w:val="left" w:pos="2495"/>
        </w:tabs>
        <w:ind w:left="1247" w:firstLine="0"/>
        <w:rPr>
          <w:lang w:val="es-ES"/>
        </w:rPr>
      </w:pPr>
      <w:r>
        <w:rPr>
          <w:lang w:val="es-ES"/>
        </w:rPr>
        <w:t>En los principios operativos de la Plataforma, que figuran en su resolución fundacional, se afirma que la eficiencia y eficacia de la Plataforma se evaluará</w:t>
      </w:r>
      <w:r w:rsidR="008B412F">
        <w:rPr>
          <w:lang w:val="es-ES"/>
        </w:rPr>
        <w:t>n</w:t>
      </w:r>
      <w:r w:rsidRPr="00F53296">
        <w:rPr>
          <w:lang w:val="es-ES"/>
        </w:rPr>
        <w:t xml:space="preserve"> </w:t>
      </w:r>
      <w:r w:rsidR="008B412F">
        <w:rPr>
          <w:lang w:val="es-ES"/>
        </w:rPr>
        <w:t>de manera periódica por medio de un</w:t>
      </w:r>
      <w:r w:rsidR="00993038">
        <w:rPr>
          <w:lang w:val="es-ES"/>
        </w:rPr>
        <w:t> </w:t>
      </w:r>
      <w:r w:rsidR="008B412F">
        <w:rPr>
          <w:lang w:val="es-ES"/>
        </w:rPr>
        <w:t xml:space="preserve">proceso de examen independiente </w:t>
      </w:r>
      <w:r>
        <w:rPr>
          <w:lang w:val="es-ES"/>
        </w:rPr>
        <w:t>, según decida el Plenario, y se harán los ajustes necesarios</w:t>
      </w:r>
      <w:r w:rsidRPr="009E4014">
        <w:rPr>
          <w:rStyle w:val="FootnoteReference"/>
          <w:szCs w:val="20"/>
          <w:lang w:val="es-ES"/>
        </w:rPr>
        <w:footnoteReference w:id="21"/>
      </w:r>
      <w:r>
        <w:rPr>
          <w:lang w:val="es-ES"/>
        </w:rPr>
        <w:t>. Por</w:t>
      </w:r>
      <w:r w:rsidR="00993038">
        <w:rPr>
          <w:lang w:val="es-ES"/>
        </w:rPr>
        <w:t> </w:t>
      </w:r>
      <w:r>
        <w:rPr>
          <w:lang w:val="es-ES"/>
        </w:rPr>
        <w:t>consiguiente, se recomienda que el Plenario, en algún momento más adelante en el programa de</w:t>
      </w:r>
      <w:r w:rsidR="00993038">
        <w:rPr>
          <w:lang w:val="es-ES"/>
        </w:rPr>
        <w:t> </w:t>
      </w:r>
      <w:r>
        <w:rPr>
          <w:lang w:val="es-ES"/>
        </w:rPr>
        <w:t>trabajo de la IPBES hasta 2030, decida sobre un examen ulterior de la eficiencia y eficacia de la</w:t>
      </w:r>
      <w:r w:rsidR="00993038">
        <w:rPr>
          <w:lang w:val="es-ES"/>
        </w:rPr>
        <w:t> </w:t>
      </w:r>
      <w:r>
        <w:rPr>
          <w:lang w:val="es-ES"/>
        </w:rPr>
        <w:t xml:space="preserve">Plataforma. </w:t>
      </w:r>
    </w:p>
    <w:p w14:paraId="476EABE7" w14:textId="77777777" w:rsidR="00C84285" w:rsidRPr="00BE7E86" w:rsidRDefault="00C84285" w:rsidP="001C1E89">
      <w:pPr>
        <w:pStyle w:val="Normalnumber"/>
        <w:numPr>
          <w:ilvl w:val="0"/>
          <w:numId w:val="5"/>
        </w:numPr>
        <w:tabs>
          <w:tab w:val="left" w:pos="1871"/>
          <w:tab w:val="left" w:pos="2495"/>
        </w:tabs>
        <w:ind w:left="1247" w:firstLine="0"/>
        <w:rPr>
          <w:lang w:val="es-ES"/>
        </w:rPr>
      </w:pPr>
      <w:r>
        <w:rPr>
          <w:lang w:val="es-ES"/>
        </w:rPr>
        <w:t>El producto previsto 6 incluirá el seguimiento del examen de la Plataforma al finalizar su primer programa de trabajo y exámenes de mitad de período y al final del programa de trabajo para el período hasta 2030.</w:t>
      </w:r>
    </w:p>
    <w:p w14:paraId="7BC5A1EB" w14:textId="77777777" w:rsidR="00C84285" w:rsidRPr="00732E7C" w:rsidRDefault="00C84285" w:rsidP="00C84285">
      <w:pPr>
        <w:pStyle w:val="CH3"/>
      </w:pPr>
      <w:r>
        <w:rPr>
          <w:lang w:val="es-ES"/>
        </w:rPr>
        <w:tab/>
        <w:t>2.</w:t>
      </w:r>
      <w:r>
        <w:rPr>
          <w:lang w:val="es-ES"/>
        </w:rPr>
        <w:tab/>
      </w:r>
      <w:r>
        <w:rPr>
          <w:bCs/>
          <w:lang w:val="es-ES"/>
        </w:rPr>
        <w:t>Supuestos y arreglos institucionales</w:t>
      </w:r>
    </w:p>
    <w:p w14:paraId="67E1AEE0" w14:textId="2F8A2349" w:rsidR="00C84285" w:rsidRPr="00BE7E86" w:rsidRDefault="00C84285" w:rsidP="001C1E89">
      <w:pPr>
        <w:pStyle w:val="Normalnumber"/>
        <w:numPr>
          <w:ilvl w:val="0"/>
          <w:numId w:val="5"/>
        </w:numPr>
        <w:tabs>
          <w:tab w:val="left" w:pos="1871"/>
          <w:tab w:val="left" w:pos="2495"/>
        </w:tabs>
        <w:ind w:left="1247" w:firstLine="0"/>
        <w:rPr>
          <w:lang w:val="es-ES"/>
        </w:rPr>
      </w:pPr>
      <w:r>
        <w:rPr>
          <w:lang w:val="es-ES"/>
        </w:rPr>
        <w:t>Se sugiere que el Grupo, la Mesa y la Secretaría, según proceda, tengan en cuenta las recomendaciones resultantes del examen de la Plataforma al final de su primer programa de trabajo y</w:t>
      </w:r>
      <w:r w:rsidR="006E1004">
        <w:rPr>
          <w:lang w:val="es-ES"/>
        </w:rPr>
        <w:t> </w:t>
      </w:r>
      <w:r>
        <w:rPr>
          <w:lang w:val="es-ES"/>
        </w:rPr>
        <w:t>del informe al Plenario sobre los progresos realizados. La Mesa y el Grupo orientarán la elaboración del mandato para un examen de mitad de período y un examen al final del programa de trabajo hasta</w:t>
      </w:r>
      <w:r w:rsidR="006E1004">
        <w:rPr>
          <w:lang w:val="es-ES"/>
        </w:rPr>
        <w:t> </w:t>
      </w:r>
      <w:r>
        <w:rPr>
          <w:lang w:val="es-ES"/>
        </w:rPr>
        <w:t xml:space="preserve">2030.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C84285" w:rsidRPr="00FE5903" w14:paraId="663151D7" w14:textId="77777777" w:rsidTr="00C84285">
        <w:trPr>
          <w:trHeight w:val="634"/>
        </w:trPr>
        <w:tc>
          <w:tcPr>
            <w:tcW w:w="1897" w:type="dxa"/>
          </w:tcPr>
          <w:p w14:paraId="57FEC6FA" w14:textId="77777777" w:rsidR="00C84285" w:rsidRPr="00BE7E86" w:rsidRDefault="00C84285" w:rsidP="001C1E89">
            <w:pPr>
              <w:pStyle w:val="Normal-pool"/>
              <w:rPr>
                <w:lang w:val="es-ES"/>
              </w:rPr>
            </w:pPr>
          </w:p>
        </w:tc>
        <w:tc>
          <w:tcPr>
            <w:tcW w:w="1897" w:type="dxa"/>
          </w:tcPr>
          <w:p w14:paraId="64244B78" w14:textId="77777777" w:rsidR="00C84285" w:rsidRPr="00BE7E86" w:rsidRDefault="00C84285" w:rsidP="001C1E89">
            <w:pPr>
              <w:pStyle w:val="Normal-pool"/>
              <w:rPr>
                <w:lang w:val="es-ES"/>
              </w:rPr>
            </w:pPr>
          </w:p>
        </w:tc>
        <w:tc>
          <w:tcPr>
            <w:tcW w:w="1897" w:type="dxa"/>
            <w:tcBorders>
              <w:bottom w:val="single" w:sz="4" w:space="0" w:color="auto"/>
            </w:tcBorders>
          </w:tcPr>
          <w:p w14:paraId="5F7034F3" w14:textId="77777777" w:rsidR="00C84285" w:rsidRPr="00BE7E86" w:rsidRDefault="00C84285" w:rsidP="001C1E89">
            <w:pPr>
              <w:pStyle w:val="Normal-pool"/>
              <w:rPr>
                <w:lang w:val="es-ES"/>
              </w:rPr>
            </w:pPr>
          </w:p>
        </w:tc>
        <w:tc>
          <w:tcPr>
            <w:tcW w:w="1897" w:type="dxa"/>
          </w:tcPr>
          <w:p w14:paraId="6EAC3FDE" w14:textId="77777777" w:rsidR="00C84285" w:rsidRPr="00BE7E86" w:rsidRDefault="00C84285" w:rsidP="001C1E89">
            <w:pPr>
              <w:pStyle w:val="Normal-pool"/>
              <w:rPr>
                <w:lang w:val="es-ES"/>
              </w:rPr>
            </w:pPr>
          </w:p>
        </w:tc>
        <w:tc>
          <w:tcPr>
            <w:tcW w:w="1898" w:type="dxa"/>
          </w:tcPr>
          <w:p w14:paraId="611B0F93" w14:textId="77777777" w:rsidR="00C84285" w:rsidRPr="00BE7E86" w:rsidRDefault="00C84285" w:rsidP="001C1E89">
            <w:pPr>
              <w:pStyle w:val="Normal-pool"/>
              <w:rPr>
                <w:lang w:val="es-ES"/>
              </w:rPr>
            </w:pPr>
          </w:p>
        </w:tc>
      </w:tr>
    </w:tbl>
    <w:p w14:paraId="0D1DA456" w14:textId="77777777" w:rsidR="00C84285" w:rsidRPr="00BE7E86" w:rsidRDefault="00C84285" w:rsidP="00C84285">
      <w:pPr>
        <w:pStyle w:val="Normal-pool"/>
        <w:rPr>
          <w:sz w:val="16"/>
          <w:szCs w:val="16"/>
          <w:lang w:val="es-ES"/>
        </w:rPr>
      </w:pPr>
    </w:p>
    <w:sectPr w:rsidR="00C84285" w:rsidRPr="00BE7E86" w:rsidSect="00D161EA">
      <w:headerReference w:type="even" r:id="rId16"/>
      <w:headerReference w:type="default" r:id="rId17"/>
      <w:footerReference w:type="even" r:id="rId18"/>
      <w:footerReference w:type="default" r:id="rId19"/>
      <w:headerReference w:type="first" r:id="rId20"/>
      <w:footerReference w:type="first" r:id="rId21"/>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162FB" w14:textId="77777777" w:rsidR="00343B7A" w:rsidRDefault="00343B7A">
      <w:r>
        <w:separator/>
      </w:r>
    </w:p>
  </w:endnote>
  <w:endnote w:type="continuationSeparator" w:id="0">
    <w:p w14:paraId="6C0E53D6" w14:textId="77777777" w:rsidR="00343B7A" w:rsidRDefault="0034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902544"/>
      <w:docPartObj>
        <w:docPartGallery w:val="Page Numbers (Bottom of Page)"/>
        <w:docPartUnique/>
      </w:docPartObj>
    </w:sdtPr>
    <w:sdtEndPr>
      <w:rPr>
        <w:noProof/>
      </w:rPr>
    </w:sdtEndPr>
    <w:sdtContent>
      <w:p w14:paraId="717F89E7" w14:textId="77777777" w:rsidR="00B1021D" w:rsidRDefault="00B1021D" w:rsidP="005C34BE">
        <w:pPr>
          <w:pStyle w:val="Footer-pool"/>
        </w:pPr>
        <w:r>
          <w:fldChar w:fldCharType="begin"/>
        </w:r>
        <w:r>
          <w:instrText xml:space="preserve"> PAGE   \* MERGEFORMAT </w:instrText>
        </w:r>
        <w:r>
          <w:fldChar w:fldCharType="separate"/>
        </w:r>
        <w:r>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151905"/>
      <w:docPartObj>
        <w:docPartGallery w:val="Page Numbers (Bottom of Page)"/>
        <w:docPartUnique/>
      </w:docPartObj>
    </w:sdtPr>
    <w:sdtEndPr>
      <w:rPr>
        <w:noProof/>
      </w:rPr>
    </w:sdtEndPr>
    <w:sdtContent>
      <w:p w14:paraId="0841D7A3" w14:textId="77777777" w:rsidR="00B1021D" w:rsidRDefault="00B1021D" w:rsidP="005C34BE">
        <w:pPr>
          <w:pStyle w:val="Footer-pool"/>
          <w:jc w:val="right"/>
        </w:pPr>
        <w:r>
          <w:fldChar w:fldCharType="begin"/>
        </w:r>
        <w:r>
          <w:instrText xml:space="preserve"> PAGE   \* MERGEFORMAT </w:instrText>
        </w:r>
        <w:r>
          <w:fldChar w:fldCharType="separate"/>
        </w:r>
        <w:r>
          <w:rPr>
            <w:noProof/>
          </w:rPr>
          <w:t>13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908862"/>
      <w:docPartObj>
        <w:docPartGallery w:val="Page Numbers (Bottom of Page)"/>
        <w:docPartUnique/>
      </w:docPartObj>
    </w:sdtPr>
    <w:sdtEndPr>
      <w:rPr>
        <w:noProof/>
      </w:rPr>
    </w:sdtEndPr>
    <w:sdtContent>
      <w:p w14:paraId="0470E2BA" w14:textId="1F3F7534" w:rsidR="00B1021D" w:rsidRDefault="00B1021D" w:rsidP="005C34BE">
        <w:pPr>
          <w:pStyle w:val="Normal-pool"/>
        </w:pPr>
        <w:r>
          <w:t>K1900341</w:t>
        </w:r>
        <w:r>
          <w:tab/>
          <w:t>2</w:t>
        </w:r>
        <w:r w:rsidR="004B5C66">
          <w:t>8</w:t>
        </w:r>
        <w:r>
          <w:t>0319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76048" w14:textId="77777777" w:rsidR="00343B7A" w:rsidRPr="005C34BE" w:rsidRDefault="00343B7A" w:rsidP="0093471E">
      <w:pPr>
        <w:pStyle w:val="NormalNonumber"/>
        <w:tabs>
          <w:tab w:val="clear" w:pos="1247"/>
          <w:tab w:val="clear" w:pos="1814"/>
          <w:tab w:val="clear" w:pos="2381"/>
          <w:tab w:val="clear" w:pos="2948"/>
          <w:tab w:val="clear" w:pos="3515"/>
          <w:tab w:val="clear" w:pos="4082"/>
          <w:tab w:val="left" w:pos="624"/>
        </w:tabs>
        <w:spacing w:before="20" w:after="40"/>
        <w:ind w:left="624"/>
        <w:rPr>
          <w:sz w:val="18"/>
          <w:szCs w:val="18"/>
        </w:rPr>
      </w:pPr>
      <w:r w:rsidRPr="005C34BE">
        <w:rPr>
          <w:sz w:val="18"/>
          <w:szCs w:val="18"/>
        </w:rPr>
        <w:separator/>
      </w:r>
    </w:p>
  </w:footnote>
  <w:footnote w:type="continuationSeparator" w:id="0">
    <w:p w14:paraId="38492B65" w14:textId="77777777" w:rsidR="00343B7A" w:rsidRDefault="00343B7A">
      <w:r>
        <w:continuationSeparator/>
      </w:r>
    </w:p>
  </w:footnote>
  <w:footnote w:id="1">
    <w:p w14:paraId="2059AF82" w14:textId="5FF758B9" w:rsidR="00B1021D" w:rsidRPr="0093471E" w:rsidRDefault="00B1021D" w:rsidP="0093471E">
      <w:pPr>
        <w:pStyle w:val="NormalNonumber"/>
        <w:tabs>
          <w:tab w:val="clear" w:pos="1247"/>
          <w:tab w:val="clear" w:pos="1814"/>
          <w:tab w:val="clear" w:pos="2381"/>
          <w:tab w:val="clear" w:pos="2948"/>
          <w:tab w:val="clear" w:pos="3515"/>
          <w:tab w:val="clear" w:pos="4082"/>
          <w:tab w:val="left" w:pos="624"/>
        </w:tabs>
        <w:spacing w:before="20" w:after="40"/>
        <w:rPr>
          <w:sz w:val="18"/>
          <w:szCs w:val="18"/>
          <w:lang w:val="es-ES_tradnl"/>
        </w:rPr>
      </w:pPr>
      <w:r w:rsidRPr="0093471E">
        <w:rPr>
          <w:sz w:val="18"/>
          <w:szCs w:val="18"/>
          <w:lang w:val="es-ES"/>
        </w:rPr>
        <w:t>* IPBES/7/1</w:t>
      </w:r>
      <w:r w:rsidR="004B5C66">
        <w:rPr>
          <w:sz w:val="18"/>
          <w:szCs w:val="18"/>
          <w:lang w:val="es-ES"/>
        </w:rPr>
        <w:t>/Rev.1</w:t>
      </w:r>
      <w:r w:rsidRPr="0093471E">
        <w:rPr>
          <w:sz w:val="18"/>
          <w:szCs w:val="18"/>
          <w:lang w:val="es-ES"/>
        </w:rPr>
        <w:t>.</w:t>
      </w:r>
    </w:p>
  </w:footnote>
  <w:footnote w:id="2">
    <w:p w14:paraId="2BAECF91" w14:textId="77777777" w:rsidR="00B1021D" w:rsidRPr="0093471E" w:rsidRDefault="00B1021D" w:rsidP="0093471E">
      <w:pPr>
        <w:pStyle w:val="NormalNonumber"/>
        <w:tabs>
          <w:tab w:val="clear" w:pos="1247"/>
          <w:tab w:val="clear" w:pos="1814"/>
          <w:tab w:val="clear" w:pos="2381"/>
          <w:tab w:val="clear" w:pos="2948"/>
          <w:tab w:val="clear" w:pos="3515"/>
          <w:tab w:val="clear" w:pos="4082"/>
          <w:tab w:val="left" w:pos="624"/>
        </w:tabs>
        <w:spacing w:before="20" w:after="40"/>
        <w:rPr>
          <w:sz w:val="18"/>
          <w:szCs w:val="18"/>
          <w:lang w:val="es-ES_tradnl"/>
        </w:rPr>
      </w:pPr>
      <w:r w:rsidRPr="0093471E">
        <w:rPr>
          <w:rStyle w:val="FootnoteReference"/>
          <w:sz w:val="18"/>
          <w:lang w:val="es-ES"/>
        </w:rPr>
        <w:footnoteRef/>
      </w:r>
      <w:r w:rsidRPr="0093471E">
        <w:rPr>
          <w:sz w:val="18"/>
          <w:szCs w:val="18"/>
          <w:lang w:val="es-ES"/>
        </w:rPr>
        <w:t xml:space="preserve"> Decisión IPBES-3/3, anexo I. </w:t>
      </w:r>
    </w:p>
  </w:footnote>
  <w:footnote w:id="3">
    <w:p w14:paraId="6C5DB023" w14:textId="77777777" w:rsidR="00B1021D" w:rsidRPr="0093471E" w:rsidRDefault="00B1021D" w:rsidP="0093471E">
      <w:pPr>
        <w:pStyle w:val="NormalNonumber"/>
        <w:tabs>
          <w:tab w:val="clear" w:pos="1247"/>
          <w:tab w:val="clear" w:pos="1814"/>
          <w:tab w:val="clear" w:pos="2381"/>
          <w:tab w:val="clear" w:pos="2948"/>
          <w:tab w:val="clear" w:pos="3515"/>
          <w:tab w:val="clear" w:pos="4082"/>
          <w:tab w:val="left" w:pos="624"/>
        </w:tabs>
        <w:spacing w:before="20" w:after="40"/>
        <w:rPr>
          <w:sz w:val="18"/>
          <w:szCs w:val="18"/>
          <w:lang w:val="es-ES_tradnl"/>
        </w:rPr>
      </w:pPr>
      <w:r w:rsidRPr="0093471E">
        <w:rPr>
          <w:rStyle w:val="FootnoteReference"/>
          <w:sz w:val="18"/>
          <w:lang w:val="es-ES"/>
        </w:rPr>
        <w:footnoteRef/>
      </w:r>
      <w:r w:rsidRPr="0093471E">
        <w:rPr>
          <w:sz w:val="18"/>
          <w:szCs w:val="18"/>
          <w:lang w:val="es-ES"/>
        </w:rPr>
        <w:t xml:space="preserve"> </w:t>
      </w:r>
      <w:r w:rsidRPr="00573EB5">
        <w:rPr>
          <w:i/>
          <w:sz w:val="18"/>
          <w:szCs w:val="18"/>
          <w:lang w:val="es-ES"/>
        </w:rPr>
        <w:t>Ibid</w:t>
      </w:r>
      <w:r w:rsidRPr="0093471E">
        <w:rPr>
          <w:sz w:val="18"/>
          <w:szCs w:val="18"/>
          <w:lang w:val="es-ES"/>
        </w:rPr>
        <w:t xml:space="preserve">. </w:t>
      </w:r>
    </w:p>
  </w:footnote>
  <w:footnote w:id="4">
    <w:p w14:paraId="613B0CF9" w14:textId="77777777" w:rsidR="00B1021D" w:rsidRPr="0093471E" w:rsidRDefault="00B1021D" w:rsidP="0093471E">
      <w:pPr>
        <w:pStyle w:val="NormalNonumber"/>
        <w:tabs>
          <w:tab w:val="clear" w:pos="1247"/>
          <w:tab w:val="clear" w:pos="1814"/>
          <w:tab w:val="clear" w:pos="2381"/>
          <w:tab w:val="clear" w:pos="2948"/>
          <w:tab w:val="clear" w:pos="3515"/>
          <w:tab w:val="clear" w:pos="4082"/>
          <w:tab w:val="left" w:pos="624"/>
        </w:tabs>
        <w:spacing w:before="20" w:after="40"/>
        <w:rPr>
          <w:sz w:val="18"/>
          <w:szCs w:val="18"/>
          <w:lang w:val="es-ES_tradnl"/>
        </w:rPr>
      </w:pPr>
      <w:r w:rsidRPr="0093471E">
        <w:rPr>
          <w:rStyle w:val="FootnoteReference"/>
          <w:sz w:val="18"/>
          <w:lang w:val="es-ES"/>
        </w:rPr>
        <w:footnoteRef/>
      </w:r>
      <w:r w:rsidRPr="0093471E">
        <w:rPr>
          <w:sz w:val="18"/>
          <w:szCs w:val="18"/>
          <w:lang w:val="es-ES"/>
        </w:rPr>
        <w:t xml:space="preserve"> Ibid. </w:t>
      </w:r>
    </w:p>
  </w:footnote>
  <w:footnote w:id="5">
    <w:p w14:paraId="316D99C7" w14:textId="77777777" w:rsidR="00B1021D" w:rsidRPr="0093471E" w:rsidRDefault="00B1021D" w:rsidP="0093471E">
      <w:pPr>
        <w:pStyle w:val="NormalNonumber"/>
        <w:tabs>
          <w:tab w:val="clear" w:pos="1247"/>
          <w:tab w:val="clear" w:pos="1814"/>
          <w:tab w:val="clear" w:pos="2381"/>
          <w:tab w:val="clear" w:pos="2948"/>
          <w:tab w:val="clear" w:pos="3515"/>
          <w:tab w:val="clear" w:pos="4082"/>
          <w:tab w:val="left" w:pos="624"/>
        </w:tabs>
        <w:spacing w:before="20" w:after="40"/>
        <w:rPr>
          <w:sz w:val="18"/>
          <w:szCs w:val="18"/>
          <w:lang w:val="es-ES_tradnl"/>
        </w:rPr>
      </w:pPr>
      <w:r w:rsidRPr="0093471E">
        <w:rPr>
          <w:rStyle w:val="FootnoteReference"/>
          <w:sz w:val="18"/>
          <w:lang w:val="es-ES"/>
        </w:rPr>
        <w:footnoteRef/>
      </w:r>
      <w:r w:rsidRPr="0093471E">
        <w:rPr>
          <w:sz w:val="18"/>
          <w:szCs w:val="18"/>
          <w:lang w:val="es-ES"/>
        </w:rPr>
        <w:t xml:space="preserve"> Decisión IPBES-3/3, anexo I, sección 3.2.</w:t>
      </w:r>
    </w:p>
  </w:footnote>
  <w:footnote w:id="6">
    <w:p w14:paraId="54B141A8" w14:textId="77777777" w:rsidR="00B1021D" w:rsidRPr="0093471E" w:rsidRDefault="00B1021D" w:rsidP="0093471E">
      <w:pPr>
        <w:pStyle w:val="NormalNonumber"/>
        <w:tabs>
          <w:tab w:val="clear" w:pos="1247"/>
          <w:tab w:val="clear" w:pos="1814"/>
          <w:tab w:val="clear" w:pos="2381"/>
          <w:tab w:val="clear" w:pos="2948"/>
          <w:tab w:val="clear" w:pos="3515"/>
          <w:tab w:val="clear" w:pos="4082"/>
          <w:tab w:val="left" w:pos="624"/>
        </w:tabs>
        <w:spacing w:before="20" w:after="40"/>
        <w:rPr>
          <w:sz w:val="18"/>
          <w:szCs w:val="18"/>
          <w:lang w:val="es-ES_tradnl"/>
        </w:rPr>
      </w:pPr>
      <w:r w:rsidRPr="0093471E">
        <w:rPr>
          <w:rStyle w:val="FootnoteReference"/>
          <w:sz w:val="18"/>
          <w:lang w:val="es-ES"/>
        </w:rPr>
        <w:footnoteRef/>
      </w:r>
      <w:r w:rsidRPr="0093471E">
        <w:rPr>
          <w:sz w:val="18"/>
          <w:szCs w:val="18"/>
          <w:lang w:val="es-ES"/>
        </w:rPr>
        <w:t xml:space="preserve"> Decisión IPBES-3/4, anexo III. </w:t>
      </w:r>
    </w:p>
  </w:footnote>
  <w:footnote w:id="7">
    <w:p w14:paraId="2F30A61F" w14:textId="77777777" w:rsidR="00B1021D" w:rsidRPr="0093471E" w:rsidRDefault="00B1021D" w:rsidP="0093471E">
      <w:pPr>
        <w:pStyle w:val="NormalNonumber"/>
        <w:tabs>
          <w:tab w:val="clear" w:pos="1247"/>
          <w:tab w:val="clear" w:pos="1814"/>
          <w:tab w:val="clear" w:pos="2381"/>
          <w:tab w:val="clear" w:pos="2948"/>
          <w:tab w:val="clear" w:pos="3515"/>
          <w:tab w:val="clear" w:pos="4082"/>
          <w:tab w:val="left" w:pos="624"/>
        </w:tabs>
        <w:spacing w:before="20" w:after="40"/>
        <w:rPr>
          <w:sz w:val="18"/>
          <w:szCs w:val="18"/>
          <w:lang w:val="es-ES_tradnl"/>
        </w:rPr>
      </w:pPr>
      <w:r w:rsidRPr="0093471E">
        <w:rPr>
          <w:rStyle w:val="FootnoteReference"/>
          <w:sz w:val="18"/>
          <w:lang w:val="es-ES"/>
        </w:rPr>
        <w:footnoteRef/>
      </w:r>
      <w:r w:rsidRPr="0093471E">
        <w:rPr>
          <w:sz w:val="18"/>
          <w:szCs w:val="18"/>
          <w:lang w:val="es-ES"/>
        </w:rPr>
        <w:t xml:space="preserve"> La versión más reciente del anexo del plan renovable puede consultarse en el documento IPBES/7/INF/7/Add.1. </w:t>
      </w:r>
    </w:p>
  </w:footnote>
  <w:footnote w:id="8">
    <w:p w14:paraId="7861AFCD" w14:textId="77777777" w:rsidR="00B1021D" w:rsidRPr="0093471E" w:rsidRDefault="00B1021D" w:rsidP="0093471E">
      <w:pPr>
        <w:pStyle w:val="NormalNonumber"/>
        <w:tabs>
          <w:tab w:val="clear" w:pos="1247"/>
          <w:tab w:val="clear" w:pos="1814"/>
          <w:tab w:val="clear" w:pos="2381"/>
          <w:tab w:val="clear" w:pos="2948"/>
          <w:tab w:val="clear" w:pos="3515"/>
          <w:tab w:val="clear" w:pos="4082"/>
          <w:tab w:val="left" w:pos="624"/>
        </w:tabs>
        <w:spacing w:before="20" w:after="40"/>
        <w:rPr>
          <w:sz w:val="18"/>
          <w:szCs w:val="18"/>
          <w:lang w:val="es-ES_tradnl"/>
        </w:rPr>
      </w:pPr>
      <w:r w:rsidRPr="0093471E">
        <w:rPr>
          <w:rStyle w:val="FootnoteReference"/>
          <w:sz w:val="18"/>
          <w:lang w:val="es-ES"/>
        </w:rPr>
        <w:footnoteRef/>
      </w:r>
      <w:r w:rsidRPr="0093471E">
        <w:rPr>
          <w:sz w:val="18"/>
          <w:szCs w:val="18"/>
          <w:lang w:val="es-ES"/>
        </w:rPr>
        <w:t xml:space="preserve"> Disponibles en el documento IPBES/5/INF/5, apéndices III y IV.</w:t>
      </w:r>
    </w:p>
  </w:footnote>
  <w:footnote w:id="9">
    <w:p w14:paraId="56A242AF" w14:textId="77777777" w:rsidR="00B1021D" w:rsidRPr="0093471E" w:rsidRDefault="00B1021D" w:rsidP="0093471E">
      <w:pPr>
        <w:pStyle w:val="NormalNonumber"/>
        <w:tabs>
          <w:tab w:val="clear" w:pos="1247"/>
          <w:tab w:val="clear" w:pos="1814"/>
          <w:tab w:val="clear" w:pos="2381"/>
          <w:tab w:val="clear" w:pos="2948"/>
          <w:tab w:val="clear" w:pos="3515"/>
          <w:tab w:val="clear" w:pos="4082"/>
          <w:tab w:val="left" w:pos="624"/>
        </w:tabs>
        <w:spacing w:before="20" w:after="40"/>
        <w:rPr>
          <w:sz w:val="18"/>
          <w:szCs w:val="18"/>
          <w:lang w:val="es-ES_tradnl"/>
        </w:rPr>
      </w:pPr>
      <w:r w:rsidRPr="0093471E">
        <w:rPr>
          <w:rStyle w:val="FootnoteReference"/>
          <w:sz w:val="18"/>
          <w:lang w:val="es-ES"/>
        </w:rPr>
        <w:footnoteRef/>
      </w:r>
      <w:r w:rsidRPr="0093471E">
        <w:rPr>
          <w:sz w:val="18"/>
          <w:szCs w:val="18"/>
          <w:lang w:val="es-ES"/>
        </w:rPr>
        <w:t xml:space="preserve"> Decisión IPBES-5/1, anexo II. </w:t>
      </w:r>
    </w:p>
  </w:footnote>
  <w:footnote w:id="10">
    <w:p w14:paraId="29E50D1D" w14:textId="59A45B03" w:rsidR="00B1021D" w:rsidRPr="0093471E" w:rsidRDefault="00B1021D" w:rsidP="0093471E">
      <w:pPr>
        <w:pStyle w:val="NormalNonumber"/>
        <w:tabs>
          <w:tab w:val="clear" w:pos="1247"/>
          <w:tab w:val="clear" w:pos="1814"/>
          <w:tab w:val="clear" w:pos="2381"/>
          <w:tab w:val="clear" w:pos="2948"/>
          <w:tab w:val="clear" w:pos="3515"/>
          <w:tab w:val="clear" w:pos="4082"/>
          <w:tab w:val="left" w:pos="624"/>
        </w:tabs>
        <w:spacing w:before="20" w:after="40"/>
        <w:rPr>
          <w:sz w:val="18"/>
          <w:szCs w:val="18"/>
          <w:lang w:val="es-ES_tradnl"/>
        </w:rPr>
      </w:pPr>
      <w:r w:rsidRPr="0093471E">
        <w:rPr>
          <w:rStyle w:val="FootnoteReference"/>
          <w:sz w:val="18"/>
          <w:lang w:val="es-ES"/>
        </w:rPr>
        <w:footnoteRef/>
      </w:r>
      <w:r w:rsidRPr="0093471E">
        <w:rPr>
          <w:sz w:val="18"/>
          <w:szCs w:val="18"/>
          <w:lang w:val="es-ES"/>
        </w:rPr>
        <w:t xml:space="preserve"> El proyecto de orientación metodológica figura en el documento IPBES/7/INF/8. </w:t>
      </w:r>
    </w:p>
  </w:footnote>
  <w:footnote w:id="11">
    <w:p w14:paraId="5334EDB2" w14:textId="77777777" w:rsidR="00B1021D" w:rsidRPr="0093471E" w:rsidRDefault="00B1021D" w:rsidP="0093471E">
      <w:pPr>
        <w:pStyle w:val="NormalNonumber"/>
        <w:tabs>
          <w:tab w:val="clear" w:pos="1247"/>
          <w:tab w:val="clear" w:pos="1814"/>
          <w:tab w:val="clear" w:pos="2381"/>
          <w:tab w:val="clear" w:pos="2948"/>
          <w:tab w:val="clear" w:pos="3515"/>
          <w:tab w:val="clear" w:pos="4082"/>
          <w:tab w:val="left" w:pos="624"/>
        </w:tabs>
        <w:spacing w:before="20" w:after="40"/>
        <w:rPr>
          <w:sz w:val="18"/>
          <w:szCs w:val="18"/>
          <w:lang w:val="es-ES_tradnl"/>
        </w:rPr>
      </w:pPr>
      <w:r w:rsidRPr="0093471E">
        <w:rPr>
          <w:rStyle w:val="FootnoteReference"/>
          <w:sz w:val="18"/>
          <w:lang w:val="es-ES"/>
        </w:rPr>
        <w:footnoteRef/>
      </w:r>
      <w:r w:rsidRPr="0093471E">
        <w:rPr>
          <w:sz w:val="18"/>
          <w:szCs w:val="18"/>
          <w:lang w:val="es-ES"/>
        </w:rPr>
        <w:t xml:space="preserve"> Decisión IPBES-2/5, sección VIII. El Plenario, en la sección VII de la decisión IPBES-3/1 y la sección VI de la decisión IPBES-4/1, concretó aún más el mandato del grupo de expertos.</w:t>
      </w:r>
    </w:p>
  </w:footnote>
  <w:footnote w:id="12">
    <w:p w14:paraId="308FAF8A" w14:textId="20108C92" w:rsidR="00B1021D" w:rsidRPr="0093471E" w:rsidRDefault="00B1021D" w:rsidP="0093471E">
      <w:pPr>
        <w:pStyle w:val="NormalNonumber"/>
        <w:tabs>
          <w:tab w:val="clear" w:pos="1247"/>
          <w:tab w:val="clear" w:pos="1814"/>
          <w:tab w:val="clear" w:pos="2381"/>
          <w:tab w:val="clear" w:pos="2948"/>
          <w:tab w:val="clear" w:pos="3515"/>
          <w:tab w:val="clear" w:pos="4082"/>
          <w:tab w:val="left" w:pos="624"/>
        </w:tabs>
        <w:spacing w:before="20" w:after="40"/>
        <w:rPr>
          <w:sz w:val="18"/>
          <w:szCs w:val="18"/>
          <w:highlight w:val="green"/>
          <w:lang w:val="es-ES_tradnl"/>
        </w:rPr>
      </w:pPr>
      <w:r w:rsidRPr="0093471E">
        <w:rPr>
          <w:rStyle w:val="FootnoteReference"/>
          <w:sz w:val="18"/>
          <w:lang w:val="es-ES"/>
        </w:rPr>
        <w:footnoteRef/>
      </w:r>
      <w:r w:rsidRPr="0093471E">
        <w:rPr>
          <w:sz w:val="18"/>
          <w:szCs w:val="18"/>
          <w:lang w:val="es-ES"/>
        </w:rPr>
        <w:t xml:space="preserve"> Esos procedimientos y la orientación metodológica figuran en el documento IPBES/5/INF/13. </w:t>
      </w:r>
    </w:p>
  </w:footnote>
  <w:footnote w:id="13">
    <w:p w14:paraId="134E0DDD" w14:textId="77777777" w:rsidR="00B1021D" w:rsidRPr="0093471E" w:rsidRDefault="00B1021D" w:rsidP="0093471E">
      <w:pPr>
        <w:pStyle w:val="NormalNonumber"/>
        <w:tabs>
          <w:tab w:val="clear" w:pos="1247"/>
          <w:tab w:val="clear" w:pos="1814"/>
          <w:tab w:val="clear" w:pos="2381"/>
          <w:tab w:val="clear" w:pos="2948"/>
          <w:tab w:val="clear" w:pos="3515"/>
          <w:tab w:val="clear" w:pos="4082"/>
          <w:tab w:val="left" w:pos="624"/>
        </w:tabs>
        <w:spacing w:before="20" w:after="40"/>
        <w:rPr>
          <w:sz w:val="18"/>
          <w:szCs w:val="18"/>
          <w:highlight w:val="lightGray"/>
          <w:lang w:val="es-ES_tradnl"/>
        </w:rPr>
      </w:pPr>
      <w:r w:rsidRPr="0093471E">
        <w:rPr>
          <w:rStyle w:val="FootnoteReference"/>
          <w:sz w:val="18"/>
          <w:lang w:val="es-ES"/>
        </w:rPr>
        <w:footnoteRef/>
      </w:r>
      <w:r w:rsidRPr="0093471E">
        <w:rPr>
          <w:sz w:val="18"/>
          <w:szCs w:val="18"/>
          <w:lang w:val="es-ES"/>
        </w:rPr>
        <w:t xml:space="preserve"> Puede consultarse en www.ipbes.net/policy-support.</w:t>
      </w:r>
    </w:p>
  </w:footnote>
  <w:footnote w:id="14">
    <w:p w14:paraId="34768AC3" w14:textId="77777777" w:rsidR="00B1021D" w:rsidRPr="0093471E" w:rsidRDefault="00B1021D" w:rsidP="0093471E">
      <w:pPr>
        <w:pStyle w:val="NormalNonumber"/>
        <w:tabs>
          <w:tab w:val="clear" w:pos="1247"/>
          <w:tab w:val="clear" w:pos="1814"/>
          <w:tab w:val="clear" w:pos="2381"/>
          <w:tab w:val="clear" w:pos="2948"/>
          <w:tab w:val="clear" w:pos="3515"/>
          <w:tab w:val="clear" w:pos="4082"/>
          <w:tab w:val="left" w:pos="624"/>
        </w:tabs>
        <w:spacing w:before="20" w:after="40"/>
        <w:rPr>
          <w:sz w:val="18"/>
          <w:szCs w:val="18"/>
          <w:lang w:val="es-ES_tradnl"/>
        </w:rPr>
      </w:pPr>
      <w:r w:rsidRPr="0093471E">
        <w:rPr>
          <w:rStyle w:val="FootnoteReference"/>
          <w:sz w:val="18"/>
          <w:lang w:val="es-ES"/>
        </w:rPr>
        <w:footnoteRef/>
      </w:r>
      <w:r w:rsidRPr="0093471E">
        <w:rPr>
          <w:sz w:val="18"/>
          <w:szCs w:val="18"/>
          <w:lang w:val="es-ES"/>
        </w:rPr>
        <w:t xml:space="preserve"> En el documento IPBES/5/INF/13 figuran esos procedimientos. </w:t>
      </w:r>
    </w:p>
  </w:footnote>
  <w:footnote w:id="15">
    <w:p w14:paraId="42B62C83" w14:textId="77777777" w:rsidR="00B1021D" w:rsidRPr="0093471E" w:rsidRDefault="00B1021D" w:rsidP="0093471E">
      <w:pPr>
        <w:pStyle w:val="NormalNonumber"/>
        <w:tabs>
          <w:tab w:val="clear" w:pos="1247"/>
          <w:tab w:val="clear" w:pos="1814"/>
          <w:tab w:val="clear" w:pos="2381"/>
          <w:tab w:val="clear" w:pos="2948"/>
          <w:tab w:val="clear" w:pos="3515"/>
          <w:tab w:val="clear" w:pos="4082"/>
          <w:tab w:val="left" w:pos="624"/>
        </w:tabs>
        <w:spacing w:before="20" w:after="40"/>
        <w:rPr>
          <w:sz w:val="18"/>
          <w:szCs w:val="18"/>
          <w:lang w:val="es-ES_tradnl"/>
        </w:rPr>
      </w:pPr>
      <w:r w:rsidRPr="0093471E">
        <w:rPr>
          <w:rStyle w:val="FootnoteReference"/>
          <w:sz w:val="18"/>
          <w:lang w:val="es-ES"/>
        </w:rPr>
        <w:footnoteRef/>
      </w:r>
      <w:r w:rsidRPr="0093471E">
        <w:rPr>
          <w:sz w:val="18"/>
          <w:szCs w:val="18"/>
          <w:lang w:val="es-ES"/>
        </w:rPr>
        <w:t xml:space="preserve"> Disponible en www.ipbes.net/scenarios-models.</w:t>
      </w:r>
    </w:p>
  </w:footnote>
  <w:footnote w:id="16">
    <w:p w14:paraId="61D676FA" w14:textId="77777777" w:rsidR="00B1021D" w:rsidRPr="0093471E" w:rsidRDefault="00B1021D" w:rsidP="0093471E">
      <w:pPr>
        <w:pStyle w:val="NormalNonumber"/>
        <w:tabs>
          <w:tab w:val="clear" w:pos="1247"/>
          <w:tab w:val="clear" w:pos="1814"/>
          <w:tab w:val="clear" w:pos="2381"/>
          <w:tab w:val="clear" w:pos="2948"/>
          <w:tab w:val="clear" w:pos="3515"/>
          <w:tab w:val="clear" w:pos="4082"/>
          <w:tab w:val="left" w:pos="624"/>
        </w:tabs>
        <w:spacing w:before="20" w:after="40"/>
        <w:rPr>
          <w:sz w:val="18"/>
          <w:szCs w:val="18"/>
          <w:lang w:val="es-ES_tradnl"/>
        </w:rPr>
      </w:pPr>
      <w:r w:rsidRPr="0093471E">
        <w:rPr>
          <w:rStyle w:val="FootnoteReference"/>
          <w:sz w:val="18"/>
          <w:lang w:val="es-ES"/>
        </w:rPr>
        <w:footnoteRef/>
      </w:r>
      <w:r w:rsidRPr="0093471E">
        <w:rPr>
          <w:sz w:val="18"/>
          <w:szCs w:val="18"/>
          <w:lang w:val="es-ES"/>
        </w:rPr>
        <w:t xml:space="preserve"> Decisión IPBES-4/1, anexo V. </w:t>
      </w:r>
    </w:p>
  </w:footnote>
  <w:footnote w:id="17">
    <w:p w14:paraId="7B9F4968" w14:textId="77777777" w:rsidR="00B1021D" w:rsidRPr="0093471E" w:rsidRDefault="00B1021D" w:rsidP="0093471E">
      <w:pPr>
        <w:pStyle w:val="NormalNonumber"/>
        <w:tabs>
          <w:tab w:val="clear" w:pos="1247"/>
          <w:tab w:val="clear" w:pos="1814"/>
          <w:tab w:val="clear" w:pos="2381"/>
          <w:tab w:val="clear" w:pos="2948"/>
          <w:tab w:val="clear" w:pos="3515"/>
          <w:tab w:val="clear" w:pos="4082"/>
          <w:tab w:val="left" w:pos="624"/>
        </w:tabs>
        <w:spacing w:before="20" w:after="40"/>
        <w:rPr>
          <w:sz w:val="18"/>
          <w:szCs w:val="18"/>
          <w:lang w:val="es-ES_tradnl"/>
        </w:rPr>
      </w:pPr>
      <w:r w:rsidRPr="0093471E">
        <w:rPr>
          <w:rStyle w:val="FootnoteReference"/>
          <w:sz w:val="18"/>
          <w:lang w:val="es-ES"/>
        </w:rPr>
        <w:footnoteRef/>
      </w:r>
      <w:r w:rsidRPr="0093471E">
        <w:rPr>
          <w:sz w:val="18"/>
          <w:szCs w:val="18"/>
          <w:lang w:val="es-ES"/>
        </w:rPr>
        <w:t xml:space="preserve"> Figura en el documento IPBES/4/INF/13.</w:t>
      </w:r>
    </w:p>
  </w:footnote>
  <w:footnote w:id="18">
    <w:p w14:paraId="45363B0D" w14:textId="77777777" w:rsidR="00B1021D" w:rsidRPr="0093471E" w:rsidRDefault="00B1021D" w:rsidP="0093471E">
      <w:pPr>
        <w:pStyle w:val="NormalNonumber"/>
        <w:tabs>
          <w:tab w:val="clear" w:pos="1247"/>
          <w:tab w:val="clear" w:pos="1814"/>
          <w:tab w:val="clear" w:pos="2381"/>
          <w:tab w:val="clear" w:pos="2948"/>
          <w:tab w:val="clear" w:pos="3515"/>
          <w:tab w:val="clear" w:pos="4082"/>
          <w:tab w:val="left" w:pos="624"/>
        </w:tabs>
        <w:spacing w:before="20" w:after="40"/>
        <w:rPr>
          <w:sz w:val="18"/>
          <w:szCs w:val="18"/>
          <w:lang w:val="es-ES"/>
        </w:rPr>
      </w:pPr>
      <w:r w:rsidRPr="0093471E">
        <w:rPr>
          <w:rStyle w:val="FootnoteReference"/>
          <w:sz w:val="18"/>
          <w:lang w:val="es-ES"/>
        </w:rPr>
        <w:footnoteRef/>
      </w:r>
      <w:r w:rsidRPr="0093471E">
        <w:rPr>
          <w:sz w:val="18"/>
          <w:szCs w:val="18"/>
          <w:lang w:val="es-ES"/>
        </w:rPr>
        <w:t xml:space="preserve"> Decisión IPBES-3/4, anexo I. </w:t>
      </w:r>
    </w:p>
  </w:footnote>
  <w:footnote w:id="19">
    <w:p w14:paraId="4C844A52" w14:textId="77777777" w:rsidR="00B1021D" w:rsidRPr="0093471E" w:rsidRDefault="00B1021D" w:rsidP="0093471E">
      <w:pPr>
        <w:pStyle w:val="NormalNonumber"/>
        <w:tabs>
          <w:tab w:val="clear" w:pos="1247"/>
          <w:tab w:val="clear" w:pos="1814"/>
          <w:tab w:val="clear" w:pos="2381"/>
          <w:tab w:val="clear" w:pos="2948"/>
          <w:tab w:val="clear" w:pos="3515"/>
          <w:tab w:val="clear" w:pos="4082"/>
          <w:tab w:val="left" w:pos="624"/>
        </w:tabs>
        <w:spacing w:before="20" w:after="40"/>
        <w:rPr>
          <w:sz w:val="18"/>
          <w:szCs w:val="18"/>
          <w:lang w:val="es-ES"/>
        </w:rPr>
      </w:pPr>
      <w:r w:rsidRPr="0093471E">
        <w:rPr>
          <w:rStyle w:val="FootnoteReference"/>
          <w:sz w:val="18"/>
          <w:lang w:val="es-ES"/>
        </w:rPr>
        <w:footnoteRef/>
      </w:r>
      <w:r w:rsidRPr="0093471E">
        <w:rPr>
          <w:sz w:val="18"/>
          <w:szCs w:val="18"/>
          <w:lang w:val="es-ES"/>
        </w:rPr>
        <w:t xml:space="preserve"> Decisión IPBES-3/4, anexo II. </w:t>
      </w:r>
    </w:p>
  </w:footnote>
  <w:footnote w:id="20">
    <w:p w14:paraId="0A241B83" w14:textId="77777777" w:rsidR="00B1021D" w:rsidRPr="0093471E" w:rsidRDefault="00B1021D" w:rsidP="0093471E">
      <w:pPr>
        <w:pStyle w:val="NormalNonumber"/>
        <w:tabs>
          <w:tab w:val="clear" w:pos="1247"/>
          <w:tab w:val="clear" w:pos="1814"/>
          <w:tab w:val="clear" w:pos="2381"/>
          <w:tab w:val="clear" w:pos="2948"/>
          <w:tab w:val="clear" w:pos="3515"/>
          <w:tab w:val="clear" w:pos="4082"/>
          <w:tab w:val="left" w:pos="624"/>
        </w:tabs>
        <w:spacing w:before="20" w:after="40"/>
        <w:rPr>
          <w:sz w:val="18"/>
          <w:szCs w:val="18"/>
          <w:highlight w:val="green"/>
          <w:lang w:val="es-ES"/>
        </w:rPr>
      </w:pPr>
      <w:r w:rsidRPr="0093471E">
        <w:rPr>
          <w:rStyle w:val="FootnoteReference"/>
          <w:sz w:val="18"/>
          <w:lang w:val="es-ES"/>
        </w:rPr>
        <w:footnoteRef/>
      </w:r>
      <w:r w:rsidRPr="0093471E">
        <w:rPr>
          <w:sz w:val="18"/>
          <w:szCs w:val="18"/>
          <w:lang w:val="es-ES"/>
        </w:rPr>
        <w:t xml:space="preserve"> Como se indica en el documento IPBES/7/5 y en el documento IPBES/7/INF/18. </w:t>
      </w:r>
    </w:p>
  </w:footnote>
  <w:footnote w:id="21">
    <w:p w14:paraId="26401D66" w14:textId="77777777" w:rsidR="00B1021D" w:rsidRPr="0093471E" w:rsidRDefault="00B1021D" w:rsidP="0093471E">
      <w:pPr>
        <w:pStyle w:val="NormalNonumber"/>
        <w:tabs>
          <w:tab w:val="clear" w:pos="1247"/>
          <w:tab w:val="clear" w:pos="1814"/>
          <w:tab w:val="clear" w:pos="2381"/>
          <w:tab w:val="clear" w:pos="2948"/>
          <w:tab w:val="clear" w:pos="3515"/>
          <w:tab w:val="clear" w:pos="4082"/>
          <w:tab w:val="left" w:pos="624"/>
        </w:tabs>
        <w:spacing w:before="20" w:after="40"/>
        <w:rPr>
          <w:sz w:val="18"/>
          <w:szCs w:val="18"/>
          <w:lang w:val="es-ES"/>
        </w:rPr>
      </w:pPr>
      <w:r w:rsidRPr="0093471E">
        <w:rPr>
          <w:rStyle w:val="FootnoteReference"/>
          <w:sz w:val="18"/>
          <w:lang w:val="es-ES"/>
        </w:rPr>
        <w:footnoteRef/>
      </w:r>
      <w:r w:rsidRPr="0093471E">
        <w:rPr>
          <w:sz w:val="18"/>
          <w:szCs w:val="18"/>
          <w:lang w:val="es-ES"/>
        </w:rPr>
        <w:t xml:space="preserve"> UNEP/IPBES.MI/2/9, anexo I, apéndice I, sección II.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8D096" w14:textId="0000B700" w:rsidR="00B1021D" w:rsidRDefault="00B1021D" w:rsidP="005C34BE">
    <w:pPr>
      <w:pStyle w:val="Header-pool"/>
    </w:pPr>
    <w:r>
      <w:t>IPBES/7/6/Add.2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12DBB" w14:textId="610A3ABA" w:rsidR="00B1021D" w:rsidRPr="003F2AFF" w:rsidRDefault="00B1021D" w:rsidP="005C34BE">
    <w:pPr>
      <w:pStyle w:val="Header-pool"/>
      <w:jc w:val="right"/>
    </w:pPr>
    <w:r>
      <w:t>IPBES/7/6/Add.2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2E3FF" w14:textId="78624A3F" w:rsidR="00B1021D" w:rsidRPr="008566CB" w:rsidRDefault="00B1021D" w:rsidP="00BF4160">
    <w:pPr>
      <w:pStyle w:val="Header"/>
      <w:pBdr>
        <w:bottom w:val="none" w:sz="0" w:space="0" w:color="auto"/>
      </w:pBdr>
      <w:rPr>
        <w:rFonts w:ascii="Times New Roman" w:hAnsi="Times New Roman"/>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209E1715"/>
    <w:multiLevelType w:val="hybridMultilevel"/>
    <w:tmpl w:val="CEF8A740"/>
    <w:lvl w:ilvl="0" w:tplc="C18EE48C">
      <w:start w:val="1"/>
      <w:numFmt w:val="decimal"/>
      <w:lvlText w:val="%1."/>
      <w:lvlJc w:val="left"/>
      <w:pPr>
        <w:ind w:left="1980" w:hanging="360"/>
      </w:pPr>
      <w:rPr>
        <w:b w:val="0"/>
        <w:sz w:val="20"/>
        <w:szCs w:val="20"/>
      </w:r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2" w15:restartNumberingAfterBreak="0">
    <w:nsid w:val="22D035DC"/>
    <w:multiLevelType w:val="multilevel"/>
    <w:tmpl w:val="03345C2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0"/>
  </w:num>
  <w:num w:numId="3">
    <w:abstractNumId w:val="3"/>
  </w:num>
  <w:num w:numId="4">
    <w:abstractNumId w:val="4"/>
    <w:lvlOverride w:ilvl="0">
      <w:lvl w:ilvl="0">
        <w:start w:val="1"/>
        <w:numFmt w:val="decimal"/>
        <w:pStyle w:val="Normalnumber"/>
        <w:lvlText w:val="%1."/>
        <w:lvlJc w:val="left"/>
        <w:pPr>
          <w:tabs>
            <w:tab w:val="num" w:pos="1134"/>
          </w:tabs>
          <w:ind w:left="1247" w:firstLine="0"/>
        </w:pPr>
        <w:rPr>
          <w:rFonts w:hint="default"/>
        </w:rPr>
      </w:lvl>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16A8"/>
    <w:rsid w:val="00005B3D"/>
    <w:rsid w:val="00007446"/>
    <w:rsid w:val="00010E52"/>
    <w:rsid w:val="00012076"/>
    <w:rsid w:val="00013CB5"/>
    <w:rsid w:val="000149E6"/>
    <w:rsid w:val="00017D49"/>
    <w:rsid w:val="00021C5A"/>
    <w:rsid w:val="00023275"/>
    <w:rsid w:val="000247B0"/>
    <w:rsid w:val="00026997"/>
    <w:rsid w:val="00031BBC"/>
    <w:rsid w:val="0003253E"/>
    <w:rsid w:val="00032E34"/>
    <w:rsid w:val="00033E0B"/>
    <w:rsid w:val="00034320"/>
    <w:rsid w:val="00035EDE"/>
    <w:rsid w:val="00037C27"/>
    <w:rsid w:val="00037F61"/>
    <w:rsid w:val="00042DB7"/>
    <w:rsid w:val="00043ABC"/>
    <w:rsid w:val="00043D72"/>
    <w:rsid w:val="0004605C"/>
    <w:rsid w:val="00046F87"/>
    <w:rsid w:val="000509B4"/>
    <w:rsid w:val="00052EA6"/>
    <w:rsid w:val="0006035B"/>
    <w:rsid w:val="000604DF"/>
    <w:rsid w:val="00065148"/>
    <w:rsid w:val="00067200"/>
    <w:rsid w:val="00070787"/>
    <w:rsid w:val="00070C57"/>
    <w:rsid w:val="00071886"/>
    <w:rsid w:val="000742BC"/>
    <w:rsid w:val="00076BA4"/>
    <w:rsid w:val="0007776B"/>
    <w:rsid w:val="00082A0C"/>
    <w:rsid w:val="00083504"/>
    <w:rsid w:val="00083FCD"/>
    <w:rsid w:val="000874C3"/>
    <w:rsid w:val="0009640C"/>
    <w:rsid w:val="0009758B"/>
    <w:rsid w:val="000A146D"/>
    <w:rsid w:val="000A36C9"/>
    <w:rsid w:val="000A3C7E"/>
    <w:rsid w:val="000A55FA"/>
    <w:rsid w:val="000A6088"/>
    <w:rsid w:val="000B22A2"/>
    <w:rsid w:val="000B3182"/>
    <w:rsid w:val="000B36DF"/>
    <w:rsid w:val="000B56EA"/>
    <w:rsid w:val="000B69C6"/>
    <w:rsid w:val="000C2A52"/>
    <w:rsid w:val="000C34A8"/>
    <w:rsid w:val="000D2F97"/>
    <w:rsid w:val="000D33C0"/>
    <w:rsid w:val="000D559D"/>
    <w:rsid w:val="000D618F"/>
    <w:rsid w:val="000D6941"/>
    <w:rsid w:val="000E033B"/>
    <w:rsid w:val="000E0915"/>
    <w:rsid w:val="000E0EB2"/>
    <w:rsid w:val="000E3150"/>
    <w:rsid w:val="000E4895"/>
    <w:rsid w:val="000E78A1"/>
    <w:rsid w:val="000F0C1C"/>
    <w:rsid w:val="000F2D98"/>
    <w:rsid w:val="000F5374"/>
    <w:rsid w:val="000F6B61"/>
    <w:rsid w:val="00103917"/>
    <w:rsid w:val="00104CEC"/>
    <w:rsid w:val="0010534D"/>
    <w:rsid w:val="00107BA7"/>
    <w:rsid w:val="00107C74"/>
    <w:rsid w:val="00107F35"/>
    <w:rsid w:val="00110F0D"/>
    <w:rsid w:val="00114549"/>
    <w:rsid w:val="00115A9D"/>
    <w:rsid w:val="00116D7F"/>
    <w:rsid w:val="001202E3"/>
    <w:rsid w:val="0012105D"/>
    <w:rsid w:val="00123699"/>
    <w:rsid w:val="00123D3D"/>
    <w:rsid w:val="00127197"/>
    <w:rsid w:val="0013059D"/>
    <w:rsid w:val="00135CCA"/>
    <w:rsid w:val="001369F8"/>
    <w:rsid w:val="001379ED"/>
    <w:rsid w:val="00137AEE"/>
    <w:rsid w:val="00141A55"/>
    <w:rsid w:val="001446A3"/>
    <w:rsid w:val="001513AC"/>
    <w:rsid w:val="001524CB"/>
    <w:rsid w:val="001546CE"/>
    <w:rsid w:val="00155395"/>
    <w:rsid w:val="00156B55"/>
    <w:rsid w:val="00160D74"/>
    <w:rsid w:val="0016143C"/>
    <w:rsid w:val="00162D1A"/>
    <w:rsid w:val="00167851"/>
    <w:rsid w:val="001679C7"/>
    <w:rsid w:val="00167D02"/>
    <w:rsid w:val="00170366"/>
    <w:rsid w:val="00172B62"/>
    <w:rsid w:val="00177213"/>
    <w:rsid w:val="001800E0"/>
    <w:rsid w:val="00181EC8"/>
    <w:rsid w:val="00184349"/>
    <w:rsid w:val="001915B1"/>
    <w:rsid w:val="00191670"/>
    <w:rsid w:val="001942CF"/>
    <w:rsid w:val="0019590E"/>
    <w:rsid w:val="00195F33"/>
    <w:rsid w:val="00196618"/>
    <w:rsid w:val="00196D35"/>
    <w:rsid w:val="001977B4"/>
    <w:rsid w:val="001A0B70"/>
    <w:rsid w:val="001A1536"/>
    <w:rsid w:val="001A179D"/>
    <w:rsid w:val="001A1970"/>
    <w:rsid w:val="001A453B"/>
    <w:rsid w:val="001A5B93"/>
    <w:rsid w:val="001B1617"/>
    <w:rsid w:val="001B239A"/>
    <w:rsid w:val="001B504B"/>
    <w:rsid w:val="001B50B5"/>
    <w:rsid w:val="001B7C62"/>
    <w:rsid w:val="001C1E89"/>
    <w:rsid w:val="001D3874"/>
    <w:rsid w:val="001D4AC9"/>
    <w:rsid w:val="001D5CE4"/>
    <w:rsid w:val="001D781E"/>
    <w:rsid w:val="001D7E75"/>
    <w:rsid w:val="001E27E2"/>
    <w:rsid w:val="001E56D2"/>
    <w:rsid w:val="001E5C38"/>
    <w:rsid w:val="001E6CDA"/>
    <w:rsid w:val="001E6F80"/>
    <w:rsid w:val="001E7D56"/>
    <w:rsid w:val="001F75DE"/>
    <w:rsid w:val="00200D58"/>
    <w:rsid w:val="002013BE"/>
    <w:rsid w:val="002030D2"/>
    <w:rsid w:val="0020513C"/>
    <w:rsid w:val="00206287"/>
    <w:rsid w:val="002063A4"/>
    <w:rsid w:val="00207741"/>
    <w:rsid w:val="00211048"/>
    <w:rsid w:val="00211093"/>
    <w:rsid w:val="0021145B"/>
    <w:rsid w:val="00211610"/>
    <w:rsid w:val="00212662"/>
    <w:rsid w:val="002147DE"/>
    <w:rsid w:val="00217186"/>
    <w:rsid w:val="00217D7E"/>
    <w:rsid w:val="0022290C"/>
    <w:rsid w:val="0022672D"/>
    <w:rsid w:val="00226FCE"/>
    <w:rsid w:val="00230649"/>
    <w:rsid w:val="00230862"/>
    <w:rsid w:val="00231818"/>
    <w:rsid w:val="00233785"/>
    <w:rsid w:val="00234A9A"/>
    <w:rsid w:val="002354B3"/>
    <w:rsid w:val="00235966"/>
    <w:rsid w:val="00240FCF"/>
    <w:rsid w:val="00243D36"/>
    <w:rsid w:val="00244C4A"/>
    <w:rsid w:val="00247707"/>
    <w:rsid w:val="0026018E"/>
    <w:rsid w:val="0026358C"/>
    <w:rsid w:val="00263710"/>
    <w:rsid w:val="00264681"/>
    <w:rsid w:val="002675A4"/>
    <w:rsid w:val="00270837"/>
    <w:rsid w:val="00270D95"/>
    <w:rsid w:val="00271394"/>
    <w:rsid w:val="00274AE1"/>
    <w:rsid w:val="002778EF"/>
    <w:rsid w:val="00281695"/>
    <w:rsid w:val="002817E9"/>
    <w:rsid w:val="00284BAA"/>
    <w:rsid w:val="00286740"/>
    <w:rsid w:val="002874CC"/>
    <w:rsid w:val="00287BEA"/>
    <w:rsid w:val="002929D8"/>
    <w:rsid w:val="00293EE1"/>
    <w:rsid w:val="00297AF3"/>
    <w:rsid w:val="002A237D"/>
    <w:rsid w:val="002A3FA0"/>
    <w:rsid w:val="002A4C53"/>
    <w:rsid w:val="002A62FC"/>
    <w:rsid w:val="002A7645"/>
    <w:rsid w:val="002A7A58"/>
    <w:rsid w:val="002B0672"/>
    <w:rsid w:val="002B0F73"/>
    <w:rsid w:val="002B188D"/>
    <w:rsid w:val="002B1F2E"/>
    <w:rsid w:val="002B247F"/>
    <w:rsid w:val="002B27F6"/>
    <w:rsid w:val="002B2DE5"/>
    <w:rsid w:val="002B4085"/>
    <w:rsid w:val="002C1316"/>
    <w:rsid w:val="002C145D"/>
    <w:rsid w:val="002C29BD"/>
    <w:rsid w:val="002C2C3E"/>
    <w:rsid w:val="002C4417"/>
    <w:rsid w:val="002C533E"/>
    <w:rsid w:val="002D027F"/>
    <w:rsid w:val="002D07F9"/>
    <w:rsid w:val="002D3EC3"/>
    <w:rsid w:val="002D5D42"/>
    <w:rsid w:val="002D6283"/>
    <w:rsid w:val="002D7A85"/>
    <w:rsid w:val="002D7B60"/>
    <w:rsid w:val="002E01B6"/>
    <w:rsid w:val="002E1FC6"/>
    <w:rsid w:val="002E2371"/>
    <w:rsid w:val="002E3654"/>
    <w:rsid w:val="002F3656"/>
    <w:rsid w:val="002F4761"/>
    <w:rsid w:val="002F5C79"/>
    <w:rsid w:val="002F7A6A"/>
    <w:rsid w:val="003019E2"/>
    <w:rsid w:val="00303337"/>
    <w:rsid w:val="00304828"/>
    <w:rsid w:val="003050B5"/>
    <w:rsid w:val="00306862"/>
    <w:rsid w:val="00306F17"/>
    <w:rsid w:val="00313B2C"/>
    <w:rsid w:val="0031413F"/>
    <w:rsid w:val="0031468C"/>
    <w:rsid w:val="003148BB"/>
    <w:rsid w:val="00315FFB"/>
    <w:rsid w:val="0031755F"/>
    <w:rsid w:val="00317976"/>
    <w:rsid w:val="00324323"/>
    <w:rsid w:val="003248C6"/>
    <w:rsid w:val="00330FF2"/>
    <w:rsid w:val="003317C8"/>
    <w:rsid w:val="00332167"/>
    <w:rsid w:val="00343154"/>
    <w:rsid w:val="00343B7A"/>
    <w:rsid w:val="0034777A"/>
    <w:rsid w:val="003512DB"/>
    <w:rsid w:val="00353392"/>
    <w:rsid w:val="00355EA9"/>
    <w:rsid w:val="003578DE"/>
    <w:rsid w:val="00357E01"/>
    <w:rsid w:val="00357EE6"/>
    <w:rsid w:val="0036184F"/>
    <w:rsid w:val="003627B7"/>
    <w:rsid w:val="0036514E"/>
    <w:rsid w:val="00366CA5"/>
    <w:rsid w:val="0037124A"/>
    <w:rsid w:val="00373A6A"/>
    <w:rsid w:val="00375077"/>
    <w:rsid w:val="0037597C"/>
    <w:rsid w:val="00383B70"/>
    <w:rsid w:val="00390AA2"/>
    <w:rsid w:val="003935F7"/>
    <w:rsid w:val="00396257"/>
    <w:rsid w:val="00396929"/>
    <w:rsid w:val="00397EB8"/>
    <w:rsid w:val="003A4FD0"/>
    <w:rsid w:val="003A69D1"/>
    <w:rsid w:val="003A7116"/>
    <w:rsid w:val="003A7705"/>
    <w:rsid w:val="003A77F1"/>
    <w:rsid w:val="003B084F"/>
    <w:rsid w:val="003B1149"/>
    <w:rsid w:val="003B1545"/>
    <w:rsid w:val="003B27F2"/>
    <w:rsid w:val="003B30F3"/>
    <w:rsid w:val="003B34B0"/>
    <w:rsid w:val="003B3FC1"/>
    <w:rsid w:val="003B57A4"/>
    <w:rsid w:val="003C0477"/>
    <w:rsid w:val="003C361C"/>
    <w:rsid w:val="003C3B53"/>
    <w:rsid w:val="003C409D"/>
    <w:rsid w:val="003C4DF3"/>
    <w:rsid w:val="003C5BA6"/>
    <w:rsid w:val="003C6ABD"/>
    <w:rsid w:val="003D1B7F"/>
    <w:rsid w:val="003D4A33"/>
    <w:rsid w:val="003D5DAB"/>
    <w:rsid w:val="003D6E88"/>
    <w:rsid w:val="003E0184"/>
    <w:rsid w:val="003E0D99"/>
    <w:rsid w:val="003E14E9"/>
    <w:rsid w:val="003E57EE"/>
    <w:rsid w:val="003E7FFB"/>
    <w:rsid w:val="003F0E85"/>
    <w:rsid w:val="003F2AFF"/>
    <w:rsid w:val="003F3EF1"/>
    <w:rsid w:val="003F4153"/>
    <w:rsid w:val="003F4C24"/>
    <w:rsid w:val="003F5980"/>
    <w:rsid w:val="003F6458"/>
    <w:rsid w:val="00404209"/>
    <w:rsid w:val="0040423A"/>
    <w:rsid w:val="0040610F"/>
    <w:rsid w:val="004079F6"/>
    <w:rsid w:val="00410C55"/>
    <w:rsid w:val="00410DCD"/>
    <w:rsid w:val="00411871"/>
    <w:rsid w:val="00416555"/>
    <w:rsid w:val="00416854"/>
    <w:rsid w:val="004171E1"/>
    <w:rsid w:val="00417725"/>
    <w:rsid w:val="00425640"/>
    <w:rsid w:val="004302F9"/>
    <w:rsid w:val="004312BB"/>
    <w:rsid w:val="0043250C"/>
    <w:rsid w:val="0043299F"/>
    <w:rsid w:val="0043387B"/>
    <w:rsid w:val="0043439B"/>
    <w:rsid w:val="00437F26"/>
    <w:rsid w:val="00440AC8"/>
    <w:rsid w:val="004418F4"/>
    <w:rsid w:val="00444097"/>
    <w:rsid w:val="00445487"/>
    <w:rsid w:val="004464A6"/>
    <w:rsid w:val="00454769"/>
    <w:rsid w:val="00454958"/>
    <w:rsid w:val="00456349"/>
    <w:rsid w:val="00457F73"/>
    <w:rsid w:val="00462ADE"/>
    <w:rsid w:val="00463BAE"/>
    <w:rsid w:val="00465A83"/>
    <w:rsid w:val="00466991"/>
    <w:rsid w:val="004675E5"/>
    <w:rsid w:val="0047064C"/>
    <w:rsid w:val="00471270"/>
    <w:rsid w:val="00473CFC"/>
    <w:rsid w:val="00475BC6"/>
    <w:rsid w:val="004779AA"/>
    <w:rsid w:val="004A1FE9"/>
    <w:rsid w:val="004A345B"/>
    <w:rsid w:val="004A42E1"/>
    <w:rsid w:val="004A4966"/>
    <w:rsid w:val="004A4A74"/>
    <w:rsid w:val="004B00F0"/>
    <w:rsid w:val="004B162C"/>
    <w:rsid w:val="004B339D"/>
    <w:rsid w:val="004B35A0"/>
    <w:rsid w:val="004B5C66"/>
    <w:rsid w:val="004C00CA"/>
    <w:rsid w:val="004C1921"/>
    <w:rsid w:val="004C2B1C"/>
    <w:rsid w:val="004C3DBE"/>
    <w:rsid w:val="004C5C41"/>
    <w:rsid w:val="004C5C96"/>
    <w:rsid w:val="004C7AFA"/>
    <w:rsid w:val="004D06A4"/>
    <w:rsid w:val="004E18E0"/>
    <w:rsid w:val="004E2BF2"/>
    <w:rsid w:val="004E4242"/>
    <w:rsid w:val="004E62BD"/>
    <w:rsid w:val="004E757C"/>
    <w:rsid w:val="004F1A81"/>
    <w:rsid w:val="004F4475"/>
    <w:rsid w:val="004F6A62"/>
    <w:rsid w:val="00501F3F"/>
    <w:rsid w:val="00502E9D"/>
    <w:rsid w:val="0050402A"/>
    <w:rsid w:val="0051009D"/>
    <w:rsid w:val="0051220F"/>
    <w:rsid w:val="00513BC3"/>
    <w:rsid w:val="00513FDF"/>
    <w:rsid w:val="00514A31"/>
    <w:rsid w:val="005211BC"/>
    <w:rsid w:val="005218D9"/>
    <w:rsid w:val="00522310"/>
    <w:rsid w:val="005248B4"/>
    <w:rsid w:val="00526A96"/>
    <w:rsid w:val="00534E77"/>
    <w:rsid w:val="00534EF6"/>
    <w:rsid w:val="0053561C"/>
    <w:rsid w:val="00536186"/>
    <w:rsid w:val="00536DAF"/>
    <w:rsid w:val="00541802"/>
    <w:rsid w:val="0054471A"/>
    <w:rsid w:val="00544CBB"/>
    <w:rsid w:val="0054511A"/>
    <w:rsid w:val="00546FF3"/>
    <w:rsid w:val="00552166"/>
    <w:rsid w:val="00554A8F"/>
    <w:rsid w:val="00557AF3"/>
    <w:rsid w:val="00557B12"/>
    <w:rsid w:val="005654DB"/>
    <w:rsid w:val="00570CD0"/>
    <w:rsid w:val="00572BA5"/>
    <w:rsid w:val="0057315F"/>
    <w:rsid w:val="005734B3"/>
    <w:rsid w:val="00573EB5"/>
    <w:rsid w:val="00576104"/>
    <w:rsid w:val="005835D4"/>
    <w:rsid w:val="00583BC7"/>
    <w:rsid w:val="00585B2C"/>
    <w:rsid w:val="005862D0"/>
    <w:rsid w:val="00586C46"/>
    <w:rsid w:val="00586FAA"/>
    <w:rsid w:val="00591F2F"/>
    <w:rsid w:val="00593483"/>
    <w:rsid w:val="00593DDA"/>
    <w:rsid w:val="005A1727"/>
    <w:rsid w:val="005A63D1"/>
    <w:rsid w:val="005B2EA6"/>
    <w:rsid w:val="005B33FD"/>
    <w:rsid w:val="005B5DD9"/>
    <w:rsid w:val="005B6AE6"/>
    <w:rsid w:val="005B72D7"/>
    <w:rsid w:val="005C0F54"/>
    <w:rsid w:val="005C34BE"/>
    <w:rsid w:val="005C54C3"/>
    <w:rsid w:val="005C67C8"/>
    <w:rsid w:val="005D0249"/>
    <w:rsid w:val="005D6E8C"/>
    <w:rsid w:val="005D7D9A"/>
    <w:rsid w:val="005E062B"/>
    <w:rsid w:val="005E0DDD"/>
    <w:rsid w:val="005E142F"/>
    <w:rsid w:val="005E4A29"/>
    <w:rsid w:val="005E775D"/>
    <w:rsid w:val="005F06C5"/>
    <w:rsid w:val="005F0720"/>
    <w:rsid w:val="005F100C"/>
    <w:rsid w:val="005F5D80"/>
    <w:rsid w:val="005F68DA"/>
    <w:rsid w:val="00602F35"/>
    <w:rsid w:val="0060773B"/>
    <w:rsid w:val="0061250E"/>
    <w:rsid w:val="006125FF"/>
    <w:rsid w:val="006157B5"/>
    <w:rsid w:val="00616EBE"/>
    <w:rsid w:val="00625DBD"/>
    <w:rsid w:val="00626FC6"/>
    <w:rsid w:val="006303B4"/>
    <w:rsid w:val="00632BED"/>
    <w:rsid w:val="00633D3D"/>
    <w:rsid w:val="0063536B"/>
    <w:rsid w:val="006361AF"/>
    <w:rsid w:val="0063665E"/>
    <w:rsid w:val="00636B90"/>
    <w:rsid w:val="00636CCA"/>
    <w:rsid w:val="00641703"/>
    <w:rsid w:val="006431A6"/>
    <w:rsid w:val="0064513C"/>
    <w:rsid w:val="006459F6"/>
    <w:rsid w:val="006501AD"/>
    <w:rsid w:val="00651BFA"/>
    <w:rsid w:val="00651F26"/>
    <w:rsid w:val="00654475"/>
    <w:rsid w:val="0066196B"/>
    <w:rsid w:val="00661A50"/>
    <w:rsid w:val="006629AA"/>
    <w:rsid w:val="00662AD3"/>
    <w:rsid w:val="00664F4F"/>
    <w:rsid w:val="00665656"/>
    <w:rsid w:val="00665A4B"/>
    <w:rsid w:val="00666C0F"/>
    <w:rsid w:val="006748D6"/>
    <w:rsid w:val="00674D0B"/>
    <w:rsid w:val="00676210"/>
    <w:rsid w:val="0067659A"/>
    <w:rsid w:val="00676C77"/>
    <w:rsid w:val="00683585"/>
    <w:rsid w:val="00684A0E"/>
    <w:rsid w:val="00687CC7"/>
    <w:rsid w:val="00690364"/>
    <w:rsid w:val="00691435"/>
    <w:rsid w:val="00691E84"/>
    <w:rsid w:val="00692B65"/>
    <w:rsid w:val="00692E2A"/>
    <w:rsid w:val="00695E51"/>
    <w:rsid w:val="00697A66"/>
    <w:rsid w:val="006A1378"/>
    <w:rsid w:val="006A3E99"/>
    <w:rsid w:val="006A609A"/>
    <w:rsid w:val="006A762F"/>
    <w:rsid w:val="006A76F2"/>
    <w:rsid w:val="006B09E1"/>
    <w:rsid w:val="006B279F"/>
    <w:rsid w:val="006B61A3"/>
    <w:rsid w:val="006C10B1"/>
    <w:rsid w:val="006C6872"/>
    <w:rsid w:val="006C6D34"/>
    <w:rsid w:val="006D2066"/>
    <w:rsid w:val="006D4FA2"/>
    <w:rsid w:val="006D6AD3"/>
    <w:rsid w:val="006D7EFB"/>
    <w:rsid w:val="006E062B"/>
    <w:rsid w:val="006E1004"/>
    <w:rsid w:val="006E35B7"/>
    <w:rsid w:val="006E6672"/>
    <w:rsid w:val="006E6722"/>
    <w:rsid w:val="006F1654"/>
    <w:rsid w:val="006F3CE5"/>
    <w:rsid w:val="006F74E8"/>
    <w:rsid w:val="0070151C"/>
    <w:rsid w:val="007027B9"/>
    <w:rsid w:val="00702B83"/>
    <w:rsid w:val="00707374"/>
    <w:rsid w:val="007076C6"/>
    <w:rsid w:val="007109E4"/>
    <w:rsid w:val="007120DA"/>
    <w:rsid w:val="00715E88"/>
    <w:rsid w:val="00720DC3"/>
    <w:rsid w:val="0072324D"/>
    <w:rsid w:val="0072452F"/>
    <w:rsid w:val="00724D40"/>
    <w:rsid w:val="00726152"/>
    <w:rsid w:val="007306EC"/>
    <w:rsid w:val="0073077E"/>
    <w:rsid w:val="00732E7C"/>
    <w:rsid w:val="00734B17"/>
    <w:rsid w:val="00734CAA"/>
    <w:rsid w:val="00736420"/>
    <w:rsid w:val="00741343"/>
    <w:rsid w:val="00745783"/>
    <w:rsid w:val="007476C3"/>
    <w:rsid w:val="00750F34"/>
    <w:rsid w:val="0075326C"/>
    <w:rsid w:val="007538EE"/>
    <w:rsid w:val="0075533C"/>
    <w:rsid w:val="007563DF"/>
    <w:rsid w:val="00757581"/>
    <w:rsid w:val="007611A0"/>
    <w:rsid w:val="00764A22"/>
    <w:rsid w:val="00771BDE"/>
    <w:rsid w:val="00774776"/>
    <w:rsid w:val="00774A62"/>
    <w:rsid w:val="00774FAF"/>
    <w:rsid w:val="007753E2"/>
    <w:rsid w:val="00776528"/>
    <w:rsid w:val="00776FEC"/>
    <w:rsid w:val="007804C0"/>
    <w:rsid w:val="00781298"/>
    <w:rsid w:val="007847D5"/>
    <w:rsid w:val="0079223A"/>
    <w:rsid w:val="007963AB"/>
    <w:rsid w:val="00796D3F"/>
    <w:rsid w:val="007A1683"/>
    <w:rsid w:val="007A5C12"/>
    <w:rsid w:val="007A7CB0"/>
    <w:rsid w:val="007B68A3"/>
    <w:rsid w:val="007C2541"/>
    <w:rsid w:val="007C31BE"/>
    <w:rsid w:val="007C4EA7"/>
    <w:rsid w:val="007C4ED0"/>
    <w:rsid w:val="007D5E97"/>
    <w:rsid w:val="007D6223"/>
    <w:rsid w:val="007D66A8"/>
    <w:rsid w:val="007E003F"/>
    <w:rsid w:val="007E0538"/>
    <w:rsid w:val="007E0DE3"/>
    <w:rsid w:val="007E10C2"/>
    <w:rsid w:val="007E40B4"/>
    <w:rsid w:val="007E552F"/>
    <w:rsid w:val="007F0483"/>
    <w:rsid w:val="007F2B0F"/>
    <w:rsid w:val="008045CB"/>
    <w:rsid w:val="00804BD1"/>
    <w:rsid w:val="0080623B"/>
    <w:rsid w:val="0081058C"/>
    <w:rsid w:val="008164F2"/>
    <w:rsid w:val="00821395"/>
    <w:rsid w:val="008215D4"/>
    <w:rsid w:val="0082480D"/>
    <w:rsid w:val="00824B4E"/>
    <w:rsid w:val="0082634A"/>
    <w:rsid w:val="00827EAB"/>
    <w:rsid w:val="00830E26"/>
    <w:rsid w:val="00831A72"/>
    <w:rsid w:val="00833B83"/>
    <w:rsid w:val="00835508"/>
    <w:rsid w:val="00835B5F"/>
    <w:rsid w:val="00840E7A"/>
    <w:rsid w:val="00842024"/>
    <w:rsid w:val="00843576"/>
    <w:rsid w:val="00843891"/>
    <w:rsid w:val="00843B64"/>
    <w:rsid w:val="0084568E"/>
    <w:rsid w:val="0084743A"/>
    <w:rsid w:val="008478FC"/>
    <w:rsid w:val="00851F6C"/>
    <w:rsid w:val="008520C8"/>
    <w:rsid w:val="00852D8D"/>
    <w:rsid w:val="00852DF4"/>
    <w:rsid w:val="008566CB"/>
    <w:rsid w:val="008567A6"/>
    <w:rsid w:val="00860766"/>
    <w:rsid w:val="00860BFB"/>
    <w:rsid w:val="0086178A"/>
    <w:rsid w:val="00866674"/>
    <w:rsid w:val="00866B0E"/>
    <w:rsid w:val="00867BFF"/>
    <w:rsid w:val="00872957"/>
    <w:rsid w:val="00873A23"/>
    <w:rsid w:val="008823D3"/>
    <w:rsid w:val="0088480A"/>
    <w:rsid w:val="00886130"/>
    <w:rsid w:val="0088757A"/>
    <w:rsid w:val="00891C9F"/>
    <w:rsid w:val="00893495"/>
    <w:rsid w:val="008957DD"/>
    <w:rsid w:val="008959EE"/>
    <w:rsid w:val="00897D98"/>
    <w:rsid w:val="008A0268"/>
    <w:rsid w:val="008A0330"/>
    <w:rsid w:val="008A3075"/>
    <w:rsid w:val="008A60EC"/>
    <w:rsid w:val="008A6DF2"/>
    <w:rsid w:val="008A7807"/>
    <w:rsid w:val="008B35D8"/>
    <w:rsid w:val="008B412F"/>
    <w:rsid w:val="008B43C2"/>
    <w:rsid w:val="008B4CC9"/>
    <w:rsid w:val="008D024B"/>
    <w:rsid w:val="008D277A"/>
    <w:rsid w:val="008D5CDB"/>
    <w:rsid w:val="008D6347"/>
    <w:rsid w:val="008D7C99"/>
    <w:rsid w:val="008E0FCB"/>
    <w:rsid w:val="008E5064"/>
    <w:rsid w:val="008F25B4"/>
    <w:rsid w:val="008F2A6C"/>
    <w:rsid w:val="008F6C0F"/>
    <w:rsid w:val="009008A8"/>
    <w:rsid w:val="00910358"/>
    <w:rsid w:val="009120DC"/>
    <w:rsid w:val="00913989"/>
    <w:rsid w:val="0092178C"/>
    <w:rsid w:val="00923201"/>
    <w:rsid w:val="0092392D"/>
    <w:rsid w:val="00930B88"/>
    <w:rsid w:val="00931329"/>
    <w:rsid w:val="00931BA9"/>
    <w:rsid w:val="0093471E"/>
    <w:rsid w:val="00935B4D"/>
    <w:rsid w:val="00940DCC"/>
    <w:rsid w:val="0094179A"/>
    <w:rsid w:val="0094459E"/>
    <w:rsid w:val="00944DBC"/>
    <w:rsid w:val="00950977"/>
    <w:rsid w:val="00951A7B"/>
    <w:rsid w:val="0095243D"/>
    <w:rsid w:val="009554DD"/>
    <w:rsid w:val="009564A6"/>
    <w:rsid w:val="0095750C"/>
    <w:rsid w:val="009616BA"/>
    <w:rsid w:val="0096333B"/>
    <w:rsid w:val="00964E9B"/>
    <w:rsid w:val="00967621"/>
    <w:rsid w:val="00967E6A"/>
    <w:rsid w:val="009721CE"/>
    <w:rsid w:val="00972B85"/>
    <w:rsid w:val="009737D8"/>
    <w:rsid w:val="00973A9C"/>
    <w:rsid w:val="0097695C"/>
    <w:rsid w:val="00977499"/>
    <w:rsid w:val="009804A9"/>
    <w:rsid w:val="009849B9"/>
    <w:rsid w:val="0098725C"/>
    <w:rsid w:val="00991C02"/>
    <w:rsid w:val="00991C7A"/>
    <w:rsid w:val="009925C8"/>
    <w:rsid w:val="00993038"/>
    <w:rsid w:val="009940FB"/>
    <w:rsid w:val="00995053"/>
    <w:rsid w:val="009A206F"/>
    <w:rsid w:val="009B1F47"/>
    <w:rsid w:val="009B4A0F"/>
    <w:rsid w:val="009B5322"/>
    <w:rsid w:val="009C11D2"/>
    <w:rsid w:val="009C2644"/>
    <w:rsid w:val="009C2C92"/>
    <w:rsid w:val="009C36D1"/>
    <w:rsid w:val="009C41F9"/>
    <w:rsid w:val="009C6C70"/>
    <w:rsid w:val="009D0B63"/>
    <w:rsid w:val="009D5662"/>
    <w:rsid w:val="009E0C72"/>
    <w:rsid w:val="009E2144"/>
    <w:rsid w:val="009E307E"/>
    <w:rsid w:val="009E4014"/>
    <w:rsid w:val="009E6502"/>
    <w:rsid w:val="009E65CF"/>
    <w:rsid w:val="009E7E78"/>
    <w:rsid w:val="009F1A44"/>
    <w:rsid w:val="009F589D"/>
    <w:rsid w:val="009F712A"/>
    <w:rsid w:val="00A0344D"/>
    <w:rsid w:val="00A07870"/>
    <w:rsid w:val="00A07F19"/>
    <w:rsid w:val="00A10C0E"/>
    <w:rsid w:val="00A1348D"/>
    <w:rsid w:val="00A16DD3"/>
    <w:rsid w:val="00A16FCC"/>
    <w:rsid w:val="00A2080D"/>
    <w:rsid w:val="00A232EE"/>
    <w:rsid w:val="00A25B22"/>
    <w:rsid w:val="00A26140"/>
    <w:rsid w:val="00A26807"/>
    <w:rsid w:val="00A26967"/>
    <w:rsid w:val="00A34B5A"/>
    <w:rsid w:val="00A378F4"/>
    <w:rsid w:val="00A37B05"/>
    <w:rsid w:val="00A4175F"/>
    <w:rsid w:val="00A42B7E"/>
    <w:rsid w:val="00A44411"/>
    <w:rsid w:val="00A44768"/>
    <w:rsid w:val="00A468FC"/>
    <w:rsid w:val="00A469FA"/>
    <w:rsid w:val="00A47DB7"/>
    <w:rsid w:val="00A50E6F"/>
    <w:rsid w:val="00A51691"/>
    <w:rsid w:val="00A55B01"/>
    <w:rsid w:val="00A5655F"/>
    <w:rsid w:val="00A56B5B"/>
    <w:rsid w:val="00A603FF"/>
    <w:rsid w:val="00A60D1F"/>
    <w:rsid w:val="00A61354"/>
    <w:rsid w:val="00A621B6"/>
    <w:rsid w:val="00A63824"/>
    <w:rsid w:val="00A64443"/>
    <w:rsid w:val="00A6523F"/>
    <w:rsid w:val="00A653CB"/>
    <w:rsid w:val="00A657DD"/>
    <w:rsid w:val="00A666A6"/>
    <w:rsid w:val="00A67540"/>
    <w:rsid w:val="00A675FD"/>
    <w:rsid w:val="00A72437"/>
    <w:rsid w:val="00A72D94"/>
    <w:rsid w:val="00A7357A"/>
    <w:rsid w:val="00A73C3E"/>
    <w:rsid w:val="00A74181"/>
    <w:rsid w:val="00A74C42"/>
    <w:rsid w:val="00A80611"/>
    <w:rsid w:val="00A8322E"/>
    <w:rsid w:val="00AA1542"/>
    <w:rsid w:val="00AA1FD9"/>
    <w:rsid w:val="00AA2993"/>
    <w:rsid w:val="00AA3100"/>
    <w:rsid w:val="00AA7975"/>
    <w:rsid w:val="00AB0885"/>
    <w:rsid w:val="00AB5340"/>
    <w:rsid w:val="00AC06F8"/>
    <w:rsid w:val="00AC0A89"/>
    <w:rsid w:val="00AC4675"/>
    <w:rsid w:val="00AC4FA9"/>
    <w:rsid w:val="00AC7C96"/>
    <w:rsid w:val="00AD58C0"/>
    <w:rsid w:val="00AD6B61"/>
    <w:rsid w:val="00AE0C2C"/>
    <w:rsid w:val="00AE237D"/>
    <w:rsid w:val="00AE3A07"/>
    <w:rsid w:val="00AE502A"/>
    <w:rsid w:val="00AF0331"/>
    <w:rsid w:val="00AF0597"/>
    <w:rsid w:val="00AF127B"/>
    <w:rsid w:val="00AF1580"/>
    <w:rsid w:val="00AF6A1E"/>
    <w:rsid w:val="00AF6C53"/>
    <w:rsid w:val="00AF7C07"/>
    <w:rsid w:val="00B035E4"/>
    <w:rsid w:val="00B05800"/>
    <w:rsid w:val="00B0622B"/>
    <w:rsid w:val="00B1021D"/>
    <w:rsid w:val="00B1147B"/>
    <w:rsid w:val="00B11568"/>
    <w:rsid w:val="00B116C7"/>
    <w:rsid w:val="00B147F8"/>
    <w:rsid w:val="00B20B0E"/>
    <w:rsid w:val="00B22C93"/>
    <w:rsid w:val="00B23139"/>
    <w:rsid w:val="00B25DAE"/>
    <w:rsid w:val="00B268EF"/>
    <w:rsid w:val="00B27589"/>
    <w:rsid w:val="00B33037"/>
    <w:rsid w:val="00B35CAF"/>
    <w:rsid w:val="00B405B7"/>
    <w:rsid w:val="00B4502A"/>
    <w:rsid w:val="00B504AB"/>
    <w:rsid w:val="00B52222"/>
    <w:rsid w:val="00B54807"/>
    <w:rsid w:val="00B54FE7"/>
    <w:rsid w:val="00B610FF"/>
    <w:rsid w:val="00B6185F"/>
    <w:rsid w:val="00B61D82"/>
    <w:rsid w:val="00B62882"/>
    <w:rsid w:val="00B66901"/>
    <w:rsid w:val="00B706AC"/>
    <w:rsid w:val="00B708E4"/>
    <w:rsid w:val="00B71B19"/>
    <w:rsid w:val="00B71E6D"/>
    <w:rsid w:val="00B72070"/>
    <w:rsid w:val="00B72C43"/>
    <w:rsid w:val="00B773FC"/>
    <w:rsid w:val="00B779E1"/>
    <w:rsid w:val="00B82CE8"/>
    <w:rsid w:val="00B841A2"/>
    <w:rsid w:val="00B85647"/>
    <w:rsid w:val="00B86A7C"/>
    <w:rsid w:val="00B90361"/>
    <w:rsid w:val="00B90B05"/>
    <w:rsid w:val="00B91EE1"/>
    <w:rsid w:val="00B923EC"/>
    <w:rsid w:val="00B92BE2"/>
    <w:rsid w:val="00B978AC"/>
    <w:rsid w:val="00BA0090"/>
    <w:rsid w:val="00BA04E5"/>
    <w:rsid w:val="00BA1517"/>
    <w:rsid w:val="00BA1A67"/>
    <w:rsid w:val="00BA4C86"/>
    <w:rsid w:val="00BA5BC6"/>
    <w:rsid w:val="00BA6733"/>
    <w:rsid w:val="00BA7356"/>
    <w:rsid w:val="00BB36BC"/>
    <w:rsid w:val="00BC26F1"/>
    <w:rsid w:val="00BC7EC5"/>
    <w:rsid w:val="00BD315B"/>
    <w:rsid w:val="00BD38B9"/>
    <w:rsid w:val="00BD7870"/>
    <w:rsid w:val="00BD7BBD"/>
    <w:rsid w:val="00BE1619"/>
    <w:rsid w:val="00BE25C4"/>
    <w:rsid w:val="00BE47CD"/>
    <w:rsid w:val="00BE5B5F"/>
    <w:rsid w:val="00BE6852"/>
    <w:rsid w:val="00BF25AE"/>
    <w:rsid w:val="00BF4160"/>
    <w:rsid w:val="00BF6473"/>
    <w:rsid w:val="00C105CB"/>
    <w:rsid w:val="00C14C48"/>
    <w:rsid w:val="00C14D64"/>
    <w:rsid w:val="00C1683D"/>
    <w:rsid w:val="00C16998"/>
    <w:rsid w:val="00C26F55"/>
    <w:rsid w:val="00C27E52"/>
    <w:rsid w:val="00C30C63"/>
    <w:rsid w:val="00C33BE2"/>
    <w:rsid w:val="00C36B8B"/>
    <w:rsid w:val="00C415C1"/>
    <w:rsid w:val="00C459DD"/>
    <w:rsid w:val="00C46BC5"/>
    <w:rsid w:val="00C47DBF"/>
    <w:rsid w:val="00C53C6C"/>
    <w:rsid w:val="00C552FF"/>
    <w:rsid w:val="00C558DA"/>
    <w:rsid w:val="00C55AF3"/>
    <w:rsid w:val="00C5678B"/>
    <w:rsid w:val="00C6387F"/>
    <w:rsid w:val="00C63CB5"/>
    <w:rsid w:val="00C648AD"/>
    <w:rsid w:val="00C65E97"/>
    <w:rsid w:val="00C75860"/>
    <w:rsid w:val="00C80160"/>
    <w:rsid w:val="00C829E6"/>
    <w:rsid w:val="00C84285"/>
    <w:rsid w:val="00C84759"/>
    <w:rsid w:val="00C95A5D"/>
    <w:rsid w:val="00CA01F8"/>
    <w:rsid w:val="00CA22CD"/>
    <w:rsid w:val="00CA2A8B"/>
    <w:rsid w:val="00CA6C7F"/>
    <w:rsid w:val="00CB3B9B"/>
    <w:rsid w:val="00CB46E8"/>
    <w:rsid w:val="00CB574B"/>
    <w:rsid w:val="00CB6EBD"/>
    <w:rsid w:val="00CC10A6"/>
    <w:rsid w:val="00CC5BB9"/>
    <w:rsid w:val="00CC605A"/>
    <w:rsid w:val="00CD4653"/>
    <w:rsid w:val="00CD5EB8"/>
    <w:rsid w:val="00CD7044"/>
    <w:rsid w:val="00CD7634"/>
    <w:rsid w:val="00CE08B9"/>
    <w:rsid w:val="00CE2E8A"/>
    <w:rsid w:val="00CE3FB5"/>
    <w:rsid w:val="00CE404F"/>
    <w:rsid w:val="00CE524C"/>
    <w:rsid w:val="00CE5DB6"/>
    <w:rsid w:val="00CF141F"/>
    <w:rsid w:val="00CF2D1C"/>
    <w:rsid w:val="00CF4777"/>
    <w:rsid w:val="00CF5E69"/>
    <w:rsid w:val="00CF7813"/>
    <w:rsid w:val="00D03018"/>
    <w:rsid w:val="00D067BB"/>
    <w:rsid w:val="00D12245"/>
    <w:rsid w:val="00D1352A"/>
    <w:rsid w:val="00D14E3D"/>
    <w:rsid w:val="00D161EA"/>
    <w:rsid w:val="00D166C4"/>
    <w:rsid w:val="00D169AF"/>
    <w:rsid w:val="00D205D1"/>
    <w:rsid w:val="00D243A8"/>
    <w:rsid w:val="00D25249"/>
    <w:rsid w:val="00D36804"/>
    <w:rsid w:val="00D3777D"/>
    <w:rsid w:val="00D44172"/>
    <w:rsid w:val="00D44D82"/>
    <w:rsid w:val="00D45A72"/>
    <w:rsid w:val="00D47AEC"/>
    <w:rsid w:val="00D510F0"/>
    <w:rsid w:val="00D538B7"/>
    <w:rsid w:val="00D5516E"/>
    <w:rsid w:val="00D56A82"/>
    <w:rsid w:val="00D577A4"/>
    <w:rsid w:val="00D62F31"/>
    <w:rsid w:val="00D63B8C"/>
    <w:rsid w:val="00D67486"/>
    <w:rsid w:val="00D726B1"/>
    <w:rsid w:val="00D739CC"/>
    <w:rsid w:val="00D77D1F"/>
    <w:rsid w:val="00D8093D"/>
    <w:rsid w:val="00D8108C"/>
    <w:rsid w:val="00D842AE"/>
    <w:rsid w:val="00D878C7"/>
    <w:rsid w:val="00D9211C"/>
    <w:rsid w:val="00D92B65"/>
    <w:rsid w:val="00D92DE0"/>
    <w:rsid w:val="00D92FEF"/>
    <w:rsid w:val="00D93447"/>
    <w:rsid w:val="00D93A0F"/>
    <w:rsid w:val="00D93BFF"/>
    <w:rsid w:val="00D94FFA"/>
    <w:rsid w:val="00D97B8F"/>
    <w:rsid w:val="00DA0A9E"/>
    <w:rsid w:val="00DA1BCA"/>
    <w:rsid w:val="00DA3EA9"/>
    <w:rsid w:val="00DA4048"/>
    <w:rsid w:val="00DA7551"/>
    <w:rsid w:val="00DB1E1B"/>
    <w:rsid w:val="00DB56C5"/>
    <w:rsid w:val="00DC1A57"/>
    <w:rsid w:val="00DC22DC"/>
    <w:rsid w:val="00DC46FF"/>
    <w:rsid w:val="00DC5254"/>
    <w:rsid w:val="00DC5F7C"/>
    <w:rsid w:val="00DC6865"/>
    <w:rsid w:val="00DD1A4F"/>
    <w:rsid w:val="00DD26C2"/>
    <w:rsid w:val="00DD3107"/>
    <w:rsid w:val="00DD59E8"/>
    <w:rsid w:val="00DD7C2C"/>
    <w:rsid w:val="00DE05D4"/>
    <w:rsid w:val="00DE0B63"/>
    <w:rsid w:val="00DE2B51"/>
    <w:rsid w:val="00DE2EE5"/>
    <w:rsid w:val="00DF17EE"/>
    <w:rsid w:val="00DF1E4C"/>
    <w:rsid w:val="00DF4342"/>
    <w:rsid w:val="00E002EE"/>
    <w:rsid w:val="00E01BDB"/>
    <w:rsid w:val="00E03E5A"/>
    <w:rsid w:val="00E05772"/>
    <w:rsid w:val="00E060C1"/>
    <w:rsid w:val="00E06797"/>
    <w:rsid w:val="00E07703"/>
    <w:rsid w:val="00E11109"/>
    <w:rsid w:val="00E1265B"/>
    <w:rsid w:val="00E13B48"/>
    <w:rsid w:val="00E1404F"/>
    <w:rsid w:val="00E161FC"/>
    <w:rsid w:val="00E16773"/>
    <w:rsid w:val="00E205BD"/>
    <w:rsid w:val="00E21C83"/>
    <w:rsid w:val="00E24ADA"/>
    <w:rsid w:val="00E25F45"/>
    <w:rsid w:val="00E311D4"/>
    <w:rsid w:val="00E323F1"/>
    <w:rsid w:val="00E32F59"/>
    <w:rsid w:val="00E37AC2"/>
    <w:rsid w:val="00E42BD8"/>
    <w:rsid w:val="00E43DFA"/>
    <w:rsid w:val="00E44C4F"/>
    <w:rsid w:val="00E46D9A"/>
    <w:rsid w:val="00E50C73"/>
    <w:rsid w:val="00E523EB"/>
    <w:rsid w:val="00E5245E"/>
    <w:rsid w:val="00E52DC4"/>
    <w:rsid w:val="00E54873"/>
    <w:rsid w:val="00E565FF"/>
    <w:rsid w:val="00E60887"/>
    <w:rsid w:val="00E61144"/>
    <w:rsid w:val="00E61371"/>
    <w:rsid w:val="00E6205D"/>
    <w:rsid w:val="00E62C59"/>
    <w:rsid w:val="00E6359E"/>
    <w:rsid w:val="00E63AFB"/>
    <w:rsid w:val="00E65388"/>
    <w:rsid w:val="00E654B0"/>
    <w:rsid w:val="00E659E7"/>
    <w:rsid w:val="00E67D83"/>
    <w:rsid w:val="00E722D7"/>
    <w:rsid w:val="00E7329C"/>
    <w:rsid w:val="00E73FD3"/>
    <w:rsid w:val="00E76DDA"/>
    <w:rsid w:val="00E80828"/>
    <w:rsid w:val="00E81F51"/>
    <w:rsid w:val="00E8569A"/>
    <w:rsid w:val="00E85B7D"/>
    <w:rsid w:val="00E85DB7"/>
    <w:rsid w:val="00E9121B"/>
    <w:rsid w:val="00E913F9"/>
    <w:rsid w:val="00E91AAE"/>
    <w:rsid w:val="00E9285A"/>
    <w:rsid w:val="00E92894"/>
    <w:rsid w:val="00EA0AE2"/>
    <w:rsid w:val="00EA39E5"/>
    <w:rsid w:val="00EA4E4D"/>
    <w:rsid w:val="00EA5903"/>
    <w:rsid w:val="00EB236B"/>
    <w:rsid w:val="00EB49C9"/>
    <w:rsid w:val="00EB7C97"/>
    <w:rsid w:val="00EC5270"/>
    <w:rsid w:val="00EC5455"/>
    <w:rsid w:val="00EC5A46"/>
    <w:rsid w:val="00EC63E2"/>
    <w:rsid w:val="00EC7951"/>
    <w:rsid w:val="00ED0F82"/>
    <w:rsid w:val="00ED30FD"/>
    <w:rsid w:val="00ED3111"/>
    <w:rsid w:val="00ED76A4"/>
    <w:rsid w:val="00EE394F"/>
    <w:rsid w:val="00EE3C3F"/>
    <w:rsid w:val="00EE4359"/>
    <w:rsid w:val="00EE4D9D"/>
    <w:rsid w:val="00EE57B7"/>
    <w:rsid w:val="00EE6E7D"/>
    <w:rsid w:val="00EF22B3"/>
    <w:rsid w:val="00EF2A80"/>
    <w:rsid w:val="00EF4366"/>
    <w:rsid w:val="00EF6262"/>
    <w:rsid w:val="00EF7214"/>
    <w:rsid w:val="00F03B69"/>
    <w:rsid w:val="00F07A50"/>
    <w:rsid w:val="00F113DA"/>
    <w:rsid w:val="00F1172E"/>
    <w:rsid w:val="00F121C3"/>
    <w:rsid w:val="00F15856"/>
    <w:rsid w:val="00F23B28"/>
    <w:rsid w:val="00F2413E"/>
    <w:rsid w:val="00F277EB"/>
    <w:rsid w:val="00F314E6"/>
    <w:rsid w:val="00F35376"/>
    <w:rsid w:val="00F358E0"/>
    <w:rsid w:val="00F362A6"/>
    <w:rsid w:val="00F362AB"/>
    <w:rsid w:val="00F363AB"/>
    <w:rsid w:val="00F37266"/>
    <w:rsid w:val="00F37DC8"/>
    <w:rsid w:val="00F4188B"/>
    <w:rsid w:val="00F422E4"/>
    <w:rsid w:val="00F43674"/>
    <w:rsid w:val="00F439B3"/>
    <w:rsid w:val="00F443B6"/>
    <w:rsid w:val="00F44937"/>
    <w:rsid w:val="00F47CFD"/>
    <w:rsid w:val="00F50A6F"/>
    <w:rsid w:val="00F51368"/>
    <w:rsid w:val="00F5545A"/>
    <w:rsid w:val="00F55EAF"/>
    <w:rsid w:val="00F56735"/>
    <w:rsid w:val="00F570DC"/>
    <w:rsid w:val="00F57C35"/>
    <w:rsid w:val="00F61341"/>
    <w:rsid w:val="00F626AA"/>
    <w:rsid w:val="00F6378A"/>
    <w:rsid w:val="00F650C3"/>
    <w:rsid w:val="00F65D4F"/>
    <w:rsid w:val="00F65D85"/>
    <w:rsid w:val="00F72210"/>
    <w:rsid w:val="00F74108"/>
    <w:rsid w:val="00F76650"/>
    <w:rsid w:val="00F7743E"/>
    <w:rsid w:val="00F80434"/>
    <w:rsid w:val="00F8091E"/>
    <w:rsid w:val="00F83F89"/>
    <w:rsid w:val="00F8615C"/>
    <w:rsid w:val="00F86B03"/>
    <w:rsid w:val="00F874E0"/>
    <w:rsid w:val="00F93252"/>
    <w:rsid w:val="00F94F2D"/>
    <w:rsid w:val="00F95371"/>
    <w:rsid w:val="00F969E5"/>
    <w:rsid w:val="00F97551"/>
    <w:rsid w:val="00FA08E1"/>
    <w:rsid w:val="00FA32D2"/>
    <w:rsid w:val="00FA5021"/>
    <w:rsid w:val="00FA542E"/>
    <w:rsid w:val="00FA5466"/>
    <w:rsid w:val="00FA6BB0"/>
    <w:rsid w:val="00FB1DD6"/>
    <w:rsid w:val="00FB378C"/>
    <w:rsid w:val="00FB487F"/>
    <w:rsid w:val="00FB4F64"/>
    <w:rsid w:val="00FB6AAB"/>
    <w:rsid w:val="00FC0BC6"/>
    <w:rsid w:val="00FC0D95"/>
    <w:rsid w:val="00FC1100"/>
    <w:rsid w:val="00FC1274"/>
    <w:rsid w:val="00FC4A12"/>
    <w:rsid w:val="00FC556B"/>
    <w:rsid w:val="00FC5E47"/>
    <w:rsid w:val="00FC742B"/>
    <w:rsid w:val="00FD1E45"/>
    <w:rsid w:val="00FD5860"/>
    <w:rsid w:val="00FD5F39"/>
    <w:rsid w:val="00FD797A"/>
    <w:rsid w:val="00FD7A9F"/>
    <w:rsid w:val="00FE352D"/>
    <w:rsid w:val="00FE381F"/>
    <w:rsid w:val="00FE40EB"/>
    <w:rsid w:val="00FE4D02"/>
    <w:rsid w:val="00FE7D62"/>
    <w:rsid w:val="00FF0933"/>
    <w:rsid w:val="00FF1304"/>
    <w:rsid w:val="00FF1E48"/>
    <w:rsid w:val="00FF3819"/>
    <w:rsid w:val="00FF46F2"/>
    <w:rsid w:val="00FF7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9DA415"/>
  <w15:chartTrackingRefBased/>
  <w15:docId w15:val="{15BB7EC4-D29A-4C6B-964E-56374035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6528"/>
    <w:pPr>
      <w:spacing w:after="200" w:line="276" w:lineRule="auto"/>
    </w:pPr>
    <w:rPr>
      <w:rFonts w:ascii="Calibri" w:eastAsia="MS Mincho" w:hAnsi="Calibri"/>
      <w:sz w:val="22"/>
      <w:szCs w:val="22"/>
      <w:lang w:val="es-ES_tradnl"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basedOn w:val="DefaultParagraphFont"/>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qFormat/>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771BDE"/>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771BDE"/>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771BDE"/>
    <w:rPr>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A44768"/>
    <w:pPr>
      <w:ind w:left="720"/>
      <w:contextualSpacing/>
    </w:pPr>
  </w:style>
  <w:style w:type="paragraph" w:customStyle="1" w:styleId="Default">
    <w:name w:val="Default"/>
    <w:rsid w:val="00DC6865"/>
    <w:pPr>
      <w:autoSpaceDE w:val="0"/>
      <w:autoSpaceDN w:val="0"/>
      <w:adjustRightInd w:val="0"/>
    </w:pPr>
    <w:rPr>
      <w:color w:val="000000"/>
      <w:sz w:val="24"/>
      <w:szCs w:val="24"/>
      <w:lang w:val="en-US" w:eastAsia="en-US"/>
    </w:rPr>
  </w:style>
  <w:style w:type="numbering" w:customStyle="1" w:styleId="Normallist1">
    <w:name w:val="Normal_list1"/>
    <w:rsid w:val="00E060C1"/>
  </w:style>
  <w:style w:type="paragraph" w:customStyle="1" w:styleId="MediumGrid1-Accent21">
    <w:name w:val="Medium Grid 1 - Accent 21"/>
    <w:basedOn w:val="Normal"/>
    <w:uiPriority w:val="34"/>
    <w:qFormat/>
    <w:rsid w:val="003F3EF1"/>
    <w:pPr>
      <w:spacing w:after="0" w:line="240" w:lineRule="auto"/>
      <w:ind w:left="720"/>
      <w:contextualSpacing/>
    </w:pPr>
    <w:rPr>
      <w:rFonts w:ascii="Cambria" w:eastAsia="Times New Roman" w:hAnsi="Cambria"/>
      <w:sz w:val="24"/>
      <w:szCs w:val="24"/>
      <w:lang w:eastAsia="ja-JP"/>
    </w:rPr>
  </w:style>
  <w:style w:type="character" w:customStyle="1" w:styleId="Heading2Char">
    <w:name w:val="Heading 2 Char"/>
    <w:link w:val="Heading2"/>
    <w:locked/>
    <w:rsid w:val="00353392"/>
    <w:rPr>
      <w:rFonts w:ascii="Calibri" w:eastAsia="MS Mincho" w:hAnsi="Calibri"/>
      <w:b/>
      <w:sz w:val="24"/>
      <w:szCs w:val="24"/>
      <w:lang w:val="en-US" w:eastAsia="en-US"/>
    </w:rPr>
  </w:style>
  <w:style w:type="character" w:customStyle="1" w:styleId="FooterChar">
    <w:name w:val="Footer Char"/>
    <w:basedOn w:val="DefaultParagraphFont"/>
    <w:link w:val="Footer"/>
    <w:uiPriority w:val="99"/>
    <w:rsid w:val="00BE47CD"/>
    <w:rPr>
      <w:rFonts w:ascii="Calibri" w:eastAsia="MS Mincho" w:hAnsi="Calibri"/>
      <w:sz w:val="18"/>
      <w:szCs w:val="22"/>
      <w:lang w:val="en-US" w:eastAsia="en-US"/>
    </w:rPr>
  </w:style>
  <w:style w:type="paragraph" w:styleId="Revision">
    <w:name w:val="Revision"/>
    <w:hidden/>
    <w:uiPriority w:val="99"/>
    <w:semiHidden/>
    <w:rsid w:val="00D166C4"/>
    <w:rPr>
      <w:rFonts w:ascii="Calibri" w:eastAsia="MS Mincho" w:hAnsi="Calibri"/>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2094">
      <w:bodyDiv w:val="1"/>
      <w:marLeft w:val="0"/>
      <w:marRight w:val="0"/>
      <w:marTop w:val="0"/>
      <w:marBottom w:val="0"/>
      <w:divBdr>
        <w:top w:val="none" w:sz="0" w:space="0" w:color="auto"/>
        <w:left w:val="none" w:sz="0" w:space="0" w:color="auto"/>
        <w:bottom w:val="none" w:sz="0" w:space="0" w:color="auto"/>
        <w:right w:val="none" w:sz="0" w:space="0" w:color="auto"/>
      </w:divBdr>
    </w:div>
    <w:div w:id="106587449">
      <w:bodyDiv w:val="1"/>
      <w:marLeft w:val="0"/>
      <w:marRight w:val="0"/>
      <w:marTop w:val="0"/>
      <w:marBottom w:val="0"/>
      <w:divBdr>
        <w:top w:val="none" w:sz="0" w:space="0" w:color="auto"/>
        <w:left w:val="none" w:sz="0" w:space="0" w:color="auto"/>
        <w:bottom w:val="none" w:sz="0" w:space="0" w:color="auto"/>
        <w:right w:val="none" w:sz="0" w:space="0" w:color="auto"/>
      </w:divBdr>
    </w:div>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261571637">
      <w:bodyDiv w:val="1"/>
      <w:marLeft w:val="0"/>
      <w:marRight w:val="0"/>
      <w:marTop w:val="0"/>
      <w:marBottom w:val="0"/>
      <w:divBdr>
        <w:top w:val="none" w:sz="0" w:space="0" w:color="auto"/>
        <w:left w:val="none" w:sz="0" w:space="0" w:color="auto"/>
        <w:bottom w:val="none" w:sz="0" w:space="0" w:color="auto"/>
        <w:right w:val="none" w:sz="0" w:space="0" w:color="auto"/>
      </w:divBdr>
    </w:div>
    <w:div w:id="342898280">
      <w:bodyDiv w:val="1"/>
      <w:marLeft w:val="0"/>
      <w:marRight w:val="0"/>
      <w:marTop w:val="0"/>
      <w:marBottom w:val="0"/>
      <w:divBdr>
        <w:top w:val="none" w:sz="0" w:space="0" w:color="auto"/>
        <w:left w:val="none" w:sz="0" w:space="0" w:color="auto"/>
        <w:bottom w:val="none" w:sz="0" w:space="0" w:color="auto"/>
        <w:right w:val="none" w:sz="0" w:space="0" w:color="auto"/>
      </w:divBdr>
    </w:div>
    <w:div w:id="392121763">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53789256">
      <w:bodyDiv w:val="1"/>
      <w:marLeft w:val="0"/>
      <w:marRight w:val="0"/>
      <w:marTop w:val="0"/>
      <w:marBottom w:val="0"/>
      <w:divBdr>
        <w:top w:val="none" w:sz="0" w:space="0" w:color="auto"/>
        <w:left w:val="none" w:sz="0" w:space="0" w:color="auto"/>
        <w:bottom w:val="none" w:sz="0" w:space="0" w:color="auto"/>
        <w:right w:val="none" w:sz="0" w:space="0" w:color="auto"/>
      </w:divBdr>
    </w:div>
    <w:div w:id="517735289">
      <w:bodyDiv w:val="1"/>
      <w:marLeft w:val="0"/>
      <w:marRight w:val="0"/>
      <w:marTop w:val="0"/>
      <w:marBottom w:val="0"/>
      <w:divBdr>
        <w:top w:val="none" w:sz="0" w:space="0" w:color="auto"/>
        <w:left w:val="none" w:sz="0" w:space="0" w:color="auto"/>
        <w:bottom w:val="none" w:sz="0" w:space="0" w:color="auto"/>
        <w:right w:val="none" w:sz="0" w:space="0" w:color="auto"/>
      </w:divBdr>
    </w:div>
    <w:div w:id="560216497">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788934014">
      <w:bodyDiv w:val="1"/>
      <w:marLeft w:val="0"/>
      <w:marRight w:val="0"/>
      <w:marTop w:val="0"/>
      <w:marBottom w:val="0"/>
      <w:divBdr>
        <w:top w:val="none" w:sz="0" w:space="0" w:color="auto"/>
        <w:left w:val="none" w:sz="0" w:space="0" w:color="auto"/>
        <w:bottom w:val="none" w:sz="0" w:space="0" w:color="auto"/>
        <w:right w:val="none" w:sz="0" w:space="0" w:color="auto"/>
      </w:divBdr>
    </w:div>
    <w:div w:id="844901673">
      <w:bodyDiv w:val="1"/>
      <w:marLeft w:val="0"/>
      <w:marRight w:val="0"/>
      <w:marTop w:val="0"/>
      <w:marBottom w:val="0"/>
      <w:divBdr>
        <w:top w:val="none" w:sz="0" w:space="0" w:color="auto"/>
        <w:left w:val="none" w:sz="0" w:space="0" w:color="auto"/>
        <w:bottom w:val="none" w:sz="0" w:space="0" w:color="auto"/>
        <w:right w:val="none" w:sz="0" w:space="0" w:color="auto"/>
      </w:divBdr>
    </w:div>
    <w:div w:id="865559480">
      <w:bodyDiv w:val="1"/>
      <w:marLeft w:val="0"/>
      <w:marRight w:val="0"/>
      <w:marTop w:val="0"/>
      <w:marBottom w:val="0"/>
      <w:divBdr>
        <w:top w:val="none" w:sz="0" w:space="0" w:color="auto"/>
        <w:left w:val="none" w:sz="0" w:space="0" w:color="auto"/>
        <w:bottom w:val="none" w:sz="0" w:space="0" w:color="auto"/>
        <w:right w:val="none" w:sz="0" w:space="0" w:color="auto"/>
      </w:divBdr>
    </w:div>
    <w:div w:id="913320336">
      <w:bodyDiv w:val="1"/>
      <w:marLeft w:val="0"/>
      <w:marRight w:val="0"/>
      <w:marTop w:val="0"/>
      <w:marBottom w:val="0"/>
      <w:divBdr>
        <w:top w:val="none" w:sz="0" w:space="0" w:color="auto"/>
        <w:left w:val="none" w:sz="0" w:space="0" w:color="auto"/>
        <w:bottom w:val="none" w:sz="0" w:space="0" w:color="auto"/>
        <w:right w:val="none" w:sz="0" w:space="0" w:color="auto"/>
      </w:divBdr>
    </w:div>
    <w:div w:id="1089812868">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0300951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65325516">
      <w:bodyDiv w:val="1"/>
      <w:marLeft w:val="0"/>
      <w:marRight w:val="0"/>
      <w:marTop w:val="0"/>
      <w:marBottom w:val="0"/>
      <w:divBdr>
        <w:top w:val="none" w:sz="0" w:space="0" w:color="auto"/>
        <w:left w:val="none" w:sz="0" w:space="0" w:color="auto"/>
        <w:bottom w:val="none" w:sz="0" w:space="0" w:color="auto"/>
        <w:right w:val="none" w:sz="0" w:space="0" w:color="auto"/>
      </w:divBdr>
    </w:div>
    <w:div w:id="160703542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704281678">
      <w:bodyDiv w:val="1"/>
      <w:marLeft w:val="0"/>
      <w:marRight w:val="0"/>
      <w:marTop w:val="0"/>
      <w:marBottom w:val="0"/>
      <w:divBdr>
        <w:top w:val="none" w:sz="0" w:space="0" w:color="auto"/>
        <w:left w:val="none" w:sz="0" w:space="0" w:color="auto"/>
        <w:bottom w:val="none" w:sz="0" w:space="0" w:color="auto"/>
        <w:right w:val="none" w:sz="0" w:space="0" w:color="auto"/>
      </w:divBdr>
    </w:div>
    <w:div w:id="1836338481">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1977836795">
      <w:bodyDiv w:val="1"/>
      <w:marLeft w:val="0"/>
      <w:marRight w:val="0"/>
      <w:marTop w:val="0"/>
      <w:marBottom w:val="0"/>
      <w:divBdr>
        <w:top w:val="none" w:sz="0" w:space="0" w:color="auto"/>
        <w:left w:val="none" w:sz="0" w:space="0" w:color="auto"/>
        <w:bottom w:val="none" w:sz="0" w:space="0" w:color="auto"/>
        <w:right w:val="none" w:sz="0" w:space="0" w:color="auto"/>
      </w:divBdr>
    </w:div>
    <w:div w:id="2064013410">
      <w:bodyDiv w:val="1"/>
      <w:marLeft w:val="0"/>
      <w:marRight w:val="0"/>
      <w:marTop w:val="0"/>
      <w:marBottom w:val="0"/>
      <w:divBdr>
        <w:top w:val="none" w:sz="0" w:space="0" w:color="auto"/>
        <w:left w:val="none" w:sz="0" w:space="0" w:color="auto"/>
        <w:bottom w:val="none" w:sz="0" w:space="0" w:color="auto"/>
        <w:right w:val="none" w:sz="0" w:space="0" w:color="auto"/>
      </w:divBdr>
    </w:div>
    <w:div w:id="214442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29B67D-9E17-45CC-B9D2-EF8968CC4677}">
  <ds:schemaRefs>
    <ds:schemaRef ds:uri="http://schemas.openxmlformats.org/officeDocument/2006/bibliography"/>
  </ds:schemaRefs>
</ds:datastoreItem>
</file>

<file path=customXml/itemProps2.xml><?xml version="1.0" encoding="utf-8"?>
<ds:datastoreItem xmlns:ds="http://schemas.openxmlformats.org/officeDocument/2006/customXml" ds:itemID="{31FCE6EB-4D5B-4BC5-9BB7-E11B04ABD909}"/>
</file>

<file path=customXml/itemProps3.xml><?xml version="1.0" encoding="utf-8"?>
<ds:datastoreItem xmlns:ds="http://schemas.openxmlformats.org/officeDocument/2006/customXml" ds:itemID="{A6B0980D-763E-496E-968F-FBB22C5F62F1}"/>
</file>

<file path=customXml/itemProps4.xml><?xml version="1.0" encoding="utf-8"?>
<ds:datastoreItem xmlns:ds="http://schemas.openxmlformats.org/officeDocument/2006/customXml" ds:itemID="{363FFB0F-7DC8-40B2-8D0B-EF2A4C831BE8}"/>
</file>

<file path=docProps/app.xml><?xml version="1.0" encoding="utf-8"?>
<Properties xmlns="http://schemas.openxmlformats.org/officeDocument/2006/extended-properties" xmlns:vt="http://schemas.openxmlformats.org/officeDocument/2006/docPropsVTypes">
  <Template>Normal</Template>
  <TotalTime>0</TotalTime>
  <Pages>16</Pages>
  <Words>9146</Words>
  <Characters>52137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2019-02-28T05:36:00Z</cp:lastPrinted>
  <dcterms:created xsi:type="dcterms:W3CDTF">2019-04-02T12:17:00Z</dcterms:created>
  <dcterms:modified xsi:type="dcterms:W3CDTF">2019-04-02T12:17:00Z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gladys.tarrau.castellanos</vt:lpwstr>
  </property>
  <property fmtid="{D5CDD505-2E9C-101B-9397-08002B2CF9AE}" pid="4" name="GeneratedDate">
    <vt:lpwstr>3/20/2019 12:33:35 PM</vt:lpwstr>
  </property>
  <property fmtid="{D5CDD505-2E9C-101B-9397-08002B2CF9AE}" pid="5" name="OriginalDocID">
    <vt:lpwstr>f8f152d4-cbc1-43ab-b5de-bf1216d8f226</vt:lpwstr>
  </property>
  <property fmtid="{D5CDD505-2E9C-101B-9397-08002B2CF9AE}" pid="6" name="ContentTypeId">
    <vt:lpwstr>0x010100A93145753B523F4A8341B4F287D94C5D</vt:lpwstr>
  </property>
</Properties>
</file>