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Default="00B27589" w:rsidP="003805DB">
      <w:pPr>
        <w:pStyle w:val="Normal-pool"/>
        <w:tabs>
          <w:tab w:val="left" w:pos="3240"/>
        </w:tabs>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2069EA">
        <w:trPr>
          <w:cantSplit/>
          <w:trHeight w:val="1079"/>
          <w:jc w:val="right"/>
        </w:trPr>
        <w:tc>
          <w:tcPr>
            <w:tcW w:w="1526" w:type="dxa"/>
          </w:tcPr>
          <w:p w14:paraId="43289B2B" w14:textId="77777777" w:rsidR="00396929" w:rsidRPr="00024C14" w:rsidRDefault="00396929" w:rsidP="002069EA">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2069EA">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2069EA">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2069EA">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2069EA">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2069EA">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2069EA">
            <w:pPr>
              <w:pStyle w:val="Normal-pool"/>
            </w:pPr>
          </w:p>
        </w:tc>
        <w:tc>
          <w:tcPr>
            <w:tcW w:w="1666" w:type="dxa"/>
          </w:tcPr>
          <w:p w14:paraId="2B76AE7B" w14:textId="77777777" w:rsidR="00396929" w:rsidRPr="00024C14" w:rsidRDefault="00396929" w:rsidP="002069EA">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2069EA">
        <w:trPr>
          <w:cantSplit/>
          <w:trHeight w:val="282"/>
          <w:jc w:val="right"/>
        </w:trPr>
        <w:tc>
          <w:tcPr>
            <w:tcW w:w="1526" w:type="dxa"/>
            <w:tcBorders>
              <w:bottom w:val="single" w:sz="2" w:space="0" w:color="auto"/>
            </w:tcBorders>
          </w:tcPr>
          <w:p w14:paraId="28F581D2" w14:textId="77777777" w:rsidR="00396929" w:rsidRPr="0081483A" w:rsidRDefault="00396929" w:rsidP="002069EA">
            <w:pPr>
              <w:pStyle w:val="Normal-pool"/>
              <w:rPr>
                <w:noProof/>
              </w:rPr>
            </w:pPr>
          </w:p>
        </w:tc>
        <w:tc>
          <w:tcPr>
            <w:tcW w:w="5953" w:type="dxa"/>
            <w:gridSpan w:val="6"/>
            <w:tcBorders>
              <w:bottom w:val="single" w:sz="2" w:space="0" w:color="auto"/>
            </w:tcBorders>
          </w:tcPr>
          <w:p w14:paraId="6D82283C" w14:textId="77777777" w:rsidR="00396929" w:rsidRPr="00EA5E72" w:rsidRDefault="00396929" w:rsidP="002069EA">
            <w:pPr>
              <w:pStyle w:val="Normal-pool"/>
              <w:rPr>
                <w:sz w:val="24"/>
                <w:szCs w:val="24"/>
              </w:rPr>
            </w:pPr>
          </w:p>
        </w:tc>
        <w:tc>
          <w:tcPr>
            <w:tcW w:w="2233" w:type="dxa"/>
            <w:gridSpan w:val="2"/>
            <w:tcBorders>
              <w:bottom w:val="single" w:sz="2" w:space="0" w:color="auto"/>
            </w:tcBorders>
          </w:tcPr>
          <w:p w14:paraId="354E7990" w14:textId="65E86914" w:rsidR="00396929" w:rsidRPr="005F06C5" w:rsidRDefault="00396929" w:rsidP="002069EA">
            <w:pPr>
              <w:pStyle w:val="Normal-pool"/>
              <w:rPr>
                <w:sz w:val="24"/>
                <w:szCs w:val="24"/>
              </w:rPr>
            </w:pPr>
            <w:r w:rsidRPr="005F06C5">
              <w:rPr>
                <w:b/>
                <w:sz w:val="24"/>
                <w:szCs w:val="24"/>
              </w:rPr>
              <w:t>IPBES</w:t>
            </w:r>
            <w:r w:rsidRPr="005F06C5">
              <w:t>/</w:t>
            </w:r>
            <w:r w:rsidR="005F06C5" w:rsidRPr="005F06C5">
              <w:t>7</w:t>
            </w:r>
            <w:r w:rsidRPr="005F06C5">
              <w:t>/</w:t>
            </w:r>
            <w:r w:rsidR="005537BD">
              <w:t>2</w:t>
            </w:r>
          </w:p>
        </w:tc>
      </w:tr>
      <w:tr w:rsidR="00396929" w:rsidRPr="008C00D6" w14:paraId="44558741" w14:textId="77777777" w:rsidTr="002069EA">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2069EA">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2069EA">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7566CB7A" w:rsidR="00396929" w:rsidRPr="005F06C5" w:rsidRDefault="00396929" w:rsidP="00471270">
            <w:pPr>
              <w:pStyle w:val="Normal-pool"/>
              <w:spacing w:before="120"/>
            </w:pPr>
            <w:r w:rsidRPr="005F06C5">
              <w:t>Distr.: General</w:t>
            </w:r>
            <w:r w:rsidR="005F06C5">
              <w:t xml:space="preserve"> </w:t>
            </w:r>
            <w:r w:rsidRPr="005F06C5">
              <w:br/>
            </w:r>
            <w:r w:rsidR="00FA500A">
              <w:t>5</w:t>
            </w:r>
            <w:r w:rsidR="00E7205C" w:rsidRPr="00651EF8">
              <w:t xml:space="preserve"> </w:t>
            </w:r>
            <w:r w:rsidR="00FA500A">
              <w:t>March</w:t>
            </w:r>
            <w:r w:rsidRPr="00651EF8">
              <w:t xml:space="preserve"> </w:t>
            </w:r>
            <w:r w:rsidR="005F06C5" w:rsidRPr="00651EF8">
              <w:t>201</w:t>
            </w:r>
            <w:r w:rsidR="00FA500A">
              <w:t>9</w:t>
            </w:r>
          </w:p>
          <w:p w14:paraId="09C7780F" w14:textId="77777777" w:rsidR="00396929" w:rsidRPr="005F06C5" w:rsidRDefault="00396929" w:rsidP="00471270">
            <w:pPr>
              <w:pStyle w:val="Normal-pool"/>
              <w:spacing w:before="120"/>
            </w:pPr>
            <w:r w:rsidRPr="005F06C5">
              <w:t>Original: English</w:t>
            </w:r>
          </w:p>
        </w:tc>
      </w:tr>
    </w:tbl>
    <w:p w14:paraId="20329E1C" w14:textId="77777777" w:rsidR="00396929" w:rsidRPr="009379B9" w:rsidRDefault="00396929" w:rsidP="00C9545E">
      <w:pPr>
        <w:pStyle w:val="AATitle"/>
      </w:pPr>
      <w:r w:rsidRPr="009379B9">
        <w:t>Plenary of the Intergovernmental Science-Policy</w:t>
      </w:r>
    </w:p>
    <w:p w14:paraId="50E85550" w14:textId="77777777" w:rsidR="00396929" w:rsidRPr="009379B9" w:rsidRDefault="00396929" w:rsidP="00C9545E">
      <w:pPr>
        <w:pStyle w:val="AATitle"/>
      </w:pPr>
      <w:r w:rsidRPr="009379B9">
        <w:t xml:space="preserve">Platform on </w:t>
      </w:r>
      <w:r w:rsidRPr="00024C14">
        <w:t>Biodiversity</w:t>
      </w:r>
      <w:r w:rsidRPr="009379B9">
        <w:t xml:space="preserve"> and Ecosystem Services</w:t>
      </w:r>
    </w:p>
    <w:p w14:paraId="7C1DC04A" w14:textId="410002CB" w:rsidR="00396929" w:rsidRDefault="005F06C5">
      <w:pPr>
        <w:pStyle w:val="AATitle"/>
      </w:pPr>
      <w:r>
        <w:t>Seven</w:t>
      </w:r>
      <w:r w:rsidRPr="009F496D">
        <w:t xml:space="preserve">th </w:t>
      </w:r>
      <w:r w:rsidR="00396929" w:rsidRPr="00024C14">
        <w:t>session</w:t>
      </w:r>
    </w:p>
    <w:p w14:paraId="6FB1825C" w14:textId="77777777" w:rsidR="00B2156E" w:rsidRPr="00794A5A" w:rsidRDefault="00B2156E">
      <w:pPr>
        <w:pStyle w:val="AATitle"/>
        <w:rPr>
          <w:b w:val="0"/>
        </w:rPr>
      </w:pPr>
      <w:r w:rsidRPr="00794A5A">
        <w:rPr>
          <w:b w:val="0"/>
          <w:lang w:eastAsia="ja-JP"/>
        </w:rPr>
        <w:t>Paris, 29 April–4 May 2019</w:t>
      </w:r>
    </w:p>
    <w:p w14:paraId="07E2EAD4" w14:textId="533716AA" w:rsidR="00B2156E" w:rsidRPr="00794A5A" w:rsidRDefault="004A0FE9" w:rsidP="003805DB">
      <w:pPr>
        <w:pStyle w:val="AATitle"/>
      </w:pPr>
      <w:r w:rsidRPr="00794A5A">
        <w:rPr>
          <w:b w:val="0"/>
        </w:rPr>
        <w:t>Item 5</w:t>
      </w:r>
      <w:r w:rsidR="00B2156E" w:rsidRPr="00794A5A">
        <w:rPr>
          <w:b w:val="0"/>
        </w:rPr>
        <w:t xml:space="preserve"> of the provisional agenda</w:t>
      </w:r>
      <w:r w:rsidR="00B2156E" w:rsidRPr="00794A5A">
        <w:rPr>
          <w:b w:val="0"/>
          <w:szCs w:val="18"/>
        </w:rPr>
        <w:footnoteReference w:customMarkFollows="1" w:id="1"/>
        <w:t>*</w:t>
      </w:r>
    </w:p>
    <w:p w14:paraId="53C75232" w14:textId="6F65D900" w:rsidR="00F56735" w:rsidRPr="002B27F6" w:rsidRDefault="00D2125B" w:rsidP="003805DB">
      <w:pPr>
        <w:pStyle w:val="AATitle2"/>
        <w:spacing w:before="60"/>
        <w:ind w:right="3827"/>
      </w:pPr>
      <w:r>
        <w:t xml:space="preserve">Report of the Executive Secretary on the implementation </w:t>
      </w:r>
      <w:r w:rsidR="00794A5A">
        <w:br/>
      </w:r>
      <w:r>
        <w:t>of the first work programme for the period 2014–2018</w:t>
      </w:r>
    </w:p>
    <w:p w14:paraId="38073319" w14:textId="3AADE3F9" w:rsidR="002C1316" w:rsidRPr="00293967" w:rsidRDefault="005537BD" w:rsidP="003805DB">
      <w:pPr>
        <w:pStyle w:val="BBTitle"/>
      </w:pPr>
      <w:r w:rsidRPr="003805DB">
        <w:t>Im</w:t>
      </w:r>
      <w:r w:rsidRPr="00293967">
        <w:t>plementation of the first work programme</w:t>
      </w:r>
    </w:p>
    <w:p w14:paraId="5A666BF6" w14:textId="77777777" w:rsidR="00855F33" w:rsidRPr="00794A5A" w:rsidRDefault="002C1316">
      <w:pPr>
        <w:pStyle w:val="CH2"/>
        <w:rPr>
          <w:rFonts w:eastAsia="Gulim"/>
        </w:rPr>
      </w:pPr>
      <w:r w:rsidRPr="00794A5A">
        <w:tab/>
      </w:r>
      <w:r w:rsidRPr="00794A5A">
        <w:tab/>
      </w:r>
      <w:r w:rsidR="00855F33" w:rsidRPr="00794A5A">
        <w:t xml:space="preserve">Report of the Executive Secretary </w:t>
      </w:r>
    </w:p>
    <w:p w14:paraId="264899E1" w14:textId="77777777" w:rsidR="00855F33" w:rsidRPr="00293967" w:rsidRDefault="00855F33">
      <w:pPr>
        <w:pStyle w:val="CH1"/>
      </w:pPr>
      <w:r w:rsidRPr="00293967">
        <w:tab/>
      </w:r>
      <w:r w:rsidRPr="00293967">
        <w:tab/>
        <w:t>Introduction</w:t>
      </w:r>
    </w:p>
    <w:p w14:paraId="4A441A97" w14:textId="0145FE12" w:rsidR="00855F33" w:rsidRPr="00293967" w:rsidRDefault="007817A5" w:rsidP="003805DB">
      <w:pPr>
        <w:pStyle w:val="Normalnumber"/>
      </w:pPr>
      <w:r>
        <w:t xml:space="preserve">In its </w:t>
      </w:r>
      <w:r w:rsidRPr="00293967">
        <w:t>decision IPBES-2/5</w:t>
      </w:r>
      <w:r>
        <w:t xml:space="preserve">, </w:t>
      </w:r>
      <w:r w:rsidR="00855F33" w:rsidRPr="00293967">
        <w:t>the Plenary of the Intergovernmental Science-Policy Platform on Biodiversity and Ecosystem Services (IPBES) adopted an ambitious first work programme with a sequenced set of deliverables for the period 2014–2018</w:t>
      </w:r>
      <w:r>
        <w:t xml:space="preserve">, </w:t>
      </w:r>
      <w:r w:rsidR="00855F33" w:rsidRPr="00293967">
        <w:t>on the understanding that work on specific deliverables would be initiated following further decisions by the Plenary in accordance with the procedures for the preparation of deliverables (decision IPBES-3/3, annex I).</w:t>
      </w:r>
    </w:p>
    <w:p w14:paraId="31BCE221" w14:textId="686D9CC8" w:rsidR="00855F33" w:rsidRPr="00293967" w:rsidRDefault="007817A5" w:rsidP="003805DB">
      <w:pPr>
        <w:pStyle w:val="Normalnumber"/>
      </w:pPr>
      <w:r>
        <w:t>In its</w:t>
      </w:r>
      <w:r w:rsidR="00855F33" w:rsidRPr="00293967">
        <w:t xml:space="preserve"> dec</w:t>
      </w:r>
      <w:r w:rsidR="00886752" w:rsidRPr="00293967">
        <w:t xml:space="preserve">isions IPBES-3/1, IPBES-4/1, </w:t>
      </w:r>
      <w:r w:rsidR="00855F33" w:rsidRPr="00293967">
        <w:t>IPBES-5/1</w:t>
      </w:r>
      <w:r w:rsidR="006744B2" w:rsidRPr="00293967">
        <w:t xml:space="preserve"> and IPBES-6/1</w:t>
      </w:r>
      <w:r w:rsidR="00855F33" w:rsidRPr="00293967">
        <w:t xml:space="preserve">, </w:t>
      </w:r>
      <w:r>
        <w:t>the Plenary</w:t>
      </w:r>
      <w:r w:rsidR="00855F33" w:rsidRPr="00293967">
        <w:t xml:space="preserve"> provided further guidance on the implementation of all deliverables. In </w:t>
      </w:r>
      <w:r>
        <w:t xml:space="preserve">its </w:t>
      </w:r>
      <w:r w:rsidR="00855F33" w:rsidRPr="00293967">
        <w:t>decision IPBES-4/1, the Plenary approved the undertaking of a global assessment of biodiversity and ecosystem services</w:t>
      </w:r>
      <w:r w:rsidR="00D86EFF">
        <w:t>,</w:t>
      </w:r>
      <w:r w:rsidR="00855F33" w:rsidRPr="00293967">
        <w:t xml:space="preserve"> to be </w:t>
      </w:r>
      <w:r w:rsidR="006744B2" w:rsidRPr="00293967">
        <w:t xml:space="preserve">considered at </w:t>
      </w:r>
      <w:r>
        <w:t>the</w:t>
      </w:r>
      <w:r w:rsidRPr="00293967">
        <w:t xml:space="preserve"> </w:t>
      </w:r>
      <w:r w:rsidR="006744B2" w:rsidRPr="00293967">
        <w:t>seventh session</w:t>
      </w:r>
      <w:r w:rsidR="00855F33" w:rsidRPr="00293967">
        <w:t>.</w:t>
      </w:r>
    </w:p>
    <w:p w14:paraId="363BEC92" w14:textId="2870C21F" w:rsidR="00855F33" w:rsidRPr="00293967" w:rsidRDefault="00855F33" w:rsidP="003805DB">
      <w:pPr>
        <w:pStyle w:val="Normalnumber"/>
      </w:pPr>
      <w:r w:rsidRPr="00293967">
        <w:t>The present report has been prepared by the Executive Secretary, in consultation with the Bureau and the Multidisciplinary Expert Panel, to facilitate consideration of the progress achieved in the implementation of the work programme. As a basis for that consideration, the report provides information on the following matters:</w:t>
      </w:r>
    </w:p>
    <w:p w14:paraId="33EF7C0D" w14:textId="5D7C791C" w:rsidR="00855F33" w:rsidRPr="00293967" w:rsidRDefault="00154CA8" w:rsidP="00A02CF6">
      <w:pPr>
        <w:pStyle w:val="Normalnumber"/>
        <w:numPr>
          <w:ilvl w:val="1"/>
          <w:numId w:val="4"/>
        </w:numPr>
      </w:pPr>
      <w:r w:rsidRPr="00293967">
        <w:t>Progress made in 2018</w:t>
      </w:r>
      <w:r w:rsidR="00855F33" w:rsidRPr="00293967">
        <w:t xml:space="preserve"> in </w:t>
      </w:r>
      <w:r w:rsidRPr="00293967">
        <w:t>completi</w:t>
      </w:r>
      <w:r w:rsidR="00D86EFF">
        <w:t>ng</w:t>
      </w:r>
      <w:r w:rsidRPr="00293967">
        <w:t xml:space="preserve"> the </w:t>
      </w:r>
      <w:r w:rsidR="00855F33" w:rsidRPr="00293967">
        <w:t>implementation of the deliverables set out in the work programme for the period 2014–2018 initiated in decisions IPBES-2/5, IPBES-3/1, IPBES</w:t>
      </w:r>
      <w:r w:rsidR="009E08B9">
        <w:noBreakHyphen/>
      </w:r>
      <w:r w:rsidR="00855F33" w:rsidRPr="00293967">
        <w:t>4/1</w:t>
      </w:r>
      <w:r w:rsidR="002255A8" w:rsidRPr="00293967">
        <w:t>,</w:t>
      </w:r>
      <w:r w:rsidR="00855F33" w:rsidRPr="00293967">
        <w:t xml:space="preserve"> IPBES-5/1</w:t>
      </w:r>
      <w:r w:rsidRPr="00293967">
        <w:t xml:space="preserve"> and IPBES-6/1</w:t>
      </w:r>
      <w:r w:rsidR="00855F33" w:rsidRPr="00293967">
        <w:t>;</w:t>
      </w:r>
    </w:p>
    <w:p w14:paraId="0576BE7E" w14:textId="7513770D" w:rsidR="00855F33" w:rsidRPr="00293967" w:rsidRDefault="00855F33" w:rsidP="003805DB">
      <w:pPr>
        <w:pStyle w:val="Normalnumber"/>
        <w:numPr>
          <w:ilvl w:val="1"/>
          <w:numId w:val="4"/>
        </w:numPr>
      </w:pPr>
      <w:r w:rsidRPr="00293967">
        <w:t>Update regarding the recruitment of staff me</w:t>
      </w:r>
      <w:r w:rsidR="00154CA8" w:rsidRPr="00293967">
        <w:t>mbers to the secretariat in 2018</w:t>
      </w:r>
      <w:r w:rsidRPr="00293967">
        <w:t>.</w:t>
      </w:r>
    </w:p>
    <w:p w14:paraId="37768AFE" w14:textId="5FFE6799" w:rsidR="00855F33" w:rsidRPr="00794A5A" w:rsidRDefault="00855F33" w:rsidP="00C9545E">
      <w:pPr>
        <w:pStyle w:val="CH1"/>
      </w:pPr>
      <w:r w:rsidRPr="00794A5A">
        <w:tab/>
        <w:t>I.</w:t>
      </w:r>
      <w:r w:rsidRPr="00794A5A">
        <w:tab/>
        <w:t>Progress in the implementation of decisions on the first work programme</w:t>
      </w:r>
    </w:p>
    <w:p w14:paraId="2F299DEB" w14:textId="506BCA58" w:rsidR="00F24586" w:rsidRPr="00293967" w:rsidRDefault="00491D1C" w:rsidP="003805DB">
      <w:pPr>
        <w:pStyle w:val="Normalnumber"/>
      </w:pPr>
      <w:bookmarkStart w:id="1" w:name="_Hlk499034317"/>
      <w:bookmarkStart w:id="2" w:name="_Hlk498357772"/>
      <w:r w:rsidRPr="00293967">
        <w:t>The global assessment of biodiversity and ecosystem services will mark the culmination of th</w:t>
      </w:r>
      <w:r w:rsidR="00A843FD" w:rsidRPr="00293967">
        <w:t>e</w:t>
      </w:r>
      <w:r w:rsidRPr="00293967">
        <w:t xml:space="preserve"> first work programme of IPBES. This landmark product, which </w:t>
      </w:r>
      <w:r w:rsidR="00F24586" w:rsidRPr="00293967">
        <w:t>has</w:t>
      </w:r>
      <w:r w:rsidRPr="00293967">
        <w:t xml:space="preserve"> engaged the </w:t>
      </w:r>
      <w:r w:rsidR="001C0DFB" w:rsidRPr="00293967">
        <w:t xml:space="preserve">attention </w:t>
      </w:r>
      <w:r w:rsidRPr="00293967">
        <w:t xml:space="preserve">of some </w:t>
      </w:r>
      <w:r w:rsidR="00541290" w:rsidRPr="00293967">
        <w:t>4</w:t>
      </w:r>
      <w:r w:rsidRPr="00293967">
        <w:t>00 experts</w:t>
      </w:r>
      <w:r w:rsidRPr="00794A5A">
        <w:rPr>
          <w:vertAlign w:val="superscript"/>
        </w:rPr>
        <w:footnoteReference w:id="2"/>
      </w:r>
      <w:r w:rsidRPr="00293967">
        <w:t xml:space="preserve"> over three years, </w:t>
      </w:r>
      <w:r w:rsidR="00F24586" w:rsidRPr="00293967">
        <w:t>will, in conjunction with the four regional</w:t>
      </w:r>
      <w:r w:rsidR="008B37DC" w:rsidRPr="00293967">
        <w:t xml:space="preserve"> assessments of biodiversity and ecosystem services</w:t>
      </w:r>
      <w:r w:rsidR="00F24586" w:rsidRPr="00293967">
        <w:t xml:space="preserve"> and </w:t>
      </w:r>
      <w:r w:rsidR="008B37DC" w:rsidRPr="00293967">
        <w:t xml:space="preserve">the </w:t>
      </w:r>
      <w:r w:rsidR="001C0DFB" w:rsidRPr="00293967">
        <w:t xml:space="preserve">assessment of </w:t>
      </w:r>
      <w:r w:rsidR="00F24586" w:rsidRPr="00293967">
        <w:t>land degradation and restoration</w:t>
      </w:r>
      <w:r w:rsidR="001C0DFB" w:rsidRPr="00293967">
        <w:t>,</w:t>
      </w:r>
      <w:r w:rsidR="00F24586" w:rsidRPr="00293967">
        <w:t xml:space="preserve"> </w:t>
      </w:r>
      <w:r w:rsidR="0085171F" w:rsidRPr="00293967">
        <w:t>inform</w:t>
      </w:r>
      <w:r w:rsidRPr="00293967">
        <w:t xml:space="preserve"> </w:t>
      </w:r>
      <w:r w:rsidR="001C0DFB" w:rsidRPr="00293967">
        <w:t xml:space="preserve">the </w:t>
      </w:r>
      <w:r w:rsidR="00A843FD" w:rsidRPr="00293967">
        <w:t>consideration</w:t>
      </w:r>
      <w:r w:rsidRPr="00293967">
        <w:t xml:space="preserve"> of the post</w:t>
      </w:r>
      <w:r w:rsidR="008B37DC" w:rsidRPr="00293967">
        <w:t>-</w:t>
      </w:r>
      <w:r w:rsidRPr="00293967">
        <w:t xml:space="preserve">2020 </w:t>
      </w:r>
      <w:r w:rsidR="008B37DC" w:rsidRPr="00293967">
        <w:t xml:space="preserve">global </w:t>
      </w:r>
      <w:r w:rsidRPr="00293967">
        <w:t xml:space="preserve">biodiversity framework in the broader context of the 2030 Agenda for Sustainable Development.  </w:t>
      </w:r>
    </w:p>
    <w:p w14:paraId="3DCB0CFE" w14:textId="6A8B2830" w:rsidR="00491D1C" w:rsidRPr="00293967" w:rsidRDefault="00491D1C" w:rsidP="003805DB">
      <w:pPr>
        <w:pStyle w:val="Normalnumber"/>
      </w:pPr>
      <w:r w:rsidRPr="00293967">
        <w:lastRenderedPageBreak/>
        <w:t xml:space="preserve">In just five years, IPBES </w:t>
      </w:r>
      <w:r w:rsidR="00F24586" w:rsidRPr="00293967">
        <w:t>has</w:t>
      </w:r>
      <w:r w:rsidRPr="00293967">
        <w:t xml:space="preserve"> successfully established itself as </w:t>
      </w:r>
      <w:r w:rsidR="00BA043B" w:rsidRPr="00293967">
        <w:t xml:space="preserve">a </w:t>
      </w:r>
      <w:r w:rsidR="00581457">
        <w:t xml:space="preserve">major </w:t>
      </w:r>
      <w:r w:rsidRPr="00293967">
        <w:t xml:space="preserve">source of </w:t>
      </w:r>
      <w:r w:rsidR="00A843FD" w:rsidRPr="00293967">
        <w:t xml:space="preserve">credible </w:t>
      </w:r>
      <w:r w:rsidRPr="00293967">
        <w:t>knowledge in support of decision</w:t>
      </w:r>
      <w:r w:rsidR="001C0DFB" w:rsidRPr="00293967">
        <w:t>-</w:t>
      </w:r>
      <w:r w:rsidRPr="00293967">
        <w:t>making</w:t>
      </w:r>
      <w:r w:rsidR="001C0DFB" w:rsidRPr="00293967">
        <w:t>.</w:t>
      </w:r>
      <w:r w:rsidR="0085171F" w:rsidRPr="00293967">
        <w:t xml:space="preserve"> The regional assessments and the assessment of land degradation and restoration, </w:t>
      </w:r>
      <w:r w:rsidR="001C0DFB" w:rsidRPr="00293967">
        <w:t xml:space="preserve">together </w:t>
      </w:r>
      <w:r w:rsidR="0085171F" w:rsidRPr="00293967">
        <w:t xml:space="preserve">with the earlier </w:t>
      </w:r>
      <w:r w:rsidR="001C0DFB" w:rsidRPr="00293967">
        <w:t xml:space="preserve">assessments of </w:t>
      </w:r>
      <w:r w:rsidR="0085171F" w:rsidRPr="00293967">
        <w:t xml:space="preserve">pollination and </w:t>
      </w:r>
      <w:r w:rsidR="00BA043B" w:rsidRPr="00293967">
        <w:t xml:space="preserve">of </w:t>
      </w:r>
      <w:r w:rsidR="0085171F" w:rsidRPr="00293967">
        <w:t>scenarios and model</w:t>
      </w:r>
      <w:r w:rsidR="001C0DFB" w:rsidRPr="00293967">
        <w:t>s</w:t>
      </w:r>
      <w:r w:rsidR="0085171F" w:rsidRPr="00293967">
        <w:t xml:space="preserve">, </w:t>
      </w:r>
      <w:r w:rsidR="001C0DFB" w:rsidRPr="00293967">
        <w:t xml:space="preserve">began </w:t>
      </w:r>
      <w:r w:rsidR="0085171F" w:rsidRPr="00293967">
        <w:t xml:space="preserve">to inform </w:t>
      </w:r>
      <w:r w:rsidR="001C0DFB" w:rsidRPr="00293967">
        <w:t>decision-making</w:t>
      </w:r>
      <w:r w:rsidR="0085171F" w:rsidRPr="00293967">
        <w:t xml:space="preserve"> </w:t>
      </w:r>
      <w:r w:rsidR="00BA043B" w:rsidRPr="00293967">
        <w:t xml:space="preserve">under </w:t>
      </w:r>
      <w:r w:rsidR="0085171F" w:rsidRPr="00293967">
        <w:t xml:space="preserve">several multilateral environmental agreements (see documents IPBES/7/INF/14 and </w:t>
      </w:r>
      <w:r w:rsidR="001C0DFB" w:rsidRPr="00293967">
        <w:t>IPBES/7/INF/</w:t>
      </w:r>
      <w:r w:rsidR="0085171F" w:rsidRPr="00293967">
        <w:t xml:space="preserve">15), as well as at </w:t>
      </w:r>
      <w:r w:rsidR="001C0DFB" w:rsidRPr="00293967">
        <w:t xml:space="preserve">the </w:t>
      </w:r>
      <w:r w:rsidR="0085171F" w:rsidRPr="00293967">
        <w:t>regional and national levels.</w:t>
      </w:r>
      <w:r w:rsidR="006C21EC" w:rsidRPr="00293967">
        <w:t xml:space="preserve"> </w:t>
      </w:r>
      <w:r w:rsidR="0085171F" w:rsidRPr="00293967">
        <w:t xml:space="preserve">They also received significant media interest </w:t>
      </w:r>
      <w:r w:rsidR="00BA69E8" w:rsidRPr="00293967">
        <w:t xml:space="preserve">around </w:t>
      </w:r>
      <w:r w:rsidR="0085171F" w:rsidRPr="00293967">
        <w:t xml:space="preserve">the world, bringing the importance of </w:t>
      </w:r>
      <w:r w:rsidR="00BA69E8" w:rsidRPr="00293967">
        <w:t xml:space="preserve">those </w:t>
      </w:r>
      <w:r w:rsidR="0085171F" w:rsidRPr="00293967">
        <w:t xml:space="preserve">issues to the </w:t>
      </w:r>
      <w:r w:rsidR="001C0DFB" w:rsidRPr="00293967">
        <w:t xml:space="preserve">attention of the </w:t>
      </w:r>
      <w:r w:rsidR="0085171F" w:rsidRPr="00293967">
        <w:t>general public</w:t>
      </w:r>
      <w:r w:rsidR="006C21EC" w:rsidRPr="00293967">
        <w:t xml:space="preserve">. In </w:t>
      </w:r>
      <w:r w:rsidR="00925D83" w:rsidRPr="003805DB">
        <w:t>a</w:t>
      </w:r>
      <w:r w:rsidR="00925D83" w:rsidRPr="00293967">
        <w:t xml:space="preserve"> </w:t>
      </w:r>
      <w:r w:rsidR="006C21EC" w:rsidRPr="00293967">
        <w:t xml:space="preserve">short </w:t>
      </w:r>
      <w:r w:rsidR="003409EF">
        <w:t>period</w:t>
      </w:r>
      <w:r w:rsidR="006C21EC" w:rsidRPr="00293967">
        <w:t xml:space="preserve">, IPBES will have produced eight assessments </w:t>
      </w:r>
      <w:r w:rsidRPr="00293967">
        <w:t xml:space="preserve">and forged new paths </w:t>
      </w:r>
      <w:r w:rsidR="00BA69E8" w:rsidRPr="00293967">
        <w:t xml:space="preserve">through </w:t>
      </w:r>
      <w:r w:rsidRPr="00293967">
        <w:t xml:space="preserve">its innovative work on the multiple values of biodiversity, on scenarios and models </w:t>
      </w:r>
      <w:r w:rsidR="008B37DC" w:rsidRPr="00293967">
        <w:t>and</w:t>
      </w:r>
      <w:r w:rsidRPr="00293967">
        <w:t xml:space="preserve"> on its approach to recognizing and working with indigenous and local knowledge</w:t>
      </w:r>
      <w:r w:rsidR="00C33018" w:rsidRPr="00293967">
        <w:t>, to cite</w:t>
      </w:r>
      <w:r w:rsidR="00C72607">
        <w:t xml:space="preserve"> but</w:t>
      </w:r>
      <w:r w:rsidR="00C33018" w:rsidRPr="00293967">
        <w:t xml:space="preserve"> a few examples</w:t>
      </w:r>
      <w:r w:rsidRPr="00293967">
        <w:t xml:space="preserve">. </w:t>
      </w:r>
    </w:p>
    <w:p w14:paraId="3B4B157B" w14:textId="1F1CDA07" w:rsidR="00A843FD" w:rsidRPr="00293967" w:rsidRDefault="00491D1C" w:rsidP="003805DB">
      <w:pPr>
        <w:pStyle w:val="Normalnumber"/>
      </w:pPr>
      <w:r w:rsidRPr="00794A5A">
        <w:t xml:space="preserve">During </w:t>
      </w:r>
      <w:r w:rsidR="00BA69E8" w:rsidRPr="00794A5A">
        <w:t xml:space="preserve">the implementation of the </w:t>
      </w:r>
      <w:r w:rsidRPr="00794A5A">
        <w:t>first work programme, t</w:t>
      </w:r>
      <w:r w:rsidR="00855F33" w:rsidRPr="00293967">
        <w:t xml:space="preserve">he </w:t>
      </w:r>
      <w:r w:rsidR="00845065">
        <w:t xml:space="preserve">biodiversity science-policy </w:t>
      </w:r>
      <w:r w:rsidR="00855F33" w:rsidRPr="00293967">
        <w:t xml:space="preserve">community </w:t>
      </w:r>
      <w:r w:rsidR="001D1BB2" w:rsidRPr="00293967">
        <w:t>has</w:t>
      </w:r>
      <w:r w:rsidRPr="00293967">
        <w:t xml:space="preserve"> displayed enthusiastic </w:t>
      </w:r>
      <w:r w:rsidR="00855F33" w:rsidRPr="00293967">
        <w:t xml:space="preserve">support </w:t>
      </w:r>
      <w:r w:rsidR="00C72607">
        <w:t>for</w:t>
      </w:r>
      <w:r w:rsidR="00C72607" w:rsidRPr="00293967">
        <w:t xml:space="preserve"> </w:t>
      </w:r>
      <w:r w:rsidR="00855F33" w:rsidRPr="00293967">
        <w:t xml:space="preserve">IPBES through the time and effort contributed by selected experts, </w:t>
      </w:r>
      <w:r w:rsidRPr="00293967">
        <w:t>contributing authors</w:t>
      </w:r>
      <w:r w:rsidR="00623423" w:rsidRPr="00293967">
        <w:t xml:space="preserve"> and</w:t>
      </w:r>
      <w:r w:rsidRPr="00293967">
        <w:t xml:space="preserve"> peer reviewers, </w:t>
      </w:r>
      <w:r w:rsidR="00BA69E8" w:rsidRPr="00293967">
        <w:t xml:space="preserve">through </w:t>
      </w:r>
      <w:r w:rsidR="00855F33" w:rsidRPr="00293967">
        <w:t xml:space="preserve">a large and diverse set of other </w:t>
      </w:r>
      <w:r w:rsidR="003805DB">
        <w:br/>
      </w:r>
      <w:r w:rsidR="00855F33" w:rsidRPr="00293967">
        <w:t>in-kind contributions from Governments and organizations and through contributions by members to the IPBES trust fund and financial support for related activities of IP</w:t>
      </w:r>
      <w:r w:rsidR="007A4A4E" w:rsidRPr="00293967">
        <w:t>BES detailed in document IPBES/7/4</w:t>
      </w:r>
      <w:r w:rsidR="00855F33" w:rsidRPr="00293967">
        <w:t>.</w:t>
      </w:r>
    </w:p>
    <w:p w14:paraId="0DA2EFDA" w14:textId="6D5C8504" w:rsidR="00855F33" w:rsidRPr="00293967" w:rsidRDefault="00A843FD" w:rsidP="003805DB">
      <w:pPr>
        <w:pStyle w:val="Normalnumber"/>
      </w:pPr>
      <w:r w:rsidRPr="00293967">
        <w:t xml:space="preserve">The IPBES </w:t>
      </w:r>
      <w:r w:rsidR="00F24586" w:rsidRPr="00293967">
        <w:t xml:space="preserve">flexible </w:t>
      </w:r>
      <w:r w:rsidRPr="00293967">
        <w:t xml:space="preserve">work programme up to 2030 will benefit from a large body of lessons collectively </w:t>
      </w:r>
      <w:r w:rsidR="001D265E" w:rsidRPr="00293967">
        <w:t xml:space="preserve">learned </w:t>
      </w:r>
      <w:r w:rsidRPr="00293967">
        <w:t>by all involved, which, together with the internal review noted by the Plenary</w:t>
      </w:r>
      <w:r w:rsidR="00006907" w:rsidRPr="00293967">
        <w:t xml:space="preserve"> at its sixth session</w:t>
      </w:r>
      <w:r w:rsidRPr="00293967">
        <w:t xml:space="preserve">, and the external review, to be considered </w:t>
      </w:r>
      <w:r w:rsidR="00006907" w:rsidRPr="00293967">
        <w:t>at</w:t>
      </w:r>
      <w:r w:rsidRPr="00293967">
        <w:t xml:space="preserve"> </w:t>
      </w:r>
      <w:r w:rsidR="001D265E" w:rsidRPr="00293967">
        <w:t xml:space="preserve">the </w:t>
      </w:r>
      <w:r w:rsidR="00C72607">
        <w:t>current</w:t>
      </w:r>
      <w:r w:rsidR="00C72607" w:rsidRPr="00293967">
        <w:t xml:space="preserve"> </w:t>
      </w:r>
      <w:r w:rsidRPr="00293967">
        <w:t>session, will strengthen its design. The three ongoing assessments</w:t>
      </w:r>
      <w:r w:rsidR="00006907" w:rsidRPr="00293967">
        <w:t>,</w:t>
      </w:r>
      <w:r w:rsidRPr="00293967">
        <w:t xml:space="preserve"> o</w:t>
      </w:r>
      <w:r w:rsidR="009C3D85" w:rsidRPr="00293967">
        <w:t>f</w:t>
      </w:r>
      <w:r w:rsidRPr="00293967">
        <w:t xml:space="preserve"> values and o</w:t>
      </w:r>
      <w:r w:rsidR="009C3D85" w:rsidRPr="00293967">
        <w:t>f</w:t>
      </w:r>
      <w:r w:rsidRPr="00293967">
        <w:t xml:space="preserve"> the sustainable use of wild species</w:t>
      </w:r>
      <w:r w:rsidR="001D265E" w:rsidRPr="00293967">
        <w:t>,</w:t>
      </w:r>
      <w:r w:rsidRPr="00293967">
        <w:t xml:space="preserve"> </w:t>
      </w:r>
      <w:r w:rsidR="00C72607">
        <w:t>begun</w:t>
      </w:r>
      <w:r w:rsidR="00C72607" w:rsidRPr="00293967">
        <w:t xml:space="preserve"> </w:t>
      </w:r>
      <w:r w:rsidRPr="00293967">
        <w:t>in 2018, and o</w:t>
      </w:r>
      <w:r w:rsidR="009C3D85" w:rsidRPr="00293967">
        <w:t>f</w:t>
      </w:r>
      <w:r w:rsidRPr="00293967">
        <w:t xml:space="preserve"> invasive alien species, </w:t>
      </w:r>
      <w:r w:rsidR="00C72607">
        <w:t>begun</w:t>
      </w:r>
      <w:r w:rsidR="00C72607" w:rsidRPr="00293967">
        <w:t xml:space="preserve"> </w:t>
      </w:r>
      <w:r w:rsidRPr="00293967">
        <w:t xml:space="preserve">in 2019, will </w:t>
      </w:r>
      <w:r w:rsidR="001D265E" w:rsidRPr="00293967">
        <w:t xml:space="preserve">serve as </w:t>
      </w:r>
      <w:r w:rsidRPr="00293967">
        <w:t xml:space="preserve">a transition </w:t>
      </w:r>
      <w:r w:rsidR="001D265E" w:rsidRPr="00293967">
        <w:t xml:space="preserve">from </w:t>
      </w:r>
      <w:r w:rsidRPr="00293967">
        <w:t>the first</w:t>
      </w:r>
      <w:r w:rsidR="001E40DE" w:rsidRPr="00293967">
        <w:t xml:space="preserve"> work programme</w:t>
      </w:r>
      <w:r w:rsidRPr="00293967">
        <w:t xml:space="preserve"> </w:t>
      </w:r>
      <w:r w:rsidR="001D265E" w:rsidRPr="00293967">
        <w:t xml:space="preserve">to </w:t>
      </w:r>
      <w:r w:rsidRPr="00293967">
        <w:t xml:space="preserve">the new work programme up to 2030. </w:t>
      </w:r>
      <w:r w:rsidR="00855F33" w:rsidRPr="00293967">
        <w:t xml:space="preserve"> </w:t>
      </w:r>
    </w:p>
    <w:bookmarkEnd w:id="1"/>
    <w:p w14:paraId="3ED847DA" w14:textId="2E252314" w:rsidR="00855F33" w:rsidRPr="00293967" w:rsidRDefault="008F5905" w:rsidP="003805DB">
      <w:pPr>
        <w:pStyle w:val="Normalnumber"/>
      </w:pPr>
      <w:r w:rsidRPr="00293967">
        <w:t>The following groups and task forces</w:t>
      </w:r>
      <w:r w:rsidR="00006907" w:rsidRPr="00293967">
        <w:t xml:space="preserve"> were active</w:t>
      </w:r>
      <w:r w:rsidRPr="00293967">
        <w:t xml:space="preserve"> in 2018</w:t>
      </w:r>
      <w:r w:rsidR="00006907" w:rsidRPr="00293967">
        <w:t xml:space="preserve">: </w:t>
      </w:r>
      <w:r w:rsidRPr="00293967">
        <w:t>t</w:t>
      </w:r>
      <w:r w:rsidR="007A4A4E" w:rsidRPr="00293967">
        <w:t>wo assessment author groups (on the assessment of the sustainable use of wild species and on the assessment o</w:t>
      </w:r>
      <w:r w:rsidR="005F066E">
        <w:t>f</w:t>
      </w:r>
      <w:r w:rsidR="007A4A4E" w:rsidRPr="00293967">
        <w:t xml:space="preserve"> values) established in 2018</w:t>
      </w:r>
      <w:r w:rsidRPr="00293967">
        <w:t>;</w:t>
      </w:r>
      <w:r w:rsidR="007A4A4E" w:rsidRPr="00293967">
        <w:t xml:space="preserve"> o</w:t>
      </w:r>
      <w:r w:rsidR="00855F33" w:rsidRPr="00293967">
        <w:t>ne expert group (on policy support tools and methodologies) reconstituted in 2017</w:t>
      </w:r>
      <w:r w:rsidRPr="003805DB">
        <w:t>;</w:t>
      </w:r>
      <w:r w:rsidR="00855F33" w:rsidRPr="00293967">
        <w:t xml:space="preserve"> one assessment author group (on the global assessment)</w:t>
      </w:r>
      <w:r w:rsidRPr="003805DB">
        <w:t>;</w:t>
      </w:r>
      <w:r w:rsidR="00855F33" w:rsidRPr="00293967">
        <w:t xml:space="preserve"> </w:t>
      </w:r>
      <w:r w:rsidR="002146B9" w:rsidRPr="00293967">
        <w:t>one expert group</w:t>
      </w:r>
      <w:r w:rsidR="00855F33" w:rsidRPr="00293967">
        <w:t xml:space="preserve"> (on scenarios a</w:t>
      </w:r>
      <w:r w:rsidR="007A4A4E" w:rsidRPr="00293967">
        <w:t>nd models) established in 2016</w:t>
      </w:r>
      <w:r w:rsidRPr="00293967">
        <w:t>;</w:t>
      </w:r>
      <w:r w:rsidR="00855F33" w:rsidRPr="00293967">
        <w:t xml:space="preserve"> and three task forces (on capacity</w:t>
      </w:r>
      <w:r w:rsidR="00855F33" w:rsidRPr="00293967">
        <w:noBreakHyphen/>
        <w:t>building, knowledge and data, and indigenous and local knowledge) established in 20</w:t>
      </w:r>
      <w:r w:rsidR="007A4A4E" w:rsidRPr="00293967">
        <w:t>14</w:t>
      </w:r>
      <w:r w:rsidR="00855F33" w:rsidRPr="00293967">
        <w:t>. Altogether, these groups</w:t>
      </w:r>
      <w:r w:rsidR="00893CF2" w:rsidRPr="003805DB">
        <w:t xml:space="preserve"> have</w:t>
      </w:r>
      <w:r w:rsidR="00855F33" w:rsidRPr="00293967">
        <w:t xml:space="preserve"> involved some </w:t>
      </w:r>
      <w:r w:rsidR="00E7205C" w:rsidRPr="00293967">
        <w:t>450</w:t>
      </w:r>
      <w:r w:rsidR="007A4A4E" w:rsidRPr="00293967">
        <w:t xml:space="preserve"> experts </w:t>
      </w:r>
      <w:r w:rsidR="00E7205C" w:rsidRPr="00293967">
        <w:t>since the sixth session of the Plenary</w:t>
      </w:r>
      <w:r w:rsidR="00855F33" w:rsidRPr="00293967">
        <w:t xml:space="preserve">, bringing to </w:t>
      </w:r>
      <w:r w:rsidR="00E7205C" w:rsidRPr="00293967">
        <w:t>1,5</w:t>
      </w:r>
      <w:r w:rsidR="00855F33" w:rsidRPr="00293967">
        <w:t xml:space="preserve">00 the total number of </w:t>
      </w:r>
      <w:r w:rsidR="00491D1C" w:rsidRPr="00293967">
        <w:t xml:space="preserve">selected </w:t>
      </w:r>
      <w:r w:rsidR="00855F33" w:rsidRPr="00293967">
        <w:t xml:space="preserve">experts involved in IPBES since the </w:t>
      </w:r>
      <w:r w:rsidR="00C72607">
        <w:t>beginning</w:t>
      </w:r>
      <w:r w:rsidR="00C72607" w:rsidRPr="00293967">
        <w:t xml:space="preserve"> </w:t>
      </w:r>
      <w:r w:rsidR="00855F33" w:rsidRPr="00293967">
        <w:t xml:space="preserve">of the </w:t>
      </w:r>
      <w:r w:rsidR="00855F33" w:rsidRPr="003805DB">
        <w:t>implementation of the first work programme</w:t>
      </w:r>
      <w:r w:rsidR="00C72607" w:rsidRPr="003805DB">
        <w:t>,</w:t>
      </w:r>
      <w:r w:rsidR="00855F33" w:rsidRPr="003805DB">
        <w:t xml:space="preserve"> in 2014. A total of </w:t>
      </w:r>
      <w:r w:rsidR="00E7205C" w:rsidRPr="003805DB">
        <w:t>27</w:t>
      </w:r>
      <w:r w:rsidR="00855F33" w:rsidRPr="003805DB">
        <w:t xml:space="preserve"> expert meetings were held over that period.</w:t>
      </w:r>
      <w:r w:rsidR="00855F33" w:rsidRPr="003805DB">
        <w:rPr>
          <w:vertAlign w:val="superscript"/>
        </w:rPr>
        <w:footnoteReference w:id="3"/>
      </w:r>
      <w:r w:rsidR="00994ADE" w:rsidRPr="003805DB">
        <w:t xml:space="preserve"> A set of 1</w:t>
      </w:r>
      <w:r w:rsidR="00E7205C" w:rsidRPr="003805DB">
        <w:t>5</w:t>
      </w:r>
      <w:r w:rsidR="00855F33" w:rsidRPr="003805DB">
        <w:t xml:space="preserve"> technical support units continued to provide support </w:t>
      </w:r>
      <w:r w:rsidR="00C2502D" w:rsidRPr="003805DB">
        <w:t xml:space="preserve">for the implementation of </w:t>
      </w:r>
      <w:r w:rsidR="00855F33" w:rsidRPr="003805DB">
        <w:t>various</w:t>
      </w:r>
      <w:r w:rsidR="00855F33" w:rsidRPr="00293967">
        <w:t xml:space="preserve"> deliverables. More information on technical support for the implementation of the work programme is set ou</w:t>
      </w:r>
      <w:r w:rsidR="00636AB9" w:rsidRPr="00293967">
        <w:t>t in document IPBES/7/INF/5</w:t>
      </w:r>
      <w:r w:rsidR="00855F33" w:rsidRPr="00293967">
        <w:t xml:space="preserve">. </w:t>
      </w:r>
    </w:p>
    <w:bookmarkEnd w:id="2"/>
    <w:p w14:paraId="0A493EE1" w14:textId="7727A042" w:rsidR="00855F33" w:rsidRPr="00293967" w:rsidRDefault="00855F33" w:rsidP="003805DB">
      <w:pPr>
        <w:pStyle w:val="Normalnumber"/>
      </w:pPr>
      <w:r w:rsidRPr="00293967">
        <w:t xml:space="preserve">The following paragraphs set out information on </w:t>
      </w:r>
      <w:r w:rsidR="00636AB9" w:rsidRPr="00293967">
        <w:t xml:space="preserve">efforts </w:t>
      </w:r>
      <w:r w:rsidR="00925D83" w:rsidRPr="00293967">
        <w:t xml:space="preserve">made </w:t>
      </w:r>
      <w:r w:rsidR="00F373D4" w:rsidRPr="00293967">
        <w:t>since the sixth session of the Plenary</w:t>
      </w:r>
      <w:r w:rsidRPr="00293967">
        <w:t xml:space="preserve"> under each objective of the work programme.</w:t>
      </w:r>
    </w:p>
    <w:p w14:paraId="36FDF88F" w14:textId="77777777" w:rsidR="00855F33" w:rsidRPr="00794A5A" w:rsidRDefault="00855F33" w:rsidP="00C9545E">
      <w:pPr>
        <w:pStyle w:val="CH2"/>
      </w:pPr>
      <w:r w:rsidRPr="00794A5A">
        <w:tab/>
      </w:r>
      <w:bookmarkStart w:id="3" w:name="_Hlk498356154"/>
      <w:r w:rsidRPr="00794A5A">
        <w:t>A.</w:t>
      </w:r>
      <w:r w:rsidRPr="00794A5A">
        <w:tab/>
        <w:t xml:space="preserve">Objective 1: Strengthen the capacity and knowledge foundations of the </w:t>
      </w:r>
      <w:r w:rsidRPr="00794A5A">
        <w:br/>
        <w:t>science-policy interface to implement key functions of the Platform</w:t>
      </w:r>
    </w:p>
    <w:p w14:paraId="48354FFA" w14:textId="14AB7AF7" w:rsidR="00855F33" w:rsidRPr="00293967" w:rsidRDefault="00855F33" w:rsidP="003805DB">
      <w:pPr>
        <w:pStyle w:val="Normalnumber"/>
      </w:pPr>
      <w:r w:rsidRPr="00293967">
        <w:t>Three task forces with technical support units were established in 2014 as part of t</w:t>
      </w:r>
      <w:r w:rsidR="00936099" w:rsidRPr="00293967">
        <w:t>he first work programme. In 2018</w:t>
      </w:r>
      <w:r w:rsidRPr="00293967">
        <w:t>, progress was achieved in the following areas:</w:t>
      </w:r>
    </w:p>
    <w:p w14:paraId="404A1558" w14:textId="3457EBE0" w:rsidR="00855F33" w:rsidRPr="00293967" w:rsidRDefault="00855F33" w:rsidP="003805DB">
      <w:pPr>
        <w:pStyle w:val="Normalnumber"/>
        <w:numPr>
          <w:ilvl w:val="1"/>
          <w:numId w:val="4"/>
        </w:numPr>
      </w:pPr>
      <w:bookmarkStart w:id="4" w:name="_Hlk498355465"/>
      <w:bookmarkEnd w:id="3"/>
      <w:r w:rsidRPr="00293967">
        <w:t>The task force on capacity-building (deliverables 1 (a) and (b)) made progress in the implementation, together with partners, of the capacity-building rolling plan</w:t>
      </w:r>
      <w:r w:rsidR="001124F6">
        <w:t>,</w:t>
      </w:r>
      <w:r w:rsidRPr="00293967">
        <w:t xml:space="preserve"> </w:t>
      </w:r>
      <w:r w:rsidR="00DA3752" w:rsidRPr="00293967">
        <w:t>as requested in decision IPBES-6</w:t>
      </w:r>
      <w:r w:rsidRPr="00293967">
        <w:t xml:space="preserve">/1, section II. The task force met in </w:t>
      </w:r>
      <w:r w:rsidR="00DA3752" w:rsidRPr="00293967">
        <w:t>September 2018</w:t>
      </w:r>
      <w:r w:rsidRPr="00293967">
        <w:t xml:space="preserve"> in </w:t>
      </w:r>
      <w:r w:rsidR="00DA3752" w:rsidRPr="00293967">
        <w:t>Paris</w:t>
      </w:r>
      <w:r w:rsidR="009A48FF" w:rsidRPr="00293967">
        <w:t>, hosted by the United Nations Educational, Scientific and Cultural Organization (UNESCO)</w:t>
      </w:r>
      <w:r w:rsidR="00DA3752" w:rsidRPr="00293967">
        <w:t>.</w:t>
      </w:r>
      <w:r w:rsidRPr="00293967">
        <w:t xml:space="preserve"> The IPBES fellowship programme continued to be implemented,</w:t>
      </w:r>
      <w:r w:rsidR="000F53CB" w:rsidRPr="00293967">
        <w:t xml:space="preserve"> </w:t>
      </w:r>
      <w:r w:rsidR="00925D83" w:rsidRPr="003805DB">
        <w:t xml:space="preserve">with </w:t>
      </w:r>
      <w:r w:rsidR="000F53CB" w:rsidRPr="00293967">
        <w:t>74</w:t>
      </w:r>
      <w:r w:rsidRPr="00293967">
        <w:t xml:space="preserve"> fellows</w:t>
      </w:r>
      <w:r w:rsidR="00925D83" w:rsidRPr="003805DB">
        <w:t>, including alumni,</w:t>
      </w:r>
      <w:r w:rsidRPr="00293967">
        <w:t xml:space="preserve"> from </w:t>
      </w:r>
      <w:r w:rsidR="000F53CB" w:rsidRPr="00293967">
        <w:t>53</w:t>
      </w:r>
      <w:r w:rsidRPr="00293967">
        <w:t xml:space="preserve"> countries. </w:t>
      </w:r>
      <w:r w:rsidR="00BF064C" w:rsidRPr="00293967">
        <w:t>T</w:t>
      </w:r>
      <w:r w:rsidR="00446553" w:rsidRPr="00293967">
        <w:t xml:space="preserve">he Executive Secretary </w:t>
      </w:r>
      <w:r w:rsidR="002E19D6" w:rsidRPr="00293967">
        <w:t xml:space="preserve">organized </w:t>
      </w:r>
      <w:r w:rsidR="00446553" w:rsidRPr="00293967">
        <w:t>a consultation and capacity-building workshop for nationa</w:t>
      </w:r>
      <w:r w:rsidR="00B10E49" w:rsidRPr="00293967">
        <w:t xml:space="preserve">l focal points of </w:t>
      </w:r>
      <w:r w:rsidR="003E57FD">
        <w:t>IPBES</w:t>
      </w:r>
      <w:r w:rsidR="00B10E49" w:rsidRPr="00293967">
        <w:t xml:space="preserve"> </w:t>
      </w:r>
      <w:r w:rsidR="002146B9" w:rsidRPr="00293967">
        <w:t xml:space="preserve">in </w:t>
      </w:r>
      <w:r w:rsidR="00B10E49" w:rsidRPr="00293967">
        <w:t xml:space="preserve">June 2018 in Bonn, </w:t>
      </w:r>
      <w:r w:rsidR="002E19D6" w:rsidRPr="00293967">
        <w:t xml:space="preserve">Germany, </w:t>
      </w:r>
      <w:r w:rsidR="00B10E49" w:rsidRPr="00293967">
        <w:t xml:space="preserve">attended by a total of </w:t>
      </w:r>
      <w:r w:rsidR="000F53CB" w:rsidRPr="00293967">
        <w:t xml:space="preserve">53 </w:t>
      </w:r>
      <w:r w:rsidR="002E19D6" w:rsidRPr="00293967">
        <w:t>g</w:t>
      </w:r>
      <w:r w:rsidR="000F53CB" w:rsidRPr="00293967">
        <w:t xml:space="preserve">overnment representatives from 49 countries. </w:t>
      </w:r>
      <w:r w:rsidR="00446553" w:rsidRPr="00293967">
        <w:t>The</w:t>
      </w:r>
      <w:r w:rsidR="00B10E49" w:rsidRPr="00293967">
        <w:t xml:space="preserve"> aims of </w:t>
      </w:r>
      <w:r w:rsidR="002E19D6" w:rsidRPr="00293967">
        <w:t xml:space="preserve">the </w:t>
      </w:r>
      <w:r w:rsidR="00B10E49" w:rsidRPr="00293967">
        <w:t xml:space="preserve">workshop were </w:t>
      </w:r>
      <w:r w:rsidR="00446553" w:rsidRPr="00293967">
        <w:t>to fa</w:t>
      </w:r>
      <w:r w:rsidR="00B10E49" w:rsidRPr="00293967">
        <w:t>cilitate greater engagement of G</w:t>
      </w:r>
      <w:r w:rsidR="00446553" w:rsidRPr="00293967">
        <w:t>overnments in the review</w:t>
      </w:r>
      <w:r w:rsidR="00B10E49" w:rsidRPr="00293967">
        <w:t xml:space="preserve"> of the second</w:t>
      </w:r>
      <w:r w:rsidR="002E19D6" w:rsidRPr="00293967">
        <w:t>-</w:t>
      </w:r>
      <w:r w:rsidR="00B10E49" w:rsidRPr="00293967">
        <w:t xml:space="preserve">order draft of the global assessment; </w:t>
      </w:r>
      <w:r w:rsidR="00446553" w:rsidRPr="00293967">
        <w:t>to allow for further discussion on the use of the concept of “nature’s</w:t>
      </w:r>
      <w:r w:rsidR="00B10E49" w:rsidRPr="00293967">
        <w:t xml:space="preserve"> </w:t>
      </w:r>
      <w:r w:rsidR="00446553" w:rsidRPr="00293967">
        <w:t xml:space="preserve">contributions to people” within the global assessment; </w:t>
      </w:r>
      <w:r w:rsidR="00B10E49" w:rsidRPr="00293967">
        <w:t>and</w:t>
      </w:r>
      <w:r w:rsidR="00446553" w:rsidRPr="00293967">
        <w:t xml:space="preserve"> to hold consultations regarding the draft</w:t>
      </w:r>
      <w:r w:rsidR="00B10E49" w:rsidRPr="00293967">
        <w:t xml:space="preserve"> </w:t>
      </w:r>
      <w:r w:rsidR="00446553" w:rsidRPr="00293967">
        <w:t xml:space="preserve">strategic framework for the </w:t>
      </w:r>
      <w:r w:rsidR="00B10E49" w:rsidRPr="00293967">
        <w:t>next</w:t>
      </w:r>
      <w:r w:rsidR="00446553" w:rsidRPr="00293967">
        <w:t xml:space="preserve"> work programme.</w:t>
      </w:r>
      <w:r w:rsidR="009A48FF" w:rsidRPr="00293967">
        <w:t xml:space="preserve"> As requested by the Plenary in </w:t>
      </w:r>
      <w:r w:rsidR="00DB58FE">
        <w:t xml:space="preserve">its </w:t>
      </w:r>
      <w:r w:rsidR="009A48FF" w:rsidRPr="00293967">
        <w:t>decision IPBES-6/1, the task force held a third meeting of the capacity-building forum, back-to-back with the meeting of the task force on capacity-building</w:t>
      </w:r>
      <w:r w:rsidR="002B0FF1">
        <w:t>,</w:t>
      </w:r>
      <w:r w:rsidR="002837D2" w:rsidRPr="00293967">
        <w:t xml:space="preserve"> in September 2018</w:t>
      </w:r>
      <w:r w:rsidR="009A48FF" w:rsidRPr="00293967">
        <w:t xml:space="preserve">, to further enhance collaboration with other organizations in the implementation of the capacity-building rolling plan. </w:t>
      </w:r>
      <w:r w:rsidR="002837D2" w:rsidRPr="00293967">
        <w:t>The 95 p</w:t>
      </w:r>
      <w:r w:rsidR="009A48FF" w:rsidRPr="00293967">
        <w:t>articipants</w:t>
      </w:r>
      <w:r w:rsidR="002837D2" w:rsidRPr="00293967">
        <w:t xml:space="preserve"> in the meeting</w:t>
      </w:r>
      <w:r w:rsidR="009A48FF" w:rsidRPr="00293967">
        <w:t xml:space="preserve"> included existing and prospective partner organizations, mem</w:t>
      </w:r>
      <w:r w:rsidR="002837D2" w:rsidRPr="00293967">
        <w:t xml:space="preserve">bers of the Bureau and </w:t>
      </w:r>
      <w:r w:rsidR="002E19D6" w:rsidRPr="00293967">
        <w:t xml:space="preserve">the </w:t>
      </w:r>
      <w:r w:rsidR="002837D2" w:rsidRPr="00293967">
        <w:t>Multidisciplinary Expert Panel</w:t>
      </w:r>
      <w:r w:rsidR="009A48FF" w:rsidRPr="00293967">
        <w:t xml:space="preserve">, the task forces on capacity-building and </w:t>
      </w:r>
      <w:r w:rsidR="002E19D6" w:rsidRPr="00293967">
        <w:t xml:space="preserve">on </w:t>
      </w:r>
      <w:r w:rsidR="009A48FF" w:rsidRPr="00293967">
        <w:t xml:space="preserve">indigenous and local knowledge, </w:t>
      </w:r>
      <w:r w:rsidR="002837D2" w:rsidRPr="00293967">
        <w:t xml:space="preserve">representatives of </w:t>
      </w:r>
      <w:r w:rsidR="009A48FF" w:rsidRPr="00293967">
        <w:t>indigenous peoples</w:t>
      </w:r>
      <w:r w:rsidR="00BA043B" w:rsidRPr="00293967">
        <w:t>,</w:t>
      </w:r>
      <w:r w:rsidR="009A48FF" w:rsidRPr="00293967">
        <w:t xml:space="preserve"> local communities</w:t>
      </w:r>
      <w:r w:rsidR="00BB72D2" w:rsidRPr="00293967">
        <w:t xml:space="preserve"> and</w:t>
      </w:r>
      <w:r w:rsidR="009A48FF" w:rsidRPr="00293967">
        <w:t xml:space="preserve"> national platforms</w:t>
      </w:r>
      <w:r w:rsidR="005A0AD1" w:rsidRPr="00293967">
        <w:t xml:space="preserve">, scientists and policymakers. </w:t>
      </w:r>
      <w:r w:rsidRPr="00293967">
        <w:t>The work of the task force continued to be supported by the technical support unit based at the Norwegian Environment Agency in Trondheim, Norway, thanks to in-kind support from Norway. Additional information on progress rega</w:t>
      </w:r>
      <w:r w:rsidR="002146B9" w:rsidRPr="00293967">
        <w:t>rding work on capacity-building</w:t>
      </w:r>
      <w:r w:rsidRPr="00293967">
        <w:t xml:space="preserve"> is presente</w:t>
      </w:r>
      <w:r w:rsidR="005A0AD1" w:rsidRPr="00293967">
        <w:t>d in document IPBES/7/INF/7</w:t>
      </w:r>
      <w:r w:rsidRPr="00293967">
        <w:t>;</w:t>
      </w:r>
    </w:p>
    <w:p w14:paraId="75219D8B" w14:textId="3DCB5C81" w:rsidR="00855F33" w:rsidRPr="00293967" w:rsidRDefault="00855F33" w:rsidP="003805DB">
      <w:pPr>
        <w:pStyle w:val="Normalnumber"/>
        <w:numPr>
          <w:ilvl w:val="1"/>
          <w:numId w:val="4"/>
        </w:numPr>
      </w:pPr>
      <w:bookmarkStart w:id="5" w:name="_Hlk499031761"/>
      <w:bookmarkEnd w:id="4"/>
      <w:r w:rsidRPr="00293967">
        <w:t>The task force on indigenous and local knowledge systems (deliverable 1 (c)) supported the implementation by the Multidisciplinary Expert Panel of the approach to recognizing and working with indigenous and local knowledge in response to the request in decision IPBES-5/1, section III</w:t>
      </w:r>
      <w:r w:rsidR="006C5665" w:rsidRPr="00293967">
        <w:t>, and decision IPBES-6/1, section III</w:t>
      </w:r>
      <w:r w:rsidRPr="00293967">
        <w:t xml:space="preserve">. </w:t>
      </w:r>
      <w:r w:rsidR="004B2401">
        <w:t>The i</w:t>
      </w:r>
      <w:r w:rsidRPr="00293967">
        <w:t>mplementation of the approach in the context of the global assessment incl</w:t>
      </w:r>
      <w:r w:rsidR="002D0937" w:rsidRPr="00293967">
        <w:t xml:space="preserve">uded a statement in the plenary </w:t>
      </w:r>
      <w:r w:rsidR="001E7C76" w:rsidRPr="00293967">
        <w:t xml:space="preserve">of </w:t>
      </w:r>
      <w:r w:rsidR="002D0937" w:rsidRPr="00293967">
        <w:t xml:space="preserve">and a side event at the </w:t>
      </w:r>
      <w:r w:rsidR="001E7C76" w:rsidRPr="00293967">
        <w:t xml:space="preserve">seventeenth </w:t>
      </w:r>
      <w:r w:rsidR="002D0937" w:rsidRPr="00293967">
        <w:t>session of the Permanent Forum on Indigenous Issues</w:t>
      </w:r>
      <w:r w:rsidR="001E7C76" w:rsidRPr="00293967">
        <w:t>, held in New York from</w:t>
      </w:r>
      <w:r w:rsidR="002D0937" w:rsidRPr="00293967">
        <w:t xml:space="preserve"> </w:t>
      </w:r>
      <w:r w:rsidR="001E7C76" w:rsidRPr="00293967">
        <w:t xml:space="preserve">16 </w:t>
      </w:r>
      <w:r w:rsidR="004B2401">
        <w:t>to</w:t>
      </w:r>
      <w:r w:rsidR="004B2401" w:rsidRPr="00293967">
        <w:t xml:space="preserve"> </w:t>
      </w:r>
      <w:r w:rsidR="001E7C76" w:rsidRPr="00293967">
        <w:t xml:space="preserve">27 </w:t>
      </w:r>
      <w:r w:rsidR="002D0937" w:rsidRPr="00293967">
        <w:t xml:space="preserve">April 2018; </w:t>
      </w:r>
      <w:r w:rsidR="00E30BCD">
        <w:t xml:space="preserve">the </w:t>
      </w:r>
      <w:r w:rsidR="009C1565" w:rsidRPr="00293967">
        <w:t xml:space="preserve">participation of </w:t>
      </w:r>
      <w:r w:rsidR="00993832" w:rsidRPr="00293967">
        <w:t>global assessment a</w:t>
      </w:r>
      <w:r w:rsidR="002D0937" w:rsidRPr="00293967">
        <w:t>uthor</w:t>
      </w:r>
      <w:r w:rsidR="009C1565" w:rsidRPr="00293967">
        <w:t>s</w:t>
      </w:r>
      <w:r w:rsidR="002D0937" w:rsidRPr="00293967">
        <w:t xml:space="preserve"> in the Action Group on Knowledge Systems and Indicators of Wellbeing </w:t>
      </w:r>
      <w:r w:rsidR="009C1565" w:rsidRPr="00293967">
        <w:t xml:space="preserve">in New York on </w:t>
      </w:r>
      <w:r w:rsidR="00003A00" w:rsidRPr="00293967">
        <w:t xml:space="preserve">21 </w:t>
      </w:r>
      <w:r w:rsidR="009C1565" w:rsidRPr="00293967">
        <w:t>and</w:t>
      </w:r>
      <w:r w:rsidR="00003A00" w:rsidRPr="00293967">
        <w:t xml:space="preserve"> 22 April</w:t>
      </w:r>
      <w:r w:rsidR="00993832" w:rsidRPr="00293967">
        <w:t xml:space="preserve"> 2018; a knowledge café on indigenous and local knowledge and the global assessment at the </w:t>
      </w:r>
      <w:r w:rsidR="009C1565" w:rsidRPr="00293967">
        <w:t>“</w:t>
      </w:r>
      <w:r w:rsidR="00993832" w:rsidRPr="00293967">
        <w:t xml:space="preserve">Communities, </w:t>
      </w:r>
      <w:r w:rsidR="009C1565" w:rsidRPr="00293967">
        <w:t>c</w:t>
      </w:r>
      <w:r w:rsidR="00993832" w:rsidRPr="00293967">
        <w:t xml:space="preserve">onservation </w:t>
      </w:r>
      <w:r w:rsidR="0094649C" w:rsidRPr="00293967">
        <w:t>and</w:t>
      </w:r>
      <w:r w:rsidR="00993832" w:rsidRPr="00293967">
        <w:t xml:space="preserve"> </w:t>
      </w:r>
      <w:r w:rsidR="009C1565" w:rsidRPr="00293967">
        <w:t>l</w:t>
      </w:r>
      <w:r w:rsidR="00993832" w:rsidRPr="00293967">
        <w:t>ivelihoods</w:t>
      </w:r>
      <w:r w:rsidR="009C1565" w:rsidRPr="00293967">
        <w:t>”</w:t>
      </w:r>
      <w:r w:rsidR="00993832" w:rsidRPr="00293967">
        <w:t xml:space="preserve"> </w:t>
      </w:r>
      <w:r w:rsidR="009C1565" w:rsidRPr="00293967">
        <w:t xml:space="preserve">conference of the </w:t>
      </w:r>
      <w:r w:rsidR="009C1565" w:rsidRPr="00293967">
        <w:rPr>
          <w:lang w:val="en-US"/>
        </w:rPr>
        <w:t xml:space="preserve">International Union for Conservation of Nature, held in Halifax, Canada, from </w:t>
      </w:r>
      <w:r w:rsidR="00993832" w:rsidRPr="00293967">
        <w:t xml:space="preserve">28 to 30 May 2018; the </w:t>
      </w:r>
      <w:r w:rsidR="002146B9" w:rsidRPr="00293967">
        <w:t xml:space="preserve">IPBES </w:t>
      </w:r>
      <w:r w:rsidR="009C1565" w:rsidRPr="00293967">
        <w:t>g</w:t>
      </w:r>
      <w:r w:rsidR="002146B9" w:rsidRPr="00293967">
        <w:t xml:space="preserve">lobal </w:t>
      </w:r>
      <w:r w:rsidR="009C1565" w:rsidRPr="00293967">
        <w:t>a</w:t>
      </w:r>
      <w:r w:rsidR="00993832" w:rsidRPr="00293967">
        <w:t>ssessment</w:t>
      </w:r>
      <w:r w:rsidR="009C1565" w:rsidRPr="00293967">
        <w:t xml:space="preserve"> dialogue on</w:t>
      </w:r>
      <w:r w:rsidR="00993832" w:rsidRPr="00293967">
        <w:t xml:space="preserve"> </w:t>
      </w:r>
      <w:r w:rsidR="009C1565" w:rsidRPr="00293967">
        <w:t>a</w:t>
      </w:r>
      <w:r w:rsidR="00993832" w:rsidRPr="00293967">
        <w:t xml:space="preserve">rctic </w:t>
      </w:r>
      <w:r w:rsidR="009C1565" w:rsidRPr="00293967">
        <w:t>i</w:t>
      </w:r>
      <w:r w:rsidR="00993832" w:rsidRPr="00293967">
        <w:t xml:space="preserve">ndigenous and </w:t>
      </w:r>
      <w:r w:rsidR="009C1565" w:rsidRPr="00293967">
        <w:t>l</w:t>
      </w:r>
      <w:r w:rsidR="00993832" w:rsidRPr="00293967">
        <w:t xml:space="preserve">ocal </w:t>
      </w:r>
      <w:r w:rsidR="009C1565" w:rsidRPr="00293967">
        <w:t>k</w:t>
      </w:r>
      <w:r w:rsidR="00993832" w:rsidRPr="00293967">
        <w:t>nowledge</w:t>
      </w:r>
      <w:r w:rsidR="009C1565" w:rsidRPr="00293967">
        <w:t>,</w:t>
      </w:r>
      <w:r w:rsidR="00993832" w:rsidRPr="00293967">
        <w:t xml:space="preserve"> </w:t>
      </w:r>
      <w:r w:rsidR="009C1565" w:rsidRPr="00293967">
        <w:t xml:space="preserve">held in Helsinki from </w:t>
      </w:r>
      <w:r w:rsidR="00993832" w:rsidRPr="00293967">
        <w:t>6</w:t>
      </w:r>
      <w:r w:rsidR="0094649C" w:rsidRPr="00293967">
        <w:t xml:space="preserve"> to </w:t>
      </w:r>
      <w:r w:rsidR="00993832" w:rsidRPr="00293967">
        <w:t xml:space="preserve">8 June 2018; </w:t>
      </w:r>
      <w:r w:rsidR="004B2401">
        <w:t xml:space="preserve">the </w:t>
      </w:r>
      <w:r w:rsidR="009C1565" w:rsidRPr="00293967">
        <w:t xml:space="preserve">participation of </w:t>
      </w:r>
      <w:r w:rsidR="00993832" w:rsidRPr="00293967">
        <w:t>global assessment author</w:t>
      </w:r>
      <w:r w:rsidR="009C1565" w:rsidRPr="00293967">
        <w:t>s</w:t>
      </w:r>
      <w:r w:rsidR="00993832" w:rsidRPr="00293967">
        <w:t xml:space="preserve"> in the </w:t>
      </w:r>
      <w:r w:rsidR="009C1565" w:rsidRPr="00293967">
        <w:t>sixteenth c</w:t>
      </w:r>
      <w:r w:rsidR="00993832" w:rsidRPr="00293967">
        <w:t>ongress of the International Society of Ethnobiology</w:t>
      </w:r>
      <w:r w:rsidR="009C1565" w:rsidRPr="00293967">
        <w:t>, held in</w:t>
      </w:r>
      <w:r w:rsidR="00993832" w:rsidRPr="00293967">
        <w:t xml:space="preserve"> </w:t>
      </w:r>
      <w:proofErr w:type="spellStart"/>
      <w:r w:rsidR="009C1565" w:rsidRPr="00293967">
        <w:rPr>
          <w:lang w:val="en-US"/>
        </w:rPr>
        <w:t>Belém</w:t>
      </w:r>
      <w:proofErr w:type="spellEnd"/>
      <w:r w:rsidR="009C1565" w:rsidRPr="00293967">
        <w:rPr>
          <w:lang w:val="en-US"/>
        </w:rPr>
        <w:t xml:space="preserve">, Brazil, from </w:t>
      </w:r>
      <w:r w:rsidR="00993832" w:rsidRPr="00293967">
        <w:t>7 to 10 August 2018; and efforts to encourage indigenous peoples and local communities, indigenous peoples</w:t>
      </w:r>
      <w:r w:rsidR="00BA043B" w:rsidRPr="00293967">
        <w:t>’</w:t>
      </w:r>
      <w:r w:rsidR="00993832" w:rsidRPr="00293967">
        <w:t xml:space="preserve"> organizations and experts on indigenous and local knowledge to participate in the review of the second</w:t>
      </w:r>
      <w:r w:rsidR="00E064AF" w:rsidRPr="00293967">
        <w:t>-</w:t>
      </w:r>
      <w:r w:rsidR="00993832" w:rsidRPr="00293967">
        <w:t xml:space="preserve">order draft of the global assessment. </w:t>
      </w:r>
      <w:r w:rsidR="00C41532" w:rsidRPr="00293967">
        <w:t>The task force met in Paris in September</w:t>
      </w:r>
      <w:r w:rsidR="002146B9" w:rsidRPr="00293967">
        <w:t xml:space="preserve"> 2018</w:t>
      </w:r>
      <w:r w:rsidR="00C41532" w:rsidRPr="00293967">
        <w:t>. A consultation meeting on the participatory mechanism was held back-to-back with the meeting of the task force. The task force prepared an initial set of methodological guidance</w:t>
      </w:r>
      <w:r w:rsidR="0060281F" w:rsidRPr="00293967">
        <w:t xml:space="preserve"> materials</w:t>
      </w:r>
      <w:r w:rsidR="00C41532" w:rsidRPr="00293967">
        <w:t xml:space="preserve"> for</w:t>
      </w:r>
      <w:r w:rsidR="00E064AF" w:rsidRPr="00293967">
        <w:t xml:space="preserve"> the</w:t>
      </w:r>
      <w:r w:rsidR="00C41532" w:rsidRPr="00293967">
        <w:t xml:space="preserve"> implementation of the IPBES</w:t>
      </w:r>
      <w:r w:rsidR="00E064AF" w:rsidRPr="00293967">
        <w:t xml:space="preserve"> approach to</w:t>
      </w:r>
      <w:r w:rsidR="002069EA" w:rsidRPr="00293967">
        <w:t xml:space="preserve"> </w:t>
      </w:r>
      <w:r w:rsidR="002069EA" w:rsidRPr="00293967">
        <w:rPr>
          <w:lang w:val="en-US"/>
        </w:rPr>
        <w:t>recognizing and working with</w:t>
      </w:r>
      <w:r w:rsidR="00C41532" w:rsidRPr="00293967">
        <w:t xml:space="preserve"> indigenous and local knowledge, including </w:t>
      </w:r>
      <w:r w:rsidR="00C66C0B" w:rsidRPr="003805DB">
        <w:t>arrangements</w:t>
      </w:r>
      <w:r w:rsidR="00C41532" w:rsidRPr="00293967">
        <w:t xml:space="preserve"> for</w:t>
      </w:r>
      <w:r w:rsidR="00E064AF" w:rsidRPr="00293967">
        <w:t xml:space="preserve"> the establishment of</w:t>
      </w:r>
      <w:r w:rsidR="00C41532" w:rsidRPr="00293967">
        <w:t xml:space="preserve"> a participatory mechanism addressing each stage of the IPBES assessment cycle, and provided advice regarding the future composition of the task force. </w:t>
      </w:r>
      <w:r w:rsidRPr="00293967">
        <w:t xml:space="preserve">Work in this area continued to be supported by the technical support unit based at the headquarters of UNESCO, thanks to in-kind support from </w:t>
      </w:r>
      <w:r w:rsidR="00541290" w:rsidRPr="00293967">
        <w:t>that organization</w:t>
      </w:r>
      <w:r w:rsidRPr="00293967">
        <w:t xml:space="preserve">. Additional information </w:t>
      </w:r>
      <w:r w:rsidR="002146B9" w:rsidRPr="00293967">
        <w:t>is contained</w:t>
      </w:r>
      <w:r w:rsidRPr="00293967">
        <w:t xml:space="preserve"> in the document on work related to indigen</w:t>
      </w:r>
      <w:r w:rsidR="006C5665" w:rsidRPr="00293967">
        <w:t>ous and local knowledge (IPBES/7/INF/8</w:t>
      </w:r>
      <w:r w:rsidRPr="00293967">
        <w:t>);</w:t>
      </w:r>
    </w:p>
    <w:p w14:paraId="25A5CFC4" w14:textId="72B968EB" w:rsidR="00855F33" w:rsidRPr="00293967" w:rsidRDefault="00855F33" w:rsidP="003805DB">
      <w:pPr>
        <w:pStyle w:val="Normalnumber"/>
        <w:numPr>
          <w:ilvl w:val="1"/>
          <w:numId w:val="4"/>
        </w:numPr>
      </w:pPr>
      <w:r w:rsidRPr="00293967">
        <w:t xml:space="preserve">The task force on knowledge and data (deliverables 1 (d) and 4 (b)) continued to provide advice for ongoing assessments, in accordance with the outline workplan for the task force on knowledge and data for 2017 and 2018 set out in annex III to decision IPBES-5/1. Highlights of the progress achieved in implementation include the further development of the </w:t>
      </w:r>
      <w:r w:rsidR="00FC55FC" w:rsidRPr="00293967">
        <w:t>IPBES websi</w:t>
      </w:r>
      <w:r w:rsidR="001C462A" w:rsidRPr="00293967">
        <w:t xml:space="preserve">te and </w:t>
      </w:r>
      <w:r w:rsidR="003805DB">
        <w:br/>
      </w:r>
      <w:r w:rsidR="001C462A" w:rsidRPr="00293967">
        <w:t>web-based infrastructure</w:t>
      </w:r>
      <w:r w:rsidRPr="00293967">
        <w:t xml:space="preserve">; and </w:t>
      </w:r>
      <w:r w:rsidR="009C3D85" w:rsidRPr="00293967">
        <w:t xml:space="preserve">the </w:t>
      </w:r>
      <w:r w:rsidR="0015635E" w:rsidRPr="00293967">
        <w:t>provision of support to IPBES experts involved in the global assessment and in the assessment</w:t>
      </w:r>
      <w:r w:rsidR="009C3D85" w:rsidRPr="00293967">
        <w:t>s</w:t>
      </w:r>
      <w:r w:rsidR="0015635E" w:rsidRPr="00293967">
        <w:t xml:space="preserve"> of values and of wild species </w:t>
      </w:r>
      <w:r w:rsidR="009C3D85" w:rsidRPr="00293967">
        <w:t xml:space="preserve">on </w:t>
      </w:r>
      <w:r w:rsidR="0015635E" w:rsidRPr="00293967">
        <w:t>the use of the web-based infrastructure and on indicators</w:t>
      </w:r>
      <w:r w:rsidRPr="00293967">
        <w:t xml:space="preserve">. </w:t>
      </w:r>
      <w:r w:rsidR="003A5245" w:rsidRPr="00293967">
        <w:t xml:space="preserve">Progress </w:t>
      </w:r>
      <w:r w:rsidR="003C65E1" w:rsidRPr="00293967">
        <w:t>is being</w:t>
      </w:r>
      <w:r w:rsidR="003A5245" w:rsidRPr="00293967">
        <w:t xml:space="preserve"> made </w:t>
      </w:r>
      <w:r w:rsidR="003C65E1" w:rsidRPr="00293967">
        <w:t>towards</w:t>
      </w:r>
      <w:r w:rsidR="003A5245" w:rsidRPr="00293967">
        <w:t xml:space="preserve"> catalysing the generation of new knowledge</w:t>
      </w:r>
      <w:r w:rsidR="003C65E1" w:rsidRPr="00293967">
        <w:t xml:space="preserve"> by identifying</w:t>
      </w:r>
      <w:r w:rsidR="003A5245" w:rsidRPr="00293967">
        <w:t xml:space="preserve"> knowledge </w:t>
      </w:r>
      <w:r w:rsidR="006C21EC" w:rsidRPr="00293967">
        <w:t>gaps in</w:t>
      </w:r>
      <w:r w:rsidR="003A5245" w:rsidRPr="00293967">
        <w:t xml:space="preserve"> the assessment of land degradation and restoration</w:t>
      </w:r>
      <w:r w:rsidR="003C65E1" w:rsidRPr="00293967">
        <w:t xml:space="preserve">. </w:t>
      </w:r>
      <w:r w:rsidR="00DD0F1A">
        <w:t>A</w:t>
      </w:r>
      <w:r w:rsidR="00433BDB" w:rsidRPr="00293967">
        <w:t xml:space="preserve"> </w:t>
      </w:r>
      <w:r w:rsidR="00933AC1" w:rsidRPr="00293967">
        <w:t xml:space="preserve">web </w:t>
      </w:r>
      <w:r w:rsidR="00433BDB" w:rsidRPr="00293967">
        <w:t>conference</w:t>
      </w:r>
      <w:r w:rsidR="00933AC1" w:rsidRPr="00293967">
        <w:t xml:space="preserve"> </w:t>
      </w:r>
      <w:r w:rsidR="00DD0F1A">
        <w:t xml:space="preserve">was </w:t>
      </w:r>
      <w:r w:rsidR="00433BDB" w:rsidRPr="00293967">
        <w:t>held in January 2019</w:t>
      </w:r>
      <w:r w:rsidR="003A5245" w:rsidRPr="00293967">
        <w:t>, in response to the request in decision IPBES-6/1, section III</w:t>
      </w:r>
      <w:r w:rsidR="0015635E" w:rsidRPr="00293967">
        <w:t xml:space="preserve">, on knowledge </w:t>
      </w:r>
      <w:r w:rsidR="00933AC1" w:rsidRPr="00293967">
        <w:t xml:space="preserve">gaps </w:t>
      </w:r>
      <w:r w:rsidR="0015635E" w:rsidRPr="00293967">
        <w:t>identified by experts during the</w:t>
      </w:r>
      <w:r w:rsidR="00933AC1" w:rsidRPr="00293967">
        <w:t xml:space="preserve"> assessment of</w:t>
      </w:r>
      <w:r w:rsidR="0015635E" w:rsidRPr="00293967">
        <w:t xml:space="preserve"> land degradation and restoration and </w:t>
      </w:r>
      <w:r w:rsidR="00217178">
        <w:t xml:space="preserve">on </w:t>
      </w:r>
      <w:r w:rsidR="00933AC1" w:rsidRPr="00293967">
        <w:t xml:space="preserve">the </w:t>
      </w:r>
      <w:r w:rsidR="0015635E" w:rsidRPr="00293967">
        <w:t>identification of research priorities</w:t>
      </w:r>
      <w:r w:rsidR="003A5245" w:rsidRPr="00293967">
        <w:t xml:space="preserve">. </w:t>
      </w:r>
      <w:r w:rsidRPr="00293967">
        <w:t xml:space="preserve">Work in this area continued to be supported by the technical support unit based at the National Institute of Ecology in </w:t>
      </w:r>
      <w:proofErr w:type="spellStart"/>
      <w:r w:rsidRPr="00293967">
        <w:t>Seocheon</w:t>
      </w:r>
      <w:proofErr w:type="spellEnd"/>
      <w:r w:rsidRPr="00293967">
        <w:t>, Republic of Korea, thanks to in-kind support from the Ministry of Environment of the Republic of Korea. A full progress report is set out in the document on work relate</w:t>
      </w:r>
      <w:r w:rsidR="004C2AED" w:rsidRPr="00293967">
        <w:t>d to knowledge and data (IPBES/7/INF/9</w:t>
      </w:r>
      <w:r w:rsidRPr="00293967">
        <w:t>)</w:t>
      </w:r>
      <w:r w:rsidR="00C978AF" w:rsidRPr="00293967">
        <w:t>;</w:t>
      </w:r>
    </w:p>
    <w:p w14:paraId="7A32BCC0" w14:textId="77F0AC95" w:rsidR="0015635E" w:rsidRPr="00293967" w:rsidRDefault="0015635E" w:rsidP="003805DB">
      <w:pPr>
        <w:pStyle w:val="Normalnumber"/>
        <w:numPr>
          <w:ilvl w:val="1"/>
          <w:numId w:val="4"/>
        </w:numPr>
      </w:pPr>
      <w:r w:rsidRPr="00293967">
        <w:t>The three task forces implementing objective 1 have, overall, fulfilled the mandates given to them by the Plenary. Some of their activities, such as the early</w:t>
      </w:r>
      <w:r w:rsidR="002069EA" w:rsidRPr="00293967">
        <w:t>-</w:t>
      </w:r>
      <w:r w:rsidRPr="00293967">
        <w:t>career fellow</w:t>
      </w:r>
      <w:r w:rsidR="00C979A3" w:rsidRPr="00293967">
        <w:t>ship</w:t>
      </w:r>
      <w:r w:rsidRPr="00293967">
        <w:t xml:space="preserve"> programme </w:t>
      </w:r>
      <w:r w:rsidR="002069EA" w:rsidRPr="00293967">
        <w:t xml:space="preserve">and </w:t>
      </w:r>
      <w:r w:rsidRPr="00293967">
        <w:t>the approach to recognizing and working with indigenous and local knowledge, have become flagship products of IPBES</w:t>
      </w:r>
      <w:r w:rsidR="00541290" w:rsidRPr="00293967">
        <w:t xml:space="preserve"> and </w:t>
      </w:r>
      <w:r w:rsidR="00B133F1" w:rsidRPr="00293967">
        <w:t xml:space="preserve">have </w:t>
      </w:r>
      <w:r w:rsidR="00541290" w:rsidRPr="00293967">
        <w:t xml:space="preserve">considerably increased </w:t>
      </w:r>
      <w:r w:rsidR="00C979A3" w:rsidRPr="00293967">
        <w:t>its</w:t>
      </w:r>
      <w:r w:rsidR="00541290" w:rsidRPr="00293967">
        <w:t xml:space="preserve"> inclusiveness, credibility and policy relevance</w:t>
      </w:r>
      <w:r w:rsidRPr="00293967">
        <w:t xml:space="preserve">. </w:t>
      </w:r>
      <w:r w:rsidR="00A34745" w:rsidRPr="00293967">
        <w:t xml:space="preserve">The Bureau and the Multidisciplinary Expert Panel recommend that the three task forces </w:t>
      </w:r>
      <w:r w:rsidR="00B133F1" w:rsidRPr="00293967">
        <w:t xml:space="preserve">be </w:t>
      </w:r>
      <w:r w:rsidR="00B35B44" w:rsidRPr="00293967">
        <w:t xml:space="preserve">re-established and </w:t>
      </w:r>
      <w:r w:rsidR="00A34745" w:rsidRPr="00293967">
        <w:t>continue</w:t>
      </w:r>
      <w:r w:rsidR="00B35B44" w:rsidRPr="00293967">
        <w:t xml:space="preserve"> their work</w:t>
      </w:r>
      <w:r w:rsidR="00AE3288" w:rsidRPr="00293967">
        <w:t xml:space="preserve"> in a more integrated manner</w:t>
      </w:r>
      <w:r w:rsidR="00A34745" w:rsidRPr="00293967">
        <w:t xml:space="preserve"> in the next work programme, building on lessons </w:t>
      </w:r>
      <w:r w:rsidR="00B133F1" w:rsidRPr="00293967">
        <w:t xml:space="preserve">learned </w:t>
      </w:r>
      <w:r w:rsidR="00A34745" w:rsidRPr="00293967">
        <w:t>during the first work programme.</w:t>
      </w:r>
      <w:r w:rsidRPr="00293967">
        <w:t xml:space="preserve">   </w:t>
      </w:r>
    </w:p>
    <w:p w14:paraId="652045D4" w14:textId="77777777" w:rsidR="00855F33" w:rsidRPr="00794A5A" w:rsidRDefault="00855F33" w:rsidP="00C9545E">
      <w:pPr>
        <w:pStyle w:val="CH2"/>
      </w:pPr>
      <w:r w:rsidRPr="00794A5A">
        <w:tab/>
        <w:t>B.</w:t>
      </w:r>
      <w:r w:rsidRPr="00794A5A">
        <w:tab/>
        <w:t>Objective 2: Strengthen the science-policy interface on biodiversity and ecosystem services at and across subregional, regional and global levels</w:t>
      </w:r>
    </w:p>
    <w:p w14:paraId="2223B5A0" w14:textId="77777777" w:rsidR="00855F33" w:rsidRPr="00293967" w:rsidRDefault="00855F33" w:rsidP="003805DB">
      <w:pPr>
        <w:pStyle w:val="Normalnumber"/>
      </w:pPr>
      <w:bookmarkStart w:id="6" w:name="_Hlk532653493"/>
      <w:r w:rsidRPr="00293967">
        <w:t>Progress achieved under objective 2 includes the following outputs:</w:t>
      </w:r>
    </w:p>
    <w:bookmarkEnd w:id="6"/>
    <w:p w14:paraId="4EFB8C46" w14:textId="3B2BDE07" w:rsidR="00855F33" w:rsidRPr="00293967" w:rsidRDefault="00AE3288" w:rsidP="003805DB">
      <w:pPr>
        <w:pStyle w:val="Normalnumber"/>
        <w:numPr>
          <w:ilvl w:val="1"/>
          <w:numId w:val="4"/>
        </w:numPr>
      </w:pPr>
      <w:r w:rsidRPr="00293967">
        <w:t>An updated</w:t>
      </w:r>
      <w:r w:rsidR="00B55A5E" w:rsidRPr="00293967">
        <w:t xml:space="preserve"> version</w:t>
      </w:r>
      <w:r w:rsidR="00855F33" w:rsidRPr="00293967">
        <w:t xml:space="preserve"> of the guide on the production of assessments</w:t>
      </w:r>
      <w:r w:rsidR="006C3EAE" w:rsidRPr="00293967">
        <w:t xml:space="preserve"> (deliverable 2 (a))</w:t>
      </w:r>
      <w:r w:rsidR="00855F33" w:rsidRPr="00293967">
        <w:t xml:space="preserve">, prepared by </w:t>
      </w:r>
      <w:r w:rsidR="006C3EAE" w:rsidRPr="00293967">
        <w:t>a</w:t>
      </w:r>
      <w:r w:rsidR="00424992" w:rsidRPr="00293967">
        <w:t xml:space="preserve"> group of </w:t>
      </w:r>
      <w:r w:rsidR="006C3EAE" w:rsidRPr="00293967">
        <w:t xml:space="preserve">members of the </w:t>
      </w:r>
      <w:r w:rsidR="00424992" w:rsidRPr="00293967">
        <w:t xml:space="preserve">Bureau and </w:t>
      </w:r>
      <w:r w:rsidR="006C3EAE" w:rsidRPr="00293967">
        <w:t>the Multidisciplinary Expert Panel, supported by the s</w:t>
      </w:r>
      <w:r w:rsidR="00424992" w:rsidRPr="00293967">
        <w:t xml:space="preserve">ecretariat and the </w:t>
      </w:r>
      <w:r w:rsidR="006C3EAE" w:rsidRPr="00293967">
        <w:t xml:space="preserve">technical support unit; </w:t>
      </w:r>
      <w:r w:rsidR="00541290" w:rsidRPr="00293967">
        <w:t>a laid</w:t>
      </w:r>
      <w:r w:rsidR="00873D90" w:rsidRPr="00293967">
        <w:t>-</w:t>
      </w:r>
      <w:r w:rsidR="00541290" w:rsidRPr="00293967">
        <w:t xml:space="preserve">out summary of </w:t>
      </w:r>
      <w:r w:rsidR="00873D90" w:rsidRPr="00293967">
        <w:t xml:space="preserve">the </w:t>
      </w:r>
      <w:r w:rsidR="00541290" w:rsidRPr="00293967">
        <w:t xml:space="preserve">guide available online and in printed form; </w:t>
      </w:r>
      <w:r w:rsidR="006C3EAE" w:rsidRPr="00293967">
        <w:t>an infographic setting out the overall IPBES assessment process; key graphics from the guide</w:t>
      </w:r>
      <w:r w:rsidR="00155A46" w:rsidRPr="00293967">
        <w:t xml:space="preserve"> as separate files</w:t>
      </w:r>
      <w:r w:rsidR="006C3EAE" w:rsidRPr="00293967">
        <w:t xml:space="preserve">; </w:t>
      </w:r>
      <w:r w:rsidR="00C10C4D" w:rsidRPr="00293967">
        <w:t xml:space="preserve">and </w:t>
      </w:r>
      <w:r w:rsidR="006C3EAE" w:rsidRPr="00293967">
        <w:t xml:space="preserve">an e-learning tool on </w:t>
      </w:r>
      <w:r w:rsidR="00C10C4D" w:rsidRPr="00293967">
        <w:t>performing an IPBES assessment.</w:t>
      </w:r>
      <w:r w:rsidR="00500AAE" w:rsidRPr="00C9545E">
        <w:rPr>
          <w:vertAlign w:val="superscript"/>
        </w:rPr>
        <w:footnoteReference w:id="4"/>
      </w:r>
      <w:r w:rsidR="00500AAE" w:rsidRPr="00293967">
        <w:t xml:space="preserve"> </w:t>
      </w:r>
      <w:r w:rsidR="00855F33" w:rsidRPr="00293967">
        <w:t xml:space="preserve">This work continued to be supported by the technical support unit established at the United Nations Environment Programme World Conservation Monitoring Centre (UNEP-WCMC), thanks to in-kind support from that organization. The guide is a living document to which new modules will be added or modified as needed. Further information on the work related to the guide for assessments </w:t>
      </w:r>
      <w:r w:rsidR="00C10C4D" w:rsidRPr="00293967">
        <w:t>is available in document IPBES/7/INF/10</w:t>
      </w:r>
      <w:r w:rsidR="00855F33" w:rsidRPr="00293967">
        <w:t xml:space="preserve">; </w:t>
      </w:r>
    </w:p>
    <w:p w14:paraId="23412868" w14:textId="1CD056CD" w:rsidR="00855F33" w:rsidRPr="00293967" w:rsidRDefault="000B0942" w:rsidP="003805DB">
      <w:pPr>
        <w:pStyle w:val="Normalnumber"/>
        <w:numPr>
          <w:ilvl w:val="1"/>
          <w:numId w:val="4"/>
        </w:numPr>
      </w:pPr>
      <w:bookmarkStart w:id="7" w:name="_Hlk532653457"/>
      <w:r w:rsidRPr="00293967">
        <w:t>Laid-out versions of the summaries for policymakers of the</w:t>
      </w:r>
      <w:r w:rsidR="00855F33" w:rsidRPr="00293967">
        <w:t xml:space="preserve"> four regional and subregional assessments</w:t>
      </w:r>
      <w:r w:rsidR="00541290" w:rsidRPr="00293967">
        <w:t xml:space="preserve"> of biodiversity and ecosystem services</w:t>
      </w:r>
      <w:r w:rsidR="00855F33" w:rsidRPr="00293967">
        <w:t xml:space="preserve"> (deliverable 2 (b))</w:t>
      </w:r>
      <w:r w:rsidR="007A61BE" w:rsidRPr="00293967">
        <w:t xml:space="preserve"> approved by the Plenary at its sixth session, </w:t>
      </w:r>
      <w:r w:rsidR="00F13C7D" w:rsidRPr="00293967">
        <w:t xml:space="preserve">available </w:t>
      </w:r>
      <w:r w:rsidR="00CB30A6" w:rsidRPr="00293967">
        <w:t xml:space="preserve">in portable document format (PDF) </w:t>
      </w:r>
      <w:r w:rsidR="00F13C7D" w:rsidRPr="00293967">
        <w:t xml:space="preserve">on the IPBES website and in printed form; </w:t>
      </w:r>
      <w:r w:rsidR="007A61BE" w:rsidRPr="00293967">
        <w:t xml:space="preserve">and </w:t>
      </w:r>
      <w:r w:rsidR="00F13C7D" w:rsidRPr="00293967">
        <w:t>laid</w:t>
      </w:r>
      <w:r w:rsidR="007554EA" w:rsidRPr="00293967">
        <w:t>-</w:t>
      </w:r>
      <w:r w:rsidR="00F13C7D" w:rsidRPr="00293967">
        <w:t xml:space="preserve">out versions </w:t>
      </w:r>
      <w:r w:rsidR="007A61BE" w:rsidRPr="00293967">
        <w:t xml:space="preserve">of the full assessment reports (front matters, </w:t>
      </w:r>
      <w:r w:rsidR="0060281F" w:rsidRPr="00293967">
        <w:t xml:space="preserve">summaries </w:t>
      </w:r>
      <w:r w:rsidR="007A61BE" w:rsidRPr="00293967">
        <w:t>for policymakers, chapters</w:t>
      </w:r>
      <w:r w:rsidR="0060281F" w:rsidRPr="00293967">
        <w:t xml:space="preserve"> and</w:t>
      </w:r>
      <w:r w:rsidR="007A61BE" w:rsidRPr="00293967">
        <w:t xml:space="preserve"> back matters)</w:t>
      </w:r>
      <w:r w:rsidR="007554EA" w:rsidRPr="00293967">
        <w:t>,</w:t>
      </w:r>
      <w:r w:rsidR="00F13C7D" w:rsidRPr="00293967">
        <w:t xml:space="preserve"> available on the IPBES website</w:t>
      </w:r>
      <w:r w:rsidR="002146B9" w:rsidRPr="00293967">
        <w:t>.</w:t>
      </w:r>
      <w:r w:rsidR="007A61BE" w:rsidRPr="00293967">
        <w:t xml:space="preserve"> </w:t>
      </w:r>
      <w:r w:rsidR="00855F33" w:rsidRPr="00293967">
        <w:t>Work in this area</w:t>
      </w:r>
      <w:r w:rsidR="006552A2" w:rsidRPr="00293967">
        <w:t xml:space="preserve"> and on </w:t>
      </w:r>
      <w:r w:rsidR="007554EA" w:rsidRPr="00293967">
        <w:t xml:space="preserve">the </w:t>
      </w:r>
      <w:r w:rsidR="006552A2" w:rsidRPr="00293967">
        <w:t>uptake of the assessments</w:t>
      </w:r>
      <w:r w:rsidR="00855F33" w:rsidRPr="00293967">
        <w:t xml:space="preserve"> continued to be supported</w:t>
      </w:r>
      <w:r w:rsidR="002146B9" w:rsidRPr="00293967">
        <w:t>,</w:t>
      </w:r>
      <w:r w:rsidR="00855F33" w:rsidRPr="00293967">
        <w:t xml:space="preserve"> </w:t>
      </w:r>
      <w:r w:rsidR="002146B9" w:rsidRPr="00293967">
        <w:t>until July 2018, by technical support units based at the Alexander von Humboldt Biological Resources</w:t>
      </w:r>
      <w:r w:rsidR="002F1AE7">
        <w:t xml:space="preserve"> Research</w:t>
      </w:r>
      <w:r w:rsidR="002146B9" w:rsidRPr="00293967">
        <w:t xml:space="preserve"> Institute</w:t>
      </w:r>
      <w:r w:rsidR="0060281F" w:rsidRPr="003805DB">
        <w:t>,</w:t>
      </w:r>
      <w:r w:rsidR="002146B9" w:rsidRPr="00293967">
        <w:t xml:space="preserve"> in Bogot</w:t>
      </w:r>
      <w:r w:rsidR="0060281F" w:rsidRPr="003805DB">
        <w:t>á</w:t>
      </w:r>
      <w:r w:rsidR="0060281F" w:rsidRPr="00293967">
        <w:t>,</w:t>
      </w:r>
      <w:r w:rsidR="002146B9" w:rsidRPr="00293967">
        <w:t xml:space="preserve"> and the Council for Scientific and Industrial Research, in Pretoria, thanks to in-kind support from Colombia and South Africa</w:t>
      </w:r>
      <w:r w:rsidR="006552A2" w:rsidRPr="00293967">
        <w:t xml:space="preserve">. Work on </w:t>
      </w:r>
      <w:r w:rsidR="007554EA" w:rsidRPr="00293967">
        <w:t xml:space="preserve">the finalization </w:t>
      </w:r>
      <w:r w:rsidR="006552A2" w:rsidRPr="00293967">
        <w:t>of the reports and their uptake will continue to be supported</w:t>
      </w:r>
      <w:r w:rsidR="002146B9" w:rsidRPr="00293967">
        <w:t xml:space="preserve"> </w:t>
      </w:r>
      <w:r w:rsidR="00855F33" w:rsidRPr="00293967">
        <w:t xml:space="preserve">by technical support units based at the Institute for Global Environmental Strategies, in Tokyo, </w:t>
      </w:r>
      <w:r w:rsidR="006552A2" w:rsidRPr="00293967">
        <w:t xml:space="preserve">until August 2019, </w:t>
      </w:r>
      <w:r w:rsidR="007A61BE" w:rsidRPr="00293967">
        <w:t xml:space="preserve">and </w:t>
      </w:r>
      <w:r w:rsidR="006552A2" w:rsidRPr="00293967">
        <w:t xml:space="preserve">by </w:t>
      </w:r>
      <w:r w:rsidR="007A61BE" w:rsidRPr="00293967">
        <w:t>the</w:t>
      </w:r>
      <w:r w:rsidR="00855F33" w:rsidRPr="00293967">
        <w:t xml:space="preserve"> University of Bern, Switzerland</w:t>
      </w:r>
      <w:r w:rsidR="006552A2" w:rsidRPr="00293967">
        <w:t xml:space="preserve">, until </w:t>
      </w:r>
      <w:r w:rsidR="006C21EC" w:rsidRPr="00293967">
        <w:t xml:space="preserve">December </w:t>
      </w:r>
      <w:r w:rsidR="00A02CF6" w:rsidRPr="00293967">
        <w:t>201</w:t>
      </w:r>
      <w:r w:rsidR="00A02CF6">
        <w:t>8</w:t>
      </w:r>
      <w:r w:rsidR="00855F33" w:rsidRPr="00293967">
        <w:t xml:space="preserve">, thanks to in-kind support from </w:t>
      </w:r>
      <w:r w:rsidR="007A61BE" w:rsidRPr="00293967">
        <w:t xml:space="preserve">Japan </w:t>
      </w:r>
      <w:r w:rsidR="00A1448F" w:rsidRPr="00293967">
        <w:t>and Switzerland</w:t>
      </w:r>
      <w:bookmarkEnd w:id="7"/>
      <w:r w:rsidR="00855F33" w:rsidRPr="00293967">
        <w:t>;</w:t>
      </w:r>
    </w:p>
    <w:p w14:paraId="50EE7DEA" w14:textId="3C953239" w:rsidR="006348A6" w:rsidRPr="00293967" w:rsidRDefault="009C7AFF" w:rsidP="003805DB">
      <w:pPr>
        <w:pStyle w:val="Normalnumber"/>
        <w:numPr>
          <w:ilvl w:val="1"/>
          <w:numId w:val="4"/>
        </w:numPr>
      </w:pPr>
      <w:r>
        <w:t>The f</w:t>
      </w:r>
      <w:r w:rsidR="00701DB8" w:rsidRPr="00293967">
        <w:t>inal draft</w:t>
      </w:r>
      <w:r w:rsidR="006348A6" w:rsidRPr="00293967">
        <w:t xml:space="preserve"> of the </w:t>
      </w:r>
      <w:r w:rsidR="00ED1AA6" w:rsidRPr="00293967">
        <w:t>global assessment of biodiversity and ecosystem services</w:t>
      </w:r>
      <w:r w:rsidR="006348A6" w:rsidRPr="00293967">
        <w:t xml:space="preserve"> prepared</w:t>
      </w:r>
      <w:r w:rsidR="00ED1AA6" w:rsidRPr="00293967">
        <w:t xml:space="preserve"> by the assessment author group</w:t>
      </w:r>
      <w:r w:rsidR="006348A6" w:rsidRPr="00293967">
        <w:t xml:space="preserve"> (de</w:t>
      </w:r>
      <w:r w:rsidR="00ED1AA6" w:rsidRPr="00293967">
        <w:t>liverable 2 (c</w:t>
      </w:r>
      <w:r w:rsidR="006348A6" w:rsidRPr="00293967">
        <w:t xml:space="preserve">)), for consideration by the Plenary at </w:t>
      </w:r>
      <w:r w:rsidR="00EF35A2">
        <w:t>the</w:t>
      </w:r>
      <w:r w:rsidR="00EF35A2" w:rsidRPr="00293967">
        <w:t xml:space="preserve"> </w:t>
      </w:r>
      <w:r w:rsidR="00EF35A2">
        <w:t>current</w:t>
      </w:r>
      <w:r w:rsidR="00EF35A2" w:rsidRPr="00293967">
        <w:t xml:space="preserve"> </w:t>
      </w:r>
      <w:r w:rsidR="006348A6" w:rsidRPr="00293967">
        <w:t xml:space="preserve">session, following the external review by Governments and </w:t>
      </w:r>
      <w:r w:rsidR="00ED1AA6" w:rsidRPr="00293967">
        <w:t>peers of the second-order draft</w:t>
      </w:r>
      <w:r w:rsidR="006348A6" w:rsidRPr="00293967">
        <w:t xml:space="preserve"> of the chapters and the first-order draft of the summary for</w:t>
      </w:r>
      <w:r w:rsidR="00ED1AA6" w:rsidRPr="00293967">
        <w:t xml:space="preserve"> policymakers of the assessment</w:t>
      </w:r>
      <w:r w:rsidR="006348A6" w:rsidRPr="00293967">
        <w:t xml:space="preserve"> </w:t>
      </w:r>
      <w:r w:rsidR="0060281F" w:rsidRPr="00293967">
        <w:t xml:space="preserve">from </w:t>
      </w:r>
      <w:r w:rsidR="00F13C7D" w:rsidRPr="00293967">
        <w:t xml:space="preserve">April </w:t>
      </w:r>
      <w:r w:rsidR="0060281F" w:rsidRPr="00293967">
        <w:t xml:space="preserve">to </w:t>
      </w:r>
      <w:r w:rsidR="00ED1AA6" w:rsidRPr="00293967">
        <w:t>July 2018</w:t>
      </w:r>
      <w:r w:rsidR="00B35B44" w:rsidRPr="00293967">
        <w:t>;</w:t>
      </w:r>
      <w:r w:rsidR="006348A6" w:rsidRPr="00293967">
        <w:t xml:space="preserve"> </w:t>
      </w:r>
      <w:r w:rsidR="007554EA" w:rsidRPr="00293967">
        <w:t xml:space="preserve">the </w:t>
      </w:r>
      <w:r w:rsidR="006348A6" w:rsidRPr="00293967">
        <w:t>convening</w:t>
      </w:r>
      <w:r w:rsidR="0060281F" w:rsidRPr="00293967">
        <w:t>, in Germany,</w:t>
      </w:r>
      <w:r w:rsidR="006348A6" w:rsidRPr="00293967">
        <w:t xml:space="preserve"> of </w:t>
      </w:r>
      <w:r w:rsidR="00ED1AA6" w:rsidRPr="00293967">
        <w:t>the t</w:t>
      </w:r>
      <w:r w:rsidR="00E6090D" w:rsidRPr="00293967">
        <w:t>hird author meeting for the</w:t>
      </w:r>
      <w:r w:rsidR="00ED1AA6" w:rsidRPr="00293967">
        <w:t xml:space="preserve"> assessment</w:t>
      </w:r>
      <w:r w:rsidR="006348A6" w:rsidRPr="00293967">
        <w:t xml:space="preserve"> in July </w:t>
      </w:r>
      <w:r w:rsidR="00ED1AA6" w:rsidRPr="00293967">
        <w:t>2018</w:t>
      </w:r>
      <w:r w:rsidR="00513654" w:rsidRPr="00293967">
        <w:t xml:space="preserve"> and </w:t>
      </w:r>
      <w:r w:rsidR="00F13C7D" w:rsidRPr="00293967">
        <w:t xml:space="preserve">of </w:t>
      </w:r>
      <w:r w:rsidR="00513654" w:rsidRPr="00293967">
        <w:t>a writing workshop for the summary for policymakers in August 2018</w:t>
      </w:r>
      <w:r w:rsidR="006348A6" w:rsidRPr="00293967">
        <w:t xml:space="preserve">; </w:t>
      </w:r>
      <w:r w:rsidR="007554EA" w:rsidRPr="00293967">
        <w:t xml:space="preserve">the </w:t>
      </w:r>
      <w:r w:rsidR="006348A6" w:rsidRPr="00293967">
        <w:t xml:space="preserve">convening of </w:t>
      </w:r>
      <w:r w:rsidR="00ED1AA6" w:rsidRPr="00293967">
        <w:t>a workshop for national focal points in June 2018 in Bonn</w:t>
      </w:r>
      <w:r w:rsidR="00CB30A6" w:rsidRPr="00293967">
        <w:t>,</w:t>
      </w:r>
      <w:r w:rsidR="006348A6" w:rsidRPr="00293967">
        <w:t xml:space="preserve"> to strengthen the capacit</w:t>
      </w:r>
      <w:r w:rsidR="004C0870" w:rsidRPr="00293967">
        <w:t>y of Governments to review the</w:t>
      </w:r>
      <w:r w:rsidR="006348A6" w:rsidRPr="00293967">
        <w:t xml:space="preserve"> assessment and to contribute to </w:t>
      </w:r>
      <w:r w:rsidR="00B35B44" w:rsidRPr="00293967">
        <w:t>its</w:t>
      </w:r>
      <w:r w:rsidR="006348A6" w:rsidRPr="00293967">
        <w:t xml:space="preserve"> consideration at the s</w:t>
      </w:r>
      <w:r w:rsidR="00ED1AA6" w:rsidRPr="00293967">
        <w:t>eventh</w:t>
      </w:r>
      <w:r w:rsidR="004C0870" w:rsidRPr="00293967">
        <w:t xml:space="preserve"> session of the Plenary</w:t>
      </w:r>
      <w:r w:rsidR="00E6090D" w:rsidRPr="00293967">
        <w:t xml:space="preserve"> (see para</w:t>
      </w:r>
      <w:r w:rsidR="002F2006">
        <w:t>.</w:t>
      </w:r>
      <w:r w:rsidR="00E6090D" w:rsidRPr="00293967">
        <w:t xml:space="preserve"> </w:t>
      </w:r>
      <w:r w:rsidR="006F2773" w:rsidRPr="00293967">
        <w:t xml:space="preserve">10 </w:t>
      </w:r>
      <w:r w:rsidR="00E6090D" w:rsidRPr="00293967">
        <w:t>(a))</w:t>
      </w:r>
      <w:r w:rsidR="00A135C2" w:rsidRPr="00293967">
        <w:t xml:space="preserve">; </w:t>
      </w:r>
      <w:r w:rsidR="006F2773" w:rsidRPr="00293967">
        <w:t xml:space="preserve">the </w:t>
      </w:r>
      <w:r w:rsidR="00F13C7D" w:rsidRPr="00293967">
        <w:t xml:space="preserve">convening of a meeting to finalize the content of chapter 2 in </w:t>
      </w:r>
      <w:r w:rsidR="00D40CC2" w:rsidRPr="00293967">
        <w:t>September</w:t>
      </w:r>
      <w:r w:rsidR="006F2773" w:rsidRPr="00293967">
        <w:t xml:space="preserve"> and </w:t>
      </w:r>
      <w:r w:rsidR="00D40CC2" w:rsidRPr="00293967">
        <w:t xml:space="preserve">October 2018 in the United States of America and of a meeting to finalize the content of chapter 4 in October 2018 in France; </w:t>
      </w:r>
      <w:r w:rsidR="004C0870" w:rsidRPr="00293967">
        <w:t xml:space="preserve">and </w:t>
      </w:r>
      <w:r w:rsidR="00A135C2" w:rsidRPr="00293967">
        <w:t>implementation of the approach to recognizing and working with indigenous and local knowledge in the context of the global a</w:t>
      </w:r>
      <w:r w:rsidR="004C0870" w:rsidRPr="00293967">
        <w:t>ssessment (see para</w:t>
      </w:r>
      <w:r w:rsidR="002F2006">
        <w:t>.</w:t>
      </w:r>
      <w:r w:rsidR="004C0870" w:rsidRPr="00293967">
        <w:t xml:space="preserve"> </w:t>
      </w:r>
      <w:r w:rsidR="006F2773" w:rsidRPr="00293967">
        <w:t xml:space="preserve">10 </w:t>
      </w:r>
      <w:r w:rsidR="004C0870" w:rsidRPr="00293967">
        <w:t>(b)).</w:t>
      </w:r>
      <w:r w:rsidR="00A135C2" w:rsidRPr="00293967">
        <w:t xml:space="preserve"> </w:t>
      </w:r>
      <w:r w:rsidR="006348A6" w:rsidRPr="00293967">
        <w:t>Work in this area continued to be supported by</w:t>
      </w:r>
      <w:r w:rsidR="009B5900" w:rsidRPr="00293967">
        <w:t xml:space="preserve"> a</w:t>
      </w:r>
      <w:r w:rsidR="00DA045D" w:rsidRPr="00293967">
        <w:t xml:space="preserve"> technical support uni</w:t>
      </w:r>
      <w:r w:rsidR="00B56632">
        <w:t>t</w:t>
      </w:r>
      <w:r w:rsidR="00777061" w:rsidRPr="00794A5A">
        <w:t xml:space="preserve"> </w:t>
      </w:r>
      <w:r w:rsidR="006348A6" w:rsidRPr="00293967">
        <w:t xml:space="preserve">based at the </w:t>
      </w:r>
      <w:r w:rsidR="00DA045D" w:rsidRPr="00293967">
        <w:t xml:space="preserve">secretariat in Bonn, </w:t>
      </w:r>
      <w:r w:rsidR="00B56632" w:rsidRPr="00794A5A">
        <w:t xml:space="preserve">including </w:t>
      </w:r>
      <w:r w:rsidR="00B56632">
        <w:t>one</w:t>
      </w:r>
      <w:r w:rsidR="00B56632" w:rsidRPr="00794A5A">
        <w:t xml:space="preserve"> consultant</w:t>
      </w:r>
      <w:r w:rsidR="00B56632" w:rsidRPr="00293967">
        <w:t xml:space="preserve"> </w:t>
      </w:r>
      <w:r w:rsidR="00B56632">
        <w:t xml:space="preserve">supported </w:t>
      </w:r>
      <w:r w:rsidR="00DA045D" w:rsidRPr="00293967">
        <w:t xml:space="preserve">thanks to </w:t>
      </w:r>
      <w:r w:rsidR="00EB3E88">
        <w:t xml:space="preserve">a </w:t>
      </w:r>
      <w:r w:rsidR="00B56632">
        <w:t>contribution</w:t>
      </w:r>
      <w:r w:rsidR="00B56632" w:rsidRPr="00293967">
        <w:t xml:space="preserve"> </w:t>
      </w:r>
      <w:r w:rsidR="00DA045D" w:rsidRPr="00293967">
        <w:t xml:space="preserve">from Germany. </w:t>
      </w:r>
      <w:r w:rsidR="006348A6" w:rsidRPr="00293967">
        <w:t xml:space="preserve">A full report on the preparation of the </w:t>
      </w:r>
      <w:r w:rsidR="00701DB8" w:rsidRPr="00293967">
        <w:t>global assessment</w:t>
      </w:r>
      <w:r w:rsidR="006348A6" w:rsidRPr="00293967">
        <w:t xml:space="preserve"> is set ou</w:t>
      </w:r>
      <w:r w:rsidR="00E327D4" w:rsidRPr="00293967">
        <w:t>t in document IPBES/7/INF/2</w:t>
      </w:r>
      <w:r w:rsidR="006348A6" w:rsidRPr="00293967">
        <w:t>;</w:t>
      </w:r>
    </w:p>
    <w:p w14:paraId="3312BFC1" w14:textId="24239EA7" w:rsidR="00D40CC2" w:rsidRPr="00293967" w:rsidRDefault="00D40CC2" w:rsidP="003805DB">
      <w:pPr>
        <w:pStyle w:val="Normalnumber"/>
        <w:numPr>
          <w:ilvl w:val="1"/>
          <w:numId w:val="4"/>
        </w:numPr>
      </w:pPr>
      <w:r w:rsidRPr="00293967">
        <w:t>The regional and global assessments under objective 2, which were time</w:t>
      </w:r>
      <w:r w:rsidR="00C114CD" w:rsidRPr="00293967">
        <w:t>-</w:t>
      </w:r>
      <w:r w:rsidRPr="00293967">
        <w:t xml:space="preserve">bound activities, have been successfully delivered. IPBES will continue </w:t>
      </w:r>
      <w:r w:rsidR="00C114CD" w:rsidRPr="00293967">
        <w:t xml:space="preserve">to update </w:t>
      </w:r>
      <w:r w:rsidRPr="00293967">
        <w:t>its guide</w:t>
      </w:r>
      <w:r w:rsidR="00B35B44" w:rsidRPr="00293967">
        <w:t xml:space="preserve"> for assessments</w:t>
      </w:r>
      <w:r w:rsidRPr="00293967">
        <w:t xml:space="preserve"> over the course of the work programme up to 2030, as new methodologies emerge from its work.</w:t>
      </w:r>
    </w:p>
    <w:bookmarkEnd w:id="5"/>
    <w:p w14:paraId="4A78C4E7" w14:textId="77777777" w:rsidR="00855F33" w:rsidRPr="00794A5A" w:rsidRDefault="00855F33" w:rsidP="00C9545E">
      <w:pPr>
        <w:pStyle w:val="CH2"/>
      </w:pPr>
      <w:r w:rsidRPr="00794A5A">
        <w:tab/>
        <w:t>C.</w:t>
      </w:r>
      <w:r w:rsidRPr="00794A5A">
        <w:tab/>
        <w:t>Objective 3: Strengthen the science-policy interface on biodiversity and ecosystem services with regard to thematic and methodological issues</w:t>
      </w:r>
    </w:p>
    <w:p w14:paraId="1626B68D" w14:textId="77777777" w:rsidR="00855F33" w:rsidRPr="00293967" w:rsidRDefault="00855F33" w:rsidP="003805DB">
      <w:pPr>
        <w:pStyle w:val="Normalnumber"/>
      </w:pPr>
      <w:bookmarkStart w:id="8" w:name="_Hlk532653325"/>
      <w:r w:rsidRPr="00293967">
        <w:t xml:space="preserve">Progress achieved under objective 3 </w:t>
      </w:r>
      <w:r w:rsidRPr="00293967">
        <w:rPr>
          <w:bCs/>
        </w:rPr>
        <w:t>i</w:t>
      </w:r>
      <w:r w:rsidRPr="00293967">
        <w:t>ncludes the following outputs:</w:t>
      </w:r>
    </w:p>
    <w:p w14:paraId="6635F086" w14:textId="361C710E" w:rsidR="00855F33" w:rsidRPr="00293967" w:rsidRDefault="00517857" w:rsidP="003805DB">
      <w:pPr>
        <w:pStyle w:val="Normalnumber"/>
        <w:numPr>
          <w:ilvl w:val="1"/>
          <w:numId w:val="4"/>
        </w:numPr>
      </w:pPr>
      <w:r w:rsidRPr="00293967">
        <w:t>Laid-out version of the summary for policymakers of the assessment of land degradation and restoration (deliverable 3 (b) (</w:t>
      </w:r>
      <w:proofErr w:type="spellStart"/>
      <w:r w:rsidRPr="00293967">
        <w:t>i</w:t>
      </w:r>
      <w:proofErr w:type="spellEnd"/>
      <w:r w:rsidRPr="00293967">
        <w:t>))</w:t>
      </w:r>
      <w:r w:rsidR="00777061" w:rsidRPr="00293967">
        <w:t>,</w:t>
      </w:r>
      <w:r w:rsidRPr="00293967">
        <w:t xml:space="preserve"> available </w:t>
      </w:r>
      <w:r w:rsidR="00D40CC2" w:rsidRPr="00293967">
        <w:t xml:space="preserve">in </w:t>
      </w:r>
      <w:r w:rsidR="00CB30A6" w:rsidRPr="00293967">
        <w:t xml:space="preserve">PDF </w:t>
      </w:r>
      <w:r w:rsidRPr="00293967">
        <w:t>on the IPBES website</w:t>
      </w:r>
      <w:r w:rsidR="00D40CC2" w:rsidRPr="00293967">
        <w:t xml:space="preserve"> and in printed form, and laid</w:t>
      </w:r>
      <w:r w:rsidR="00B83543" w:rsidRPr="00293967">
        <w:t>-</w:t>
      </w:r>
      <w:r w:rsidR="00D40CC2" w:rsidRPr="00293967">
        <w:t xml:space="preserve">out version of the full assessment report (front matters, </w:t>
      </w:r>
      <w:r w:rsidR="00CB30A6" w:rsidRPr="00293967">
        <w:t>summar</w:t>
      </w:r>
      <w:r w:rsidR="00AD28D1">
        <w:t>y</w:t>
      </w:r>
      <w:r w:rsidR="00CB30A6" w:rsidRPr="00293967">
        <w:t xml:space="preserve"> </w:t>
      </w:r>
      <w:r w:rsidR="00D40CC2" w:rsidRPr="00293967">
        <w:t>for policymakers, chapters</w:t>
      </w:r>
      <w:r w:rsidR="00CB30A6" w:rsidRPr="00293967">
        <w:t xml:space="preserve"> and</w:t>
      </w:r>
      <w:r w:rsidR="00D40CC2" w:rsidRPr="00293967">
        <w:t xml:space="preserve"> back matters)</w:t>
      </w:r>
      <w:r w:rsidR="00CB30A6" w:rsidRPr="00293967">
        <w:t>,</w:t>
      </w:r>
      <w:r w:rsidR="00D40CC2" w:rsidRPr="00293967">
        <w:t xml:space="preserve"> available on the IPBES website in </w:t>
      </w:r>
      <w:r w:rsidR="00CB30A6" w:rsidRPr="00293967">
        <w:t>PDF</w:t>
      </w:r>
      <w:r w:rsidRPr="00293967">
        <w:t>. Work in this area was supported, until July 2018, by a technical support unit located at the secretariat in Bonn. The finalization of the laid-out version of the assessment report was supported by the technical support units based at the University of Bern, thanks to in-kind support from Switzerland</w:t>
      </w:r>
      <w:r w:rsidR="00855F33" w:rsidRPr="00293967">
        <w:t>;</w:t>
      </w:r>
    </w:p>
    <w:p w14:paraId="7E816D95" w14:textId="61E0BF23" w:rsidR="0021458E" w:rsidRPr="00293967" w:rsidRDefault="0021458E" w:rsidP="003805DB">
      <w:pPr>
        <w:pStyle w:val="Normalnumber"/>
        <w:numPr>
          <w:ilvl w:val="1"/>
          <w:numId w:val="4"/>
        </w:numPr>
      </w:pPr>
      <w:r w:rsidRPr="00293967">
        <w:t xml:space="preserve">Call for the nomination of experts for the assessment of invasive alien species (deliverable 3 (b) (ii)); selection of co-chairs for the assessment; </w:t>
      </w:r>
      <w:r w:rsidR="00777061" w:rsidRPr="00293967">
        <w:t xml:space="preserve">and </w:t>
      </w:r>
      <w:r w:rsidRPr="00293967">
        <w:t xml:space="preserve">establishment of the technical support unit based at </w:t>
      </w:r>
      <w:r w:rsidR="00E40926" w:rsidRPr="00293967">
        <w:t xml:space="preserve">the </w:t>
      </w:r>
      <w:r w:rsidR="00577605" w:rsidRPr="00293967">
        <w:t xml:space="preserve">Institute for Global Environmental </w:t>
      </w:r>
      <w:r w:rsidR="00CB30A6" w:rsidRPr="00293967">
        <w:t>Strategies</w:t>
      </w:r>
      <w:r w:rsidR="00577605" w:rsidRPr="00293967">
        <w:t>, thanks to in-kind support from Japan</w:t>
      </w:r>
      <w:r w:rsidR="00DE7F32" w:rsidRPr="00293967">
        <w:t>. A progress report is set ou</w:t>
      </w:r>
      <w:r w:rsidR="00BE0C02" w:rsidRPr="00293967">
        <w:t>t in document IPBES/7/INF/6</w:t>
      </w:r>
      <w:r w:rsidR="00577605" w:rsidRPr="00293967">
        <w:t>;</w:t>
      </w:r>
    </w:p>
    <w:p w14:paraId="41B7BF3D" w14:textId="73C55020" w:rsidR="00577605" w:rsidRPr="00293967" w:rsidRDefault="0021458E" w:rsidP="003805DB">
      <w:pPr>
        <w:pStyle w:val="Normalnumber"/>
        <w:numPr>
          <w:ilvl w:val="1"/>
          <w:numId w:val="4"/>
        </w:numPr>
      </w:pPr>
      <w:r w:rsidRPr="00293967">
        <w:t xml:space="preserve">Selection of </w:t>
      </w:r>
      <w:r w:rsidR="00777061" w:rsidRPr="00293967">
        <w:t xml:space="preserve">the </w:t>
      </w:r>
      <w:r w:rsidR="00E40926" w:rsidRPr="00293967">
        <w:t>author group for</w:t>
      </w:r>
      <w:r w:rsidRPr="00293967">
        <w:t xml:space="preserve"> the assessment of the sustainable use of wild species (deliverable 3 (b) (iii)) and </w:t>
      </w:r>
      <w:r w:rsidR="002A650A" w:rsidRPr="00293967">
        <w:t xml:space="preserve">the </w:t>
      </w:r>
      <w:r w:rsidRPr="00293967">
        <w:t>convening of the first author meeting in December 2018 in Montpellier, France; preparation of the first</w:t>
      </w:r>
      <w:r w:rsidR="00CB30A6" w:rsidRPr="00293967">
        <w:t>-</w:t>
      </w:r>
      <w:r w:rsidRPr="00293967">
        <w:t>order draft of the assessment</w:t>
      </w:r>
      <w:r w:rsidR="00777061" w:rsidRPr="00293967">
        <w:t>,</w:t>
      </w:r>
      <w:r w:rsidR="00264E7C" w:rsidRPr="00293967">
        <w:t xml:space="preserve"> to be</w:t>
      </w:r>
      <w:r w:rsidRPr="00293967">
        <w:t xml:space="preserve"> ready by mid-2019; </w:t>
      </w:r>
      <w:r w:rsidR="00777061" w:rsidRPr="00293967">
        <w:t xml:space="preserve">and </w:t>
      </w:r>
      <w:r w:rsidRPr="00293967">
        <w:t xml:space="preserve">establishment of the technical support unit </w:t>
      </w:r>
      <w:r w:rsidR="00D40CC2" w:rsidRPr="00293967">
        <w:t>at</w:t>
      </w:r>
      <w:r w:rsidRPr="00293967">
        <w:t xml:space="preserve"> the Foundation for Research on Biodiversity and the French </w:t>
      </w:r>
      <w:r w:rsidR="00CB30A6" w:rsidRPr="00293967">
        <w:t xml:space="preserve">Biodiversity </w:t>
      </w:r>
      <w:r w:rsidRPr="00293967">
        <w:t>Agency</w:t>
      </w:r>
      <w:r w:rsidR="00577605" w:rsidRPr="00293967">
        <w:t>, thanks to in-kind support from France</w:t>
      </w:r>
      <w:r w:rsidR="00DE7F32" w:rsidRPr="00293967">
        <w:t xml:space="preserve">. A progress report is set out in </w:t>
      </w:r>
      <w:r w:rsidR="00BE0C02" w:rsidRPr="00293967">
        <w:t>document IPBES/7</w:t>
      </w:r>
      <w:r w:rsidR="00DE7F32" w:rsidRPr="00293967">
        <w:t>/INF/</w:t>
      </w:r>
      <w:r w:rsidR="00BE0C02" w:rsidRPr="00293967">
        <w:t>6</w:t>
      </w:r>
      <w:r w:rsidR="00577605" w:rsidRPr="00293967">
        <w:t>;</w:t>
      </w:r>
    </w:p>
    <w:p w14:paraId="3E593273" w14:textId="5D7C8D75" w:rsidR="00855F33" w:rsidRPr="00293967" w:rsidRDefault="00855F33" w:rsidP="003805DB">
      <w:pPr>
        <w:pStyle w:val="Normalnumber"/>
        <w:numPr>
          <w:ilvl w:val="1"/>
          <w:numId w:val="4"/>
        </w:numPr>
      </w:pPr>
      <w:r w:rsidRPr="00293967">
        <w:t>Further work by the expert group on scenarios and models (deliverable 3 (c)), in response to decision IPBES-5/1, section VI,</w:t>
      </w:r>
      <w:r w:rsidR="008F42BA" w:rsidRPr="00293967">
        <w:t xml:space="preserve"> and decision IPBES-6/1, section VI,</w:t>
      </w:r>
      <w:r w:rsidRPr="00293967">
        <w:t xml:space="preserve"> regarding the provision of expert advice on the use of existing models and scenarios to support ongoing IPBES assessments, </w:t>
      </w:r>
      <w:r w:rsidR="00AD28D1">
        <w:t>including</w:t>
      </w:r>
      <w:r w:rsidR="00144E6E" w:rsidRPr="00293967">
        <w:t xml:space="preserve"> the global assessment</w:t>
      </w:r>
      <w:r w:rsidRPr="00293967">
        <w:t xml:space="preserve">; and regarding the catalysis of the development of scenarios and associated models by the broader scientific community, including the convening of a </w:t>
      </w:r>
      <w:r w:rsidR="00144E6E" w:rsidRPr="00293967">
        <w:t>meeting of the expert group on the</w:t>
      </w:r>
      <w:r w:rsidR="002A650A" w:rsidRPr="00293967">
        <w:t xml:space="preserve"> subject</w:t>
      </w:r>
      <w:r w:rsidR="00144E6E" w:rsidRPr="00293967">
        <w:t xml:space="preserve"> </w:t>
      </w:r>
      <w:r w:rsidR="002A650A" w:rsidRPr="00293967">
        <w:t>“</w:t>
      </w:r>
      <w:r w:rsidR="00144E6E" w:rsidRPr="00293967">
        <w:t xml:space="preserve">Next steps in developing </w:t>
      </w:r>
      <w:r w:rsidR="002A650A" w:rsidRPr="00293967">
        <w:t>n</w:t>
      </w:r>
      <w:r w:rsidR="00144E6E" w:rsidRPr="00293967">
        <w:t xml:space="preserve">ature </w:t>
      </w:r>
      <w:r w:rsidR="002A650A" w:rsidRPr="00293967">
        <w:t>f</w:t>
      </w:r>
      <w:r w:rsidR="00144E6E" w:rsidRPr="00293967">
        <w:t>utures</w:t>
      </w:r>
      <w:r w:rsidR="002A650A" w:rsidRPr="00293967">
        <w:t>”</w:t>
      </w:r>
      <w:r w:rsidR="00144E6E" w:rsidRPr="00293967">
        <w:t xml:space="preserve"> in The Hague,</w:t>
      </w:r>
      <w:r w:rsidR="002A650A" w:rsidRPr="00293967">
        <w:t xml:space="preserve"> the Netherlands,</w:t>
      </w:r>
      <w:r w:rsidR="00144E6E" w:rsidRPr="00293967">
        <w:t xml:space="preserve"> in June 2018 and </w:t>
      </w:r>
      <w:r w:rsidR="00C34CAA" w:rsidRPr="00293967">
        <w:t xml:space="preserve">of </w:t>
      </w:r>
      <w:r w:rsidR="00144E6E" w:rsidRPr="00293967">
        <w:t>a workshop on scenario development</w:t>
      </w:r>
      <w:r w:rsidR="002A650A" w:rsidRPr="00293967">
        <w:t xml:space="preserve"> entitled</w:t>
      </w:r>
      <w:r w:rsidR="00144E6E" w:rsidRPr="00293967">
        <w:t xml:space="preserve"> “</w:t>
      </w:r>
      <w:r w:rsidR="002A650A" w:rsidRPr="00293967">
        <w:t>F</w:t>
      </w:r>
      <w:r w:rsidR="00144E6E" w:rsidRPr="00293967">
        <w:t xml:space="preserve">rom visions to scenarios for nature and nature’s contributions to people for the </w:t>
      </w:r>
      <w:r w:rsidR="002A650A" w:rsidRPr="00293967">
        <w:t xml:space="preserve">twenty-first </w:t>
      </w:r>
      <w:r w:rsidR="00144E6E" w:rsidRPr="00293967">
        <w:t xml:space="preserve">century” in </w:t>
      </w:r>
      <w:r w:rsidR="00C34CAA" w:rsidRPr="00293967">
        <w:t>April</w:t>
      </w:r>
      <w:r w:rsidR="00144E6E" w:rsidRPr="00293967">
        <w:t xml:space="preserve"> 2019</w:t>
      </w:r>
      <w:r w:rsidRPr="00293967">
        <w:t xml:space="preserve">. Work in this area continued to be supported by the technical support unit at </w:t>
      </w:r>
      <w:r w:rsidR="00835E00">
        <w:t xml:space="preserve">the </w:t>
      </w:r>
      <w:r w:rsidRPr="00293967">
        <w:t>PBL Netherlands Environmental Assessment Agency, thanks to in-kind support from the Netherlands. A progress report is set ou</w:t>
      </w:r>
      <w:r w:rsidR="007454AF" w:rsidRPr="00293967">
        <w:t>t in document IPBES/7/INF/11</w:t>
      </w:r>
      <w:r w:rsidRPr="00293967">
        <w:t xml:space="preserve">; </w:t>
      </w:r>
    </w:p>
    <w:bookmarkEnd w:id="8"/>
    <w:p w14:paraId="41E1BFB0" w14:textId="563B2538" w:rsidR="00577605" w:rsidRPr="00293967" w:rsidRDefault="00577605" w:rsidP="003805DB">
      <w:pPr>
        <w:pStyle w:val="Normalnumber"/>
        <w:numPr>
          <w:ilvl w:val="1"/>
          <w:numId w:val="4"/>
        </w:numPr>
      </w:pPr>
      <w:r w:rsidRPr="00293967">
        <w:t>Selection of</w:t>
      </w:r>
      <w:r w:rsidR="00777061" w:rsidRPr="00293967">
        <w:t xml:space="preserve"> the</w:t>
      </w:r>
      <w:r w:rsidRPr="00293967">
        <w:t xml:space="preserve"> </w:t>
      </w:r>
      <w:r w:rsidR="00E40926" w:rsidRPr="00293967">
        <w:t>author group for</w:t>
      </w:r>
      <w:r w:rsidRPr="00293967">
        <w:t xml:space="preserve"> the methodological assessment regarding the diverse conceptualization of multiple values of nature and its benefits, including biodiversity and ecosystem functions and services (deliverable 3 (d)); convening of the first author meeting</w:t>
      </w:r>
      <w:r w:rsidR="00FB7982">
        <w:t>,</w:t>
      </w:r>
      <w:r w:rsidRPr="00293967">
        <w:t xml:space="preserve"> in November 2018 in Mexico City; preparation of the first</w:t>
      </w:r>
      <w:r w:rsidR="002A650A" w:rsidRPr="00293967">
        <w:t>-</w:t>
      </w:r>
      <w:r w:rsidRPr="00293967">
        <w:t>order draft of the assessment</w:t>
      </w:r>
      <w:r w:rsidR="00777061" w:rsidRPr="00293967">
        <w:t>,</w:t>
      </w:r>
      <w:r w:rsidRPr="00293967">
        <w:t xml:space="preserve"> </w:t>
      </w:r>
      <w:r w:rsidR="00264E7C" w:rsidRPr="00293967">
        <w:t xml:space="preserve">to be </w:t>
      </w:r>
      <w:r w:rsidRPr="00293967">
        <w:t xml:space="preserve">ready by mid-2019; </w:t>
      </w:r>
      <w:r w:rsidR="00C00DE2" w:rsidRPr="00293967">
        <w:t xml:space="preserve">and </w:t>
      </w:r>
      <w:r w:rsidRPr="00293967">
        <w:t>establishment of the technical support unit at the Ecosystems and Sustainability Research Institute of the National Autonomous University of Mexico, thanks to in-kind support from Mexico. A progress report is set ou</w:t>
      </w:r>
      <w:r w:rsidR="00BE0C02" w:rsidRPr="00293967">
        <w:t>t in document IPBES/7/INF/6</w:t>
      </w:r>
      <w:r w:rsidRPr="00293967">
        <w:t>.</w:t>
      </w:r>
    </w:p>
    <w:p w14:paraId="7EAD1235" w14:textId="77777777" w:rsidR="00855F33" w:rsidRPr="00C9545E" w:rsidRDefault="00855F33" w:rsidP="00C9545E">
      <w:pPr>
        <w:pStyle w:val="CH2"/>
      </w:pPr>
      <w:r w:rsidRPr="00C9545E">
        <w:tab/>
        <w:t>D.</w:t>
      </w:r>
      <w:r w:rsidRPr="00C9545E">
        <w:tab/>
        <w:t>Objective 4: Communicate and evaluate Platform activities, deliverables and findings</w:t>
      </w:r>
    </w:p>
    <w:p w14:paraId="50A0644D" w14:textId="77777777" w:rsidR="00855F33" w:rsidRPr="00C9545E" w:rsidRDefault="00855F33" w:rsidP="003805DB">
      <w:pPr>
        <w:pStyle w:val="Normalnumber"/>
      </w:pPr>
      <w:r w:rsidRPr="00C9545E">
        <w:t>Progress achieved under objective 4 includes the following outputs:</w:t>
      </w:r>
    </w:p>
    <w:p w14:paraId="3434D14A" w14:textId="696ECF94" w:rsidR="00855F33" w:rsidRPr="00293967" w:rsidRDefault="00855F33" w:rsidP="003805DB">
      <w:pPr>
        <w:pStyle w:val="Normalnumber"/>
        <w:numPr>
          <w:ilvl w:val="1"/>
          <w:numId w:val="4"/>
        </w:numPr>
      </w:pPr>
      <w:r w:rsidRPr="00C9545E">
        <w:t xml:space="preserve">Updating of the </w:t>
      </w:r>
      <w:r w:rsidRPr="00293967">
        <w:t xml:space="preserve">catalogue of assessments (deliverable 4 (a)) </w:t>
      </w:r>
      <w:r w:rsidR="0078070A" w:rsidRPr="00293967">
        <w:t xml:space="preserve">as part of </w:t>
      </w:r>
      <w:r w:rsidRPr="00293967">
        <w:t>the catalogue of policy support tools and methodologies</w:t>
      </w:r>
      <w:r w:rsidR="002B61F6" w:rsidRPr="00293967">
        <w:t>, as set out in document IPBES/7/INF/13</w:t>
      </w:r>
      <w:r w:rsidRPr="00293967">
        <w:t xml:space="preserve">, supported by the technical support unit at UNEP-WCMC, thanks to in-kind support from that organization; </w:t>
      </w:r>
    </w:p>
    <w:p w14:paraId="694DCC43" w14:textId="07829714" w:rsidR="00855F33" w:rsidRPr="00293967" w:rsidRDefault="00855F33" w:rsidP="003805DB">
      <w:pPr>
        <w:pStyle w:val="Normalnumber"/>
        <w:numPr>
          <w:ilvl w:val="1"/>
          <w:numId w:val="4"/>
        </w:numPr>
      </w:pPr>
      <w:r w:rsidRPr="00293967">
        <w:t xml:space="preserve">Further </w:t>
      </w:r>
      <w:r w:rsidR="00F76728" w:rsidRPr="00293967">
        <w:t>revised</w:t>
      </w:r>
      <w:r w:rsidRPr="00293967">
        <w:t xml:space="preserve"> catalogue o</w:t>
      </w:r>
      <w:r w:rsidR="00F21AFC" w:rsidRPr="00293967">
        <w:t>f</w:t>
      </w:r>
      <w:r w:rsidRPr="00293967">
        <w:t xml:space="preserve"> policy support tools and methodologies (deliverable 4 (c))</w:t>
      </w:r>
      <w:r w:rsidR="00971A42" w:rsidRPr="003805DB">
        <w:t>,</w:t>
      </w:r>
      <w:r w:rsidR="00F21AFC" w:rsidRPr="00C9545E">
        <w:rPr>
          <w:vertAlign w:val="superscript"/>
        </w:rPr>
        <w:footnoteReference w:id="5"/>
      </w:r>
      <w:r w:rsidR="000710F0" w:rsidRPr="00293967">
        <w:t xml:space="preserve"> </w:t>
      </w:r>
      <w:r w:rsidR="00626024" w:rsidRPr="00293967">
        <w:t xml:space="preserve">prepared </w:t>
      </w:r>
      <w:r w:rsidR="000710F0" w:rsidRPr="00293967">
        <w:t>in response to decision IPBES-6</w:t>
      </w:r>
      <w:r w:rsidRPr="00293967">
        <w:t xml:space="preserve">/1, section VII, by </w:t>
      </w:r>
      <w:r w:rsidR="00F76728" w:rsidRPr="00293967">
        <w:t>the</w:t>
      </w:r>
      <w:r w:rsidRPr="00293967">
        <w:t xml:space="preserve"> expert group complemented by resource people from relevant international processes and inte</w:t>
      </w:r>
      <w:r w:rsidR="00F76728" w:rsidRPr="00293967">
        <w:t>rested partners</w:t>
      </w:r>
      <w:r w:rsidR="00626024" w:rsidRPr="00293967">
        <w:t xml:space="preserve">; </w:t>
      </w:r>
      <w:r w:rsidR="0063309C" w:rsidRPr="00293967">
        <w:t xml:space="preserve">procedures for uploading content to the catalogue and for the validation of its content; </w:t>
      </w:r>
      <w:r w:rsidR="00777061" w:rsidRPr="00293967">
        <w:t xml:space="preserve">and </w:t>
      </w:r>
      <w:r w:rsidR="0063309C" w:rsidRPr="00293967">
        <w:t xml:space="preserve">methodological guidance to IPBES assessment experts on how to assess policy instruments and facilitate the use of policy support tools and methodologies through IPBES assessments. </w:t>
      </w:r>
      <w:r w:rsidR="00626024" w:rsidRPr="00293967">
        <w:t>The expert group met in August 2018 in Cambridge, United Kingdom</w:t>
      </w:r>
      <w:r w:rsidR="00971A42" w:rsidRPr="00293967">
        <w:t xml:space="preserve"> of Great Britain and Northern Ireland</w:t>
      </w:r>
      <w:r w:rsidR="00626024" w:rsidRPr="00293967">
        <w:t xml:space="preserve">. </w:t>
      </w:r>
      <w:r w:rsidRPr="00293967">
        <w:t xml:space="preserve">This work continued to be supported by the technical support unit at UNEP-WCMC, thanks to in-kind </w:t>
      </w:r>
      <w:r w:rsidR="0072413C">
        <w:t>support</w:t>
      </w:r>
      <w:r w:rsidR="0072413C" w:rsidRPr="00293967">
        <w:t xml:space="preserve"> </w:t>
      </w:r>
      <w:r w:rsidRPr="00293967">
        <w:t>from that organization. A progress report on the matter is set o</w:t>
      </w:r>
      <w:r w:rsidR="00626024" w:rsidRPr="00293967">
        <w:t>ut in document IPBES/7/INF/13</w:t>
      </w:r>
      <w:r w:rsidRPr="00293967">
        <w:t>;</w:t>
      </w:r>
    </w:p>
    <w:p w14:paraId="68A21202" w14:textId="1ADE71E1" w:rsidR="00855F33" w:rsidRPr="00293967" w:rsidRDefault="00855F33" w:rsidP="003805DB">
      <w:pPr>
        <w:pStyle w:val="Normalnumber"/>
        <w:numPr>
          <w:ilvl w:val="1"/>
          <w:numId w:val="4"/>
        </w:numPr>
      </w:pPr>
      <w:r w:rsidRPr="00293967">
        <w:t>Activities in the context of the communication and outreach strategy and collaboration with open-ended networks of stakeholders with regard to the implementation of the stakeholder engagement strategy in accordance with decision IPBES-4/4 (deliverable 4 (d)), as set ou</w:t>
      </w:r>
      <w:r w:rsidR="000B77D5" w:rsidRPr="00293967">
        <w:t>t in document IPBES/7/INF/14</w:t>
      </w:r>
      <w:r w:rsidRPr="00293967">
        <w:t xml:space="preserve">, with technical support for the implementation of the stakeholder engagement strategy provided by </w:t>
      </w:r>
      <w:r w:rsidR="00971A42" w:rsidRPr="00293967">
        <w:t xml:space="preserve">the </w:t>
      </w:r>
      <w:r w:rsidR="00971A42" w:rsidRPr="00C9545E">
        <w:t>International</w:t>
      </w:r>
      <w:r w:rsidR="00971A42" w:rsidRPr="00293967">
        <w:rPr>
          <w:lang w:val="en-US"/>
        </w:rPr>
        <w:t xml:space="preserve"> Union for Conservation of Nature</w:t>
      </w:r>
      <w:r w:rsidR="004868B8" w:rsidRPr="00293967">
        <w:t>;</w:t>
      </w:r>
      <w:r w:rsidRPr="00293967">
        <w:t xml:space="preserve"> </w:t>
      </w:r>
      <w:r w:rsidR="004868B8" w:rsidRPr="00293967">
        <w:t xml:space="preserve">the </w:t>
      </w:r>
      <w:r w:rsidR="006F7CEF" w:rsidRPr="003805DB">
        <w:t>development</w:t>
      </w:r>
      <w:r w:rsidR="006F7CEF" w:rsidRPr="00293967">
        <w:t xml:space="preserve"> </w:t>
      </w:r>
      <w:r w:rsidR="004868B8" w:rsidRPr="00293967">
        <w:t>of</w:t>
      </w:r>
      <w:r w:rsidRPr="00293967">
        <w:t xml:space="preserve"> additional partnership</w:t>
      </w:r>
      <w:r w:rsidR="000B77D5" w:rsidRPr="00293967">
        <w:t>s</w:t>
      </w:r>
      <w:r w:rsidR="004335EC" w:rsidRPr="00293967">
        <w:t xml:space="preserve">, including </w:t>
      </w:r>
      <w:r w:rsidR="000278C7" w:rsidRPr="00293967">
        <w:t xml:space="preserve">the signing of </w:t>
      </w:r>
      <w:r w:rsidR="004335EC" w:rsidRPr="00293967">
        <w:t>a memorandum of understanding with the secretariat of the United Nations Convention to Combat Desertification</w:t>
      </w:r>
      <w:r w:rsidR="00971A42" w:rsidRPr="00293967">
        <w:t xml:space="preserve"> </w:t>
      </w:r>
      <w:r w:rsidR="00971A42" w:rsidRPr="003805DB">
        <w:rPr>
          <w:lang w:val="en-US"/>
        </w:rPr>
        <w:t>in Those Countries Experiencing Serious Drought and</w:t>
      </w:r>
      <w:r w:rsidR="00971A42" w:rsidRPr="003805DB">
        <w:t>/or Desertification, Particularly in Africa</w:t>
      </w:r>
      <w:r w:rsidR="00C76479">
        <w:t>;</w:t>
      </w:r>
      <w:r w:rsidR="004C10B0" w:rsidRPr="00293967">
        <w:t xml:space="preserve"> and the </w:t>
      </w:r>
      <w:r w:rsidR="000278C7" w:rsidRPr="00293967">
        <w:t xml:space="preserve">listing </w:t>
      </w:r>
      <w:r w:rsidR="004C10B0" w:rsidRPr="00293967">
        <w:t xml:space="preserve">of </w:t>
      </w:r>
      <w:r w:rsidR="000278C7" w:rsidRPr="00293967">
        <w:t>collaborat</w:t>
      </w:r>
      <w:r w:rsidR="00B83A74">
        <w:t>ive supporters</w:t>
      </w:r>
      <w:r w:rsidR="004C10B0" w:rsidRPr="00293967">
        <w:t xml:space="preserve"> on the IPBES website</w:t>
      </w:r>
      <w:r w:rsidR="000B77D5" w:rsidRPr="00293967">
        <w:t xml:space="preserve"> (</w:t>
      </w:r>
      <w:r w:rsidR="004C10B0" w:rsidRPr="00293967">
        <w:t>for further information on collaboration and partnerships</w:t>
      </w:r>
      <w:r w:rsidR="009D2ED3">
        <w:t>,</w:t>
      </w:r>
      <w:r w:rsidR="004C10B0" w:rsidRPr="00293967">
        <w:t xml:space="preserve"> see document </w:t>
      </w:r>
      <w:r w:rsidR="000B77D5" w:rsidRPr="00293967">
        <w:t>IPBES/7/INF/15</w:t>
      </w:r>
      <w:r w:rsidRPr="00293967">
        <w:t xml:space="preserve">); </w:t>
      </w:r>
    </w:p>
    <w:p w14:paraId="2C99D79B" w14:textId="18CF06C3" w:rsidR="00855F33" w:rsidRPr="00293967" w:rsidRDefault="001207A8" w:rsidP="003805DB">
      <w:pPr>
        <w:pStyle w:val="Normalnumber"/>
        <w:numPr>
          <w:ilvl w:val="1"/>
          <w:numId w:val="4"/>
        </w:numPr>
      </w:pPr>
      <w:r w:rsidRPr="00293967">
        <w:t xml:space="preserve">Preparation of a report on the </w:t>
      </w:r>
      <w:r w:rsidR="00855F33" w:rsidRPr="00293967">
        <w:t xml:space="preserve">review of IPBES </w:t>
      </w:r>
      <w:r w:rsidR="00572FF5" w:rsidRPr="00293967">
        <w:t>at the end of its</w:t>
      </w:r>
      <w:r w:rsidR="00855F33" w:rsidRPr="00293967">
        <w:t xml:space="preserve"> first work programme (deliverable 4 (e)), in response to decision IPBES-5/2, by the review </w:t>
      </w:r>
      <w:r w:rsidRPr="00293967">
        <w:t>panel, set out in document IPBES/7/INF/18, including r</w:t>
      </w:r>
      <w:r w:rsidR="00086A10" w:rsidRPr="00293967">
        <w:t>ecommendations on how to improve the effectiveness of IPBES</w:t>
      </w:r>
      <w:r w:rsidR="00971A42" w:rsidRPr="00293967">
        <w:t>,</w:t>
      </w:r>
      <w:r w:rsidR="00086A10" w:rsidRPr="00293967">
        <w:t xml:space="preserve"> as set out in document IPBES/7/5;</w:t>
      </w:r>
    </w:p>
    <w:p w14:paraId="24F118F9" w14:textId="62C37EF5" w:rsidR="00855F33" w:rsidRPr="00293967" w:rsidRDefault="00855F33" w:rsidP="003805DB">
      <w:pPr>
        <w:pStyle w:val="Normalnumber"/>
        <w:numPr>
          <w:ilvl w:val="1"/>
          <w:numId w:val="4"/>
        </w:numPr>
      </w:pPr>
      <w:bookmarkStart w:id="9" w:name="_Hlk500767130"/>
      <w:r w:rsidRPr="00293967">
        <w:t>Further work by the Committee on Conflicts of Interest, and preparation of a report, as set ou</w:t>
      </w:r>
      <w:r w:rsidR="00086A10" w:rsidRPr="00293967">
        <w:t>t in document IPBES/7/INF/16</w:t>
      </w:r>
      <w:r w:rsidRPr="00293967">
        <w:t xml:space="preserve">, in accordance with rule 10 of the implementation procedures of the conflict-of-interest policy set out in annex II to decision IPBES-3/3. </w:t>
      </w:r>
    </w:p>
    <w:bookmarkEnd w:id="9"/>
    <w:p w14:paraId="5057BCC2" w14:textId="29FFDBE6" w:rsidR="00855F33" w:rsidRPr="00C9545E" w:rsidRDefault="00855F33" w:rsidP="00C9545E">
      <w:pPr>
        <w:pStyle w:val="CH1"/>
      </w:pPr>
      <w:r w:rsidRPr="00C9545E">
        <w:tab/>
        <w:t>II.</w:t>
      </w:r>
      <w:r w:rsidRPr="00C9545E">
        <w:tab/>
        <w:t>Update regarding the recruitment of staff me</w:t>
      </w:r>
      <w:r w:rsidR="00D55D38" w:rsidRPr="00C9545E">
        <w:t>mbers to the secretariat in 2018</w:t>
      </w:r>
    </w:p>
    <w:p w14:paraId="70DAFCD5" w14:textId="0E7CBB90" w:rsidR="002E364F" w:rsidRPr="00C9545E" w:rsidRDefault="00DE4A80" w:rsidP="003805DB">
      <w:pPr>
        <w:pStyle w:val="Normalnumber"/>
      </w:pPr>
      <w:bookmarkStart w:id="10" w:name="_Hlk499031423"/>
      <w:r w:rsidRPr="00C9545E">
        <w:t>In June 2018, the</w:t>
      </w:r>
      <w:r w:rsidR="00855F33" w:rsidRPr="00C9545E">
        <w:t xml:space="preserve"> </w:t>
      </w:r>
      <w:r w:rsidR="00FF0ACF" w:rsidRPr="00C9545E">
        <w:t xml:space="preserve">new </w:t>
      </w:r>
      <w:r w:rsidR="00855F33" w:rsidRPr="00C9545E">
        <w:t xml:space="preserve">position of </w:t>
      </w:r>
      <w:r w:rsidR="00CD6881" w:rsidRPr="00C9545E">
        <w:t>I</w:t>
      </w:r>
      <w:r w:rsidRPr="00C9545E">
        <w:t xml:space="preserve">nformation </w:t>
      </w:r>
      <w:r w:rsidR="00824D98" w:rsidRPr="00C9545E">
        <w:t>S</w:t>
      </w:r>
      <w:r w:rsidRPr="00C9545E">
        <w:t xml:space="preserve">ystems </w:t>
      </w:r>
      <w:r w:rsidR="00824D98" w:rsidRPr="00C9545E">
        <w:t>A</w:t>
      </w:r>
      <w:r w:rsidRPr="00C9545E">
        <w:t>ssistant</w:t>
      </w:r>
      <w:r w:rsidR="00855F33" w:rsidRPr="00C9545E">
        <w:t xml:space="preserve"> </w:t>
      </w:r>
      <w:r w:rsidR="002F2006" w:rsidRPr="00C9545E">
        <w:t>(</w:t>
      </w:r>
      <w:r w:rsidR="00855F33" w:rsidRPr="00C9545E">
        <w:t>G-5</w:t>
      </w:r>
      <w:r w:rsidR="002F2006" w:rsidRPr="00C9545E">
        <w:t>)</w:t>
      </w:r>
      <w:r w:rsidR="00855F33" w:rsidRPr="00C9545E">
        <w:t xml:space="preserve"> </w:t>
      </w:r>
      <w:r w:rsidRPr="00C9545E">
        <w:t>was filled</w:t>
      </w:r>
      <w:r w:rsidR="00855F33" w:rsidRPr="00C9545E">
        <w:t xml:space="preserve">. In </w:t>
      </w:r>
      <w:r w:rsidR="006F188E" w:rsidRPr="00C9545E">
        <w:t xml:space="preserve">its </w:t>
      </w:r>
      <w:r w:rsidR="00855F33" w:rsidRPr="00C9545E">
        <w:t>decision IPBES-5/6, the Plenary had approved funding for one half of the cost of th</w:t>
      </w:r>
      <w:r w:rsidR="002F2006" w:rsidRPr="00C9545E">
        <w:t>at</w:t>
      </w:r>
      <w:r w:rsidR="00855F33" w:rsidRPr="00C9545E">
        <w:t xml:space="preserve"> position, and Germany has since provided an in-kind cash contribution to enable the recruitment of a full-time staff member to support the further development and maintenance of the data management system that supports the implementation of the IPBES work programme. </w:t>
      </w:r>
    </w:p>
    <w:p w14:paraId="49454A17" w14:textId="7DCD7020" w:rsidR="009F188E" w:rsidRPr="00293967" w:rsidRDefault="009F188E" w:rsidP="003805DB">
      <w:pPr>
        <w:pStyle w:val="Normalnumber"/>
      </w:pPr>
      <w:r w:rsidRPr="00293967">
        <w:t xml:space="preserve">Two staff members left in 2018, and one in 2019. Recruitment to </w:t>
      </w:r>
      <w:r w:rsidR="008C6742" w:rsidRPr="00293967">
        <w:t xml:space="preserve">fill the position of </w:t>
      </w:r>
      <w:r w:rsidR="00824D98">
        <w:t>P</w:t>
      </w:r>
      <w:r w:rsidRPr="00824D98">
        <w:t xml:space="preserve">rogramme </w:t>
      </w:r>
      <w:r w:rsidR="00824D98">
        <w:t>A</w:t>
      </w:r>
      <w:r w:rsidRPr="00824D98">
        <w:t>ssistant (G-5)</w:t>
      </w:r>
      <w:r w:rsidR="001F5AE3" w:rsidRPr="00293967">
        <w:t>,</w:t>
      </w:r>
      <w:r w:rsidRPr="00293967">
        <w:t xml:space="preserve"> vacant </w:t>
      </w:r>
      <w:r w:rsidR="00BB7EA0" w:rsidRPr="00293967">
        <w:t>s</w:t>
      </w:r>
      <w:r w:rsidRPr="00293967">
        <w:t>in</w:t>
      </w:r>
      <w:r w:rsidR="00BB7EA0" w:rsidRPr="00293967">
        <w:t>ce</w:t>
      </w:r>
      <w:r w:rsidRPr="00293967">
        <w:t xml:space="preserve"> May 2018, was completed in November 2018, </w:t>
      </w:r>
      <w:r w:rsidR="001F5AE3" w:rsidRPr="00293967">
        <w:t>while</w:t>
      </w:r>
      <w:r w:rsidRPr="00293967">
        <w:t xml:space="preserve"> recruitment to fill the </w:t>
      </w:r>
      <w:r w:rsidR="00824D98">
        <w:t>position of P</w:t>
      </w:r>
      <w:r w:rsidR="008C6742" w:rsidRPr="00824D98">
        <w:t xml:space="preserve">rogramme </w:t>
      </w:r>
      <w:r w:rsidR="00824D98">
        <w:t>M</w:t>
      </w:r>
      <w:r w:rsidR="008C6742" w:rsidRPr="00824D98">
        <w:t xml:space="preserve">anagement </w:t>
      </w:r>
      <w:r w:rsidR="00824D98">
        <w:t>O</w:t>
      </w:r>
      <w:r w:rsidR="008C6742" w:rsidRPr="00824D98">
        <w:t>fficer (P-3)</w:t>
      </w:r>
      <w:r w:rsidR="001F5AE3" w:rsidRPr="00293967">
        <w:t>,</w:t>
      </w:r>
      <w:r w:rsidR="008C6742" w:rsidRPr="00293967">
        <w:t xml:space="preserve"> </w:t>
      </w:r>
      <w:r w:rsidRPr="00293967">
        <w:t>vacant</w:t>
      </w:r>
      <w:r w:rsidR="008C6742" w:rsidRPr="00293967">
        <w:t xml:space="preserve"> </w:t>
      </w:r>
      <w:r w:rsidR="00BB7EA0" w:rsidRPr="00293967">
        <w:t>s</w:t>
      </w:r>
      <w:r w:rsidR="008C6742" w:rsidRPr="00293967">
        <w:t>in</w:t>
      </w:r>
      <w:r w:rsidR="00BB7EA0" w:rsidRPr="00293967">
        <w:t>ce</w:t>
      </w:r>
      <w:r w:rsidR="008C6742" w:rsidRPr="00293967">
        <w:t xml:space="preserve"> June 2018</w:t>
      </w:r>
      <w:r w:rsidR="001F5AE3" w:rsidRPr="00293967">
        <w:t>,</w:t>
      </w:r>
      <w:r w:rsidR="008C6742" w:rsidRPr="00293967">
        <w:t xml:space="preserve"> is being completed.</w:t>
      </w:r>
      <w:r w:rsidRPr="00293967">
        <w:t xml:space="preserve"> Recruitment to fill the position of </w:t>
      </w:r>
      <w:r w:rsidR="00824D98">
        <w:t>A</w:t>
      </w:r>
      <w:r w:rsidRPr="00293967">
        <w:t xml:space="preserve">ssistant to </w:t>
      </w:r>
      <w:r w:rsidR="00120C90" w:rsidRPr="00293967">
        <w:t>the H</w:t>
      </w:r>
      <w:r w:rsidRPr="00293967">
        <w:t xml:space="preserve">ead </w:t>
      </w:r>
      <w:r w:rsidR="00824D98">
        <w:t xml:space="preserve">of </w:t>
      </w:r>
      <w:r w:rsidR="002F2006">
        <w:t>S</w:t>
      </w:r>
      <w:r w:rsidR="00824D98">
        <w:t xml:space="preserve">ecretariat </w:t>
      </w:r>
      <w:r w:rsidRPr="00293967">
        <w:t xml:space="preserve">(G-6), vacant </w:t>
      </w:r>
      <w:r w:rsidR="00120C90" w:rsidRPr="00293967">
        <w:t>s</w:t>
      </w:r>
      <w:r w:rsidRPr="00293967">
        <w:t>in</w:t>
      </w:r>
      <w:r w:rsidR="00120C90" w:rsidRPr="00293967">
        <w:t>ce</w:t>
      </w:r>
      <w:r w:rsidRPr="00293967">
        <w:t xml:space="preserve"> January 2019, </w:t>
      </w:r>
      <w:r w:rsidR="001F5AE3" w:rsidRPr="00293967">
        <w:t>is ongoing</w:t>
      </w:r>
      <w:r w:rsidRPr="00293967">
        <w:t xml:space="preserve">. </w:t>
      </w:r>
    </w:p>
    <w:p w14:paraId="50F13013" w14:textId="3C312ED1" w:rsidR="00855F33" w:rsidRPr="00293967" w:rsidRDefault="008C6742" w:rsidP="003805DB">
      <w:pPr>
        <w:pStyle w:val="Normalnumber"/>
      </w:pPr>
      <w:r w:rsidRPr="00293967">
        <w:t xml:space="preserve">At its sixth session, the Plenary approved, as part of its decision on the budget, </w:t>
      </w:r>
      <w:r w:rsidR="00BB7EA0" w:rsidRPr="00293967">
        <w:t xml:space="preserve">beginning </w:t>
      </w:r>
      <w:r w:rsidRPr="00293967">
        <w:t xml:space="preserve">in 2018, the reclassification of two P-2 positions </w:t>
      </w:r>
      <w:r w:rsidR="00BB7EA0" w:rsidRPr="00293967">
        <w:t xml:space="preserve">as </w:t>
      </w:r>
      <w:r w:rsidRPr="00293967">
        <w:t xml:space="preserve">P-3 positions, </w:t>
      </w:r>
      <w:r w:rsidR="00FF0ACF" w:rsidRPr="00293967">
        <w:t>since</w:t>
      </w:r>
      <w:r w:rsidRPr="00293967">
        <w:t xml:space="preserve"> the duties carried out under the </w:t>
      </w:r>
      <w:r w:rsidR="009B0B83" w:rsidRPr="00293967">
        <w:t>positions</w:t>
      </w:r>
      <w:r w:rsidRPr="00293967">
        <w:t xml:space="preserve"> were deemed to be of a higher level of responsibility than originally envis</w:t>
      </w:r>
      <w:r w:rsidR="00B40282">
        <w:t>ag</w:t>
      </w:r>
      <w:r w:rsidRPr="00293967">
        <w:t xml:space="preserve">ed. Recruitment for the reclassified posts is being completed. </w:t>
      </w:r>
      <w:r w:rsidR="002E364F" w:rsidRPr="00293967">
        <w:t xml:space="preserve"> </w:t>
      </w:r>
    </w:p>
    <w:bookmarkEnd w:id="10"/>
    <w:p w14:paraId="4FCE1B53" w14:textId="7DFECC3C" w:rsidR="00855F33" w:rsidRPr="00293967" w:rsidRDefault="00855F33" w:rsidP="003805DB">
      <w:pPr>
        <w:pStyle w:val="CH3"/>
        <w:spacing w:line="360" w:lineRule="auto"/>
      </w:pPr>
      <w:r w:rsidRPr="00293967">
        <w:tab/>
      </w:r>
      <w:r w:rsidRPr="00293967">
        <w:tab/>
        <w:t>Staffing of the secretariat in 201</w:t>
      </w:r>
      <w:r w:rsidR="008F5905" w:rsidRPr="00293967">
        <w:t>8</w:t>
      </w:r>
    </w:p>
    <w:tbl>
      <w:tblPr>
        <w:tblW w:w="4205" w:type="pct"/>
        <w:tblInd w:w="1384" w:type="dxa"/>
        <w:tblLook w:val="04A0" w:firstRow="1" w:lastRow="0" w:firstColumn="1" w:lastColumn="0" w:noHBand="0" w:noVBand="1"/>
      </w:tblPr>
      <w:tblGrid>
        <w:gridCol w:w="4441"/>
        <w:gridCol w:w="3545"/>
      </w:tblGrid>
      <w:tr w:rsidR="00855F33" w:rsidRPr="00C9545E" w14:paraId="346F553D" w14:textId="77777777" w:rsidTr="00855F33">
        <w:trPr>
          <w:tblHeader/>
        </w:trPr>
        <w:tc>
          <w:tcPr>
            <w:tcW w:w="4592" w:type="dxa"/>
            <w:tcBorders>
              <w:top w:val="single" w:sz="4" w:space="0" w:color="auto"/>
              <w:left w:val="nil"/>
              <w:bottom w:val="single" w:sz="12" w:space="0" w:color="auto"/>
              <w:right w:val="nil"/>
            </w:tcBorders>
            <w:hideMark/>
          </w:tcPr>
          <w:p w14:paraId="30FB1180"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Position</w:t>
            </w:r>
          </w:p>
        </w:tc>
        <w:tc>
          <w:tcPr>
            <w:tcW w:w="3675" w:type="dxa"/>
            <w:tcBorders>
              <w:top w:val="single" w:sz="4" w:space="0" w:color="auto"/>
              <w:left w:val="nil"/>
              <w:bottom w:val="single" w:sz="12" w:space="0" w:color="auto"/>
              <w:right w:val="nil"/>
            </w:tcBorders>
            <w:hideMark/>
          </w:tcPr>
          <w:p w14:paraId="2ADB26E1" w14:textId="32EE08C4" w:rsidR="00855F33" w:rsidRPr="00C9545E" w:rsidRDefault="00A7428A" w:rsidP="003805DB">
            <w:pPr>
              <w:pStyle w:val="Normal-pool"/>
              <w:spacing w:before="40" w:after="40"/>
              <w:rPr>
                <w:sz w:val="18"/>
                <w:szCs w:val="18"/>
                <w:lang w:eastAsia="en-CA" w:bidi="en-US"/>
              </w:rPr>
            </w:pPr>
            <w:r w:rsidRPr="00C9545E">
              <w:rPr>
                <w:sz w:val="18"/>
                <w:szCs w:val="18"/>
                <w:lang w:eastAsia="en-CA" w:bidi="en-US"/>
              </w:rPr>
              <w:t>Status</w:t>
            </w:r>
          </w:p>
        </w:tc>
      </w:tr>
      <w:tr w:rsidR="00855F33" w:rsidRPr="00C9545E" w14:paraId="4EDE7D82" w14:textId="77777777" w:rsidTr="00855F33">
        <w:trPr>
          <w:tblHeader/>
        </w:trPr>
        <w:tc>
          <w:tcPr>
            <w:tcW w:w="4592" w:type="dxa"/>
            <w:tcBorders>
              <w:top w:val="single" w:sz="12" w:space="0" w:color="auto"/>
              <w:left w:val="nil"/>
              <w:bottom w:val="nil"/>
              <w:right w:val="nil"/>
            </w:tcBorders>
            <w:hideMark/>
          </w:tcPr>
          <w:p w14:paraId="2E25D449" w14:textId="70D3217D"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 xml:space="preserve">Head of </w:t>
            </w:r>
            <w:r w:rsidR="00A7428A" w:rsidRPr="00C9545E">
              <w:rPr>
                <w:sz w:val="18"/>
                <w:szCs w:val="18"/>
                <w:lang w:eastAsia="en-CA" w:bidi="en-US"/>
              </w:rPr>
              <w:t>S</w:t>
            </w:r>
            <w:r w:rsidRPr="00C9545E">
              <w:rPr>
                <w:sz w:val="18"/>
                <w:szCs w:val="18"/>
                <w:lang w:eastAsia="en-CA" w:bidi="en-US"/>
              </w:rPr>
              <w:t>ecretariat (D-1)</w:t>
            </w:r>
          </w:p>
        </w:tc>
        <w:tc>
          <w:tcPr>
            <w:tcW w:w="3675" w:type="dxa"/>
            <w:tcBorders>
              <w:top w:val="single" w:sz="12" w:space="0" w:color="auto"/>
              <w:left w:val="nil"/>
              <w:bottom w:val="nil"/>
              <w:right w:val="nil"/>
            </w:tcBorders>
            <w:hideMark/>
          </w:tcPr>
          <w:p w14:paraId="7C4DC729"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In place since February 2014</w:t>
            </w:r>
          </w:p>
        </w:tc>
      </w:tr>
      <w:tr w:rsidR="00855F33" w:rsidRPr="00C9545E" w14:paraId="639CDC2A" w14:textId="77777777" w:rsidTr="00855F33">
        <w:trPr>
          <w:tblHeader/>
        </w:trPr>
        <w:tc>
          <w:tcPr>
            <w:tcW w:w="4592" w:type="dxa"/>
            <w:hideMark/>
          </w:tcPr>
          <w:p w14:paraId="4881C9C1"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Programme Officer (P-4)</w:t>
            </w:r>
            <w:r w:rsidRPr="00C9545E">
              <w:rPr>
                <w:sz w:val="18"/>
                <w:szCs w:val="18"/>
                <w:vertAlign w:val="superscript"/>
                <w:lang w:eastAsia="en-CA" w:bidi="en-US"/>
              </w:rPr>
              <w:t>a</w:t>
            </w:r>
          </w:p>
        </w:tc>
        <w:tc>
          <w:tcPr>
            <w:tcW w:w="3675" w:type="dxa"/>
            <w:hideMark/>
          </w:tcPr>
          <w:p w14:paraId="3625CFAC"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In place since March 2015</w:t>
            </w:r>
          </w:p>
        </w:tc>
      </w:tr>
      <w:tr w:rsidR="00855F33" w:rsidRPr="00C9545E" w14:paraId="63EC2C25" w14:textId="77777777" w:rsidTr="00855F33">
        <w:trPr>
          <w:tblHeader/>
        </w:trPr>
        <w:tc>
          <w:tcPr>
            <w:tcW w:w="4592" w:type="dxa"/>
            <w:hideMark/>
          </w:tcPr>
          <w:p w14:paraId="13B71991"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Communications Officer (P-4)</w:t>
            </w:r>
          </w:p>
        </w:tc>
        <w:tc>
          <w:tcPr>
            <w:tcW w:w="3675" w:type="dxa"/>
            <w:hideMark/>
          </w:tcPr>
          <w:p w14:paraId="725C8F23"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In place since July 2016</w:t>
            </w:r>
          </w:p>
        </w:tc>
      </w:tr>
      <w:tr w:rsidR="00855F33" w:rsidRPr="00C9545E" w14:paraId="58138182" w14:textId="77777777" w:rsidTr="00855F33">
        <w:trPr>
          <w:tblHeader/>
        </w:trPr>
        <w:tc>
          <w:tcPr>
            <w:tcW w:w="4592" w:type="dxa"/>
            <w:hideMark/>
          </w:tcPr>
          <w:p w14:paraId="76668026"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Programme Officer (P-3)</w:t>
            </w:r>
          </w:p>
        </w:tc>
        <w:tc>
          <w:tcPr>
            <w:tcW w:w="3675" w:type="dxa"/>
            <w:hideMark/>
          </w:tcPr>
          <w:p w14:paraId="554F238B" w14:textId="6EB8B3E4" w:rsidR="00855F33" w:rsidRPr="00C9545E" w:rsidRDefault="002255A8" w:rsidP="003805DB">
            <w:pPr>
              <w:pStyle w:val="Normal-pool"/>
              <w:spacing w:before="40" w:after="40"/>
              <w:rPr>
                <w:sz w:val="18"/>
                <w:szCs w:val="18"/>
                <w:lang w:eastAsia="en-CA" w:bidi="en-US"/>
              </w:rPr>
            </w:pPr>
            <w:r w:rsidRPr="00C9545E">
              <w:rPr>
                <w:sz w:val="18"/>
                <w:szCs w:val="18"/>
                <w:lang w:eastAsia="en-CA" w:bidi="en-US"/>
              </w:rPr>
              <w:t>V</w:t>
            </w:r>
            <w:r w:rsidR="00A4527C" w:rsidRPr="00C9545E">
              <w:rPr>
                <w:sz w:val="18"/>
                <w:szCs w:val="18"/>
                <w:lang w:eastAsia="en-CA" w:bidi="en-US"/>
              </w:rPr>
              <w:t>acant</w:t>
            </w:r>
          </w:p>
        </w:tc>
      </w:tr>
      <w:tr w:rsidR="00855F33" w:rsidRPr="00C9545E" w14:paraId="1BB13299" w14:textId="77777777" w:rsidTr="00855F33">
        <w:trPr>
          <w:tblHeader/>
        </w:trPr>
        <w:tc>
          <w:tcPr>
            <w:tcW w:w="4592" w:type="dxa"/>
            <w:hideMark/>
          </w:tcPr>
          <w:p w14:paraId="7F5C3549"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Administrative Officer (P-3)</w:t>
            </w:r>
          </w:p>
        </w:tc>
        <w:tc>
          <w:tcPr>
            <w:tcW w:w="3675" w:type="dxa"/>
            <w:hideMark/>
          </w:tcPr>
          <w:p w14:paraId="0F75224A"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In place since May 2017</w:t>
            </w:r>
          </w:p>
        </w:tc>
      </w:tr>
      <w:tr w:rsidR="00855F33" w:rsidRPr="00C9545E" w14:paraId="7F8257FE" w14:textId="77777777" w:rsidTr="00855F33">
        <w:trPr>
          <w:trHeight w:val="159"/>
          <w:tblHeader/>
        </w:trPr>
        <w:tc>
          <w:tcPr>
            <w:tcW w:w="4592" w:type="dxa"/>
            <w:hideMark/>
          </w:tcPr>
          <w:p w14:paraId="77EED685"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Associate Knowledge Management Officer (P-2)</w:t>
            </w:r>
          </w:p>
        </w:tc>
        <w:tc>
          <w:tcPr>
            <w:tcW w:w="3675" w:type="dxa"/>
            <w:hideMark/>
          </w:tcPr>
          <w:p w14:paraId="20A89C56"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rPr>
              <w:t>In place since May 2016</w:t>
            </w:r>
          </w:p>
        </w:tc>
      </w:tr>
      <w:tr w:rsidR="00855F33" w:rsidRPr="00C9545E" w14:paraId="5E2F0285" w14:textId="77777777" w:rsidTr="00855F33">
        <w:trPr>
          <w:tblHeader/>
        </w:trPr>
        <w:tc>
          <w:tcPr>
            <w:tcW w:w="4592" w:type="dxa"/>
            <w:hideMark/>
          </w:tcPr>
          <w:p w14:paraId="4676B9C9"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Associate Programme Officer (P-2)</w:t>
            </w:r>
          </w:p>
        </w:tc>
        <w:tc>
          <w:tcPr>
            <w:tcW w:w="3675" w:type="dxa"/>
            <w:hideMark/>
          </w:tcPr>
          <w:p w14:paraId="53C24071" w14:textId="77777777" w:rsidR="00855F33" w:rsidRPr="00C9545E" w:rsidRDefault="00855F33" w:rsidP="003805DB">
            <w:pPr>
              <w:pStyle w:val="Normal-pool"/>
              <w:spacing w:before="40" w:after="40"/>
              <w:rPr>
                <w:sz w:val="18"/>
                <w:szCs w:val="18"/>
                <w:lang w:eastAsia="en-CA"/>
              </w:rPr>
            </w:pPr>
            <w:r w:rsidRPr="00C9545E">
              <w:rPr>
                <w:sz w:val="18"/>
                <w:szCs w:val="18"/>
                <w:lang w:eastAsia="en-CA" w:bidi="en-US"/>
              </w:rPr>
              <w:t>In place since February 2016</w:t>
            </w:r>
          </w:p>
        </w:tc>
      </w:tr>
      <w:tr w:rsidR="00855F33" w:rsidRPr="00C9545E" w14:paraId="579FE6D1" w14:textId="77777777" w:rsidTr="00855F33">
        <w:trPr>
          <w:tblHeader/>
        </w:trPr>
        <w:tc>
          <w:tcPr>
            <w:tcW w:w="4592" w:type="dxa"/>
            <w:hideMark/>
          </w:tcPr>
          <w:p w14:paraId="4C808F7E"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Administrative support staff member (G-6)</w:t>
            </w:r>
          </w:p>
        </w:tc>
        <w:tc>
          <w:tcPr>
            <w:tcW w:w="3675" w:type="dxa"/>
            <w:hideMark/>
          </w:tcPr>
          <w:p w14:paraId="7B0DB32E" w14:textId="7DF34859"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 xml:space="preserve">In place since </w:t>
            </w:r>
            <w:r w:rsidR="001F5AE3" w:rsidRPr="00C9545E">
              <w:rPr>
                <w:sz w:val="18"/>
                <w:szCs w:val="18"/>
                <w:lang w:eastAsia="en-CA" w:bidi="en-US"/>
              </w:rPr>
              <w:t xml:space="preserve">August </w:t>
            </w:r>
            <w:r w:rsidRPr="00C9545E">
              <w:rPr>
                <w:sz w:val="18"/>
                <w:szCs w:val="18"/>
                <w:lang w:eastAsia="en-CA" w:bidi="en-US"/>
              </w:rPr>
              <w:t>2016</w:t>
            </w:r>
          </w:p>
        </w:tc>
      </w:tr>
      <w:tr w:rsidR="00855F33" w:rsidRPr="00C9545E" w14:paraId="747AC345" w14:textId="77777777" w:rsidTr="00855F33">
        <w:trPr>
          <w:tblHeader/>
        </w:trPr>
        <w:tc>
          <w:tcPr>
            <w:tcW w:w="4592" w:type="dxa"/>
            <w:hideMark/>
          </w:tcPr>
          <w:p w14:paraId="2C66CA8D"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Administrative support staff member (G-6)</w:t>
            </w:r>
          </w:p>
        </w:tc>
        <w:tc>
          <w:tcPr>
            <w:tcW w:w="3675" w:type="dxa"/>
            <w:hideMark/>
          </w:tcPr>
          <w:p w14:paraId="7E7548E7" w14:textId="3EDA18DB" w:rsidR="00855F33" w:rsidRPr="00C9545E" w:rsidRDefault="002255A8" w:rsidP="003805DB">
            <w:pPr>
              <w:pStyle w:val="Normal-pool"/>
              <w:spacing w:before="40" w:after="40"/>
              <w:rPr>
                <w:sz w:val="18"/>
                <w:szCs w:val="18"/>
                <w:lang w:eastAsia="en-CA" w:bidi="en-US"/>
              </w:rPr>
            </w:pPr>
            <w:r w:rsidRPr="00C9545E">
              <w:rPr>
                <w:sz w:val="18"/>
                <w:szCs w:val="18"/>
                <w:lang w:eastAsia="en-CA" w:bidi="en-US"/>
              </w:rPr>
              <w:t>V</w:t>
            </w:r>
            <w:r w:rsidR="00A4527C" w:rsidRPr="00C9545E">
              <w:rPr>
                <w:sz w:val="18"/>
                <w:szCs w:val="18"/>
                <w:lang w:eastAsia="en-CA" w:bidi="en-US"/>
              </w:rPr>
              <w:t xml:space="preserve">acant </w:t>
            </w:r>
          </w:p>
        </w:tc>
      </w:tr>
      <w:tr w:rsidR="00855F33" w:rsidRPr="00C9545E" w14:paraId="37DDB443" w14:textId="77777777" w:rsidTr="00855F33">
        <w:trPr>
          <w:tblHeader/>
        </w:trPr>
        <w:tc>
          <w:tcPr>
            <w:tcW w:w="4592" w:type="dxa"/>
            <w:hideMark/>
          </w:tcPr>
          <w:p w14:paraId="24A229ED"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Administrative support staff member (G-5)</w:t>
            </w:r>
          </w:p>
        </w:tc>
        <w:tc>
          <w:tcPr>
            <w:tcW w:w="3675" w:type="dxa"/>
            <w:hideMark/>
          </w:tcPr>
          <w:p w14:paraId="7C2F2650" w14:textId="260F253A" w:rsidR="00855F33" w:rsidRPr="00C9545E" w:rsidRDefault="00A4527C" w:rsidP="003805DB">
            <w:pPr>
              <w:pStyle w:val="Normal-pool"/>
              <w:spacing w:before="40" w:after="40"/>
              <w:rPr>
                <w:sz w:val="18"/>
                <w:szCs w:val="18"/>
                <w:lang w:eastAsia="en-CA" w:bidi="en-US"/>
              </w:rPr>
            </w:pPr>
            <w:r w:rsidRPr="00C9545E">
              <w:rPr>
                <w:sz w:val="18"/>
                <w:szCs w:val="18"/>
                <w:lang w:eastAsia="en-CA" w:bidi="en-US"/>
              </w:rPr>
              <w:t>In place since June 2018</w:t>
            </w:r>
          </w:p>
        </w:tc>
      </w:tr>
      <w:tr w:rsidR="00855F33" w:rsidRPr="00C9545E" w14:paraId="78D725AD" w14:textId="77777777" w:rsidTr="00855F33">
        <w:trPr>
          <w:tblHeader/>
        </w:trPr>
        <w:tc>
          <w:tcPr>
            <w:tcW w:w="4592" w:type="dxa"/>
            <w:hideMark/>
          </w:tcPr>
          <w:p w14:paraId="4F594914"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Administrative support staff member (G-5)</w:t>
            </w:r>
          </w:p>
        </w:tc>
        <w:tc>
          <w:tcPr>
            <w:tcW w:w="3675" w:type="dxa"/>
            <w:hideMark/>
          </w:tcPr>
          <w:p w14:paraId="2F555CD5" w14:textId="7512919F" w:rsidR="00855F33" w:rsidRPr="00C9545E" w:rsidRDefault="00A4527C" w:rsidP="003805DB">
            <w:pPr>
              <w:pStyle w:val="Normal-pool"/>
              <w:spacing w:before="40" w:after="40"/>
              <w:rPr>
                <w:sz w:val="18"/>
                <w:szCs w:val="18"/>
                <w:lang w:eastAsia="en-CA" w:bidi="en-US"/>
              </w:rPr>
            </w:pPr>
            <w:r w:rsidRPr="00C9545E">
              <w:rPr>
                <w:sz w:val="18"/>
                <w:szCs w:val="18"/>
                <w:lang w:eastAsia="en-CA" w:bidi="en-US"/>
              </w:rPr>
              <w:t>In place since July 2016</w:t>
            </w:r>
          </w:p>
        </w:tc>
      </w:tr>
      <w:tr w:rsidR="00855F33" w:rsidRPr="00C9545E" w14:paraId="0614B28C" w14:textId="77777777" w:rsidTr="00855F33">
        <w:trPr>
          <w:tblHeader/>
        </w:trPr>
        <w:tc>
          <w:tcPr>
            <w:tcW w:w="4592" w:type="dxa"/>
            <w:hideMark/>
          </w:tcPr>
          <w:p w14:paraId="70CD56EE"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Administrative support staff member (G-5)</w:t>
            </w:r>
          </w:p>
        </w:tc>
        <w:tc>
          <w:tcPr>
            <w:tcW w:w="3675" w:type="dxa"/>
            <w:hideMark/>
          </w:tcPr>
          <w:p w14:paraId="108CD6AF" w14:textId="792B85F3"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 xml:space="preserve">In place since </w:t>
            </w:r>
            <w:r w:rsidR="001F5AE3" w:rsidRPr="00C9545E">
              <w:rPr>
                <w:sz w:val="18"/>
                <w:szCs w:val="18"/>
                <w:lang w:eastAsia="en-CA" w:bidi="en-US"/>
              </w:rPr>
              <w:t>November 2018</w:t>
            </w:r>
          </w:p>
        </w:tc>
      </w:tr>
      <w:tr w:rsidR="00855F33" w:rsidRPr="00C9545E" w14:paraId="7BBD0F21" w14:textId="77777777" w:rsidTr="00855F33">
        <w:trPr>
          <w:trHeight w:val="308"/>
          <w:tblHeader/>
        </w:trPr>
        <w:tc>
          <w:tcPr>
            <w:tcW w:w="4592" w:type="dxa"/>
            <w:tcBorders>
              <w:top w:val="nil"/>
              <w:left w:val="nil"/>
              <w:bottom w:val="single" w:sz="12" w:space="0" w:color="auto"/>
              <w:right w:val="nil"/>
            </w:tcBorders>
            <w:hideMark/>
          </w:tcPr>
          <w:p w14:paraId="63125676" w14:textId="77777777" w:rsidR="00855F33" w:rsidRPr="00C9545E" w:rsidRDefault="00855F33" w:rsidP="003805DB">
            <w:pPr>
              <w:pStyle w:val="Normal-pool"/>
              <w:spacing w:before="40" w:after="40"/>
              <w:rPr>
                <w:sz w:val="18"/>
                <w:szCs w:val="18"/>
                <w:lang w:eastAsia="en-CA" w:bidi="en-US"/>
              </w:rPr>
            </w:pPr>
            <w:r w:rsidRPr="00C9545E">
              <w:rPr>
                <w:sz w:val="18"/>
                <w:szCs w:val="18"/>
                <w:lang w:eastAsia="en-CA" w:bidi="en-US"/>
              </w:rPr>
              <w:t>Administrative support staff member (G-5)</w:t>
            </w:r>
          </w:p>
        </w:tc>
        <w:tc>
          <w:tcPr>
            <w:tcW w:w="3675" w:type="dxa"/>
            <w:tcBorders>
              <w:top w:val="nil"/>
              <w:left w:val="nil"/>
              <w:bottom w:val="single" w:sz="12" w:space="0" w:color="auto"/>
              <w:right w:val="nil"/>
            </w:tcBorders>
            <w:hideMark/>
          </w:tcPr>
          <w:p w14:paraId="518BD025" w14:textId="15BEB2CA" w:rsidR="00855F33" w:rsidRPr="00C9545E" w:rsidRDefault="00A4527C" w:rsidP="003805DB">
            <w:pPr>
              <w:pStyle w:val="Normal-pool"/>
              <w:spacing w:before="40" w:after="40"/>
              <w:rPr>
                <w:sz w:val="18"/>
                <w:szCs w:val="18"/>
                <w:lang w:eastAsia="en-CA" w:bidi="en-US"/>
              </w:rPr>
            </w:pPr>
            <w:r w:rsidRPr="00C9545E">
              <w:rPr>
                <w:sz w:val="18"/>
                <w:szCs w:val="18"/>
                <w:lang w:eastAsia="en-CA" w:bidi="en-US"/>
              </w:rPr>
              <w:t xml:space="preserve">In place since </w:t>
            </w:r>
            <w:r w:rsidR="001F5AE3" w:rsidRPr="00C9545E">
              <w:rPr>
                <w:sz w:val="18"/>
                <w:szCs w:val="18"/>
                <w:lang w:eastAsia="en-CA" w:bidi="en-US"/>
              </w:rPr>
              <w:t>August 2015</w:t>
            </w:r>
          </w:p>
        </w:tc>
      </w:tr>
    </w:tbl>
    <w:p w14:paraId="1EFA5037" w14:textId="77777777" w:rsidR="00855F33" w:rsidRPr="00C9545E" w:rsidRDefault="00855F33" w:rsidP="003805DB">
      <w:pPr>
        <w:suppressAutoHyphens/>
        <w:spacing w:before="40" w:after="40" w:line="360" w:lineRule="auto"/>
        <w:ind w:left="1361" w:right="284"/>
        <w:rPr>
          <w:rFonts w:ascii="Times New Roman" w:hAnsi="Times New Roman"/>
          <w:sz w:val="16"/>
          <w:szCs w:val="16"/>
          <w:lang w:val="en-GB"/>
        </w:rPr>
      </w:pPr>
      <w:proofErr w:type="spellStart"/>
      <w:proofErr w:type="gramStart"/>
      <w:r w:rsidRPr="003805DB">
        <w:rPr>
          <w:rFonts w:ascii="Times New Roman" w:hAnsi="Times New Roman"/>
          <w:i/>
          <w:iCs/>
          <w:sz w:val="16"/>
          <w:szCs w:val="16"/>
          <w:vertAlign w:val="superscript"/>
          <w:lang w:eastAsia="en-CA" w:bidi="en-US"/>
        </w:rPr>
        <w:t>a</w:t>
      </w:r>
      <w:proofErr w:type="spellEnd"/>
      <w:proofErr w:type="gramEnd"/>
      <w:r w:rsidRPr="00C9545E">
        <w:rPr>
          <w:rFonts w:ascii="Times New Roman" w:hAnsi="Times New Roman"/>
          <w:sz w:val="16"/>
          <w:szCs w:val="16"/>
        </w:rPr>
        <w:t xml:space="preserve"> In-kind position received from UNEP.</w:t>
      </w:r>
    </w:p>
    <w:p w14:paraId="03E3FEC3" w14:textId="77777777" w:rsidR="00855F33" w:rsidRDefault="00855F33" w:rsidP="003805DB">
      <w:pPr>
        <w:pStyle w:val="Normal-pool"/>
        <w:spacing w:line="360"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855F33" w14:paraId="7D243742" w14:textId="77777777" w:rsidTr="00855F33">
        <w:tc>
          <w:tcPr>
            <w:tcW w:w="2009" w:type="dxa"/>
          </w:tcPr>
          <w:p w14:paraId="5CB13BD4" w14:textId="77777777" w:rsidR="00855F33" w:rsidRDefault="00855F33" w:rsidP="003805DB">
            <w:pPr>
              <w:pStyle w:val="Normal-pool"/>
              <w:spacing w:before="520" w:line="360" w:lineRule="auto"/>
            </w:pPr>
          </w:p>
        </w:tc>
        <w:tc>
          <w:tcPr>
            <w:tcW w:w="2009" w:type="dxa"/>
          </w:tcPr>
          <w:p w14:paraId="16512EAD" w14:textId="77777777" w:rsidR="00855F33" w:rsidRDefault="00855F33" w:rsidP="003805DB">
            <w:pPr>
              <w:pStyle w:val="Normal-pool"/>
              <w:spacing w:before="520" w:line="360" w:lineRule="auto"/>
            </w:pPr>
          </w:p>
        </w:tc>
        <w:tc>
          <w:tcPr>
            <w:tcW w:w="2009" w:type="dxa"/>
            <w:tcBorders>
              <w:top w:val="nil"/>
              <w:left w:val="nil"/>
              <w:bottom w:val="single" w:sz="4" w:space="0" w:color="auto"/>
              <w:right w:val="nil"/>
            </w:tcBorders>
          </w:tcPr>
          <w:p w14:paraId="43786396" w14:textId="77777777" w:rsidR="00855F33" w:rsidRDefault="00855F33" w:rsidP="003805DB">
            <w:pPr>
              <w:pStyle w:val="Normal-pool"/>
              <w:spacing w:before="520" w:line="360" w:lineRule="auto"/>
            </w:pPr>
          </w:p>
        </w:tc>
        <w:tc>
          <w:tcPr>
            <w:tcW w:w="2009" w:type="dxa"/>
          </w:tcPr>
          <w:p w14:paraId="7C9148EE" w14:textId="77777777" w:rsidR="00855F33" w:rsidRDefault="00855F33" w:rsidP="003805DB">
            <w:pPr>
              <w:pStyle w:val="Normal-pool"/>
              <w:spacing w:before="520" w:line="360" w:lineRule="auto"/>
            </w:pPr>
          </w:p>
        </w:tc>
        <w:tc>
          <w:tcPr>
            <w:tcW w:w="2010" w:type="dxa"/>
          </w:tcPr>
          <w:p w14:paraId="6CA7D1B0" w14:textId="77777777" w:rsidR="00855F33" w:rsidRDefault="00855F33" w:rsidP="003805DB">
            <w:pPr>
              <w:pStyle w:val="Normal-pool"/>
              <w:spacing w:before="520" w:line="360" w:lineRule="auto"/>
            </w:pPr>
          </w:p>
        </w:tc>
      </w:tr>
    </w:tbl>
    <w:p w14:paraId="2347FEAD" w14:textId="77777777" w:rsidR="00396929" w:rsidRPr="00A4175F" w:rsidRDefault="00396929" w:rsidP="003805DB">
      <w:pPr>
        <w:pStyle w:val="Normal-pool"/>
      </w:pPr>
    </w:p>
    <w:sectPr w:rsidR="00396929" w:rsidRPr="00A4175F" w:rsidSect="006E6722">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E06A" w14:textId="77777777" w:rsidR="0004771A" w:rsidRDefault="0004771A">
      <w:r>
        <w:separator/>
      </w:r>
    </w:p>
  </w:endnote>
  <w:endnote w:type="continuationSeparator" w:id="0">
    <w:p w14:paraId="0BA93E2B" w14:textId="77777777" w:rsidR="0004771A" w:rsidRDefault="0004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28DD8805" w:rsidR="002069EA" w:rsidRPr="0037782F" w:rsidRDefault="002069EA">
    <w:pPr>
      <w:pStyle w:val="Footer"/>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sidR="0037782F">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2C998E1B" w:rsidR="002069EA" w:rsidRDefault="002069E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7782F">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801ABB6" w:rsidR="002069EA" w:rsidRDefault="006A3340" w:rsidP="00794A5A">
    <w:pPr>
      <w:pStyle w:val="Normal-pool"/>
      <w:tabs>
        <w:tab w:val="clear" w:pos="1247"/>
        <w:tab w:val="clear" w:pos="1814"/>
        <w:tab w:val="clear" w:pos="2381"/>
        <w:tab w:val="clear" w:pos="2948"/>
        <w:tab w:val="clear" w:pos="3515"/>
        <w:tab w:val="clear" w:pos="4082"/>
        <w:tab w:val="left" w:pos="624"/>
      </w:tabs>
      <w:spacing w:before="60" w:after="120"/>
    </w:pPr>
    <w:r>
      <w:t>K1</w:t>
    </w:r>
    <w:r w:rsidR="005102AE">
      <w:t>8</w:t>
    </w:r>
    <w:r>
      <w:t>04130</w:t>
    </w:r>
    <w:r w:rsidR="003805DB">
      <w:tab/>
    </w:r>
    <w:r w:rsidR="0037782F">
      <w:t>15</w:t>
    </w:r>
    <w:r w:rsidR="009E08B9">
      <w:t>03</w:t>
    </w:r>
    <w:r w:rsidR="00794A5A">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612C" w14:textId="77777777" w:rsidR="0004771A" w:rsidRPr="00C9545E" w:rsidRDefault="0004771A" w:rsidP="00C9545E">
      <w:pPr>
        <w:spacing w:before="60" w:after="0" w:line="240" w:lineRule="auto"/>
        <w:ind w:left="624"/>
        <w:rPr>
          <w:rFonts w:ascii="Times New Roman" w:hAnsi="Times New Roman"/>
          <w:sz w:val="18"/>
          <w:szCs w:val="18"/>
        </w:rPr>
      </w:pPr>
      <w:r w:rsidRPr="00C9545E">
        <w:rPr>
          <w:rFonts w:ascii="Times New Roman" w:hAnsi="Times New Roman"/>
          <w:sz w:val="18"/>
          <w:szCs w:val="18"/>
        </w:rPr>
        <w:separator/>
      </w:r>
    </w:p>
  </w:footnote>
  <w:footnote w:type="continuationSeparator" w:id="0">
    <w:p w14:paraId="4B4B363F" w14:textId="77777777" w:rsidR="0004771A" w:rsidRDefault="0004771A">
      <w:r>
        <w:continuationSeparator/>
      </w:r>
    </w:p>
  </w:footnote>
  <w:footnote w:id="1">
    <w:p w14:paraId="60149BB0" w14:textId="2961CDC6" w:rsidR="002069EA" w:rsidRPr="00C9545E" w:rsidRDefault="002069EA" w:rsidP="00B2156E">
      <w:pPr>
        <w:pStyle w:val="NormalNonumber"/>
        <w:tabs>
          <w:tab w:val="left" w:pos="624"/>
        </w:tabs>
        <w:spacing w:before="20" w:after="40"/>
        <w:rPr>
          <w:sz w:val="18"/>
          <w:szCs w:val="18"/>
          <w:lang w:val="en-US"/>
        </w:rPr>
      </w:pPr>
      <w:r w:rsidRPr="00C9545E">
        <w:rPr>
          <w:rStyle w:val="FootnoteReference"/>
          <w:sz w:val="18"/>
          <w:vertAlign w:val="baseline"/>
        </w:rPr>
        <w:t>*</w:t>
      </w:r>
      <w:r w:rsidRPr="00C9545E">
        <w:rPr>
          <w:sz w:val="18"/>
          <w:szCs w:val="18"/>
        </w:rPr>
        <w:t xml:space="preserve"> IPBES/7/1</w:t>
      </w:r>
      <w:r w:rsidR="00890C57">
        <w:rPr>
          <w:sz w:val="18"/>
          <w:szCs w:val="18"/>
        </w:rPr>
        <w:t>/Rev.1</w:t>
      </w:r>
      <w:r w:rsidRPr="00C9545E">
        <w:rPr>
          <w:sz w:val="18"/>
          <w:szCs w:val="18"/>
        </w:rPr>
        <w:t>.</w:t>
      </w:r>
    </w:p>
  </w:footnote>
  <w:footnote w:id="2">
    <w:p w14:paraId="31BE4823" w14:textId="0FCA0374" w:rsidR="002069EA" w:rsidRPr="00C9545E" w:rsidRDefault="002069EA" w:rsidP="00491D1C">
      <w:pPr>
        <w:pStyle w:val="FootnoteText"/>
        <w:rPr>
          <w:szCs w:val="18"/>
          <w:lang w:val="en-US"/>
        </w:rPr>
      </w:pPr>
      <w:r w:rsidRPr="00C9545E">
        <w:rPr>
          <w:rStyle w:val="FootnoteReference"/>
          <w:sz w:val="18"/>
        </w:rPr>
        <w:footnoteRef/>
      </w:r>
      <w:r w:rsidRPr="00C9545E">
        <w:rPr>
          <w:szCs w:val="18"/>
          <w:lang w:val="en-US"/>
        </w:rPr>
        <w:t xml:space="preserve"> </w:t>
      </w:r>
      <w:r w:rsidR="00C978AF" w:rsidRPr="00C9545E">
        <w:rPr>
          <w:szCs w:val="18"/>
          <w:lang w:val="en-US"/>
        </w:rPr>
        <w:t xml:space="preserve">These </w:t>
      </w:r>
      <w:r w:rsidRPr="00C9545E">
        <w:rPr>
          <w:szCs w:val="18"/>
          <w:lang w:val="en-US"/>
        </w:rPr>
        <w:t>include selected experts, early</w:t>
      </w:r>
      <w:r w:rsidR="0034080D" w:rsidRPr="00C9545E">
        <w:rPr>
          <w:szCs w:val="18"/>
          <w:lang w:val="en-US"/>
        </w:rPr>
        <w:t>-</w:t>
      </w:r>
      <w:r w:rsidRPr="00C9545E">
        <w:rPr>
          <w:szCs w:val="18"/>
          <w:lang w:val="en-US"/>
        </w:rPr>
        <w:t>career fellows and contributing authors, but not the expert peer</w:t>
      </w:r>
      <w:r w:rsidR="0034080D" w:rsidRPr="00C9545E">
        <w:rPr>
          <w:szCs w:val="18"/>
          <w:lang w:val="en-US"/>
        </w:rPr>
        <w:t xml:space="preserve"> </w:t>
      </w:r>
      <w:r w:rsidRPr="00C9545E">
        <w:rPr>
          <w:szCs w:val="18"/>
          <w:lang w:val="en-US"/>
        </w:rPr>
        <w:t>reviewers.</w:t>
      </w:r>
    </w:p>
  </w:footnote>
  <w:footnote w:id="3">
    <w:p w14:paraId="7168D596" w14:textId="37017CF1" w:rsidR="002069EA" w:rsidRPr="00C9545E" w:rsidRDefault="002069EA" w:rsidP="00855F33">
      <w:pPr>
        <w:pStyle w:val="FootnoteText"/>
        <w:tabs>
          <w:tab w:val="left" w:pos="624"/>
        </w:tabs>
        <w:rPr>
          <w:b/>
          <w:bCs/>
          <w:szCs w:val="18"/>
          <w:lang w:val="en-US"/>
        </w:rPr>
      </w:pPr>
      <w:r w:rsidRPr="00C9545E">
        <w:rPr>
          <w:rFonts w:eastAsia="MS Mincho"/>
          <w:szCs w:val="18"/>
          <w:vertAlign w:val="superscript"/>
        </w:rPr>
        <w:footnoteRef/>
      </w:r>
      <w:r w:rsidRPr="00C9545E">
        <w:rPr>
          <w:szCs w:val="18"/>
          <w:lang w:val="en-US"/>
        </w:rPr>
        <w:t xml:space="preserve"> These include the eleventh and twelfth meetings of the Multidisciplinary Expert Panel and the Bureau, but exclude the sessions of the Plenary.</w:t>
      </w:r>
    </w:p>
  </w:footnote>
  <w:footnote w:id="4">
    <w:p w14:paraId="2ED6CA98" w14:textId="4493D5F5" w:rsidR="002069EA" w:rsidRPr="00C9545E" w:rsidRDefault="002069EA" w:rsidP="00500AAE">
      <w:pPr>
        <w:pStyle w:val="FootnoteText"/>
        <w:rPr>
          <w:szCs w:val="18"/>
          <w:lang w:val="en-US"/>
        </w:rPr>
      </w:pPr>
      <w:r w:rsidRPr="00C9545E">
        <w:rPr>
          <w:rStyle w:val="FootnoteReference"/>
          <w:sz w:val="18"/>
        </w:rPr>
        <w:footnoteRef/>
      </w:r>
      <w:r w:rsidRPr="00C9545E">
        <w:rPr>
          <w:szCs w:val="18"/>
          <w:lang w:val="en-US"/>
        </w:rPr>
        <w:t xml:space="preserve"> All elements are available for download on the IPBES website at </w:t>
      </w:r>
      <w:hyperlink r:id="rId1" w:history="1">
        <w:r w:rsidRPr="00C9545E">
          <w:rPr>
            <w:rStyle w:val="Hyperlink"/>
            <w:sz w:val="18"/>
            <w:szCs w:val="18"/>
            <w:lang w:val="en-US"/>
          </w:rPr>
          <w:t>www.ipbes.net/guide-production-assessments</w:t>
        </w:r>
      </w:hyperlink>
      <w:r w:rsidRPr="00C9545E">
        <w:rPr>
          <w:szCs w:val="18"/>
          <w:lang w:val="en-US"/>
        </w:rPr>
        <w:t xml:space="preserve">. </w:t>
      </w:r>
    </w:p>
  </w:footnote>
  <w:footnote w:id="5">
    <w:p w14:paraId="5AF8D45A" w14:textId="7683E627" w:rsidR="002069EA" w:rsidRPr="00C9545E" w:rsidRDefault="002069EA">
      <w:pPr>
        <w:pStyle w:val="FootnoteText"/>
        <w:rPr>
          <w:szCs w:val="18"/>
          <w:lang w:val="en-US"/>
        </w:rPr>
      </w:pPr>
      <w:r w:rsidRPr="00C9545E">
        <w:rPr>
          <w:rStyle w:val="FootnoteReference"/>
          <w:sz w:val="18"/>
        </w:rPr>
        <w:footnoteRef/>
      </w:r>
      <w:r w:rsidRPr="00C9545E">
        <w:rPr>
          <w:szCs w:val="18"/>
          <w:lang w:val="en-US"/>
        </w:rPr>
        <w:t xml:space="preserve"> Available at </w:t>
      </w:r>
      <w:hyperlink r:id="rId2" w:history="1">
        <w:r w:rsidRPr="00C9545E">
          <w:rPr>
            <w:rStyle w:val="Hyperlink"/>
            <w:sz w:val="18"/>
            <w:szCs w:val="18"/>
            <w:lang w:val="en-US"/>
          </w:rPr>
          <w:t>www.ipbes.net/policy-support</w:t>
        </w:r>
      </w:hyperlink>
      <w:r w:rsidRPr="00C9545E">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623D3BFB" w:rsidR="002069EA" w:rsidRPr="008520C8" w:rsidRDefault="002069EA" w:rsidP="008520C8">
    <w:pPr>
      <w:pStyle w:val="Header"/>
      <w:rPr>
        <w:rFonts w:ascii="Times New Roman" w:hAnsi="Times New Roman"/>
      </w:rPr>
    </w:pPr>
    <w:r>
      <w:rPr>
        <w:rFonts w:ascii="Times New Roman" w:hAnsi="Times New Roman"/>
      </w:rPr>
      <w:t>IPBES/7/2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6233069D" w:rsidR="002069EA" w:rsidRPr="008520C8" w:rsidRDefault="002069EA" w:rsidP="008520C8">
    <w:pPr>
      <w:pStyle w:val="Header"/>
      <w:jc w:val="right"/>
      <w:rPr>
        <w:rFonts w:ascii="Times New Roman" w:hAnsi="Times New Roman"/>
      </w:rPr>
    </w:pPr>
    <w:r>
      <w:rPr>
        <w:rFonts w:ascii="Times New Roman" w:hAnsi="Times New Roman"/>
      </w:rPr>
      <w:t>IPBES/7/2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907"/>
    <w:rsid w:val="00013746"/>
    <w:rsid w:val="000149E6"/>
    <w:rsid w:val="0001582F"/>
    <w:rsid w:val="000247B0"/>
    <w:rsid w:val="00026997"/>
    <w:rsid w:val="000278C7"/>
    <w:rsid w:val="00033E0B"/>
    <w:rsid w:val="00035EDE"/>
    <w:rsid w:val="0004771A"/>
    <w:rsid w:val="000509B4"/>
    <w:rsid w:val="0005530D"/>
    <w:rsid w:val="0006035B"/>
    <w:rsid w:val="00065148"/>
    <w:rsid w:val="000710F0"/>
    <w:rsid w:val="0007118B"/>
    <w:rsid w:val="00071886"/>
    <w:rsid w:val="000742BC"/>
    <w:rsid w:val="00082A0C"/>
    <w:rsid w:val="00083504"/>
    <w:rsid w:val="00086A10"/>
    <w:rsid w:val="0009640C"/>
    <w:rsid w:val="000A146D"/>
    <w:rsid w:val="000B0942"/>
    <w:rsid w:val="000B22A2"/>
    <w:rsid w:val="000B77D5"/>
    <w:rsid w:val="000C2A52"/>
    <w:rsid w:val="000D33C0"/>
    <w:rsid w:val="000D6941"/>
    <w:rsid w:val="000F484C"/>
    <w:rsid w:val="000F53CB"/>
    <w:rsid w:val="001036A6"/>
    <w:rsid w:val="0010728A"/>
    <w:rsid w:val="0010748A"/>
    <w:rsid w:val="001124F6"/>
    <w:rsid w:val="00115A54"/>
    <w:rsid w:val="0011664B"/>
    <w:rsid w:val="001202E3"/>
    <w:rsid w:val="001207A8"/>
    <w:rsid w:val="00120C90"/>
    <w:rsid w:val="00121C5E"/>
    <w:rsid w:val="00123699"/>
    <w:rsid w:val="0013059D"/>
    <w:rsid w:val="00137C36"/>
    <w:rsid w:val="00141A55"/>
    <w:rsid w:val="00144138"/>
    <w:rsid w:val="001446A3"/>
    <w:rsid w:val="00144E6E"/>
    <w:rsid w:val="00154CA8"/>
    <w:rsid w:val="00155395"/>
    <w:rsid w:val="00155A46"/>
    <w:rsid w:val="0015635E"/>
    <w:rsid w:val="0015720A"/>
    <w:rsid w:val="00160D74"/>
    <w:rsid w:val="00167D02"/>
    <w:rsid w:val="00181EC8"/>
    <w:rsid w:val="00184349"/>
    <w:rsid w:val="00186746"/>
    <w:rsid w:val="00195F33"/>
    <w:rsid w:val="001A1536"/>
    <w:rsid w:val="001A1668"/>
    <w:rsid w:val="001B1617"/>
    <w:rsid w:val="001B504B"/>
    <w:rsid w:val="001C0DFB"/>
    <w:rsid w:val="001C462A"/>
    <w:rsid w:val="001D1BB2"/>
    <w:rsid w:val="001D265E"/>
    <w:rsid w:val="001D3874"/>
    <w:rsid w:val="001D7E75"/>
    <w:rsid w:val="001E40DE"/>
    <w:rsid w:val="001E56D2"/>
    <w:rsid w:val="001E7C76"/>
    <w:rsid w:val="001E7D56"/>
    <w:rsid w:val="001F5AE3"/>
    <w:rsid w:val="001F75DE"/>
    <w:rsid w:val="00200D58"/>
    <w:rsid w:val="002013BE"/>
    <w:rsid w:val="002030D2"/>
    <w:rsid w:val="002063A4"/>
    <w:rsid w:val="002069EA"/>
    <w:rsid w:val="0021145B"/>
    <w:rsid w:val="0021458E"/>
    <w:rsid w:val="002146B9"/>
    <w:rsid w:val="00217178"/>
    <w:rsid w:val="002255A8"/>
    <w:rsid w:val="00237E55"/>
    <w:rsid w:val="00243D36"/>
    <w:rsid w:val="00247707"/>
    <w:rsid w:val="0026018E"/>
    <w:rsid w:val="00264E7C"/>
    <w:rsid w:val="0026656F"/>
    <w:rsid w:val="002837D2"/>
    <w:rsid w:val="00286740"/>
    <w:rsid w:val="002874CC"/>
    <w:rsid w:val="002929D8"/>
    <w:rsid w:val="00293967"/>
    <w:rsid w:val="0029478F"/>
    <w:rsid w:val="002A237D"/>
    <w:rsid w:val="002A4C53"/>
    <w:rsid w:val="002A650A"/>
    <w:rsid w:val="002A718E"/>
    <w:rsid w:val="002B0672"/>
    <w:rsid w:val="002B0FF1"/>
    <w:rsid w:val="002B247F"/>
    <w:rsid w:val="002B27F6"/>
    <w:rsid w:val="002B61F6"/>
    <w:rsid w:val="002C1316"/>
    <w:rsid w:val="002C145D"/>
    <w:rsid w:val="002C2C3E"/>
    <w:rsid w:val="002C533E"/>
    <w:rsid w:val="002C7D1D"/>
    <w:rsid w:val="002D027F"/>
    <w:rsid w:val="002D0937"/>
    <w:rsid w:val="002D7A85"/>
    <w:rsid w:val="002D7B60"/>
    <w:rsid w:val="002E19D6"/>
    <w:rsid w:val="002E1A8D"/>
    <w:rsid w:val="002E2371"/>
    <w:rsid w:val="002E281D"/>
    <w:rsid w:val="002E364F"/>
    <w:rsid w:val="002E3B3B"/>
    <w:rsid w:val="002E4F3F"/>
    <w:rsid w:val="002F1AE7"/>
    <w:rsid w:val="002F2006"/>
    <w:rsid w:val="002F2633"/>
    <w:rsid w:val="002F3AE1"/>
    <w:rsid w:val="002F4761"/>
    <w:rsid w:val="002F5C79"/>
    <w:rsid w:val="003019E2"/>
    <w:rsid w:val="00303337"/>
    <w:rsid w:val="00306862"/>
    <w:rsid w:val="0031413F"/>
    <w:rsid w:val="00314727"/>
    <w:rsid w:val="003148BB"/>
    <w:rsid w:val="00314911"/>
    <w:rsid w:val="00317976"/>
    <w:rsid w:val="00335D88"/>
    <w:rsid w:val="0034080D"/>
    <w:rsid w:val="003409EF"/>
    <w:rsid w:val="00345569"/>
    <w:rsid w:val="00355EA9"/>
    <w:rsid w:val="003578DE"/>
    <w:rsid w:val="0037782F"/>
    <w:rsid w:val="003805DB"/>
    <w:rsid w:val="0038333E"/>
    <w:rsid w:val="00396257"/>
    <w:rsid w:val="00396929"/>
    <w:rsid w:val="00397EB8"/>
    <w:rsid w:val="003A4FD0"/>
    <w:rsid w:val="003A5245"/>
    <w:rsid w:val="003A69D1"/>
    <w:rsid w:val="003A7705"/>
    <w:rsid w:val="003A77F1"/>
    <w:rsid w:val="003B1545"/>
    <w:rsid w:val="003C409D"/>
    <w:rsid w:val="003C5A14"/>
    <w:rsid w:val="003C5BA6"/>
    <w:rsid w:val="003C65E1"/>
    <w:rsid w:val="003C6ABD"/>
    <w:rsid w:val="003E04E3"/>
    <w:rsid w:val="003E51E1"/>
    <w:rsid w:val="003E57FD"/>
    <w:rsid w:val="003F0E85"/>
    <w:rsid w:val="003F561B"/>
    <w:rsid w:val="003F6047"/>
    <w:rsid w:val="00400471"/>
    <w:rsid w:val="004100EA"/>
    <w:rsid w:val="00410C55"/>
    <w:rsid w:val="00413ADD"/>
    <w:rsid w:val="00416854"/>
    <w:rsid w:val="00417725"/>
    <w:rsid w:val="00424992"/>
    <w:rsid w:val="00424A9E"/>
    <w:rsid w:val="004335EC"/>
    <w:rsid w:val="00433BDB"/>
    <w:rsid w:val="00437F26"/>
    <w:rsid w:val="00444097"/>
    <w:rsid w:val="00445487"/>
    <w:rsid w:val="00446553"/>
    <w:rsid w:val="00454769"/>
    <w:rsid w:val="00466991"/>
    <w:rsid w:val="0047064C"/>
    <w:rsid w:val="00471270"/>
    <w:rsid w:val="00473F1F"/>
    <w:rsid w:val="004868B8"/>
    <w:rsid w:val="00491D1C"/>
    <w:rsid w:val="004A0FE9"/>
    <w:rsid w:val="004A1A72"/>
    <w:rsid w:val="004A276F"/>
    <w:rsid w:val="004A345B"/>
    <w:rsid w:val="004A42E1"/>
    <w:rsid w:val="004B162C"/>
    <w:rsid w:val="004B2401"/>
    <w:rsid w:val="004C0870"/>
    <w:rsid w:val="004C10B0"/>
    <w:rsid w:val="004C2AED"/>
    <w:rsid w:val="004C3DBE"/>
    <w:rsid w:val="004C5C96"/>
    <w:rsid w:val="004D06A4"/>
    <w:rsid w:val="004F1A81"/>
    <w:rsid w:val="00500AAE"/>
    <w:rsid w:val="005102AE"/>
    <w:rsid w:val="0051220F"/>
    <w:rsid w:val="00513654"/>
    <w:rsid w:val="00517857"/>
    <w:rsid w:val="005218D9"/>
    <w:rsid w:val="00536186"/>
    <w:rsid w:val="00536901"/>
    <w:rsid w:val="00541290"/>
    <w:rsid w:val="00541886"/>
    <w:rsid w:val="005428E1"/>
    <w:rsid w:val="00544997"/>
    <w:rsid w:val="00544CBB"/>
    <w:rsid w:val="005518C8"/>
    <w:rsid w:val="005537BD"/>
    <w:rsid w:val="00566C86"/>
    <w:rsid w:val="00567A02"/>
    <w:rsid w:val="00572FF5"/>
    <w:rsid w:val="0057315F"/>
    <w:rsid w:val="00576104"/>
    <w:rsid w:val="00577605"/>
    <w:rsid w:val="00581457"/>
    <w:rsid w:val="0058489B"/>
    <w:rsid w:val="005A0AD1"/>
    <w:rsid w:val="005A1727"/>
    <w:rsid w:val="005B0DEE"/>
    <w:rsid w:val="005B253A"/>
    <w:rsid w:val="005C67C8"/>
    <w:rsid w:val="005D0249"/>
    <w:rsid w:val="005D6E8C"/>
    <w:rsid w:val="005E1FE2"/>
    <w:rsid w:val="005E20B2"/>
    <w:rsid w:val="005E775D"/>
    <w:rsid w:val="005F066E"/>
    <w:rsid w:val="005F06C5"/>
    <w:rsid w:val="005F100C"/>
    <w:rsid w:val="005F68DA"/>
    <w:rsid w:val="0060281F"/>
    <w:rsid w:val="006039BC"/>
    <w:rsid w:val="0060773B"/>
    <w:rsid w:val="006157B5"/>
    <w:rsid w:val="0061664A"/>
    <w:rsid w:val="00623423"/>
    <w:rsid w:val="00626024"/>
    <w:rsid w:val="00626FC6"/>
    <w:rsid w:val="006303B4"/>
    <w:rsid w:val="0063309C"/>
    <w:rsid w:val="00633D3D"/>
    <w:rsid w:val="006348A6"/>
    <w:rsid w:val="00636AB9"/>
    <w:rsid w:val="00641703"/>
    <w:rsid w:val="006431A6"/>
    <w:rsid w:val="006459F6"/>
    <w:rsid w:val="006501AD"/>
    <w:rsid w:val="00651BFA"/>
    <w:rsid w:val="00651EF8"/>
    <w:rsid w:val="00654475"/>
    <w:rsid w:val="006552A2"/>
    <w:rsid w:val="00661A50"/>
    <w:rsid w:val="006625CF"/>
    <w:rsid w:val="00665A4B"/>
    <w:rsid w:val="006744B2"/>
    <w:rsid w:val="00674D0B"/>
    <w:rsid w:val="00676210"/>
    <w:rsid w:val="00692E2A"/>
    <w:rsid w:val="006943A8"/>
    <w:rsid w:val="006A3340"/>
    <w:rsid w:val="006A76F2"/>
    <w:rsid w:val="006B164F"/>
    <w:rsid w:val="006C10B1"/>
    <w:rsid w:val="006C21EC"/>
    <w:rsid w:val="006C3EAE"/>
    <w:rsid w:val="006C5665"/>
    <w:rsid w:val="006D7EFB"/>
    <w:rsid w:val="006E54C2"/>
    <w:rsid w:val="006E6672"/>
    <w:rsid w:val="006E6722"/>
    <w:rsid w:val="006F0854"/>
    <w:rsid w:val="006F188E"/>
    <w:rsid w:val="006F2773"/>
    <w:rsid w:val="006F7CEF"/>
    <w:rsid w:val="00701DB8"/>
    <w:rsid w:val="007027B9"/>
    <w:rsid w:val="007114EE"/>
    <w:rsid w:val="00715E88"/>
    <w:rsid w:val="0072413C"/>
    <w:rsid w:val="00726546"/>
    <w:rsid w:val="00727BC1"/>
    <w:rsid w:val="0073003A"/>
    <w:rsid w:val="007322BD"/>
    <w:rsid w:val="00734CAA"/>
    <w:rsid w:val="007418EA"/>
    <w:rsid w:val="007454AF"/>
    <w:rsid w:val="007476C3"/>
    <w:rsid w:val="007538EE"/>
    <w:rsid w:val="0075533C"/>
    <w:rsid w:val="007554EA"/>
    <w:rsid w:val="00756B25"/>
    <w:rsid w:val="00757581"/>
    <w:rsid w:val="007611A0"/>
    <w:rsid w:val="007637BF"/>
    <w:rsid w:val="00764A22"/>
    <w:rsid w:val="00777061"/>
    <w:rsid w:val="0078070A"/>
    <w:rsid w:val="007817A5"/>
    <w:rsid w:val="00784F0D"/>
    <w:rsid w:val="00794A5A"/>
    <w:rsid w:val="00796D3F"/>
    <w:rsid w:val="00797456"/>
    <w:rsid w:val="007A1683"/>
    <w:rsid w:val="007A4A4E"/>
    <w:rsid w:val="007A5C12"/>
    <w:rsid w:val="007A61BE"/>
    <w:rsid w:val="007A7A50"/>
    <w:rsid w:val="007A7CB0"/>
    <w:rsid w:val="007B48FD"/>
    <w:rsid w:val="007B68A3"/>
    <w:rsid w:val="007C2541"/>
    <w:rsid w:val="007D66A8"/>
    <w:rsid w:val="007E003F"/>
    <w:rsid w:val="007E31B4"/>
    <w:rsid w:val="007F2AC9"/>
    <w:rsid w:val="00802756"/>
    <w:rsid w:val="0081058C"/>
    <w:rsid w:val="008164F2"/>
    <w:rsid w:val="00821395"/>
    <w:rsid w:val="00824D98"/>
    <w:rsid w:val="00830E26"/>
    <w:rsid w:val="00833730"/>
    <w:rsid w:val="00835E00"/>
    <w:rsid w:val="00843576"/>
    <w:rsid w:val="00843B64"/>
    <w:rsid w:val="008445D8"/>
    <w:rsid w:val="00845065"/>
    <w:rsid w:val="008478FC"/>
    <w:rsid w:val="0085171F"/>
    <w:rsid w:val="008520C8"/>
    <w:rsid w:val="00855F33"/>
    <w:rsid w:val="00867BFF"/>
    <w:rsid w:val="00871729"/>
    <w:rsid w:val="00873D90"/>
    <w:rsid w:val="00875CDC"/>
    <w:rsid w:val="00882A2C"/>
    <w:rsid w:val="0088480A"/>
    <w:rsid w:val="00886752"/>
    <w:rsid w:val="0088757A"/>
    <w:rsid w:val="00890C57"/>
    <w:rsid w:val="00893CF2"/>
    <w:rsid w:val="008957DD"/>
    <w:rsid w:val="00895C25"/>
    <w:rsid w:val="00897D98"/>
    <w:rsid w:val="008A6DF2"/>
    <w:rsid w:val="008A7807"/>
    <w:rsid w:val="008B2F5A"/>
    <w:rsid w:val="008B37DC"/>
    <w:rsid w:val="008B4CC9"/>
    <w:rsid w:val="008C6742"/>
    <w:rsid w:val="008D5BCC"/>
    <w:rsid w:val="008D7C99"/>
    <w:rsid w:val="008E0FCB"/>
    <w:rsid w:val="008F42BA"/>
    <w:rsid w:val="008F5905"/>
    <w:rsid w:val="009021BD"/>
    <w:rsid w:val="0092178C"/>
    <w:rsid w:val="0092574B"/>
    <w:rsid w:val="00925D83"/>
    <w:rsid w:val="00930B88"/>
    <w:rsid w:val="00933AC1"/>
    <w:rsid w:val="00934F7F"/>
    <w:rsid w:val="00936099"/>
    <w:rsid w:val="009369C6"/>
    <w:rsid w:val="00940DCC"/>
    <w:rsid w:val="0094179A"/>
    <w:rsid w:val="0094459E"/>
    <w:rsid w:val="00944DBC"/>
    <w:rsid w:val="0094649C"/>
    <w:rsid w:val="00950977"/>
    <w:rsid w:val="00951A7B"/>
    <w:rsid w:val="009564A6"/>
    <w:rsid w:val="009642B5"/>
    <w:rsid w:val="00967621"/>
    <w:rsid w:val="00967E6A"/>
    <w:rsid w:val="00971A42"/>
    <w:rsid w:val="00993832"/>
    <w:rsid w:val="00994ADE"/>
    <w:rsid w:val="009A48FF"/>
    <w:rsid w:val="009B0B83"/>
    <w:rsid w:val="009B423E"/>
    <w:rsid w:val="009B4A0F"/>
    <w:rsid w:val="009B5900"/>
    <w:rsid w:val="009C11D2"/>
    <w:rsid w:val="009C1565"/>
    <w:rsid w:val="009C267A"/>
    <w:rsid w:val="009C3D85"/>
    <w:rsid w:val="009C6C70"/>
    <w:rsid w:val="009C7AFF"/>
    <w:rsid w:val="009D0815"/>
    <w:rsid w:val="009D0B63"/>
    <w:rsid w:val="009D2ED3"/>
    <w:rsid w:val="009D4FDE"/>
    <w:rsid w:val="009E08B9"/>
    <w:rsid w:val="009E307E"/>
    <w:rsid w:val="009F188E"/>
    <w:rsid w:val="00A02CF6"/>
    <w:rsid w:val="00A07870"/>
    <w:rsid w:val="00A07F19"/>
    <w:rsid w:val="00A1348D"/>
    <w:rsid w:val="00A135C2"/>
    <w:rsid w:val="00A1448F"/>
    <w:rsid w:val="00A16DD3"/>
    <w:rsid w:val="00A225A7"/>
    <w:rsid w:val="00A232EE"/>
    <w:rsid w:val="00A31818"/>
    <w:rsid w:val="00A32884"/>
    <w:rsid w:val="00A34745"/>
    <w:rsid w:val="00A40FC9"/>
    <w:rsid w:val="00A4175F"/>
    <w:rsid w:val="00A44411"/>
    <w:rsid w:val="00A4527C"/>
    <w:rsid w:val="00A45E17"/>
    <w:rsid w:val="00A469FA"/>
    <w:rsid w:val="00A55B01"/>
    <w:rsid w:val="00A56B5B"/>
    <w:rsid w:val="00A603FF"/>
    <w:rsid w:val="00A60D1F"/>
    <w:rsid w:val="00A653CB"/>
    <w:rsid w:val="00A657DD"/>
    <w:rsid w:val="00A666A6"/>
    <w:rsid w:val="00A675FD"/>
    <w:rsid w:val="00A72437"/>
    <w:rsid w:val="00A73C3E"/>
    <w:rsid w:val="00A7428A"/>
    <w:rsid w:val="00A80611"/>
    <w:rsid w:val="00A82514"/>
    <w:rsid w:val="00A843FD"/>
    <w:rsid w:val="00AA76AB"/>
    <w:rsid w:val="00AB5340"/>
    <w:rsid w:val="00AB7EC7"/>
    <w:rsid w:val="00AC0A89"/>
    <w:rsid w:val="00AC7C96"/>
    <w:rsid w:val="00AD04F9"/>
    <w:rsid w:val="00AD28D1"/>
    <w:rsid w:val="00AE237D"/>
    <w:rsid w:val="00AE3288"/>
    <w:rsid w:val="00AE502A"/>
    <w:rsid w:val="00AE7AE1"/>
    <w:rsid w:val="00AF127B"/>
    <w:rsid w:val="00AF6281"/>
    <w:rsid w:val="00AF7C07"/>
    <w:rsid w:val="00B10E49"/>
    <w:rsid w:val="00B11447"/>
    <w:rsid w:val="00B1147B"/>
    <w:rsid w:val="00B133F1"/>
    <w:rsid w:val="00B20F08"/>
    <w:rsid w:val="00B2156E"/>
    <w:rsid w:val="00B22C93"/>
    <w:rsid w:val="00B242C7"/>
    <w:rsid w:val="00B26538"/>
    <w:rsid w:val="00B27589"/>
    <w:rsid w:val="00B35B44"/>
    <w:rsid w:val="00B40282"/>
    <w:rsid w:val="00B405B7"/>
    <w:rsid w:val="00B52222"/>
    <w:rsid w:val="00B54FE7"/>
    <w:rsid w:val="00B55A5E"/>
    <w:rsid w:val="00B56632"/>
    <w:rsid w:val="00B61D82"/>
    <w:rsid w:val="00B66901"/>
    <w:rsid w:val="00B704F7"/>
    <w:rsid w:val="00B71E6D"/>
    <w:rsid w:val="00B72070"/>
    <w:rsid w:val="00B779E1"/>
    <w:rsid w:val="00B83543"/>
    <w:rsid w:val="00B83A74"/>
    <w:rsid w:val="00B91EE1"/>
    <w:rsid w:val="00B95829"/>
    <w:rsid w:val="00BA0090"/>
    <w:rsid w:val="00BA043B"/>
    <w:rsid w:val="00BA04E5"/>
    <w:rsid w:val="00BA1A67"/>
    <w:rsid w:val="00BA69E8"/>
    <w:rsid w:val="00BB72D2"/>
    <w:rsid w:val="00BB7EA0"/>
    <w:rsid w:val="00BE0C02"/>
    <w:rsid w:val="00BE1EBD"/>
    <w:rsid w:val="00BE530B"/>
    <w:rsid w:val="00BE5B5F"/>
    <w:rsid w:val="00BF064C"/>
    <w:rsid w:val="00C00DE2"/>
    <w:rsid w:val="00C10C4D"/>
    <w:rsid w:val="00C114CD"/>
    <w:rsid w:val="00C1404C"/>
    <w:rsid w:val="00C2502D"/>
    <w:rsid w:val="00C26F55"/>
    <w:rsid w:val="00C30C63"/>
    <w:rsid w:val="00C33018"/>
    <w:rsid w:val="00C34B7D"/>
    <w:rsid w:val="00C34CAA"/>
    <w:rsid w:val="00C36B8B"/>
    <w:rsid w:val="00C41532"/>
    <w:rsid w:val="00C415C1"/>
    <w:rsid w:val="00C42D05"/>
    <w:rsid w:val="00C459DD"/>
    <w:rsid w:val="00C47DBF"/>
    <w:rsid w:val="00C552FF"/>
    <w:rsid w:val="00C558DA"/>
    <w:rsid w:val="00C55AF3"/>
    <w:rsid w:val="00C64FC5"/>
    <w:rsid w:val="00C66C0B"/>
    <w:rsid w:val="00C72607"/>
    <w:rsid w:val="00C76479"/>
    <w:rsid w:val="00C81164"/>
    <w:rsid w:val="00C84759"/>
    <w:rsid w:val="00C87456"/>
    <w:rsid w:val="00C90A38"/>
    <w:rsid w:val="00C9545E"/>
    <w:rsid w:val="00C978AF"/>
    <w:rsid w:val="00C979A3"/>
    <w:rsid w:val="00CA22CD"/>
    <w:rsid w:val="00CA6C7F"/>
    <w:rsid w:val="00CB27E0"/>
    <w:rsid w:val="00CB30A6"/>
    <w:rsid w:val="00CB7857"/>
    <w:rsid w:val="00CC10A6"/>
    <w:rsid w:val="00CD5EB8"/>
    <w:rsid w:val="00CD6881"/>
    <w:rsid w:val="00CD7044"/>
    <w:rsid w:val="00CD7FCF"/>
    <w:rsid w:val="00CE08B9"/>
    <w:rsid w:val="00CE404F"/>
    <w:rsid w:val="00CE425E"/>
    <w:rsid w:val="00CE524C"/>
    <w:rsid w:val="00CF141F"/>
    <w:rsid w:val="00CF196E"/>
    <w:rsid w:val="00CF4777"/>
    <w:rsid w:val="00D067BB"/>
    <w:rsid w:val="00D108D2"/>
    <w:rsid w:val="00D1352A"/>
    <w:rsid w:val="00D13D48"/>
    <w:rsid w:val="00D1436E"/>
    <w:rsid w:val="00D169AF"/>
    <w:rsid w:val="00D2125B"/>
    <w:rsid w:val="00D25249"/>
    <w:rsid w:val="00D26E61"/>
    <w:rsid w:val="00D27E9A"/>
    <w:rsid w:val="00D31CC5"/>
    <w:rsid w:val="00D40CC2"/>
    <w:rsid w:val="00D41218"/>
    <w:rsid w:val="00D44172"/>
    <w:rsid w:val="00D537AB"/>
    <w:rsid w:val="00D55D38"/>
    <w:rsid w:val="00D61672"/>
    <w:rsid w:val="00D63B8C"/>
    <w:rsid w:val="00D739CC"/>
    <w:rsid w:val="00D773EA"/>
    <w:rsid w:val="00D8093D"/>
    <w:rsid w:val="00D8108C"/>
    <w:rsid w:val="00D842AE"/>
    <w:rsid w:val="00D86EFF"/>
    <w:rsid w:val="00D9211C"/>
    <w:rsid w:val="00D92DE0"/>
    <w:rsid w:val="00D92FEF"/>
    <w:rsid w:val="00D93A0F"/>
    <w:rsid w:val="00D93BFF"/>
    <w:rsid w:val="00D97247"/>
    <w:rsid w:val="00DA045D"/>
    <w:rsid w:val="00DA1BCA"/>
    <w:rsid w:val="00DA3752"/>
    <w:rsid w:val="00DA3EA9"/>
    <w:rsid w:val="00DB58FE"/>
    <w:rsid w:val="00DC1A57"/>
    <w:rsid w:val="00DC46FF"/>
    <w:rsid w:val="00DC5254"/>
    <w:rsid w:val="00DD0F1A"/>
    <w:rsid w:val="00DD1A4F"/>
    <w:rsid w:val="00DD3107"/>
    <w:rsid w:val="00DD706A"/>
    <w:rsid w:val="00DD7C2C"/>
    <w:rsid w:val="00DE4A80"/>
    <w:rsid w:val="00DE7F32"/>
    <w:rsid w:val="00DF17EE"/>
    <w:rsid w:val="00DF1E4C"/>
    <w:rsid w:val="00DF4DE2"/>
    <w:rsid w:val="00DF5893"/>
    <w:rsid w:val="00E047DA"/>
    <w:rsid w:val="00E064AF"/>
    <w:rsid w:val="00E06797"/>
    <w:rsid w:val="00E07703"/>
    <w:rsid w:val="00E1265B"/>
    <w:rsid w:val="00E13B48"/>
    <w:rsid w:val="00E1404F"/>
    <w:rsid w:val="00E14717"/>
    <w:rsid w:val="00E153D2"/>
    <w:rsid w:val="00E157CD"/>
    <w:rsid w:val="00E21C83"/>
    <w:rsid w:val="00E24ADA"/>
    <w:rsid w:val="00E30BCD"/>
    <w:rsid w:val="00E327D4"/>
    <w:rsid w:val="00E32F59"/>
    <w:rsid w:val="00E34622"/>
    <w:rsid w:val="00E40926"/>
    <w:rsid w:val="00E46D9A"/>
    <w:rsid w:val="00E477FF"/>
    <w:rsid w:val="00E54C0B"/>
    <w:rsid w:val="00E565FF"/>
    <w:rsid w:val="00E6090D"/>
    <w:rsid w:val="00E6359E"/>
    <w:rsid w:val="00E65388"/>
    <w:rsid w:val="00E7205C"/>
    <w:rsid w:val="00E8325F"/>
    <w:rsid w:val="00E85B7D"/>
    <w:rsid w:val="00E9121B"/>
    <w:rsid w:val="00E92894"/>
    <w:rsid w:val="00EA0AE2"/>
    <w:rsid w:val="00EA2ACC"/>
    <w:rsid w:val="00EA39E5"/>
    <w:rsid w:val="00EA4E60"/>
    <w:rsid w:val="00EB3E88"/>
    <w:rsid w:val="00EC5A46"/>
    <w:rsid w:val="00EC63E2"/>
    <w:rsid w:val="00ED1AA6"/>
    <w:rsid w:val="00EF22B3"/>
    <w:rsid w:val="00EF35A2"/>
    <w:rsid w:val="00F0084E"/>
    <w:rsid w:val="00F03B69"/>
    <w:rsid w:val="00F07A50"/>
    <w:rsid w:val="00F113DA"/>
    <w:rsid w:val="00F13C7D"/>
    <w:rsid w:val="00F21AFC"/>
    <w:rsid w:val="00F23065"/>
    <w:rsid w:val="00F24586"/>
    <w:rsid w:val="00F277EB"/>
    <w:rsid w:val="00F3709A"/>
    <w:rsid w:val="00F373D4"/>
    <w:rsid w:val="00F37DC8"/>
    <w:rsid w:val="00F439B3"/>
    <w:rsid w:val="00F43AE6"/>
    <w:rsid w:val="00F56735"/>
    <w:rsid w:val="00F61341"/>
    <w:rsid w:val="00F650C3"/>
    <w:rsid w:val="00F65D85"/>
    <w:rsid w:val="00F76728"/>
    <w:rsid w:val="00F8091E"/>
    <w:rsid w:val="00F8615C"/>
    <w:rsid w:val="00F874E0"/>
    <w:rsid w:val="00F87847"/>
    <w:rsid w:val="00F969E5"/>
    <w:rsid w:val="00FA500A"/>
    <w:rsid w:val="00FA6BB0"/>
    <w:rsid w:val="00FB7982"/>
    <w:rsid w:val="00FC0D95"/>
    <w:rsid w:val="00FC55FC"/>
    <w:rsid w:val="00FD5860"/>
    <w:rsid w:val="00FD6E8D"/>
    <w:rsid w:val="00FD7A9F"/>
    <w:rsid w:val="00FE186C"/>
    <w:rsid w:val="00FE352D"/>
    <w:rsid w:val="00FE40EB"/>
    <w:rsid w:val="00FE4D02"/>
    <w:rsid w:val="00FE7D62"/>
    <w:rsid w:val="00FF0933"/>
    <w:rsid w:val="00FF0ACF"/>
    <w:rsid w:val="00FF1E39"/>
    <w:rsid w:val="00FF381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794A5A"/>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794A5A"/>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ipbes.net/policy-support" TargetMode="External"/><Relationship Id="rId1" Type="http://schemas.openxmlformats.org/officeDocument/2006/relationships/hyperlink" Target="http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0D520-5190-455A-927F-68FFCE68FE41}">
  <ds:schemaRefs>
    <ds:schemaRef ds:uri="http://schemas.openxmlformats.org/officeDocument/2006/bibliography"/>
  </ds:schemaRefs>
</ds:datastoreItem>
</file>

<file path=customXml/itemProps2.xml><?xml version="1.0" encoding="utf-8"?>
<ds:datastoreItem xmlns:ds="http://schemas.openxmlformats.org/officeDocument/2006/customXml" ds:itemID="{78355E03-45F7-46CE-94FF-504D25FC41EF}"/>
</file>

<file path=customXml/itemProps3.xml><?xml version="1.0" encoding="utf-8"?>
<ds:datastoreItem xmlns:ds="http://schemas.openxmlformats.org/officeDocument/2006/customXml" ds:itemID="{6DC7C4BF-43F2-4E9C-BE10-FBA840EB3E15}"/>
</file>

<file path=customXml/itemProps4.xml><?xml version="1.0" encoding="utf-8"?>
<ds:datastoreItem xmlns:ds="http://schemas.openxmlformats.org/officeDocument/2006/customXml" ds:itemID="{4C83DD1B-5F4D-4695-905D-DB2B58C44378}"/>
</file>

<file path=docProps/app.xml><?xml version="1.0" encoding="utf-8"?>
<Properties xmlns="http://schemas.openxmlformats.org/officeDocument/2006/extended-properties" xmlns:vt="http://schemas.openxmlformats.org/officeDocument/2006/docPropsVTypes">
  <Template>Normal</Template>
  <TotalTime>1</TotalTime>
  <Pages>6</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2019-03-14T20:01:00Z</cp:lastPrinted>
  <dcterms:created xsi:type="dcterms:W3CDTF">2019-03-21T15:39:00Z</dcterms:created>
  <dcterms:modified xsi:type="dcterms:W3CDTF">2019-03-21T15:39:00Z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