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right"/>
        <w:tblLayout w:type="fixed"/>
        <w:tblLook w:val="0000" w:firstRow="0" w:lastRow="0" w:firstColumn="0" w:lastColumn="0" w:noHBand="0" w:noVBand="0"/>
      </w:tblPr>
      <w:tblGrid>
        <w:gridCol w:w="1493"/>
        <w:gridCol w:w="473"/>
        <w:gridCol w:w="5343"/>
        <w:gridCol w:w="626"/>
        <w:gridCol w:w="1561"/>
      </w:tblGrid>
      <w:tr w:rsidR="00A54604" w:rsidRPr="005B3C63" w14:paraId="32C1CAAD" w14:textId="77777777" w:rsidTr="00A54604">
        <w:trPr>
          <w:cantSplit/>
          <w:trHeight w:val="57"/>
          <w:jc w:val="right"/>
        </w:trPr>
        <w:tc>
          <w:tcPr>
            <w:tcW w:w="1524" w:type="dxa"/>
          </w:tcPr>
          <w:p w14:paraId="2EFF9B13" w14:textId="77777777" w:rsidR="00A54604" w:rsidRPr="005B3C63" w:rsidRDefault="00A54604" w:rsidP="00A54604">
            <w:pPr>
              <w:tabs>
                <w:tab w:val="left" w:pos="4082"/>
              </w:tabs>
              <w:rPr>
                <w:rFonts w:eastAsia="DengXian"/>
                <w:lang w:val="en-GB"/>
              </w:rPr>
            </w:pPr>
            <w:r w:rsidRPr="005B3C63">
              <w:rPr>
                <w:rFonts w:ascii="Arial" w:eastAsia="DengXian" w:hAnsi="Arial" w:cs="Arial"/>
                <w:b/>
                <w:sz w:val="27"/>
                <w:szCs w:val="27"/>
                <w:lang w:val="en-GB"/>
              </w:rPr>
              <w:t xml:space="preserve">UNITED </w:t>
            </w:r>
            <w:r w:rsidRPr="005B3C63">
              <w:rPr>
                <w:rFonts w:ascii="Arial" w:eastAsia="DengXian" w:hAnsi="Arial" w:cs="Arial"/>
                <w:b/>
                <w:sz w:val="27"/>
                <w:szCs w:val="27"/>
                <w:lang w:val="en-GB"/>
              </w:rPr>
              <w:br/>
              <w:t>NATIONS</w:t>
            </w:r>
          </w:p>
        </w:tc>
        <w:tc>
          <w:tcPr>
            <w:tcW w:w="6599" w:type="dxa"/>
            <w:gridSpan w:val="3"/>
          </w:tcPr>
          <w:p w14:paraId="1EECFB26" w14:textId="4FB46875" w:rsidR="00A54604" w:rsidRPr="005B3C63" w:rsidRDefault="00A54604" w:rsidP="00A54604">
            <w:pPr>
              <w:tabs>
                <w:tab w:val="left" w:pos="4082"/>
              </w:tabs>
              <w:spacing w:before="20"/>
              <w:ind w:left="-113"/>
              <w:rPr>
                <w:rFonts w:eastAsia="DengXian"/>
                <w:lang w:val="en-GB"/>
              </w:rPr>
            </w:pPr>
            <w:r w:rsidRPr="005B3C63">
              <w:rPr>
                <w:rFonts w:eastAsia="DengXian"/>
                <w:noProof/>
                <w:lang w:val="en-GB" w:eastAsia="en-GB"/>
              </w:rPr>
              <w:drawing>
                <wp:inline distT="0" distB="0" distL="0" distR="0" wp14:anchorId="40173251" wp14:editId="75A82C32">
                  <wp:extent cx="3560445" cy="44323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0445" cy="443230"/>
                          </a:xfrm>
                          <a:prstGeom prst="rect">
                            <a:avLst/>
                          </a:prstGeom>
                          <a:noFill/>
                          <a:ln>
                            <a:noFill/>
                          </a:ln>
                        </pic:spPr>
                      </pic:pic>
                    </a:graphicData>
                  </a:graphic>
                </wp:inline>
              </w:drawing>
            </w:r>
          </w:p>
        </w:tc>
        <w:tc>
          <w:tcPr>
            <w:tcW w:w="1594" w:type="dxa"/>
          </w:tcPr>
          <w:p w14:paraId="046BB314" w14:textId="77777777" w:rsidR="00A54604" w:rsidRPr="005B3C63" w:rsidRDefault="00A54604" w:rsidP="00A54604">
            <w:pPr>
              <w:tabs>
                <w:tab w:val="left" w:pos="4082"/>
              </w:tabs>
              <w:spacing w:after="120"/>
              <w:jc w:val="right"/>
              <w:rPr>
                <w:rFonts w:eastAsia="DengXian"/>
                <w:lang w:val="en-GB"/>
              </w:rPr>
            </w:pPr>
            <w:r w:rsidRPr="005B3C63">
              <w:rPr>
                <w:rFonts w:ascii="Arial" w:eastAsia="DengXian" w:hAnsi="Arial" w:cs="Arial"/>
                <w:b/>
                <w:sz w:val="64"/>
                <w:szCs w:val="64"/>
                <w:lang w:val="en-GB"/>
              </w:rPr>
              <w:t>BES</w:t>
            </w:r>
          </w:p>
        </w:tc>
      </w:tr>
      <w:tr w:rsidR="00A54604" w:rsidRPr="005B3C63" w14:paraId="42F68635" w14:textId="77777777" w:rsidTr="00A54604">
        <w:trPr>
          <w:cantSplit/>
          <w:trHeight w:val="57"/>
          <w:jc w:val="right"/>
        </w:trPr>
        <w:tc>
          <w:tcPr>
            <w:tcW w:w="1524" w:type="dxa"/>
            <w:tcBorders>
              <w:bottom w:val="single" w:sz="2" w:space="0" w:color="auto"/>
            </w:tcBorders>
          </w:tcPr>
          <w:p w14:paraId="4F892278" w14:textId="77777777" w:rsidR="00A54604" w:rsidRPr="005B3C63" w:rsidRDefault="00A54604" w:rsidP="00A54604">
            <w:pPr>
              <w:tabs>
                <w:tab w:val="left" w:pos="4082"/>
              </w:tabs>
              <w:rPr>
                <w:rFonts w:eastAsia="DengXian"/>
                <w:lang w:val="en-GB"/>
              </w:rPr>
            </w:pPr>
          </w:p>
        </w:tc>
        <w:tc>
          <w:tcPr>
            <w:tcW w:w="5957" w:type="dxa"/>
            <w:gridSpan w:val="2"/>
            <w:tcBorders>
              <w:bottom w:val="single" w:sz="2" w:space="0" w:color="auto"/>
            </w:tcBorders>
          </w:tcPr>
          <w:p w14:paraId="5AFC2458" w14:textId="77777777" w:rsidR="00A54604" w:rsidRPr="005B3C63" w:rsidRDefault="00A54604" w:rsidP="00A54604">
            <w:pPr>
              <w:tabs>
                <w:tab w:val="left" w:pos="4082"/>
              </w:tabs>
              <w:rPr>
                <w:rFonts w:eastAsia="DengXian"/>
                <w:lang w:val="en-GB"/>
              </w:rPr>
            </w:pPr>
          </w:p>
        </w:tc>
        <w:tc>
          <w:tcPr>
            <w:tcW w:w="2236" w:type="dxa"/>
            <w:gridSpan w:val="2"/>
            <w:tcBorders>
              <w:bottom w:val="single" w:sz="2" w:space="0" w:color="auto"/>
            </w:tcBorders>
          </w:tcPr>
          <w:p w14:paraId="160B1A24" w14:textId="5C697F8F" w:rsidR="00A54604" w:rsidRPr="005B3C63" w:rsidRDefault="00A54604" w:rsidP="00A54604">
            <w:pPr>
              <w:tabs>
                <w:tab w:val="left" w:pos="4082"/>
              </w:tabs>
              <w:rPr>
                <w:rFonts w:eastAsia="DengXian"/>
                <w:sz w:val="24"/>
                <w:szCs w:val="24"/>
                <w:lang w:val="en-GB"/>
              </w:rPr>
            </w:pPr>
            <w:r w:rsidRPr="005B3C63">
              <w:rPr>
                <w:rFonts w:eastAsia="DengXian"/>
                <w:b/>
                <w:sz w:val="24"/>
                <w:szCs w:val="24"/>
                <w:lang w:val="en-GB"/>
              </w:rPr>
              <w:t>IPBES</w:t>
            </w:r>
            <w:r w:rsidRPr="005B3C63">
              <w:rPr>
                <w:rFonts w:eastAsia="DengXian"/>
                <w:lang w:val="en-GB"/>
              </w:rPr>
              <w:t>/8/</w:t>
            </w:r>
            <w:r w:rsidR="00BF08C1" w:rsidRPr="005B3C63">
              <w:rPr>
                <w:rFonts w:eastAsia="DengXian"/>
                <w:lang w:val="en-GB"/>
              </w:rPr>
              <w:t>INF/6</w:t>
            </w:r>
          </w:p>
        </w:tc>
      </w:tr>
      <w:tr w:rsidR="00A54604" w:rsidRPr="005B3C63" w14:paraId="3CB359E4" w14:textId="77777777" w:rsidTr="00A54604">
        <w:trPr>
          <w:cantSplit/>
          <w:trHeight w:val="57"/>
          <w:jc w:val="right"/>
        </w:trPr>
        <w:tc>
          <w:tcPr>
            <w:tcW w:w="2009" w:type="dxa"/>
            <w:gridSpan w:val="2"/>
            <w:tcBorders>
              <w:top w:val="single" w:sz="2" w:space="0" w:color="auto"/>
              <w:bottom w:val="single" w:sz="24" w:space="0" w:color="auto"/>
            </w:tcBorders>
          </w:tcPr>
          <w:p w14:paraId="068782C3" w14:textId="13878BF0" w:rsidR="00A54604" w:rsidRPr="005B3C63" w:rsidRDefault="00A54604" w:rsidP="00A54604">
            <w:pPr>
              <w:tabs>
                <w:tab w:val="left" w:pos="4082"/>
              </w:tabs>
              <w:spacing w:before="160" w:after="240"/>
              <w:rPr>
                <w:rFonts w:eastAsia="DengXian"/>
                <w:sz w:val="28"/>
                <w:szCs w:val="28"/>
                <w:lang w:val="en-GB"/>
              </w:rPr>
            </w:pPr>
            <w:r w:rsidRPr="005B3C63">
              <w:rPr>
                <w:rFonts w:eastAsia="DengXian"/>
                <w:noProof/>
                <w:sz w:val="28"/>
                <w:szCs w:val="28"/>
                <w:lang w:val="en-GB" w:eastAsia="en-GB"/>
              </w:rPr>
              <w:drawing>
                <wp:inline distT="0" distB="0" distL="0" distR="0" wp14:anchorId="54F218BA" wp14:editId="0C0E16A6">
                  <wp:extent cx="1115060" cy="51943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5060" cy="519430"/>
                          </a:xfrm>
                          <a:prstGeom prst="rect">
                            <a:avLst/>
                          </a:prstGeom>
                          <a:noFill/>
                          <a:ln>
                            <a:noFill/>
                          </a:ln>
                        </pic:spPr>
                      </pic:pic>
                    </a:graphicData>
                  </a:graphic>
                </wp:inline>
              </w:drawing>
            </w:r>
          </w:p>
        </w:tc>
        <w:tc>
          <w:tcPr>
            <w:tcW w:w="5472" w:type="dxa"/>
            <w:tcBorders>
              <w:top w:val="single" w:sz="2" w:space="0" w:color="auto"/>
              <w:bottom w:val="single" w:sz="24" w:space="0" w:color="auto"/>
            </w:tcBorders>
          </w:tcPr>
          <w:p w14:paraId="17B02EB6" w14:textId="77777777" w:rsidR="00A54604" w:rsidRPr="005B3C63" w:rsidRDefault="00A54604" w:rsidP="00A54604">
            <w:pPr>
              <w:tabs>
                <w:tab w:val="left" w:pos="4082"/>
              </w:tabs>
              <w:spacing w:before="120" w:after="360"/>
              <w:rPr>
                <w:rFonts w:ascii="Arial" w:eastAsia="DengXian" w:hAnsi="Arial" w:cs="Arial"/>
                <w:b/>
                <w:lang w:val="en-GB"/>
              </w:rPr>
            </w:pPr>
            <w:r w:rsidRPr="005B3C63">
              <w:rPr>
                <w:rFonts w:ascii="Arial" w:eastAsia="DengXian" w:hAnsi="Arial" w:cs="Arial"/>
                <w:b/>
                <w:sz w:val="28"/>
                <w:szCs w:val="28"/>
                <w:lang w:val="en-GB"/>
              </w:rPr>
              <w:t>Intergovernmental Science-Policy Platform on Biodiversity and Ecosystem Services</w:t>
            </w:r>
          </w:p>
        </w:tc>
        <w:tc>
          <w:tcPr>
            <w:tcW w:w="2236" w:type="dxa"/>
            <w:gridSpan w:val="2"/>
            <w:tcBorders>
              <w:top w:val="single" w:sz="2" w:space="0" w:color="auto"/>
              <w:bottom w:val="single" w:sz="24" w:space="0" w:color="auto"/>
            </w:tcBorders>
          </w:tcPr>
          <w:p w14:paraId="5CFCB49D" w14:textId="4B3D04FB" w:rsidR="00A54604" w:rsidRPr="005B3C63" w:rsidRDefault="00A54604" w:rsidP="00A54604">
            <w:pPr>
              <w:pStyle w:val="Normal-pool"/>
              <w:spacing w:before="120"/>
              <w:rPr>
                <w:rFonts w:eastAsia="DengXian"/>
              </w:rPr>
            </w:pPr>
            <w:r w:rsidRPr="005B3C63">
              <w:rPr>
                <w:rFonts w:eastAsia="DengXian"/>
              </w:rPr>
              <w:t xml:space="preserve">Distr.: General </w:t>
            </w:r>
            <w:r w:rsidRPr="005B3C63">
              <w:rPr>
                <w:rFonts w:eastAsia="DengXian"/>
              </w:rPr>
              <w:br/>
            </w:r>
            <w:r w:rsidR="00BF08C1" w:rsidRPr="005B3C63">
              <w:rPr>
                <w:rFonts w:eastAsia="DengXian"/>
              </w:rPr>
              <w:t>10 May</w:t>
            </w:r>
            <w:r w:rsidRPr="005B3C63">
              <w:rPr>
                <w:rFonts w:eastAsia="DengXian"/>
              </w:rPr>
              <w:t xml:space="preserve"> 2021</w:t>
            </w:r>
          </w:p>
          <w:p w14:paraId="65A9C339" w14:textId="0655DB48" w:rsidR="00A54604" w:rsidRPr="005B3C63" w:rsidRDefault="00A54604" w:rsidP="00A54604">
            <w:pPr>
              <w:pStyle w:val="Normal-pool"/>
              <w:spacing w:before="120"/>
              <w:rPr>
                <w:rFonts w:eastAsia="DengXian"/>
              </w:rPr>
            </w:pPr>
            <w:r w:rsidRPr="005B3C63">
              <w:rPr>
                <w:rFonts w:eastAsia="DengXian"/>
              </w:rPr>
              <w:t>English</w:t>
            </w:r>
            <w:r w:rsidR="00BF08C1" w:rsidRPr="005B3C63">
              <w:rPr>
                <w:rFonts w:eastAsia="DengXian"/>
              </w:rPr>
              <w:t xml:space="preserve"> only</w:t>
            </w:r>
          </w:p>
        </w:tc>
      </w:tr>
    </w:tbl>
    <w:p w14:paraId="478C6727" w14:textId="77777777" w:rsidR="00A54604" w:rsidRPr="005B3C63" w:rsidRDefault="00A54604" w:rsidP="00A54604">
      <w:pPr>
        <w:keepNext/>
        <w:keepLines/>
        <w:tabs>
          <w:tab w:val="left" w:pos="4082"/>
        </w:tabs>
        <w:suppressAutoHyphens/>
        <w:ind w:right="5103"/>
        <w:rPr>
          <w:rFonts w:eastAsia="DengXian"/>
          <w:b/>
          <w:lang w:val="en-GB"/>
        </w:rPr>
      </w:pPr>
      <w:r w:rsidRPr="005B3C63">
        <w:rPr>
          <w:rFonts w:eastAsia="DengXian"/>
          <w:b/>
          <w:lang w:val="en-GB"/>
        </w:rPr>
        <w:t xml:space="preserve">Plenary of the Intergovernmental Science-Policy </w:t>
      </w:r>
      <w:r w:rsidRPr="005B3C63">
        <w:rPr>
          <w:rFonts w:eastAsia="DengXian"/>
          <w:b/>
          <w:lang w:val="en-GB"/>
        </w:rPr>
        <w:br/>
        <w:t>Platform on Biodiversity and Ecosystem Services</w:t>
      </w:r>
    </w:p>
    <w:p w14:paraId="705E2F83" w14:textId="77777777" w:rsidR="00A54604" w:rsidRPr="005B3C63" w:rsidRDefault="00A54604" w:rsidP="00A54604">
      <w:pPr>
        <w:keepNext/>
        <w:keepLines/>
        <w:tabs>
          <w:tab w:val="left" w:pos="4082"/>
        </w:tabs>
        <w:suppressAutoHyphens/>
        <w:ind w:right="5103"/>
        <w:rPr>
          <w:rFonts w:eastAsia="DengXian"/>
          <w:b/>
          <w:lang w:val="en-GB"/>
        </w:rPr>
      </w:pPr>
      <w:r w:rsidRPr="005B3C63">
        <w:rPr>
          <w:rFonts w:eastAsia="DengXian"/>
          <w:b/>
          <w:lang w:val="en-GB"/>
        </w:rPr>
        <w:t>Eighth session</w:t>
      </w:r>
    </w:p>
    <w:p w14:paraId="6851A774" w14:textId="77777777" w:rsidR="00A54604" w:rsidRPr="005B3C63" w:rsidRDefault="00A54604" w:rsidP="00A54604">
      <w:pPr>
        <w:keepNext/>
        <w:keepLines/>
        <w:tabs>
          <w:tab w:val="left" w:pos="4082"/>
        </w:tabs>
        <w:suppressAutoHyphens/>
        <w:ind w:right="5103"/>
        <w:rPr>
          <w:rFonts w:eastAsia="DengXian"/>
          <w:lang w:val="en-GB"/>
        </w:rPr>
      </w:pPr>
      <w:r w:rsidRPr="005B3C63">
        <w:rPr>
          <w:rFonts w:eastAsia="DengXian"/>
          <w:lang w:val="en-GB" w:eastAsia="ja-JP"/>
        </w:rPr>
        <w:t>Online, 14–24 June 2021</w:t>
      </w:r>
    </w:p>
    <w:p w14:paraId="1F91F884" w14:textId="5EBC987A" w:rsidR="00A54604" w:rsidRPr="005B3C63" w:rsidRDefault="00A54604" w:rsidP="00A54604">
      <w:pPr>
        <w:keepNext/>
        <w:keepLines/>
        <w:tabs>
          <w:tab w:val="left" w:pos="4082"/>
        </w:tabs>
        <w:suppressAutoHyphens/>
        <w:ind w:right="5103"/>
        <w:rPr>
          <w:rFonts w:eastAsia="DengXian"/>
          <w:szCs w:val="18"/>
          <w:lang w:val="en-GB"/>
        </w:rPr>
      </w:pPr>
      <w:r w:rsidRPr="005B3C63">
        <w:rPr>
          <w:rFonts w:eastAsia="DengXian"/>
          <w:lang w:val="en-GB"/>
        </w:rPr>
        <w:t>Item</w:t>
      </w:r>
      <w:r w:rsidR="00034B68" w:rsidRPr="005B3C63">
        <w:rPr>
          <w:rFonts w:eastAsia="DengXian"/>
          <w:lang w:val="en-GB"/>
        </w:rPr>
        <w:t xml:space="preserve"> </w:t>
      </w:r>
      <w:r w:rsidR="00BF08C1" w:rsidRPr="005B3C63">
        <w:rPr>
          <w:rFonts w:eastAsia="DengXian"/>
          <w:lang w:val="en-GB"/>
        </w:rPr>
        <w:t>7 (b)</w:t>
      </w:r>
      <w:r w:rsidRPr="005B3C63">
        <w:rPr>
          <w:rFonts w:eastAsia="DengXian"/>
          <w:lang w:val="en-GB"/>
        </w:rPr>
        <w:t xml:space="preserve"> of the provisional agenda</w:t>
      </w:r>
      <w:r w:rsidRPr="005B3C63">
        <w:rPr>
          <w:rFonts w:eastAsia="DengXian"/>
          <w:szCs w:val="18"/>
          <w:lang w:val="en-GB"/>
        </w:rPr>
        <w:footnoteReference w:customMarkFollows="1" w:id="1"/>
        <w:t>*</w:t>
      </w:r>
    </w:p>
    <w:p w14:paraId="3DED4D4D" w14:textId="1E61E7A4" w:rsidR="00BF08C1" w:rsidRPr="005B3C63" w:rsidRDefault="00BF08C1" w:rsidP="00F01DB5">
      <w:pPr>
        <w:pStyle w:val="AATitle2"/>
      </w:pPr>
      <w:r w:rsidRPr="005B3C63">
        <w:t xml:space="preserve">Scoping report for a thematic assessment of the underlying causes of biodiversity loss and the determinants of transformative change and options </w:t>
      </w:r>
      <w:r w:rsidRPr="005B3C63">
        <w:br/>
        <w:t>for achieving the 2050 Vision for Biodiversity</w:t>
      </w:r>
    </w:p>
    <w:p w14:paraId="53BB69C6" w14:textId="77777777" w:rsidR="00BF08C1" w:rsidRPr="005B3C63" w:rsidRDefault="00BF08C1" w:rsidP="00BF08C1">
      <w:pPr>
        <w:pStyle w:val="BBTitle"/>
      </w:pPr>
      <w:r w:rsidRPr="005B3C63">
        <w:t>Overview of the process followed for the preparation of the scoping report on assessing the underlying causes of biodiversity loss and the determinants of transformative change (thematic assessment) to achieve the 2050 Vision for Biodiversity</w:t>
      </w:r>
    </w:p>
    <w:p w14:paraId="57D5B2DC" w14:textId="4EB7A6C5" w:rsidR="00BF08C1" w:rsidRPr="005B3C63" w:rsidRDefault="00BF08C1" w:rsidP="00BF08C1">
      <w:pPr>
        <w:pStyle w:val="CH1"/>
      </w:pPr>
      <w:r w:rsidRPr="005B3C63">
        <w:tab/>
      </w:r>
      <w:r w:rsidRPr="005B3C63">
        <w:tab/>
      </w:r>
      <w:r w:rsidR="009C3C35" w:rsidRPr="005B3C63">
        <w:t>Note by the secretariat</w:t>
      </w:r>
    </w:p>
    <w:p w14:paraId="3C3B8B46" w14:textId="2ECC9025" w:rsidR="00BF08C1" w:rsidRPr="005B3C63" w:rsidRDefault="00BF08C1" w:rsidP="00BF08C1">
      <w:pPr>
        <w:pStyle w:val="Normalnumber"/>
      </w:pPr>
      <w:r w:rsidRPr="005B3C63">
        <w:t xml:space="preserve">In paragraph 2 (b) of section II of decision IPBES-7/1, the Plenary approved the scoping process for a thematic assessment of the underlying causes of biodiversity loss and the determinants of transformative change and options for achieving the 2050 Vision for Biodiversity, in accordance with the procedures for the preparation of Platform deliverables set out in annex I to decision IPBES-3/3 and based on the initial scoping report for the assessment, set out in section III of appendix II to document IPBES/7/6. </w:t>
      </w:r>
    </w:p>
    <w:p w14:paraId="535ABEBE" w14:textId="7685A3E3" w:rsidR="00BF08C1" w:rsidRPr="005B3C63" w:rsidRDefault="00BF08C1" w:rsidP="00BF08C1">
      <w:pPr>
        <w:pStyle w:val="Normalnumber"/>
      </w:pPr>
      <w:r w:rsidRPr="005B3C63">
        <w:t xml:space="preserve">In paragraph 3 of section II of </w:t>
      </w:r>
      <w:r w:rsidR="00A60F0F" w:rsidRPr="005B3C63">
        <w:t>decision IPBES-7/1</w:t>
      </w:r>
      <w:r w:rsidRPr="005B3C63">
        <w:t>, the Plenary requested the Multidisciplinary Expert Panel, the Bureau and the Executive Secretary to facilitate discussions between the scoping processes for the transformative change and nexus assessments, with a view to maximizing the synergies between the assessments and avoiding duplication of scope. In paragraph 5 of section II, the Plenary decided, as part of the scoping process, to consider how the Platform’s functions of capacity</w:t>
      </w:r>
      <w:r w:rsidRPr="005B3C63">
        <w:noBreakHyphen/>
        <w:t>building, strengthening knowledge foundations and supporting policy, and the respective task forces, could be used to support the preparation, delivery and policy uptake of the assessments in an integrated manner.</w:t>
      </w:r>
    </w:p>
    <w:p w14:paraId="5B544F58" w14:textId="77777777" w:rsidR="00BF08C1" w:rsidRPr="005B3C63" w:rsidRDefault="00BF08C1" w:rsidP="00BF08C1">
      <w:pPr>
        <w:pStyle w:val="Normalnumber"/>
      </w:pPr>
      <w:r w:rsidRPr="005B3C63">
        <w:t>The scoping report, presented to the Plenary for approval, is set out in document IPBES/8/4. The annex to the present note, which is presented without formal editing, sets out an overview of the process followed for the scoping of the transformative change assessment.</w:t>
      </w:r>
    </w:p>
    <w:p w14:paraId="5EB57338" w14:textId="77777777" w:rsidR="00BF08C1" w:rsidRPr="005B3C63" w:rsidRDefault="00BF08C1" w:rsidP="00BF08C1">
      <w:pPr>
        <w:pStyle w:val="Normal-pool"/>
      </w:pPr>
    </w:p>
    <w:p w14:paraId="5084C761" w14:textId="77777777" w:rsidR="00BF08C1" w:rsidRPr="005B3C63" w:rsidRDefault="00BF08C1" w:rsidP="00BF08C1">
      <w:pPr>
        <w:pStyle w:val="Normal-pool"/>
        <w:sectPr w:rsidR="00BF08C1" w:rsidRPr="005B3C63" w:rsidSect="004E6CC8">
          <w:headerReference w:type="even" r:id="rId13"/>
          <w:headerReference w:type="default" r:id="rId14"/>
          <w:footerReference w:type="even" r:id="rId15"/>
          <w:footerReference w:type="default" r:id="rId16"/>
          <w:headerReference w:type="first" r:id="rId17"/>
          <w:footerReference w:type="first" r:id="rId18"/>
          <w:pgSz w:w="11906" w:h="16838" w:code="9"/>
          <w:pgMar w:top="907" w:right="992" w:bottom="1418" w:left="1418" w:header="539" w:footer="975" w:gutter="0"/>
          <w:cols w:space="539"/>
          <w:titlePg/>
          <w:docGrid w:linePitch="360"/>
        </w:sectPr>
      </w:pPr>
    </w:p>
    <w:p w14:paraId="4C74D862" w14:textId="10E1A983" w:rsidR="00BF08C1" w:rsidRPr="005B3C63" w:rsidRDefault="00BF08C1" w:rsidP="00BF08C1">
      <w:pPr>
        <w:pStyle w:val="ZZAnxheader"/>
      </w:pPr>
      <w:r w:rsidRPr="005B3C63">
        <w:lastRenderedPageBreak/>
        <w:t>Annex</w:t>
      </w:r>
    </w:p>
    <w:p w14:paraId="399DF348" w14:textId="77777777" w:rsidR="00BF08C1" w:rsidRPr="005B3C63" w:rsidRDefault="00BF08C1" w:rsidP="00F01DB5">
      <w:pPr>
        <w:pStyle w:val="ZZAnxtitle"/>
      </w:pPr>
      <w:r w:rsidRPr="005B3C63">
        <w:t xml:space="preserve">Overview of the process followed for the preparation of the scoping report for the thematic assessment of the underlying causes of biodiversity loss and the determinants of transformative change and options for achieving the 2050 Vision for Biodiversity </w:t>
      </w:r>
    </w:p>
    <w:p w14:paraId="7B8AD629" w14:textId="77777777" w:rsidR="00BF08C1" w:rsidRPr="005B3C63" w:rsidRDefault="00BF08C1" w:rsidP="00BF08C1">
      <w:pPr>
        <w:pStyle w:val="CH1"/>
      </w:pPr>
      <w:r w:rsidRPr="005B3C63">
        <w:tab/>
        <w:t>I.</w:t>
      </w:r>
      <w:r w:rsidRPr="005B3C63">
        <w:tab/>
        <w:t>Context</w:t>
      </w:r>
    </w:p>
    <w:p w14:paraId="1846EE44" w14:textId="77777777" w:rsidR="00BF08C1" w:rsidRPr="005B3C63" w:rsidRDefault="00BF08C1" w:rsidP="00EC4978">
      <w:pPr>
        <w:pStyle w:val="Normalnumber"/>
        <w:numPr>
          <w:ilvl w:val="0"/>
          <w:numId w:val="7"/>
        </w:numPr>
        <w:tabs>
          <w:tab w:val="clear" w:pos="1134"/>
        </w:tabs>
        <w:rPr>
          <w:i/>
          <w:iCs/>
        </w:rPr>
      </w:pPr>
      <w:r w:rsidRPr="005B3C63">
        <w:t xml:space="preserve">In its decision IPBES-7/1, the Plenary adopted the rolling work programme of IPBES up to 2030. The work programme includes three initial priority topics, including topic 2, </w:t>
      </w:r>
      <w:r w:rsidRPr="005B3C63">
        <w:rPr>
          <w:i/>
          <w:iCs/>
        </w:rPr>
        <w:t>Understanding the underlying causes of biodiversity loss and determinants of transformative change</w:t>
      </w:r>
      <w:r w:rsidRPr="005B3C63">
        <w:rPr>
          <w:rFonts w:eastAsia="SimSun"/>
          <w:i/>
          <w:vertAlign w:val="superscript"/>
          <w:lang w:eastAsia="zh-CN"/>
        </w:rPr>
        <w:footnoteReference w:id="2"/>
      </w:r>
      <w:r w:rsidRPr="005B3C63">
        <w:rPr>
          <w:i/>
          <w:iCs/>
        </w:rPr>
        <w:t xml:space="preserve"> and options for achieving the 2050 Vision for Biodiversity: Achieving the 2050 Vision in conjunction with the Sustainable Development Goals can be informed by an improved understanding of fundamental changes at many levels, from individuals through communities and businesses to society at large. The deliverables related to this topic are aimed at understanding and identifying factors in human society at both the individual and collective levels, including behavioural, social, cultural, economic, institutional, technical and technological dimensions, that may be leveraged to bring about transformative change for the conservation, restoration and wise use of biodiversity, while taking into account broader social and economic goals in the context of sustainable development.</w:t>
      </w:r>
    </w:p>
    <w:p w14:paraId="742F547B" w14:textId="77777777" w:rsidR="00BF08C1" w:rsidRPr="005B3C63" w:rsidRDefault="00BF08C1" w:rsidP="00EC4978">
      <w:pPr>
        <w:pStyle w:val="Normalnumber"/>
        <w:numPr>
          <w:ilvl w:val="0"/>
          <w:numId w:val="7"/>
        </w:numPr>
        <w:tabs>
          <w:tab w:val="clear" w:pos="1134"/>
        </w:tabs>
      </w:pPr>
      <w:r w:rsidRPr="005B3C63">
        <w:t xml:space="preserve">Objective 1 of the rolling work programme, assessing knowledge, aims to assess the state of knowledge on biodiversity and nature’s contributions to people in support of sustainable development. Deliverable 1 (c) under this objective, corresponding to the second priority topic set out in the previous paragraph, is </w:t>
      </w:r>
      <w:r w:rsidRPr="005B3C63">
        <w:rPr>
          <w:rFonts w:eastAsia="SimSun"/>
          <w:i/>
          <w:lang w:eastAsia="zh-CN"/>
        </w:rPr>
        <w:t>a thematic assessment of the underlying causes of biodiversity loss and the determinants of transformative change and options for achieving the 2050 Vision for Biodiversity</w:t>
      </w:r>
      <w:r w:rsidRPr="005B3C63">
        <w:rPr>
          <w:rFonts w:eastAsia="SimSun"/>
          <w:lang w:eastAsia="zh-CN"/>
        </w:rPr>
        <w:t xml:space="preserve">. </w:t>
      </w:r>
      <w:r w:rsidRPr="005B3C63">
        <w:rPr>
          <w:rFonts w:eastAsia="MS Mincho"/>
          <w:snapToGrid w:val="0"/>
        </w:rPr>
        <w:t>This assessment</w:t>
      </w:r>
      <w:r w:rsidRPr="005B3C63">
        <w:rPr>
          <w:rFonts w:eastAsia="Calibri"/>
          <w:bCs/>
        </w:rPr>
        <w:t xml:space="preserve"> is aimed at understanding and identifying factors in human society at both the individual and collective levels, including behavioural, social, cultural, economic, institutional, technical and technological dimensions, that can be leveraged to bring about transformative change for the conservation, restoration and wise use of biodiversity, while </w:t>
      </w:r>
      <w:r w:rsidRPr="005B3C63">
        <w:rPr>
          <w:rFonts w:eastAsia="Calibri"/>
        </w:rPr>
        <w:t>taking into account broader social and economic goals</w:t>
      </w:r>
      <w:r w:rsidRPr="005B3C63">
        <w:rPr>
          <w:rFonts w:eastAsia="Calibri"/>
          <w:bCs/>
        </w:rPr>
        <w:t xml:space="preserve"> in the context of sustainable development. </w:t>
      </w:r>
      <w:r w:rsidRPr="005B3C63">
        <w:rPr>
          <w:rFonts w:eastAsia="MS Mincho"/>
          <w:snapToGrid w:val="0"/>
        </w:rPr>
        <w:t xml:space="preserve">It explores </w:t>
      </w:r>
      <w:r w:rsidRPr="005B3C63">
        <w:rPr>
          <w:rFonts w:eastAsia="Calibri"/>
          <w:bCs/>
        </w:rPr>
        <w:t>the drivers of and motives behind broad societal changes and transitions</w:t>
      </w:r>
      <w:r w:rsidRPr="005B3C63">
        <w:rPr>
          <w:rFonts w:eastAsia="MS Mincho"/>
          <w:snapToGrid w:val="0"/>
        </w:rPr>
        <w:t xml:space="preserve"> to inform </w:t>
      </w:r>
      <w:r w:rsidRPr="005B3C63">
        <w:rPr>
          <w:rFonts w:eastAsia="Calibri"/>
          <w:bCs/>
        </w:rPr>
        <w:t>the design of relevant policies, communication and engagement campaigns and other actions</w:t>
      </w:r>
      <w:r w:rsidRPr="005B3C63">
        <w:rPr>
          <w:rFonts w:eastAsia="SimSun"/>
          <w:lang w:eastAsia="zh-CN"/>
        </w:rPr>
        <w:t>.</w:t>
      </w:r>
    </w:p>
    <w:p w14:paraId="56C8F236" w14:textId="77777777" w:rsidR="00BF08C1" w:rsidRPr="005B3C63" w:rsidRDefault="00BF08C1" w:rsidP="00BF08C1">
      <w:pPr>
        <w:pStyle w:val="CH1"/>
      </w:pPr>
      <w:r w:rsidRPr="005B3C63">
        <w:tab/>
        <w:t>II.</w:t>
      </w:r>
      <w:r w:rsidRPr="005B3C63">
        <w:tab/>
        <w:t>Online conference to seek early input into the scoping process</w:t>
      </w:r>
    </w:p>
    <w:p w14:paraId="7600E173" w14:textId="77777777" w:rsidR="00BF08C1" w:rsidRPr="005B3C63" w:rsidRDefault="00BF08C1" w:rsidP="00EC4978">
      <w:pPr>
        <w:pStyle w:val="Normalnumber"/>
        <w:numPr>
          <w:ilvl w:val="0"/>
          <w:numId w:val="7"/>
        </w:numPr>
        <w:tabs>
          <w:tab w:val="clear" w:pos="1134"/>
        </w:tabs>
      </w:pPr>
      <w:r w:rsidRPr="005B3C63">
        <w:t xml:space="preserve">In order to provide Governments and other stakeholders with an opportunity to provide early input to the scoping process to increase the policy-relevance of the assessment, an online conference was held from 9 to 11 October 2019 (see notification </w:t>
      </w:r>
      <w:hyperlink r:id="rId19" w:history="1">
        <w:r w:rsidRPr="005B3C63">
          <w:rPr>
            <w:rStyle w:val="Hyperlink"/>
            <w:u w:val="single"/>
            <w:lang w:val="en-GB"/>
          </w:rPr>
          <w:t>EM/2019/17</w:t>
        </w:r>
      </w:hyperlink>
      <w:r w:rsidRPr="005B3C63">
        <w:t xml:space="preserve">). The online conference was open to all interested stakeholders. </w:t>
      </w:r>
    </w:p>
    <w:p w14:paraId="1AD5DED5" w14:textId="77777777" w:rsidR="00BF08C1" w:rsidRPr="005B3C63" w:rsidRDefault="00BF08C1" w:rsidP="00EC4978">
      <w:pPr>
        <w:pStyle w:val="Normalnumber"/>
        <w:numPr>
          <w:ilvl w:val="0"/>
          <w:numId w:val="7"/>
        </w:numPr>
        <w:tabs>
          <w:tab w:val="clear" w:pos="1134"/>
        </w:tabs>
      </w:pPr>
      <w:r w:rsidRPr="005B3C63">
        <w:t xml:space="preserve">The online conference was held over three days. Each day started with a presentation by an expert on a sub-theme relevant to the assessment, followed by a live session where participants were able to ask questions and present elements which they considered relevant to the assessment. Following each live session, participants had the opportunity to provide further written inputs through an online forum. </w:t>
      </w:r>
    </w:p>
    <w:p w14:paraId="19D25425" w14:textId="77777777" w:rsidR="00BF08C1" w:rsidRPr="005B3C63" w:rsidRDefault="00BF08C1" w:rsidP="00EC4978">
      <w:pPr>
        <w:pStyle w:val="Normalnumber"/>
        <w:numPr>
          <w:ilvl w:val="0"/>
          <w:numId w:val="7"/>
        </w:numPr>
        <w:tabs>
          <w:tab w:val="clear" w:pos="1134"/>
        </w:tabs>
      </w:pPr>
      <w:r w:rsidRPr="005B3C63">
        <w:t>A total of 206 individuals attended the online conference. Among the individuals, 13% were from Africa, 11% were from Asia-Pacific, 7% were from Eastern Europe, 12% were from Latin America and the Caribbean and 57% were from Western Europe and Other Groups region.</w:t>
      </w:r>
    </w:p>
    <w:p w14:paraId="34F2BCD9" w14:textId="77777777" w:rsidR="00BF08C1" w:rsidRPr="005B3C63" w:rsidRDefault="00BF08C1" w:rsidP="00EC4978">
      <w:pPr>
        <w:pStyle w:val="Normalnumber"/>
        <w:numPr>
          <w:ilvl w:val="0"/>
          <w:numId w:val="7"/>
        </w:numPr>
        <w:tabs>
          <w:tab w:val="clear" w:pos="1134"/>
        </w:tabs>
      </w:pPr>
      <w:r w:rsidRPr="005B3C63">
        <w:t>The input collected through the online conference was summarized in brief reports that were made available to the experts assisting with the scoping during the online scoping meeting.</w:t>
      </w:r>
    </w:p>
    <w:p w14:paraId="5F43AD84" w14:textId="77777777" w:rsidR="00BF08C1" w:rsidRPr="005B3C63" w:rsidRDefault="00BF08C1" w:rsidP="00BF08C1">
      <w:pPr>
        <w:keepNext/>
        <w:tabs>
          <w:tab w:val="right" w:pos="851"/>
        </w:tabs>
        <w:spacing w:before="120" w:after="120"/>
        <w:ind w:left="1253" w:right="284" w:hanging="1247"/>
        <w:rPr>
          <w:b/>
          <w:sz w:val="28"/>
          <w:szCs w:val="28"/>
          <w:lang w:val="en-GB"/>
        </w:rPr>
      </w:pPr>
      <w:r w:rsidRPr="005B3C63">
        <w:rPr>
          <w:b/>
          <w:sz w:val="28"/>
          <w:szCs w:val="28"/>
          <w:lang w:val="en-GB"/>
        </w:rPr>
        <w:lastRenderedPageBreak/>
        <w:tab/>
        <w:t>II.</w:t>
      </w:r>
      <w:r w:rsidRPr="005B3C63">
        <w:rPr>
          <w:b/>
          <w:sz w:val="28"/>
          <w:szCs w:val="28"/>
          <w:lang w:val="en-GB"/>
        </w:rPr>
        <w:tab/>
        <w:t>The scoping team</w:t>
      </w:r>
    </w:p>
    <w:p w14:paraId="4264953E" w14:textId="77777777" w:rsidR="00BF08C1" w:rsidRPr="005B3C63" w:rsidRDefault="00BF08C1" w:rsidP="00BF08C1">
      <w:pPr>
        <w:pStyle w:val="CH2"/>
        <w:keepLines w:val="0"/>
        <w:suppressAutoHyphens w:val="0"/>
        <w:ind w:left="1253"/>
      </w:pPr>
      <w:r w:rsidRPr="005B3C63">
        <w:tab/>
        <w:t>A.</w:t>
      </w:r>
      <w:r w:rsidRPr="005B3C63">
        <w:tab/>
        <w:t>Dedicated Multidisciplinary Expert Panel and Bureau members</w:t>
      </w:r>
    </w:p>
    <w:p w14:paraId="27BE41C5" w14:textId="77777777" w:rsidR="00BF08C1" w:rsidRPr="005B3C63" w:rsidRDefault="00BF08C1" w:rsidP="00EC4978">
      <w:pPr>
        <w:pStyle w:val="Normalnumber"/>
        <w:numPr>
          <w:ilvl w:val="0"/>
          <w:numId w:val="7"/>
        </w:numPr>
        <w:tabs>
          <w:tab w:val="clear" w:pos="1134"/>
        </w:tabs>
        <w:rPr>
          <w:bCs/>
        </w:rPr>
      </w:pPr>
      <w:r w:rsidRPr="005B3C63">
        <w:t xml:space="preserve">In line with the procedures for the preparation of IPBES deliverables (decision IPBES-3/3, annex I, section 3.4), the Multidisciplinary Expert Panel oversaw the scoping process, with the Bureau responsible for the procedural and administrative elements of the scoping process. The following members of the Multidisciplinary Expert Panel and Bureau constituted the management committee for the scoping process and oversaw the preparation of the scoping report on behalf of the Panel and the Bureau: </w:t>
      </w:r>
    </w:p>
    <w:p w14:paraId="48EDD8AA" w14:textId="77777777" w:rsidR="00BF08C1" w:rsidRPr="005B3C63" w:rsidRDefault="00BF08C1" w:rsidP="00EC4978">
      <w:pPr>
        <w:pStyle w:val="Normalnumber"/>
        <w:numPr>
          <w:ilvl w:val="1"/>
          <w:numId w:val="5"/>
        </w:numPr>
        <w:tabs>
          <w:tab w:val="clear" w:pos="567"/>
          <w:tab w:val="num" w:pos="624"/>
        </w:tabs>
        <w:ind w:firstLine="624"/>
      </w:pPr>
      <w:r w:rsidRPr="005B3C63">
        <w:rPr>
          <w:b/>
        </w:rPr>
        <w:t xml:space="preserve">Multidisciplinary Expert Panel: </w:t>
      </w:r>
      <w:r w:rsidRPr="005B3C63">
        <w:t>Madhav Karki, Markus Fischer, Özden Görücü, Sandra Lavorel, Mariteuw Chimere Diaw (alternate);</w:t>
      </w:r>
    </w:p>
    <w:p w14:paraId="679DD124" w14:textId="77777777" w:rsidR="00BF08C1" w:rsidRPr="005B3C63" w:rsidRDefault="00BF08C1" w:rsidP="00EC4978">
      <w:pPr>
        <w:pStyle w:val="Normalnumber"/>
        <w:numPr>
          <w:ilvl w:val="1"/>
          <w:numId w:val="5"/>
        </w:numPr>
        <w:tabs>
          <w:tab w:val="clear" w:pos="567"/>
          <w:tab w:val="num" w:pos="624"/>
        </w:tabs>
        <w:ind w:firstLine="624"/>
      </w:pPr>
      <w:r w:rsidRPr="005B3C63">
        <w:rPr>
          <w:b/>
        </w:rPr>
        <w:t>Bureau</w:t>
      </w:r>
      <w:r w:rsidRPr="005B3C63">
        <w:t>: Floyd Homer, Asia Mohamed.</w:t>
      </w:r>
    </w:p>
    <w:p w14:paraId="2C6D34AF" w14:textId="77777777" w:rsidR="00BF08C1" w:rsidRPr="005B3C63" w:rsidRDefault="00BF08C1" w:rsidP="00EC4978">
      <w:pPr>
        <w:pStyle w:val="Normalnumber"/>
        <w:numPr>
          <w:ilvl w:val="0"/>
          <w:numId w:val="7"/>
        </w:numPr>
        <w:tabs>
          <w:tab w:val="clear" w:pos="1134"/>
        </w:tabs>
      </w:pPr>
      <w:r w:rsidRPr="005B3C63">
        <w:t xml:space="preserve">Management committee meetings were held remotely at regular intervals. </w:t>
      </w:r>
    </w:p>
    <w:p w14:paraId="748AF8E9" w14:textId="77777777" w:rsidR="00BF08C1" w:rsidRPr="005B3C63" w:rsidRDefault="00BF08C1" w:rsidP="00BF08C1">
      <w:pPr>
        <w:pStyle w:val="CH2"/>
        <w:rPr>
          <w:highlight w:val="yellow"/>
        </w:rPr>
      </w:pPr>
      <w:r w:rsidRPr="005B3C63">
        <w:tab/>
        <w:t>B.</w:t>
      </w:r>
      <w:r w:rsidRPr="005B3C63">
        <w:tab/>
        <w:t>Experts assisting the Multidisciplinary Expert Panel with the scoping</w:t>
      </w:r>
    </w:p>
    <w:p w14:paraId="127BEC99" w14:textId="77777777" w:rsidR="00BF08C1" w:rsidRPr="005B3C63" w:rsidRDefault="00BF08C1" w:rsidP="00EC4978">
      <w:pPr>
        <w:pStyle w:val="Normalnumber"/>
        <w:numPr>
          <w:ilvl w:val="0"/>
          <w:numId w:val="7"/>
        </w:numPr>
        <w:tabs>
          <w:tab w:val="clear" w:pos="1134"/>
        </w:tabs>
        <w:rPr>
          <w:rFonts w:eastAsia="MS Mincho"/>
        </w:rPr>
      </w:pPr>
      <w:r w:rsidRPr="005B3C63">
        <w:rPr>
          <w:rFonts w:eastAsia="MS Mincho"/>
        </w:rPr>
        <w:t>Based on the criteria outlined in the call for the nomination of experts (</w:t>
      </w:r>
      <w:hyperlink r:id="rId20" w:history="1">
        <w:r w:rsidRPr="005B3C63">
          <w:t>EM/2019/14</w:t>
        </w:r>
      </w:hyperlink>
      <w:r w:rsidRPr="005B3C63">
        <w:t>)</w:t>
      </w:r>
      <w:r w:rsidRPr="005B3C63">
        <w:rPr>
          <w:rFonts w:eastAsia="MS Mincho"/>
        </w:rPr>
        <w:t>, the Multidisciplinary Expert Panel, in consultation with the Bureau, selected, at its 14</w:t>
      </w:r>
      <w:r w:rsidRPr="005B3C63">
        <w:rPr>
          <w:rFonts w:eastAsia="MS Mincho"/>
          <w:vertAlign w:val="superscript"/>
        </w:rPr>
        <w:t>th</w:t>
      </w:r>
      <w:r w:rsidRPr="005B3C63">
        <w:rPr>
          <w:rFonts w:eastAsia="MS Mincho"/>
        </w:rPr>
        <w:t xml:space="preserve"> meeting, a group of experts responsible for assisting with the scoping of the transformative change assessment. The Multidisciplinary Expert Panel also mandated the management committee of the scoping process to select, for endorsement by the full Multidisciplinary Expert Panel, experts to fill gaps in expertise </w:t>
      </w:r>
      <w:r w:rsidRPr="005B3C63">
        <w:t>in marine sciences, indigenous and local knowledge and the circumstances of small island states as well as practitioners with experience in policy-making or implementation</w:t>
      </w:r>
      <w:r w:rsidRPr="005B3C63">
        <w:rPr>
          <w:rFonts w:eastAsia="MS Mincho"/>
        </w:rPr>
        <w:t xml:space="preserve">. The final list of 38 selected experts is set out in the appendix. </w:t>
      </w:r>
    </w:p>
    <w:p w14:paraId="37305710" w14:textId="77777777" w:rsidR="00BF08C1" w:rsidRPr="005B3C63" w:rsidRDefault="00BF08C1" w:rsidP="00EC4978">
      <w:pPr>
        <w:pStyle w:val="Normalnumber"/>
        <w:numPr>
          <w:ilvl w:val="0"/>
          <w:numId w:val="7"/>
        </w:numPr>
        <w:tabs>
          <w:tab w:val="clear" w:pos="1134"/>
        </w:tabs>
        <w:rPr>
          <w:rFonts w:eastAsia="MS Mincho"/>
        </w:rPr>
      </w:pPr>
      <w:r w:rsidRPr="005B3C63">
        <w:rPr>
          <w:rFonts w:eastAsia="MS Mincho"/>
        </w:rPr>
        <w:t xml:space="preserve">Of </w:t>
      </w:r>
      <w:r w:rsidRPr="005B3C63">
        <w:t>the</w:t>
      </w:r>
      <w:r w:rsidRPr="005B3C63">
        <w:rPr>
          <w:rFonts w:eastAsia="MS Mincho"/>
        </w:rPr>
        <w:t xml:space="preserve"> selected experts, 18% came from African States, 18% from Asia-Pacific States, 5% from Eastern European States, 18% from Latin American and Caribbean States and 39% from Western European and other States. 45% of the experts were female; 55% male. 84% of the selected experts were nominated by Governments; 16% by organizations. </w:t>
      </w:r>
    </w:p>
    <w:p w14:paraId="5488E477" w14:textId="77777777" w:rsidR="00BF08C1" w:rsidRPr="005B3C63" w:rsidRDefault="00BF08C1" w:rsidP="00BF08C1">
      <w:pPr>
        <w:pStyle w:val="CH1"/>
      </w:pPr>
      <w:r w:rsidRPr="005B3C63">
        <w:tab/>
        <w:t>III.</w:t>
      </w:r>
      <w:r w:rsidRPr="005B3C63">
        <w:tab/>
        <w:t>Scoping process</w:t>
      </w:r>
    </w:p>
    <w:p w14:paraId="22B19966" w14:textId="77777777" w:rsidR="00BF08C1" w:rsidRPr="005B3C63" w:rsidRDefault="00BF08C1" w:rsidP="00BF08C1">
      <w:pPr>
        <w:pStyle w:val="CH2"/>
      </w:pPr>
      <w:r w:rsidRPr="005B3C63">
        <w:tab/>
        <w:t>A.</w:t>
      </w:r>
      <w:r w:rsidRPr="005B3C63">
        <w:tab/>
        <w:t>Online scoping meeting</w:t>
      </w:r>
    </w:p>
    <w:p w14:paraId="1256B4AD" w14:textId="77777777" w:rsidR="00BF08C1" w:rsidRPr="005B3C63" w:rsidRDefault="00BF08C1" w:rsidP="00EC4978">
      <w:pPr>
        <w:pStyle w:val="Normalnumber"/>
        <w:numPr>
          <w:ilvl w:val="0"/>
          <w:numId w:val="7"/>
        </w:numPr>
        <w:tabs>
          <w:tab w:val="clear" w:pos="1134"/>
        </w:tabs>
      </w:pPr>
      <w:r w:rsidRPr="005B3C63">
        <w:t xml:space="preserve">In light of the COVID-19 pandemic, it was decided to hold the scoping meeting online from 21 to 30 April 2020. </w:t>
      </w:r>
    </w:p>
    <w:p w14:paraId="235E036D" w14:textId="77777777" w:rsidR="00BF08C1" w:rsidRPr="005B3C63" w:rsidRDefault="00BF08C1" w:rsidP="00EC4978">
      <w:pPr>
        <w:pStyle w:val="Normalnumber"/>
        <w:numPr>
          <w:ilvl w:val="0"/>
          <w:numId w:val="7"/>
        </w:numPr>
        <w:tabs>
          <w:tab w:val="clear" w:pos="1134"/>
        </w:tabs>
      </w:pPr>
      <w:r w:rsidRPr="005B3C63">
        <w:t>Following the selection of experts, a series of three teleconferences were convened on 3 and 14 April 2020, involving a subset of authors and the management committee members to prepare for the online scoping meeting and to develop a draft chapter outline as a basis for discussion during that meeting.</w:t>
      </w:r>
    </w:p>
    <w:p w14:paraId="68B63760" w14:textId="77777777" w:rsidR="00BF08C1" w:rsidRPr="005B3C63" w:rsidRDefault="00BF08C1" w:rsidP="00EC4978">
      <w:pPr>
        <w:pStyle w:val="Normalnumber"/>
        <w:numPr>
          <w:ilvl w:val="0"/>
          <w:numId w:val="7"/>
        </w:numPr>
        <w:tabs>
          <w:tab w:val="clear" w:pos="1134"/>
        </w:tabs>
      </w:pPr>
      <w:r w:rsidRPr="005B3C63">
        <w:t xml:space="preserve">The main objectives of the scoping meeting were to introduce scoping experts to IPBES and each other, to develop, in dedicated breakout sessions, the chapter outline, to develop chapter descriptions and to develop the policy-relevant questions to be included in the final scoping document. </w:t>
      </w:r>
    </w:p>
    <w:p w14:paraId="3177425B" w14:textId="77777777" w:rsidR="00BF08C1" w:rsidRPr="005B3C63" w:rsidRDefault="00BF08C1" w:rsidP="00EC4978">
      <w:pPr>
        <w:pStyle w:val="Normalnumber"/>
        <w:numPr>
          <w:ilvl w:val="0"/>
          <w:numId w:val="7"/>
        </w:numPr>
        <w:tabs>
          <w:tab w:val="clear" w:pos="1134"/>
        </w:tabs>
      </w:pPr>
      <w:r w:rsidRPr="005B3C63">
        <w:t xml:space="preserve">Following the online scoping meeting, a draft of the scoping report was prepared and reviewed by all experts during two rounds of internal review (5 to 12 May and 28 May to 4 June 2020). The Multidisciplinary Expert Panel, within their respective mandates, reviewed the draft scoping report between 24 to 30 June 2020. The management committee oversaw the preparation of the final draft scoping report for external review. </w:t>
      </w:r>
    </w:p>
    <w:p w14:paraId="473966CA" w14:textId="77777777" w:rsidR="00BF08C1" w:rsidRPr="005B3C63" w:rsidRDefault="00BF08C1" w:rsidP="00BF08C1">
      <w:pPr>
        <w:keepNext/>
        <w:keepLines/>
        <w:tabs>
          <w:tab w:val="right" w:pos="851"/>
        </w:tabs>
        <w:suppressAutoHyphens/>
        <w:spacing w:before="120" w:after="120"/>
        <w:ind w:left="1247" w:right="284" w:hanging="1247"/>
        <w:rPr>
          <w:b/>
          <w:sz w:val="24"/>
          <w:szCs w:val="24"/>
          <w:lang w:val="en-GB"/>
        </w:rPr>
      </w:pPr>
      <w:r w:rsidRPr="005B3C63">
        <w:rPr>
          <w:b/>
          <w:sz w:val="24"/>
          <w:szCs w:val="24"/>
          <w:lang w:val="en-GB"/>
        </w:rPr>
        <w:tab/>
        <w:t>B.</w:t>
      </w:r>
      <w:r w:rsidRPr="005B3C63">
        <w:rPr>
          <w:b/>
          <w:sz w:val="24"/>
          <w:szCs w:val="24"/>
          <w:lang w:val="en-GB"/>
        </w:rPr>
        <w:tab/>
        <w:t>External review</w:t>
      </w:r>
    </w:p>
    <w:p w14:paraId="00292309" w14:textId="77777777" w:rsidR="00BF08C1" w:rsidRPr="005B3C63" w:rsidRDefault="00BF08C1" w:rsidP="00EC4978">
      <w:pPr>
        <w:pStyle w:val="Normalnumber"/>
        <w:numPr>
          <w:ilvl w:val="0"/>
          <w:numId w:val="7"/>
        </w:numPr>
        <w:tabs>
          <w:tab w:val="clear" w:pos="1134"/>
        </w:tabs>
      </w:pPr>
      <w:r w:rsidRPr="005B3C63">
        <w:t xml:space="preserve">The draft scoping report was made available for external review for a period of eight weeks, from 3 July to 28 August 2020. </w:t>
      </w:r>
    </w:p>
    <w:p w14:paraId="4531C6F8" w14:textId="77777777" w:rsidR="00BF08C1" w:rsidRPr="005B3C63" w:rsidRDefault="00BF08C1" w:rsidP="00EC4978">
      <w:pPr>
        <w:pStyle w:val="Normalnumber"/>
        <w:numPr>
          <w:ilvl w:val="0"/>
          <w:numId w:val="7"/>
        </w:numPr>
        <w:tabs>
          <w:tab w:val="clear" w:pos="1134"/>
        </w:tabs>
      </w:pPr>
      <w:r w:rsidRPr="005B3C63">
        <w:t xml:space="preserve">In order to support national focal points in their review of the draft scoping reports, an online dialogue meeting was held from 6 to 10 July 2020. During the meeting, scoping experts presented the scoping report and answered questions of clarification. </w:t>
      </w:r>
    </w:p>
    <w:p w14:paraId="21AAE280" w14:textId="77777777" w:rsidR="00BF08C1" w:rsidRPr="005B3C63" w:rsidRDefault="00BF08C1" w:rsidP="00EC4978">
      <w:pPr>
        <w:pStyle w:val="Normalnumber"/>
        <w:numPr>
          <w:ilvl w:val="0"/>
          <w:numId w:val="7"/>
        </w:numPr>
        <w:tabs>
          <w:tab w:val="clear" w:pos="1134"/>
        </w:tabs>
      </w:pPr>
      <w:r w:rsidRPr="005B3C63">
        <w:t xml:space="preserve">To allow reviewers to address matters of complementarity and overlap of the nexus and transformative change scoping reports, the external review period for the two reports was organized to </w:t>
      </w:r>
      <w:r w:rsidRPr="005B3C63">
        <w:lastRenderedPageBreak/>
        <w:t xml:space="preserve">overlap and the online dialogue meeting addressed both scoping reports. Scoping experts addressed related questions during the dialogue meeting. </w:t>
      </w:r>
    </w:p>
    <w:p w14:paraId="33C01886" w14:textId="77777777" w:rsidR="00BF08C1" w:rsidRPr="005B3C63" w:rsidRDefault="00BF08C1" w:rsidP="00EC4978">
      <w:pPr>
        <w:pStyle w:val="Normalnumber"/>
        <w:numPr>
          <w:ilvl w:val="0"/>
          <w:numId w:val="7"/>
        </w:numPr>
        <w:tabs>
          <w:tab w:val="clear" w:pos="1134"/>
        </w:tabs>
      </w:pPr>
      <w:r w:rsidRPr="005B3C63">
        <w:t xml:space="preserve">To further strengthen the participation of stakeholders in the review of the two scoping reports, a webinar for stakeholders was held on 14 July 2020. As part of the implementation of the IPBES approach to recognizing and working with indigenous and local knowledge in IPBES for the two scoping processes, an online indigenous and local knowledge dialogue was held on 16 July 2020 in which experts on indigenous and local knowledge and representatives of indigenous peoples and local communities participated. </w:t>
      </w:r>
    </w:p>
    <w:p w14:paraId="6B79A637" w14:textId="77777777" w:rsidR="00BF08C1" w:rsidRPr="005B3C63" w:rsidRDefault="00BF08C1" w:rsidP="00EC4978">
      <w:pPr>
        <w:pStyle w:val="Normalnumber"/>
        <w:numPr>
          <w:ilvl w:val="0"/>
          <w:numId w:val="7"/>
        </w:numPr>
        <w:tabs>
          <w:tab w:val="clear" w:pos="1134"/>
        </w:tabs>
      </w:pPr>
      <w:r w:rsidRPr="005B3C63">
        <w:t xml:space="preserve">Submissions were received from 193 expert reviewers (including Governments) totalling approximately 1870 comments. The following 30 Governments participated in the external review: Argentina, Armenia, Australia, Belgium, Brazil, Bulgaria, Canada, Chile, Cote d’Ivoire, Estonia, the European Union, France, Guinea Bissau, Iran, Israel, Italy, Japan, Luxembourg, Mexico, Norway, Portugal, South Africa, Senegal, Slovak Republic, Sweden, Switzerland, Thailand, Trinidad and Tobago, United Kingdom of Great Britain and Northern Ireland and United States of America. </w:t>
      </w:r>
    </w:p>
    <w:p w14:paraId="34EA8E82" w14:textId="77777777" w:rsidR="00BF08C1" w:rsidRPr="005B3C63" w:rsidRDefault="00BF08C1" w:rsidP="00BF08C1">
      <w:pPr>
        <w:pStyle w:val="CH2"/>
        <w:rPr>
          <w:highlight w:val="yellow"/>
        </w:rPr>
      </w:pPr>
      <w:r w:rsidRPr="005B3C63">
        <w:tab/>
        <w:t>C.</w:t>
      </w:r>
      <w:r w:rsidRPr="005B3C63">
        <w:tab/>
        <w:t>Role of capacity</w:t>
      </w:r>
      <w:r w:rsidRPr="005B3C63">
        <w:noBreakHyphen/>
        <w:t>building, strengthening knowledge foundations and supporting policy</w:t>
      </w:r>
    </w:p>
    <w:p w14:paraId="2569D4E4" w14:textId="77777777" w:rsidR="00BF08C1" w:rsidRPr="005B3C63" w:rsidRDefault="00BF08C1" w:rsidP="00EC4978">
      <w:pPr>
        <w:pStyle w:val="Normalnumber"/>
        <w:numPr>
          <w:ilvl w:val="0"/>
          <w:numId w:val="7"/>
        </w:numPr>
        <w:tabs>
          <w:tab w:val="clear" w:pos="1134"/>
        </w:tabs>
      </w:pPr>
      <w:r w:rsidRPr="005B3C63">
        <w:t>The roles of the work programme objectives on capacity</w:t>
      </w:r>
      <w:r w:rsidRPr="005B3C63">
        <w:noBreakHyphen/>
        <w:t xml:space="preserve">building, strengthening knowledge foundations and supporting policy in the assessment are set out explicitly in the scoping report. Paragraph 21 and section IV refer to the work of the task force on capacity-building, paragraph 21 and section III to the work of the task force on knowledge and data, paragraph 21 and 38 to the work of the task force on indigenous and local knowledge systems, paragraph 21 to the work of the task force on policy support and methodologies and paragraphs 21 and 37 to the work of the task force on scenarios and models. Schematic illustrations of the interaction of each task force with the assessment are presented in documents IPBES/8/INF/9, IPBES/8/INF/10, IPBES/8/INF/11, IPBES/8/INF/13 and IPBES/8/INF14, respectively. </w:t>
      </w:r>
    </w:p>
    <w:p w14:paraId="6818E320" w14:textId="77777777" w:rsidR="00BF08C1" w:rsidRPr="005B3C63" w:rsidRDefault="00BF08C1" w:rsidP="00BF08C1">
      <w:pPr>
        <w:pStyle w:val="CH2"/>
      </w:pPr>
      <w:r w:rsidRPr="005B3C63">
        <w:tab/>
        <w:t>D.</w:t>
      </w:r>
      <w:r w:rsidRPr="005B3C63">
        <w:tab/>
        <w:t>Preparatory process for IPBES 8</w:t>
      </w:r>
    </w:p>
    <w:p w14:paraId="1DCE3A96" w14:textId="77777777" w:rsidR="00BF08C1" w:rsidRPr="005B3C63" w:rsidRDefault="00BF08C1" w:rsidP="00EC4978">
      <w:pPr>
        <w:pStyle w:val="Normalnumber"/>
        <w:numPr>
          <w:ilvl w:val="0"/>
          <w:numId w:val="7"/>
        </w:numPr>
        <w:tabs>
          <w:tab w:val="clear" w:pos="1134"/>
        </w:tabs>
      </w:pPr>
      <w:r w:rsidRPr="005B3C63">
        <w:t>Due to the COVID-19 pandemic, it was decided that the eighth session of the IPBES Plenary would be held online from 14 to 24 June 2021. Due to the online nature of the session, a preparatory process was conducted, which included:</w:t>
      </w:r>
    </w:p>
    <w:p w14:paraId="0BAA5EEB" w14:textId="4F5AB11D" w:rsidR="00BF08C1" w:rsidRPr="005B3C63" w:rsidRDefault="00BF08C1" w:rsidP="00EC4978">
      <w:pPr>
        <w:pStyle w:val="Normalnumber"/>
        <w:numPr>
          <w:ilvl w:val="1"/>
          <w:numId w:val="6"/>
        </w:numPr>
        <w:tabs>
          <w:tab w:val="clear" w:pos="567"/>
        </w:tabs>
        <w:ind w:firstLine="624"/>
      </w:pPr>
      <w:r w:rsidRPr="005B3C63">
        <w:t>An additional round of external review of the revised scoping report from 17</w:t>
      </w:r>
      <w:r w:rsidR="005B3C63" w:rsidRPr="005B3C63">
        <w:t> </w:t>
      </w:r>
      <w:r w:rsidRPr="005B3C63">
        <w:t xml:space="preserve">December 2020 to 5 February 2021. Submissions were received from 40 expert reviewers (including Governments) totalling approximately 380 comments. The following 20 Governments participated in the external review: Argentina, Armenia, Australia, Belgium, Bulgaria, Canada, China, Czechia, the European Union, France, Indonesia, Italy, Japan, Morocco, Myanmar, Norway, Sweden, Turkey, United Kingdom and United States of America; </w:t>
      </w:r>
    </w:p>
    <w:p w14:paraId="2208095B" w14:textId="77777777" w:rsidR="00BF08C1" w:rsidRPr="005B3C63" w:rsidRDefault="00BF08C1" w:rsidP="00EC4978">
      <w:pPr>
        <w:pStyle w:val="Normalnumber"/>
        <w:numPr>
          <w:ilvl w:val="1"/>
          <w:numId w:val="6"/>
        </w:numPr>
        <w:tabs>
          <w:tab w:val="clear" w:pos="567"/>
        </w:tabs>
        <w:ind w:firstLine="624"/>
      </w:pPr>
      <w:r w:rsidRPr="005B3C63">
        <w:t xml:space="preserve">Informal regional meetings to support Governments in in the additional review of the scoping report, on 18 January 2021 for the African Group, on 19 January 2021 for the Eastern European Group, on 20 January 2021 for the Western Europe and Others Group, on 21 January 2021 for the Asia-Pacific Group and on 22 January 2021 for the Latin America and the Caribbean Group; </w:t>
      </w:r>
    </w:p>
    <w:p w14:paraId="295BB370" w14:textId="77777777" w:rsidR="00BF08C1" w:rsidRPr="005B3C63" w:rsidRDefault="00BF08C1" w:rsidP="00EC4978">
      <w:pPr>
        <w:pStyle w:val="Normalnumber"/>
        <w:numPr>
          <w:ilvl w:val="1"/>
          <w:numId w:val="6"/>
        </w:numPr>
        <w:tabs>
          <w:tab w:val="clear" w:pos="567"/>
        </w:tabs>
        <w:ind w:firstLine="624"/>
      </w:pPr>
      <w:r w:rsidRPr="005B3C63">
        <w:t>Availability of the final scoping report (document IPBES/8/4) in English in the end of March 2021 and in all six official United Nations languages in the beginning of April 2021;</w:t>
      </w:r>
    </w:p>
    <w:p w14:paraId="3DFF9F30" w14:textId="77777777" w:rsidR="00BF08C1" w:rsidRPr="005B3C63" w:rsidRDefault="00BF08C1" w:rsidP="00EC4978">
      <w:pPr>
        <w:pStyle w:val="Normalnumber"/>
        <w:numPr>
          <w:ilvl w:val="1"/>
          <w:numId w:val="6"/>
        </w:numPr>
        <w:tabs>
          <w:tab w:val="clear" w:pos="567"/>
        </w:tabs>
        <w:ind w:firstLine="624"/>
      </w:pPr>
      <w:r w:rsidRPr="005B3C63">
        <w:t>Informal preparatory meeting for Governments from 19 to 21 April 2021, to allow members and observer states to exchange views and informally consider the scoping report;</w:t>
      </w:r>
    </w:p>
    <w:p w14:paraId="128AC391" w14:textId="77777777" w:rsidR="00BF08C1" w:rsidRPr="005B3C63" w:rsidRDefault="00BF08C1" w:rsidP="00EC4978">
      <w:pPr>
        <w:pStyle w:val="Normalnumber"/>
        <w:numPr>
          <w:ilvl w:val="1"/>
          <w:numId w:val="6"/>
        </w:numPr>
        <w:tabs>
          <w:tab w:val="clear" w:pos="567"/>
        </w:tabs>
        <w:ind w:firstLine="624"/>
      </w:pPr>
      <w:r w:rsidRPr="005B3C63">
        <w:t xml:space="preserve">Informal group of “friends of the chair” on outstanding matters related to the transformative change assessment on 12 May 2021 to explore, in particular, the definition of “transformative change” vs. the definition of “transition”; how to ensure that the assessment results in practical, policy-relevant options; and how to ensure the complementarity of the nexus and transformative change assessments; </w:t>
      </w:r>
    </w:p>
    <w:p w14:paraId="707D3DF5" w14:textId="77777777" w:rsidR="00BF08C1" w:rsidRPr="005B3C63" w:rsidRDefault="00BF08C1" w:rsidP="00EC4978">
      <w:pPr>
        <w:pStyle w:val="Normalnumber"/>
        <w:numPr>
          <w:ilvl w:val="1"/>
          <w:numId w:val="6"/>
        </w:numPr>
        <w:tabs>
          <w:tab w:val="clear" w:pos="567"/>
        </w:tabs>
        <w:ind w:firstLine="624"/>
      </w:pPr>
      <w:r w:rsidRPr="005B3C63">
        <w:t>Opportunity for Governments to submit final comments on the scoping report by 24 May 2021 in order to support the Multidisciplinary Expert Panel and Bureau in preparing for IPBES 8;</w:t>
      </w:r>
    </w:p>
    <w:p w14:paraId="648B3269" w14:textId="77777777" w:rsidR="00BF08C1" w:rsidRPr="005B3C63" w:rsidRDefault="00BF08C1" w:rsidP="00EC4978">
      <w:pPr>
        <w:pStyle w:val="Normalnumber"/>
        <w:numPr>
          <w:ilvl w:val="1"/>
          <w:numId w:val="6"/>
        </w:numPr>
        <w:tabs>
          <w:tab w:val="clear" w:pos="567"/>
        </w:tabs>
        <w:ind w:firstLine="624"/>
      </w:pPr>
      <w:r w:rsidRPr="005B3C63">
        <w:t>Preparation of a revised version of the scoping report as Chair’s notes shortly before IPBES 8.</w:t>
      </w:r>
    </w:p>
    <w:p w14:paraId="2A1B577E" w14:textId="28A10EEE" w:rsidR="00BF08C1" w:rsidRPr="005B3C63" w:rsidRDefault="00BF08C1" w:rsidP="00123F79">
      <w:pPr>
        <w:pStyle w:val="Normal-pool"/>
      </w:pPr>
      <w:r w:rsidRPr="005B3C63">
        <w:br w:type="page"/>
      </w:r>
    </w:p>
    <w:p w14:paraId="24EEEE25" w14:textId="77777777" w:rsidR="00BF08C1" w:rsidRPr="005B3C63" w:rsidRDefault="00BF08C1" w:rsidP="00BF08C1">
      <w:pPr>
        <w:keepNext/>
        <w:keepLines/>
        <w:suppressAutoHyphens/>
        <w:spacing w:before="320" w:after="240"/>
        <w:ind w:right="567"/>
        <w:rPr>
          <w:b/>
          <w:sz w:val="28"/>
          <w:szCs w:val="28"/>
          <w:lang w:val="en-GB" w:eastAsia="en-GB"/>
        </w:rPr>
      </w:pPr>
      <w:r w:rsidRPr="005B3C63">
        <w:rPr>
          <w:b/>
          <w:sz w:val="28"/>
          <w:szCs w:val="28"/>
          <w:lang w:val="en-GB" w:eastAsia="en-GB"/>
        </w:rPr>
        <w:lastRenderedPageBreak/>
        <w:t>Appendix: List of participants in the scoping meeting</w:t>
      </w:r>
    </w:p>
    <w:tbl>
      <w:tblPr>
        <w:tblW w:w="8307" w:type="dxa"/>
        <w:jc w:val="right"/>
        <w:tblLook w:val="04A0" w:firstRow="1" w:lastRow="0" w:firstColumn="1" w:lastColumn="0" w:noHBand="0" w:noVBand="1"/>
      </w:tblPr>
      <w:tblGrid>
        <w:gridCol w:w="2949"/>
        <w:gridCol w:w="5358"/>
      </w:tblGrid>
      <w:tr w:rsidR="00BF08C1" w:rsidRPr="005B3C63" w14:paraId="1E0884E6" w14:textId="77777777" w:rsidTr="00D31508">
        <w:trPr>
          <w:tblHeader/>
          <w:jc w:val="right"/>
        </w:trPr>
        <w:tc>
          <w:tcPr>
            <w:tcW w:w="8370" w:type="dxa"/>
            <w:gridSpan w:val="2"/>
            <w:tcBorders>
              <w:top w:val="single" w:sz="4" w:space="0" w:color="auto"/>
              <w:bottom w:val="single" w:sz="12" w:space="0" w:color="auto"/>
            </w:tcBorders>
          </w:tcPr>
          <w:p w14:paraId="7D32B9A2" w14:textId="77777777" w:rsidR="00BF08C1" w:rsidRPr="005B3C63" w:rsidRDefault="00BF08C1" w:rsidP="0076212A">
            <w:pPr>
              <w:spacing w:before="40" w:after="40"/>
              <w:rPr>
                <w:b/>
                <w:lang w:val="en-GB" w:eastAsia="en-CA" w:bidi="en-US"/>
              </w:rPr>
            </w:pPr>
            <w:r w:rsidRPr="005B3C63">
              <w:rPr>
                <w:b/>
                <w:lang w:val="en-GB" w:eastAsia="en-CA" w:bidi="en-US"/>
              </w:rPr>
              <w:t>MULTIDISCIPLINARY EXPERT PANEL</w:t>
            </w:r>
          </w:p>
        </w:tc>
      </w:tr>
      <w:tr w:rsidR="00BF08C1" w:rsidRPr="005B3C63" w14:paraId="683FF9B0" w14:textId="77777777" w:rsidTr="00D31508">
        <w:trPr>
          <w:jc w:val="right"/>
        </w:trPr>
        <w:tc>
          <w:tcPr>
            <w:tcW w:w="2970" w:type="dxa"/>
          </w:tcPr>
          <w:p w14:paraId="47DF2792" w14:textId="77777777" w:rsidR="00BF08C1" w:rsidRPr="005B3C63" w:rsidRDefault="00BF08C1" w:rsidP="0076212A">
            <w:pPr>
              <w:spacing w:before="40" w:after="80"/>
              <w:rPr>
                <w:b/>
                <w:color w:val="000000"/>
                <w:lang w:val="en-GB"/>
              </w:rPr>
            </w:pPr>
            <w:r w:rsidRPr="005B3C63">
              <w:rPr>
                <w:b/>
                <w:color w:val="000000"/>
                <w:lang w:val="en-GB"/>
              </w:rPr>
              <w:t>Madhav Karki</w:t>
            </w:r>
          </w:p>
        </w:tc>
        <w:tc>
          <w:tcPr>
            <w:tcW w:w="5400" w:type="dxa"/>
          </w:tcPr>
          <w:p w14:paraId="56FDF8D5" w14:textId="77777777" w:rsidR="00BF08C1" w:rsidRPr="005B3C63" w:rsidRDefault="00BF08C1" w:rsidP="0076212A">
            <w:pPr>
              <w:spacing w:before="40" w:after="80"/>
              <w:rPr>
                <w:color w:val="000000"/>
                <w:lang w:val="en-GB"/>
              </w:rPr>
            </w:pPr>
            <w:r w:rsidRPr="005B3C63">
              <w:rPr>
                <w:color w:val="000000"/>
                <w:lang w:val="en-GB"/>
              </w:rPr>
              <w:t>IUCN Commission on Ecosystem Management, Nepal</w:t>
            </w:r>
          </w:p>
        </w:tc>
      </w:tr>
      <w:tr w:rsidR="00BF08C1" w:rsidRPr="005B3C63" w14:paraId="1EAF5AD3" w14:textId="77777777" w:rsidTr="00D31508">
        <w:trPr>
          <w:trHeight w:val="399"/>
          <w:jc w:val="right"/>
        </w:trPr>
        <w:tc>
          <w:tcPr>
            <w:tcW w:w="2970" w:type="dxa"/>
          </w:tcPr>
          <w:p w14:paraId="795ACDDE" w14:textId="77777777" w:rsidR="00BF08C1" w:rsidRPr="005B3C63" w:rsidRDefault="00BF08C1" w:rsidP="0076212A">
            <w:pPr>
              <w:rPr>
                <w:b/>
                <w:color w:val="000000"/>
                <w:lang w:val="en-GB"/>
              </w:rPr>
            </w:pPr>
            <w:r w:rsidRPr="005B3C63">
              <w:rPr>
                <w:b/>
                <w:color w:val="000000"/>
                <w:lang w:val="en-GB"/>
              </w:rPr>
              <w:t xml:space="preserve">Markus Fischer </w:t>
            </w:r>
          </w:p>
        </w:tc>
        <w:tc>
          <w:tcPr>
            <w:tcW w:w="5400" w:type="dxa"/>
          </w:tcPr>
          <w:p w14:paraId="2B98C44C" w14:textId="77777777" w:rsidR="00BF08C1" w:rsidRPr="005B3C63" w:rsidRDefault="00BF08C1" w:rsidP="0076212A">
            <w:pPr>
              <w:rPr>
                <w:rFonts w:cs="Calibri"/>
                <w:color w:val="000000"/>
                <w:lang w:val="en-GB"/>
              </w:rPr>
            </w:pPr>
            <w:r w:rsidRPr="005B3C63">
              <w:rPr>
                <w:color w:val="000000"/>
                <w:lang w:val="en-GB"/>
              </w:rPr>
              <w:t>University of Bern, Switzerland</w:t>
            </w:r>
          </w:p>
        </w:tc>
      </w:tr>
      <w:tr w:rsidR="00BF08C1" w:rsidRPr="005B3C63" w14:paraId="01FEAD9D" w14:textId="77777777" w:rsidTr="00D31508">
        <w:trPr>
          <w:jc w:val="right"/>
        </w:trPr>
        <w:tc>
          <w:tcPr>
            <w:tcW w:w="2970" w:type="dxa"/>
          </w:tcPr>
          <w:p w14:paraId="483C0181" w14:textId="77777777" w:rsidR="00BF08C1" w:rsidRPr="005B3C63" w:rsidRDefault="00BF08C1" w:rsidP="0076212A">
            <w:pPr>
              <w:spacing w:before="40" w:after="80"/>
              <w:rPr>
                <w:b/>
                <w:color w:val="000000"/>
                <w:lang w:val="en-GB"/>
              </w:rPr>
            </w:pPr>
            <w:r w:rsidRPr="005B3C63">
              <w:rPr>
                <w:b/>
                <w:color w:val="000000"/>
                <w:lang w:val="en-GB"/>
              </w:rPr>
              <w:t>Özden Görücü</w:t>
            </w:r>
          </w:p>
        </w:tc>
        <w:tc>
          <w:tcPr>
            <w:tcW w:w="5400" w:type="dxa"/>
          </w:tcPr>
          <w:p w14:paraId="41129C30" w14:textId="77777777" w:rsidR="00BF08C1" w:rsidRPr="005B3C63" w:rsidRDefault="00BF08C1" w:rsidP="0076212A">
            <w:pPr>
              <w:spacing w:after="80"/>
              <w:rPr>
                <w:rFonts w:cs="Calibri"/>
                <w:color w:val="000000"/>
                <w:lang w:val="en-GB"/>
              </w:rPr>
            </w:pPr>
            <w:r w:rsidRPr="005B3C63">
              <w:rPr>
                <w:color w:val="000000"/>
                <w:lang w:val="en-GB"/>
              </w:rPr>
              <w:t>Kahramanmaraş Sütçü İmam University, Turkey</w:t>
            </w:r>
          </w:p>
        </w:tc>
      </w:tr>
      <w:tr w:rsidR="00BF08C1" w:rsidRPr="005B3C63" w14:paraId="1966F4D6" w14:textId="77777777" w:rsidTr="00D31508">
        <w:trPr>
          <w:jc w:val="right"/>
        </w:trPr>
        <w:tc>
          <w:tcPr>
            <w:tcW w:w="2970" w:type="dxa"/>
          </w:tcPr>
          <w:p w14:paraId="22572126" w14:textId="77777777" w:rsidR="00BF08C1" w:rsidRPr="005B3C63" w:rsidRDefault="00BF08C1" w:rsidP="0076212A">
            <w:pPr>
              <w:spacing w:before="40" w:after="80"/>
              <w:rPr>
                <w:b/>
                <w:color w:val="000000"/>
                <w:lang w:val="en-GB"/>
              </w:rPr>
            </w:pPr>
            <w:r w:rsidRPr="005B3C63">
              <w:rPr>
                <w:b/>
                <w:color w:val="000000"/>
                <w:lang w:val="en-GB"/>
              </w:rPr>
              <w:t>Sandra Lavorel</w:t>
            </w:r>
          </w:p>
        </w:tc>
        <w:tc>
          <w:tcPr>
            <w:tcW w:w="5400" w:type="dxa"/>
          </w:tcPr>
          <w:p w14:paraId="039F82BB" w14:textId="77777777" w:rsidR="00BF08C1" w:rsidRPr="005B3C63" w:rsidRDefault="00BF08C1" w:rsidP="0076212A">
            <w:pPr>
              <w:spacing w:before="40" w:after="80"/>
              <w:rPr>
                <w:color w:val="000000"/>
                <w:lang w:val="en-GB"/>
              </w:rPr>
            </w:pPr>
            <w:r w:rsidRPr="005B3C63">
              <w:rPr>
                <w:color w:val="000000"/>
                <w:lang w:val="en-GB"/>
              </w:rPr>
              <w:t xml:space="preserve">Centre National de la Recherche </w:t>
            </w:r>
            <w:proofErr w:type="spellStart"/>
            <w:r w:rsidRPr="005B3C63">
              <w:rPr>
                <w:color w:val="000000"/>
                <w:lang w:val="en-GB"/>
              </w:rPr>
              <w:t>Scientifique</w:t>
            </w:r>
            <w:proofErr w:type="spellEnd"/>
            <w:r w:rsidRPr="005B3C63">
              <w:rPr>
                <w:color w:val="000000"/>
                <w:lang w:val="en-GB"/>
              </w:rPr>
              <w:t>, France</w:t>
            </w:r>
          </w:p>
        </w:tc>
      </w:tr>
      <w:tr w:rsidR="00BF08C1" w:rsidRPr="005B3C63" w14:paraId="0D8EF882" w14:textId="77777777" w:rsidTr="00D31508">
        <w:trPr>
          <w:jc w:val="right"/>
        </w:trPr>
        <w:tc>
          <w:tcPr>
            <w:tcW w:w="2970" w:type="dxa"/>
          </w:tcPr>
          <w:p w14:paraId="1DCB725D" w14:textId="77777777" w:rsidR="00BF08C1" w:rsidRPr="005B3C63" w:rsidRDefault="00BF08C1" w:rsidP="0076212A">
            <w:pPr>
              <w:spacing w:before="40" w:after="80"/>
              <w:rPr>
                <w:b/>
                <w:color w:val="000000"/>
                <w:lang w:val="en-GB"/>
              </w:rPr>
            </w:pPr>
            <w:r w:rsidRPr="005B3C63">
              <w:rPr>
                <w:b/>
                <w:color w:val="000000"/>
                <w:lang w:val="en-GB"/>
              </w:rPr>
              <w:t>Mariteuw Chimere Diaw</w:t>
            </w:r>
          </w:p>
        </w:tc>
        <w:tc>
          <w:tcPr>
            <w:tcW w:w="5400" w:type="dxa"/>
          </w:tcPr>
          <w:p w14:paraId="20EF0B3D" w14:textId="77777777" w:rsidR="00BF08C1" w:rsidRPr="005B3C63" w:rsidRDefault="00BF08C1" w:rsidP="0076212A">
            <w:pPr>
              <w:spacing w:before="40" w:after="80"/>
              <w:rPr>
                <w:color w:val="000000"/>
                <w:lang w:val="en-GB"/>
              </w:rPr>
            </w:pPr>
            <w:r w:rsidRPr="005B3C63">
              <w:rPr>
                <w:color w:val="000000"/>
                <w:lang w:val="en-GB"/>
              </w:rPr>
              <w:t>African Model Forests Network, Senegal</w:t>
            </w:r>
          </w:p>
        </w:tc>
      </w:tr>
    </w:tbl>
    <w:p w14:paraId="40E0426F" w14:textId="77777777" w:rsidR="00BF08C1" w:rsidRPr="005B3C63" w:rsidRDefault="00BF08C1" w:rsidP="00BF08C1">
      <w:pPr>
        <w:keepNext/>
        <w:keepLines/>
        <w:tabs>
          <w:tab w:val="right" w:pos="624"/>
          <w:tab w:val="right" w:pos="851"/>
        </w:tabs>
        <w:suppressAutoHyphens/>
        <w:ind w:left="1872" w:right="288" w:hanging="605"/>
        <w:rPr>
          <w:rFonts w:eastAsia="Gulim"/>
          <w:b/>
          <w:sz w:val="10"/>
          <w:szCs w:val="10"/>
          <w:lang w:val="en-GB"/>
        </w:rPr>
      </w:pPr>
    </w:p>
    <w:tbl>
      <w:tblPr>
        <w:tblW w:w="8307" w:type="dxa"/>
        <w:jc w:val="right"/>
        <w:tblLook w:val="04A0" w:firstRow="1" w:lastRow="0" w:firstColumn="1" w:lastColumn="0" w:noHBand="0" w:noVBand="1"/>
      </w:tblPr>
      <w:tblGrid>
        <w:gridCol w:w="2951"/>
        <w:gridCol w:w="5356"/>
      </w:tblGrid>
      <w:tr w:rsidR="00BF08C1" w:rsidRPr="005B3C63" w14:paraId="10BD6070" w14:textId="77777777" w:rsidTr="00D31508">
        <w:trPr>
          <w:tblHeader/>
          <w:jc w:val="right"/>
        </w:trPr>
        <w:tc>
          <w:tcPr>
            <w:tcW w:w="8370" w:type="dxa"/>
            <w:gridSpan w:val="2"/>
            <w:tcBorders>
              <w:top w:val="single" w:sz="4" w:space="0" w:color="auto"/>
              <w:bottom w:val="single" w:sz="12" w:space="0" w:color="auto"/>
            </w:tcBorders>
          </w:tcPr>
          <w:p w14:paraId="7661606E" w14:textId="77777777" w:rsidR="00BF08C1" w:rsidRPr="005B3C63" w:rsidRDefault="00BF08C1" w:rsidP="0076212A">
            <w:pPr>
              <w:spacing w:before="40" w:after="40"/>
              <w:rPr>
                <w:b/>
                <w:lang w:val="en-GB" w:eastAsia="en-CA" w:bidi="en-US"/>
              </w:rPr>
            </w:pPr>
            <w:bookmarkStart w:id="0" w:name="_Hlk22727281"/>
            <w:r w:rsidRPr="005B3C63">
              <w:rPr>
                <w:b/>
                <w:lang w:val="en-GB" w:eastAsia="en-CA" w:bidi="en-US"/>
              </w:rPr>
              <w:t>BUREAU</w:t>
            </w:r>
          </w:p>
        </w:tc>
      </w:tr>
      <w:bookmarkEnd w:id="0"/>
      <w:tr w:rsidR="00BF08C1" w:rsidRPr="005B3C63" w14:paraId="447CB3FA" w14:textId="77777777" w:rsidTr="00D31508">
        <w:trPr>
          <w:jc w:val="right"/>
        </w:trPr>
        <w:tc>
          <w:tcPr>
            <w:tcW w:w="2970" w:type="dxa"/>
          </w:tcPr>
          <w:p w14:paraId="4C29618F" w14:textId="77777777" w:rsidR="00BF08C1" w:rsidRPr="005B3C63" w:rsidRDefault="00BF08C1" w:rsidP="0076212A">
            <w:pPr>
              <w:spacing w:before="40" w:after="80"/>
              <w:rPr>
                <w:b/>
                <w:lang w:val="en-GB" w:eastAsia="en-CA" w:bidi="en-US"/>
              </w:rPr>
            </w:pPr>
            <w:r w:rsidRPr="005B3C63">
              <w:rPr>
                <w:b/>
                <w:color w:val="000000"/>
                <w:lang w:val="en-GB"/>
              </w:rPr>
              <w:t>Floyd Homer</w:t>
            </w:r>
          </w:p>
        </w:tc>
        <w:tc>
          <w:tcPr>
            <w:tcW w:w="5400" w:type="dxa"/>
          </w:tcPr>
          <w:p w14:paraId="6A907F9E" w14:textId="77777777" w:rsidR="00BF08C1" w:rsidRPr="005B3C63" w:rsidRDefault="00BF08C1" w:rsidP="0076212A">
            <w:pPr>
              <w:spacing w:after="80"/>
              <w:rPr>
                <w:lang w:val="en-GB" w:eastAsia="en-CA" w:bidi="en-US"/>
              </w:rPr>
            </w:pPr>
            <w:r w:rsidRPr="005B3C63">
              <w:rPr>
                <w:rFonts w:cs="Calibri"/>
                <w:color w:val="000000"/>
                <w:lang w:val="en-GB"/>
              </w:rPr>
              <w:t>Multicrop Facility Ltd, Trinidad and Tobago</w:t>
            </w:r>
          </w:p>
        </w:tc>
      </w:tr>
      <w:tr w:rsidR="00BF08C1" w:rsidRPr="005B3C63" w14:paraId="6AA3F139" w14:textId="77777777" w:rsidTr="00D31508">
        <w:trPr>
          <w:jc w:val="right"/>
        </w:trPr>
        <w:tc>
          <w:tcPr>
            <w:tcW w:w="2970" w:type="dxa"/>
          </w:tcPr>
          <w:p w14:paraId="7F116704" w14:textId="77777777" w:rsidR="00BF08C1" w:rsidRPr="005B3C63" w:rsidRDefault="00BF08C1" w:rsidP="0076212A">
            <w:pPr>
              <w:spacing w:before="40" w:after="80"/>
              <w:rPr>
                <w:b/>
                <w:color w:val="000000"/>
                <w:lang w:val="en-GB"/>
              </w:rPr>
            </w:pPr>
            <w:r w:rsidRPr="005B3C63">
              <w:rPr>
                <w:b/>
                <w:color w:val="000000"/>
                <w:lang w:val="en-GB"/>
              </w:rPr>
              <w:t>Asia Mohamed</w:t>
            </w:r>
          </w:p>
        </w:tc>
        <w:tc>
          <w:tcPr>
            <w:tcW w:w="5400" w:type="dxa"/>
          </w:tcPr>
          <w:p w14:paraId="59AA058E" w14:textId="77777777" w:rsidR="00BF08C1" w:rsidRPr="005B3C63" w:rsidRDefault="00BF08C1" w:rsidP="0076212A">
            <w:pPr>
              <w:spacing w:after="80"/>
              <w:rPr>
                <w:rFonts w:cs="Calibri"/>
                <w:color w:val="000000"/>
                <w:lang w:val="en-GB"/>
              </w:rPr>
            </w:pPr>
            <w:r w:rsidRPr="005B3C63">
              <w:rPr>
                <w:rFonts w:cs="Calibri"/>
                <w:color w:val="000000"/>
                <w:lang w:val="en-GB"/>
              </w:rPr>
              <w:t>University of Khartoum, Sudan</w:t>
            </w:r>
          </w:p>
        </w:tc>
      </w:tr>
    </w:tbl>
    <w:p w14:paraId="2E6A1357" w14:textId="77777777" w:rsidR="00BF08C1" w:rsidRPr="005B3C63" w:rsidRDefault="00BF08C1" w:rsidP="00BF08C1">
      <w:pPr>
        <w:rPr>
          <w:sz w:val="10"/>
          <w:szCs w:val="10"/>
          <w:lang w:val="en-GB"/>
        </w:rPr>
      </w:pPr>
    </w:p>
    <w:tbl>
      <w:tblPr>
        <w:tblW w:w="8307" w:type="dxa"/>
        <w:jc w:val="right"/>
        <w:tblLook w:val="04A0" w:firstRow="1" w:lastRow="0" w:firstColumn="1" w:lastColumn="0" w:noHBand="0" w:noVBand="1"/>
      </w:tblPr>
      <w:tblGrid>
        <w:gridCol w:w="2950"/>
        <w:gridCol w:w="5357"/>
      </w:tblGrid>
      <w:tr w:rsidR="00BF08C1" w:rsidRPr="005B3C63" w14:paraId="37D81C7C" w14:textId="77777777" w:rsidTr="00D31508">
        <w:trPr>
          <w:tblHeader/>
          <w:jc w:val="right"/>
        </w:trPr>
        <w:tc>
          <w:tcPr>
            <w:tcW w:w="8370" w:type="dxa"/>
            <w:gridSpan w:val="2"/>
            <w:tcBorders>
              <w:top w:val="single" w:sz="4" w:space="0" w:color="auto"/>
              <w:bottom w:val="single" w:sz="12" w:space="0" w:color="auto"/>
            </w:tcBorders>
          </w:tcPr>
          <w:p w14:paraId="3674BF35" w14:textId="77777777" w:rsidR="00BF08C1" w:rsidRPr="005B3C63" w:rsidRDefault="00BF08C1" w:rsidP="0076212A">
            <w:pPr>
              <w:spacing w:before="40" w:after="40"/>
              <w:rPr>
                <w:b/>
                <w:lang w:val="en-GB" w:eastAsia="en-CA" w:bidi="en-US"/>
              </w:rPr>
            </w:pPr>
            <w:r w:rsidRPr="005B3C63">
              <w:rPr>
                <w:b/>
                <w:lang w:val="en-GB" w:eastAsia="en-CA" w:bidi="en-US"/>
              </w:rPr>
              <w:t>EXPERTS</w:t>
            </w:r>
          </w:p>
        </w:tc>
      </w:tr>
      <w:tr w:rsidR="00BF08C1" w:rsidRPr="005B3C63" w14:paraId="68234291" w14:textId="77777777" w:rsidTr="00D31508">
        <w:trPr>
          <w:jc w:val="right"/>
        </w:trPr>
        <w:tc>
          <w:tcPr>
            <w:tcW w:w="2970" w:type="dxa"/>
          </w:tcPr>
          <w:p w14:paraId="78C99EC7" w14:textId="77777777" w:rsidR="00BF08C1" w:rsidRPr="005B3C63" w:rsidRDefault="00BF08C1" w:rsidP="0076212A">
            <w:pPr>
              <w:spacing w:before="40" w:after="80"/>
              <w:rPr>
                <w:b/>
                <w:color w:val="000000"/>
                <w:lang w:val="en-GB"/>
              </w:rPr>
            </w:pPr>
            <w:r w:rsidRPr="005B3C63">
              <w:rPr>
                <w:b/>
                <w:color w:val="000000"/>
                <w:lang w:val="en-GB"/>
              </w:rPr>
              <w:t>Alonso Aguirre</w:t>
            </w:r>
          </w:p>
        </w:tc>
        <w:tc>
          <w:tcPr>
            <w:tcW w:w="5400" w:type="dxa"/>
          </w:tcPr>
          <w:p w14:paraId="69DD4169" w14:textId="77777777" w:rsidR="00BF08C1" w:rsidRPr="005B3C63" w:rsidRDefault="00BF08C1" w:rsidP="0076212A">
            <w:pPr>
              <w:spacing w:before="40" w:after="80"/>
              <w:rPr>
                <w:lang w:val="en-GB" w:eastAsia="en-CA" w:bidi="en-US"/>
              </w:rPr>
            </w:pPr>
            <w:r w:rsidRPr="005B3C63">
              <w:rPr>
                <w:lang w:val="en-GB" w:eastAsia="en-CA" w:bidi="en-US"/>
              </w:rPr>
              <w:t>George Mason University, United States of America</w:t>
            </w:r>
          </w:p>
        </w:tc>
      </w:tr>
      <w:tr w:rsidR="00BF08C1" w:rsidRPr="005B3C63" w14:paraId="626744B2" w14:textId="77777777" w:rsidTr="00D31508">
        <w:trPr>
          <w:jc w:val="right"/>
        </w:trPr>
        <w:tc>
          <w:tcPr>
            <w:tcW w:w="2970" w:type="dxa"/>
          </w:tcPr>
          <w:p w14:paraId="2BBDA452" w14:textId="77777777" w:rsidR="00BF08C1" w:rsidRPr="005B3C63" w:rsidRDefault="00BF08C1" w:rsidP="0076212A">
            <w:pPr>
              <w:spacing w:before="40" w:after="80"/>
              <w:rPr>
                <w:b/>
                <w:color w:val="000000"/>
                <w:lang w:val="en-GB"/>
              </w:rPr>
            </w:pPr>
            <w:r w:rsidRPr="005B3C63">
              <w:rPr>
                <w:b/>
                <w:color w:val="000000"/>
                <w:lang w:val="en-GB"/>
              </w:rPr>
              <w:t>Senka Barudanovic</w:t>
            </w:r>
          </w:p>
        </w:tc>
        <w:tc>
          <w:tcPr>
            <w:tcW w:w="5400" w:type="dxa"/>
          </w:tcPr>
          <w:p w14:paraId="2555A9FE" w14:textId="77777777" w:rsidR="00BF08C1" w:rsidRPr="005B3C63" w:rsidRDefault="00BF08C1" w:rsidP="0076212A">
            <w:pPr>
              <w:spacing w:before="40" w:after="80"/>
              <w:rPr>
                <w:lang w:val="en-GB" w:eastAsia="en-CA" w:bidi="en-US"/>
              </w:rPr>
            </w:pPr>
            <w:r w:rsidRPr="005B3C63">
              <w:rPr>
                <w:lang w:val="en-GB" w:eastAsia="en-CA" w:bidi="en-US"/>
              </w:rPr>
              <w:t>Zmaja od Bosne, Bosnia and Herzegovina</w:t>
            </w:r>
          </w:p>
        </w:tc>
      </w:tr>
      <w:tr w:rsidR="00BF08C1" w:rsidRPr="005B3C63" w14:paraId="3E77E2FC" w14:textId="77777777" w:rsidTr="00D31508">
        <w:trPr>
          <w:jc w:val="right"/>
        </w:trPr>
        <w:tc>
          <w:tcPr>
            <w:tcW w:w="2970" w:type="dxa"/>
          </w:tcPr>
          <w:p w14:paraId="2EC34F2F" w14:textId="77777777" w:rsidR="00BF08C1" w:rsidRPr="005B3C63" w:rsidRDefault="00BF08C1" w:rsidP="0076212A">
            <w:pPr>
              <w:spacing w:before="40" w:after="80"/>
              <w:rPr>
                <w:b/>
                <w:color w:val="000000"/>
                <w:lang w:val="en-GB"/>
              </w:rPr>
            </w:pPr>
            <w:r w:rsidRPr="005B3C63">
              <w:rPr>
                <w:b/>
                <w:color w:val="000000"/>
                <w:lang w:val="en-GB"/>
              </w:rPr>
              <w:t>Silke Beck</w:t>
            </w:r>
          </w:p>
        </w:tc>
        <w:tc>
          <w:tcPr>
            <w:tcW w:w="5400" w:type="dxa"/>
          </w:tcPr>
          <w:p w14:paraId="15C194D8" w14:textId="77777777" w:rsidR="00BF08C1" w:rsidRPr="005B3C63" w:rsidRDefault="00BF08C1" w:rsidP="0076212A">
            <w:pPr>
              <w:spacing w:before="40" w:after="80"/>
              <w:rPr>
                <w:lang w:val="en-GB" w:eastAsia="en-CA" w:bidi="en-US"/>
              </w:rPr>
            </w:pPr>
            <w:r w:rsidRPr="005B3C63">
              <w:rPr>
                <w:lang w:val="en-GB" w:eastAsia="en-CA" w:bidi="en-US"/>
              </w:rPr>
              <w:t>Helmholtz-</w:t>
            </w:r>
            <w:proofErr w:type="spellStart"/>
            <w:r w:rsidRPr="005B3C63">
              <w:rPr>
                <w:lang w:val="en-GB" w:eastAsia="en-CA" w:bidi="en-US"/>
              </w:rPr>
              <w:t>Zentrum</w:t>
            </w:r>
            <w:proofErr w:type="spellEnd"/>
            <w:r w:rsidRPr="005B3C63">
              <w:rPr>
                <w:lang w:val="en-GB" w:eastAsia="en-CA" w:bidi="en-US"/>
              </w:rPr>
              <w:t xml:space="preserve"> </w:t>
            </w:r>
            <w:proofErr w:type="spellStart"/>
            <w:r w:rsidRPr="005B3C63">
              <w:rPr>
                <w:lang w:val="en-GB" w:eastAsia="en-CA" w:bidi="en-US"/>
              </w:rPr>
              <w:t>Umweltforschung</w:t>
            </w:r>
            <w:proofErr w:type="spellEnd"/>
            <w:r w:rsidRPr="005B3C63">
              <w:rPr>
                <w:lang w:val="en-GB" w:eastAsia="en-CA" w:bidi="en-US"/>
              </w:rPr>
              <w:t xml:space="preserve"> (UFZ) Leipzig, Germany</w:t>
            </w:r>
          </w:p>
        </w:tc>
      </w:tr>
      <w:tr w:rsidR="00BF08C1" w:rsidRPr="005B3C63" w14:paraId="19FDFC9C" w14:textId="77777777" w:rsidTr="00D31508">
        <w:trPr>
          <w:jc w:val="right"/>
        </w:trPr>
        <w:tc>
          <w:tcPr>
            <w:tcW w:w="2970" w:type="dxa"/>
          </w:tcPr>
          <w:p w14:paraId="184BA016" w14:textId="77777777" w:rsidR="00BF08C1" w:rsidRPr="005B3C63" w:rsidRDefault="00BF08C1" w:rsidP="0076212A">
            <w:pPr>
              <w:spacing w:before="40" w:after="80"/>
              <w:rPr>
                <w:b/>
                <w:color w:val="000000"/>
                <w:lang w:val="en-GB"/>
              </w:rPr>
            </w:pPr>
            <w:r w:rsidRPr="005B3C63">
              <w:rPr>
                <w:b/>
                <w:color w:val="000000"/>
                <w:lang w:val="en-GB"/>
              </w:rPr>
              <w:t>Mariana Bellot</w:t>
            </w:r>
          </w:p>
        </w:tc>
        <w:tc>
          <w:tcPr>
            <w:tcW w:w="5400" w:type="dxa"/>
          </w:tcPr>
          <w:p w14:paraId="28492ADC" w14:textId="77777777" w:rsidR="00BF08C1" w:rsidRPr="005B3C63" w:rsidRDefault="00BF08C1" w:rsidP="0076212A">
            <w:pPr>
              <w:spacing w:before="40" w:after="80"/>
              <w:rPr>
                <w:lang w:val="en-GB" w:eastAsia="en-CA" w:bidi="en-US"/>
              </w:rPr>
            </w:pPr>
            <w:r w:rsidRPr="005B3C63">
              <w:rPr>
                <w:lang w:val="en-GB" w:eastAsia="en-CA" w:bidi="en-US"/>
              </w:rPr>
              <w:t>United Nations Development Programme</w:t>
            </w:r>
          </w:p>
        </w:tc>
      </w:tr>
      <w:tr w:rsidR="00BF08C1" w:rsidRPr="005B3C63" w14:paraId="4A3027C1" w14:textId="77777777" w:rsidTr="00D31508">
        <w:trPr>
          <w:jc w:val="right"/>
        </w:trPr>
        <w:tc>
          <w:tcPr>
            <w:tcW w:w="2970" w:type="dxa"/>
          </w:tcPr>
          <w:p w14:paraId="3FD0B979" w14:textId="77777777" w:rsidR="00BF08C1" w:rsidRPr="005B3C63" w:rsidRDefault="00BF08C1" w:rsidP="0076212A">
            <w:pPr>
              <w:spacing w:before="40" w:after="80"/>
              <w:rPr>
                <w:b/>
                <w:color w:val="000000"/>
                <w:lang w:val="en-GB"/>
              </w:rPr>
            </w:pPr>
            <w:r w:rsidRPr="005B3C63">
              <w:rPr>
                <w:b/>
                <w:color w:val="000000"/>
                <w:lang w:val="en-GB"/>
              </w:rPr>
              <w:t>Francis Bisong</w:t>
            </w:r>
          </w:p>
        </w:tc>
        <w:tc>
          <w:tcPr>
            <w:tcW w:w="5400" w:type="dxa"/>
          </w:tcPr>
          <w:p w14:paraId="456837C4" w14:textId="77777777" w:rsidR="00BF08C1" w:rsidRPr="005B3C63" w:rsidRDefault="00BF08C1" w:rsidP="0076212A">
            <w:pPr>
              <w:spacing w:before="40" w:after="80"/>
              <w:rPr>
                <w:lang w:val="en-GB" w:eastAsia="en-CA" w:bidi="en-US"/>
              </w:rPr>
            </w:pPr>
            <w:r w:rsidRPr="005B3C63">
              <w:rPr>
                <w:lang w:val="en-GB" w:eastAsia="en-CA" w:bidi="en-US"/>
              </w:rPr>
              <w:t>University of Calabar, Nigeria</w:t>
            </w:r>
          </w:p>
        </w:tc>
      </w:tr>
      <w:tr w:rsidR="00BF08C1" w:rsidRPr="005B3C63" w14:paraId="3DF47690" w14:textId="77777777" w:rsidTr="00D31508">
        <w:trPr>
          <w:jc w:val="right"/>
        </w:trPr>
        <w:tc>
          <w:tcPr>
            <w:tcW w:w="2970" w:type="dxa"/>
          </w:tcPr>
          <w:p w14:paraId="3471F0E1" w14:textId="77777777" w:rsidR="00BF08C1" w:rsidRPr="005B3C63" w:rsidRDefault="00BF08C1" w:rsidP="0076212A">
            <w:pPr>
              <w:spacing w:before="40" w:after="80"/>
              <w:rPr>
                <w:b/>
                <w:color w:val="000000"/>
                <w:lang w:val="en-GB"/>
              </w:rPr>
            </w:pPr>
            <w:r w:rsidRPr="005B3C63">
              <w:rPr>
                <w:b/>
                <w:color w:val="000000"/>
                <w:lang w:val="en-GB"/>
              </w:rPr>
              <w:t>Peter Bridgewater</w:t>
            </w:r>
          </w:p>
        </w:tc>
        <w:tc>
          <w:tcPr>
            <w:tcW w:w="5400" w:type="dxa"/>
          </w:tcPr>
          <w:p w14:paraId="1232B272" w14:textId="77777777" w:rsidR="00BF08C1" w:rsidRPr="005B3C63" w:rsidRDefault="00BF08C1" w:rsidP="0076212A">
            <w:pPr>
              <w:spacing w:before="40" w:after="80"/>
              <w:rPr>
                <w:lang w:val="en-GB" w:eastAsia="en-CA" w:bidi="en-US"/>
              </w:rPr>
            </w:pPr>
            <w:r w:rsidRPr="005B3C63">
              <w:rPr>
                <w:lang w:val="en-GB" w:eastAsia="en-CA" w:bidi="en-US"/>
              </w:rPr>
              <w:t>University of Canberra, Australia</w:t>
            </w:r>
          </w:p>
        </w:tc>
      </w:tr>
      <w:tr w:rsidR="00BF08C1" w:rsidRPr="005B3C63" w14:paraId="093CF3FE" w14:textId="77777777" w:rsidTr="00D31508">
        <w:trPr>
          <w:jc w:val="right"/>
        </w:trPr>
        <w:tc>
          <w:tcPr>
            <w:tcW w:w="2970" w:type="dxa"/>
          </w:tcPr>
          <w:p w14:paraId="66754029" w14:textId="77777777" w:rsidR="00BF08C1" w:rsidRPr="005B3C63" w:rsidRDefault="00BF08C1" w:rsidP="0076212A">
            <w:pPr>
              <w:spacing w:before="40" w:after="80"/>
              <w:rPr>
                <w:b/>
                <w:color w:val="000000"/>
                <w:lang w:val="en-GB"/>
              </w:rPr>
            </w:pPr>
            <w:r w:rsidRPr="005B3C63">
              <w:rPr>
                <w:b/>
                <w:color w:val="000000"/>
                <w:lang w:val="en-GB"/>
              </w:rPr>
              <w:t>Eduardo Brondizio</w:t>
            </w:r>
          </w:p>
        </w:tc>
        <w:tc>
          <w:tcPr>
            <w:tcW w:w="5400" w:type="dxa"/>
          </w:tcPr>
          <w:p w14:paraId="3B2B5A88" w14:textId="77777777" w:rsidR="00BF08C1" w:rsidRPr="005B3C63" w:rsidRDefault="00BF08C1" w:rsidP="0076212A">
            <w:pPr>
              <w:spacing w:before="40" w:after="80"/>
              <w:rPr>
                <w:lang w:val="en-GB"/>
              </w:rPr>
            </w:pPr>
            <w:r w:rsidRPr="005B3C63">
              <w:rPr>
                <w:lang w:val="en-GB"/>
              </w:rPr>
              <w:t>Indiana University, United State of America</w:t>
            </w:r>
          </w:p>
        </w:tc>
      </w:tr>
      <w:tr w:rsidR="00BF08C1" w:rsidRPr="005B3C63" w14:paraId="45784815" w14:textId="77777777" w:rsidTr="00D31508">
        <w:trPr>
          <w:jc w:val="right"/>
        </w:trPr>
        <w:tc>
          <w:tcPr>
            <w:tcW w:w="2970" w:type="dxa"/>
          </w:tcPr>
          <w:p w14:paraId="02690FEC" w14:textId="77777777" w:rsidR="00BF08C1" w:rsidRPr="005B3C63" w:rsidRDefault="00BF08C1" w:rsidP="0076212A">
            <w:pPr>
              <w:spacing w:before="40" w:after="80"/>
              <w:rPr>
                <w:b/>
                <w:color w:val="000000"/>
                <w:lang w:val="en-GB"/>
              </w:rPr>
            </w:pPr>
            <w:r w:rsidRPr="005B3C63">
              <w:rPr>
                <w:b/>
                <w:color w:val="000000"/>
                <w:lang w:val="en-GB"/>
              </w:rPr>
              <w:t>Ruslan Butovskiy</w:t>
            </w:r>
          </w:p>
        </w:tc>
        <w:tc>
          <w:tcPr>
            <w:tcW w:w="5400" w:type="dxa"/>
          </w:tcPr>
          <w:p w14:paraId="13949080" w14:textId="77777777" w:rsidR="00BF08C1" w:rsidRPr="005B3C63" w:rsidRDefault="00BF08C1" w:rsidP="0076212A">
            <w:pPr>
              <w:spacing w:before="40" w:after="80"/>
              <w:rPr>
                <w:lang w:val="en-GB" w:eastAsia="en-CA" w:bidi="en-US"/>
              </w:rPr>
            </w:pPr>
            <w:r w:rsidRPr="005B3C63">
              <w:rPr>
                <w:lang w:val="en-GB" w:eastAsia="en-CA" w:bidi="en-US"/>
              </w:rPr>
              <w:t>Ministry of Natural Resources and Environment, Russia</w:t>
            </w:r>
          </w:p>
        </w:tc>
      </w:tr>
      <w:tr w:rsidR="00BF08C1" w:rsidRPr="005B3C63" w14:paraId="0D00EDBC" w14:textId="77777777" w:rsidTr="00D31508">
        <w:trPr>
          <w:jc w:val="right"/>
        </w:trPr>
        <w:tc>
          <w:tcPr>
            <w:tcW w:w="2970" w:type="dxa"/>
          </w:tcPr>
          <w:p w14:paraId="32722658" w14:textId="77777777" w:rsidR="00BF08C1" w:rsidRPr="005B3C63" w:rsidRDefault="00BF08C1" w:rsidP="0076212A">
            <w:pPr>
              <w:spacing w:before="40" w:after="80"/>
              <w:rPr>
                <w:b/>
                <w:color w:val="000000"/>
                <w:lang w:val="en-GB"/>
              </w:rPr>
            </w:pPr>
            <w:r w:rsidRPr="005B3C63">
              <w:rPr>
                <w:b/>
                <w:color w:val="000000"/>
                <w:lang w:val="en-GB"/>
              </w:rPr>
              <w:t>Rafael Calderón-Contreras</w:t>
            </w:r>
          </w:p>
        </w:tc>
        <w:tc>
          <w:tcPr>
            <w:tcW w:w="5400" w:type="dxa"/>
          </w:tcPr>
          <w:p w14:paraId="6035DA34" w14:textId="77777777" w:rsidR="00BF08C1" w:rsidRPr="005B3C63" w:rsidRDefault="00BF08C1" w:rsidP="0076212A">
            <w:pPr>
              <w:spacing w:before="40" w:after="80"/>
              <w:rPr>
                <w:lang w:val="en-GB" w:eastAsia="en-CA" w:bidi="en-US"/>
              </w:rPr>
            </w:pPr>
            <w:r w:rsidRPr="005B3C63">
              <w:rPr>
                <w:lang w:val="en-GB" w:eastAsia="en-CA" w:bidi="en-US"/>
              </w:rPr>
              <w:t>Universidad Autónoma Metropolitana, Mexico</w:t>
            </w:r>
          </w:p>
        </w:tc>
      </w:tr>
      <w:tr w:rsidR="00BF08C1" w:rsidRPr="005B3C63" w14:paraId="7398B380" w14:textId="77777777" w:rsidTr="00D31508">
        <w:trPr>
          <w:jc w:val="right"/>
        </w:trPr>
        <w:tc>
          <w:tcPr>
            <w:tcW w:w="2970" w:type="dxa"/>
          </w:tcPr>
          <w:p w14:paraId="77AD0DE6" w14:textId="77777777" w:rsidR="00BF08C1" w:rsidRPr="005B3C63" w:rsidRDefault="00BF08C1" w:rsidP="0076212A">
            <w:pPr>
              <w:spacing w:before="40" w:after="80"/>
              <w:rPr>
                <w:b/>
                <w:color w:val="000000"/>
                <w:lang w:val="en-GB"/>
              </w:rPr>
            </w:pPr>
            <w:r w:rsidRPr="005B3C63">
              <w:rPr>
                <w:b/>
                <w:color w:val="000000"/>
                <w:lang w:val="en-GB"/>
              </w:rPr>
              <w:t>Kai Chan</w:t>
            </w:r>
          </w:p>
        </w:tc>
        <w:tc>
          <w:tcPr>
            <w:tcW w:w="5400" w:type="dxa"/>
          </w:tcPr>
          <w:p w14:paraId="44FB3122" w14:textId="77777777" w:rsidR="00BF08C1" w:rsidRPr="005B3C63" w:rsidRDefault="00BF08C1" w:rsidP="0076212A">
            <w:pPr>
              <w:spacing w:before="40" w:after="80"/>
              <w:rPr>
                <w:lang w:val="en-GB" w:eastAsia="en-CA" w:bidi="en-US"/>
              </w:rPr>
            </w:pPr>
            <w:r w:rsidRPr="005B3C63">
              <w:rPr>
                <w:lang w:val="en-GB" w:eastAsia="en-CA" w:bidi="en-US"/>
              </w:rPr>
              <w:t>University of British Columbia, Canada</w:t>
            </w:r>
          </w:p>
        </w:tc>
      </w:tr>
      <w:tr w:rsidR="00BF08C1" w:rsidRPr="005B3C63" w14:paraId="4C6F1FAB" w14:textId="77777777" w:rsidTr="00D31508">
        <w:trPr>
          <w:jc w:val="right"/>
        </w:trPr>
        <w:tc>
          <w:tcPr>
            <w:tcW w:w="2970" w:type="dxa"/>
          </w:tcPr>
          <w:p w14:paraId="442B20A6" w14:textId="77777777" w:rsidR="00BF08C1" w:rsidRPr="005B3C63" w:rsidRDefault="00BF08C1" w:rsidP="0076212A">
            <w:pPr>
              <w:spacing w:before="40" w:after="80"/>
              <w:rPr>
                <w:b/>
                <w:color w:val="000000"/>
                <w:lang w:val="en-GB"/>
              </w:rPr>
            </w:pPr>
            <w:r w:rsidRPr="005B3C63">
              <w:rPr>
                <w:b/>
                <w:color w:val="000000"/>
                <w:lang w:val="en-GB"/>
              </w:rPr>
              <w:t>German Corzo</w:t>
            </w:r>
          </w:p>
        </w:tc>
        <w:tc>
          <w:tcPr>
            <w:tcW w:w="5400" w:type="dxa"/>
          </w:tcPr>
          <w:p w14:paraId="4590508E" w14:textId="77777777" w:rsidR="00BF08C1" w:rsidRPr="005B3C63" w:rsidRDefault="00BF08C1" w:rsidP="0076212A">
            <w:pPr>
              <w:spacing w:before="40" w:after="80"/>
              <w:rPr>
                <w:lang w:val="en-GB" w:eastAsia="en-CA" w:bidi="en-US"/>
              </w:rPr>
            </w:pPr>
            <w:r w:rsidRPr="005B3C63">
              <w:rPr>
                <w:lang w:val="en-GB" w:eastAsia="en-CA" w:bidi="en-US"/>
              </w:rPr>
              <w:t>Instituto Humboldt, Colombia</w:t>
            </w:r>
          </w:p>
        </w:tc>
      </w:tr>
      <w:tr w:rsidR="00BF08C1" w:rsidRPr="005B3C63" w14:paraId="7E271AAC" w14:textId="77777777" w:rsidTr="00D31508">
        <w:trPr>
          <w:jc w:val="right"/>
        </w:trPr>
        <w:tc>
          <w:tcPr>
            <w:tcW w:w="2970" w:type="dxa"/>
          </w:tcPr>
          <w:p w14:paraId="5E1EB2EB" w14:textId="77777777" w:rsidR="00BF08C1" w:rsidRPr="005B3C63" w:rsidRDefault="00BF08C1" w:rsidP="0076212A">
            <w:pPr>
              <w:spacing w:before="40" w:after="80"/>
              <w:rPr>
                <w:b/>
                <w:color w:val="000000"/>
                <w:lang w:val="en-GB"/>
              </w:rPr>
            </w:pPr>
            <w:r w:rsidRPr="005B3C63">
              <w:rPr>
                <w:b/>
                <w:color w:val="000000"/>
                <w:lang w:val="en-GB"/>
              </w:rPr>
              <w:t>Kirsten Davies</w:t>
            </w:r>
          </w:p>
        </w:tc>
        <w:tc>
          <w:tcPr>
            <w:tcW w:w="5400" w:type="dxa"/>
          </w:tcPr>
          <w:p w14:paraId="5AC2CC5E" w14:textId="77777777" w:rsidR="00BF08C1" w:rsidRPr="005B3C63" w:rsidRDefault="00BF08C1" w:rsidP="0076212A">
            <w:pPr>
              <w:spacing w:before="40" w:after="80"/>
              <w:rPr>
                <w:lang w:val="en-GB" w:eastAsia="en-CA" w:bidi="en-US"/>
              </w:rPr>
            </w:pPr>
            <w:r w:rsidRPr="005B3C63">
              <w:rPr>
                <w:lang w:val="en-GB" w:eastAsia="en-CA" w:bidi="en-US"/>
              </w:rPr>
              <w:t>Macquarie University, Australia</w:t>
            </w:r>
          </w:p>
        </w:tc>
      </w:tr>
      <w:tr w:rsidR="00BF08C1" w:rsidRPr="005B3C63" w14:paraId="12484707" w14:textId="77777777" w:rsidTr="00D31508">
        <w:trPr>
          <w:jc w:val="right"/>
        </w:trPr>
        <w:tc>
          <w:tcPr>
            <w:tcW w:w="2970" w:type="dxa"/>
          </w:tcPr>
          <w:p w14:paraId="3D37213C" w14:textId="77777777" w:rsidR="00BF08C1" w:rsidRPr="005B3C63" w:rsidRDefault="00BF08C1" w:rsidP="0076212A">
            <w:pPr>
              <w:spacing w:before="40" w:after="80"/>
              <w:rPr>
                <w:b/>
                <w:color w:val="000000"/>
                <w:lang w:val="en-GB"/>
              </w:rPr>
            </w:pPr>
            <w:r w:rsidRPr="005B3C63">
              <w:rPr>
                <w:b/>
                <w:color w:val="000000"/>
                <w:lang w:val="en-GB"/>
              </w:rPr>
              <w:t>Liesel Ebersöhn</w:t>
            </w:r>
          </w:p>
        </w:tc>
        <w:tc>
          <w:tcPr>
            <w:tcW w:w="5400" w:type="dxa"/>
          </w:tcPr>
          <w:p w14:paraId="0702D23E" w14:textId="77777777" w:rsidR="00BF08C1" w:rsidRPr="005B3C63" w:rsidRDefault="00BF08C1" w:rsidP="0076212A">
            <w:pPr>
              <w:spacing w:before="40" w:after="80"/>
              <w:rPr>
                <w:lang w:val="en-GB" w:eastAsia="en-CA" w:bidi="en-US"/>
              </w:rPr>
            </w:pPr>
            <w:r w:rsidRPr="005B3C63">
              <w:rPr>
                <w:lang w:val="en-GB" w:eastAsia="en-CA" w:bidi="en-US"/>
              </w:rPr>
              <w:t>University of Pretoria, South Africa</w:t>
            </w:r>
          </w:p>
        </w:tc>
      </w:tr>
      <w:tr w:rsidR="00BF08C1" w:rsidRPr="005B3C63" w14:paraId="56F690F7" w14:textId="77777777" w:rsidTr="00D31508">
        <w:trPr>
          <w:jc w:val="right"/>
        </w:trPr>
        <w:tc>
          <w:tcPr>
            <w:tcW w:w="2970" w:type="dxa"/>
          </w:tcPr>
          <w:p w14:paraId="79D99B5A" w14:textId="77777777" w:rsidR="00BF08C1" w:rsidRPr="005B3C63" w:rsidRDefault="00BF08C1" w:rsidP="0076212A">
            <w:pPr>
              <w:spacing w:before="40" w:after="80"/>
              <w:rPr>
                <w:b/>
                <w:color w:val="000000"/>
                <w:lang w:val="en-GB"/>
              </w:rPr>
            </w:pPr>
            <w:r w:rsidRPr="005B3C63">
              <w:rPr>
                <w:b/>
                <w:color w:val="000000"/>
                <w:lang w:val="en-GB"/>
              </w:rPr>
              <w:t>Timothy Forsyth</w:t>
            </w:r>
          </w:p>
        </w:tc>
        <w:tc>
          <w:tcPr>
            <w:tcW w:w="5400" w:type="dxa"/>
          </w:tcPr>
          <w:p w14:paraId="2C29B44C" w14:textId="77777777" w:rsidR="00BF08C1" w:rsidRPr="005B3C63" w:rsidRDefault="00BF08C1" w:rsidP="0076212A">
            <w:pPr>
              <w:spacing w:before="40" w:after="80"/>
              <w:rPr>
                <w:lang w:val="en-GB" w:eastAsia="en-CA" w:bidi="en-US"/>
              </w:rPr>
            </w:pPr>
            <w:r w:rsidRPr="005B3C63">
              <w:rPr>
                <w:lang w:val="en-GB" w:eastAsia="en-CA" w:bidi="en-US"/>
              </w:rPr>
              <w:t>London School of Economics and Political Science, United Kingdom</w:t>
            </w:r>
          </w:p>
        </w:tc>
      </w:tr>
      <w:tr w:rsidR="00BF08C1" w:rsidRPr="005B3C63" w14:paraId="57544E3D" w14:textId="77777777" w:rsidTr="00D31508">
        <w:trPr>
          <w:jc w:val="right"/>
        </w:trPr>
        <w:tc>
          <w:tcPr>
            <w:tcW w:w="2970" w:type="dxa"/>
          </w:tcPr>
          <w:p w14:paraId="4C2426E7" w14:textId="77777777" w:rsidR="00BF08C1" w:rsidRPr="005B3C63" w:rsidRDefault="00BF08C1" w:rsidP="0076212A">
            <w:pPr>
              <w:spacing w:before="40" w:after="80"/>
              <w:rPr>
                <w:b/>
                <w:color w:val="000000"/>
                <w:lang w:val="en-GB"/>
              </w:rPr>
            </w:pPr>
            <w:r w:rsidRPr="005B3C63">
              <w:rPr>
                <w:b/>
                <w:color w:val="000000"/>
                <w:lang w:val="en-GB"/>
              </w:rPr>
              <w:t>Sonali Ghosh</w:t>
            </w:r>
          </w:p>
        </w:tc>
        <w:tc>
          <w:tcPr>
            <w:tcW w:w="5400" w:type="dxa"/>
          </w:tcPr>
          <w:p w14:paraId="21F53739" w14:textId="77777777" w:rsidR="00BF08C1" w:rsidRPr="005B3C63" w:rsidRDefault="00BF08C1" w:rsidP="0076212A">
            <w:pPr>
              <w:spacing w:before="40" w:after="80"/>
              <w:rPr>
                <w:lang w:val="en-GB" w:eastAsia="en-CA" w:bidi="en-US"/>
              </w:rPr>
            </w:pPr>
            <w:r w:rsidRPr="005B3C63">
              <w:rPr>
                <w:lang w:val="en-GB" w:eastAsia="en-CA" w:bidi="en-US"/>
              </w:rPr>
              <w:t>Ministry of Drinking Water and Sanitation, India</w:t>
            </w:r>
          </w:p>
        </w:tc>
      </w:tr>
      <w:tr w:rsidR="00BF08C1" w:rsidRPr="005B3C63" w14:paraId="4C001A7F" w14:textId="77777777" w:rsidTr="00D31508">
        <w:trPr>
          <w:jc w:val="right"/>
        </w:trPr>
        <w:tc>
          <w:tcPr>
            <w:tcW w:w="2970" w:type="dxa"/>
          </w:tcPr>
          <w:p w14:paraId="584A4D68" w14:textId="77777777" w:rsidR="00BF08C1" w:rsidRPr="005B3C63" w:rsidRDefault="00BF08C1" w:rsidP="0076212A">
            <w:pPr>
              <w:spacing w:before="40" w:after="80"/>
              <w:rPr>
                <w:b/>
                <w:color w:val="000000"/>
                <w:lang w:val="en-GB"/>
              </w:rPr>
            </w:pPr>
            <w:r w:rsidRPr="005B3C63">
              <w:rPr>
                <w:b/>
                <w:color w:val="000000"/>
                <w:lang w:val="en-GB"/>
              </w:rPr>
              <w:t>Gladys Cecilia Hernández Pedraza</w:t>
            </w:r>
          </w:p>
        </w:tc>
        <w:tc>
          <w:tcPr>
            <w:tcW w:w="5400" w:type="dxa"/>
          </w:tcPr>
          <w:p w14:paraId="3588610E" w14:textId="77777777" w:rsidR="00BF08C1" w:rsidRPr="005B3C63" w:rsidRDefault="00BF08C1" w:rsidP="0076212A">
            <w:pPr>
              <w:spacing w:before="40" w:after="80"/>
              <w:rPr>
                <w:iCs/>
                <w:lang w:val="en-GB" w:eastAsia="en-CA" w:bidi="en-US"/>
              </w:rPr>
            </w:pPr>
            <w:r w:rsidRPr="005B3C63">
              <w:rPr>
                <w:iCs/>
                <w:lang w:val="en-GB" w:eastAsia="en-CA" w:bidi="en-US"/>
              </w:rPr>
              <w:t>CIEM Research Centre for World Economy, Cuba</w:t>
            </w:r>
          </w:p>
        </w:tc>
      </w:tr>
      <w:tr w:rsidR="00BF08C1" w:rsidRPr="005B3C63" w14:paraId="64B4B93C" w14:textId="77777777" w:rsidTr="00D31508">
        <w:trPr>
          <w:jc w:val="right"/>
        </w:trPr>
        <w:tc>
          <w:tcPr>
            <w:tcW w:w="2970" w:type="dxa"/>
          </w:tcPr>
          <w:p w14:paraId="3B054DC2" w14:textId="77777777" w:rsidR="00BF08C1" w:rsidRPr="005B3C63" w:rsidRDefault="00BF08C1" w:rsidP="0076212A">
            <w:pPr>
              <w:spacing w:before="40" w:after="80"/>
              <w:rPr>
                <w:b/>
                <w:color w:val="000000"/>
                <w:lang w:val="en-GB"/>
              </w:rPr>
            </w:pPr>
            <w:r w:rsidRPr="005B3C63">
              <w:rPr>
                <w:b/>
                <w:color w:val="000000"/>
                <w:lang w:val="en-GB"/>
              </w:rPr>
              <w:t>Chinwe Ifejika Speranza</w:t>
            </w:r>
          </w:p>
        </w:tc>
        <w:tc>
          <w:tcPr>
            <w:tcW w:w="5400" w:type="dxa"/>
          </w:tcPr>
          <w:p w14:paraId="5584DA3A" w14:textId="77777777" w:rsidR="00BF08C1" w:rsidRPr="005B3C63" w:rsidRDefault="00BF08C1" w:rsidP="0076212A">
            <w:pPr>
              <w:spacing w:before="40" w:after="80"/>
              <w:rPr>
                <w:iCs/>
                <w:lang w:val="en-GB" w:eastAsia="en-CA" w:bidi="en-US"/>
              </w:rPr>
            </w:pPr>
            <w:r w:rsidRPr="005B3C63">
              <w:rPr>
                <w:iCs/>
                <w:lang w:val="en-GB" w:eastAsia="en-CA" w:bidi="en-US"/>
              </w:rPr>
              <w:t>University of Bern, Switzerland</w:t>
            </w:r>
          </w:p>
        </w:tc>
      </w:tr>
      <w:tr w:rsidR="00BF08C1" w:rsidRPr="005B3C63" w14:paraId="7FBA9A36" w14:textId="77777777" w:rsidTr="00D31508">
        <w:trPr>
          <w:jc w:val="right"/>
        </w:trPr>
        <w:tc>
          <w:tcPr>
            <w:tcW w:w="2970" w:type="dxa"/>
          </w:tcPr>
          <w:p w14:paraId="04332EA8" w14:textId="77777777" w:rsidR="00BF08C1" w:rsidRPr="005B3C63" w:rsidRDefault="00BF08C1" w:rsidP="0076212A">
            <w:pPr>
              <w:spacing w:before="40" w:after="80"/>
              <w:rPr>
                <w:b/>
                <w:color w:val="000000"/>
                <w:lang w:val="en-GB"/>
              </w:rPr>
            </w:pPr>
            <w:r w:rsidRPr="005B3C63">
              <w:rPr>
                <w:b/>
                <w:color w:val="000000"/>
                <w:lang w:val="en-GB"/>
              </w:rPr>
              <w:t>Ganesh Joshi</w:t>
            </w:r>
          </w:p>
        </w:tc>
        <w:tc>
          <w:tcPr>
            <w:tcW w:w="5400" w:type="dxa"/>
          </w:tcPr>
          <w:p w14:paraId="3A91A02C" w14:textId="77777777" w:rsidR="00BF08C1" w:rsidRPr="005B3C63" w:rsidRDefault="00BF08C1" w:rsidP="0076212A">
            <w:pPr>
              <w:spacing w:before="40" w:after="80"/>
              <w:rPr>
                <w:iCs/>
                <w:lang w:val="en-GB" w:eastAsia="en-CA" w:bidi="en-US"/>
              </w:rPr>
            </w:pPr>
            <w:r w:rsidRPr="005B3C63">
              <w:rPr>
                <w:iCs/>
                <w:lang w:val="en-GB" w:eastAsia="en-CA" w:bidi="en-US"/>
              </w:rPr>
              <w:t>Commission for the Investigation of Abuse of Authority, Nepal</w:t>
            </w:r>
          </w:p>
        </w:tc>
      </w:tr>
      <w:tr w:rsidR="00BF08C1" w:rsidRPr="005B3C63" w14:paraId="1D10C32D" w14:textId="77777777" w:rsidTr="00D31508">
        <w:trPr>
          <w:jc w:val="right"/>
        </w:trPr>
        <w:tc>
          <w:tcPr>
            <w:tcW w:w="2970" w:type="dxa"/>
          </w:tcPr>
          <w:p w14:paraId="34BB0ED7" w14:textId="77777777" w:rsidR="00BF08C1" w:rsidRPr="005B3C63" w:rsidRDefault="00BF08C1" w:rsidP="0076212A">
            <w:pPr>
              <w:spacing w:before="40" w:after="80"/>
              <w:rPr>
                <w:b/>
                <w:color w:val="000000"/>
                <w:lang w:val="en-GB"/>
              </w:rPr>
            </w:pPr>
            <w:r w:rsidRPr="005B3C63">
              <w:rPr>
                <w:b/>
                <w:color w:val="000000"/>
                <w:lang w:val="en-GB"/>
              </w:rPr>
              <w:t>Felix Kanungwe Kalaba</w:t>
            </w:r>
          </w:p>
        </w:tc>
        <w:tc>
          <w:tcPr>
            <w:tcW w:w="5400" w:type="dxa"/>
          </w:tcPr>
          <w:p w14:paraId="07352673" w14:textId="77777777" w:rsidR="00BF08C1" w:rsidRPr="005B3C63" w:rsidRDefault="00BF08C1" w:rsidP="0076212A">
            <w:pPr>
              <w:spacing w:before="40" w:after="80"/>
              <w:rPr>
                <w:iCs/>
                <w:lang w:val="en-GB" w:eastAsia="en-CA" w:bidi="en-US"/>
              </w:rPr>
            </w:pPr>
            <w:r w:rsidRPr="005B3C63">
              <w:rPr>
                <w:iCs/>
                <w:lang w:val="en-GB" w:eastAsia="en-CA" w:bidi="en-US"/>
              </w:rPr>
              <w:t xml:space="preserve">Copperbelt University, Zambia </w:t>
            </w:r>
          </w:p>
        </w:tc>
      </w:tr>
      <w:tr w:rsidR="00BF08C1" w:rsidRPr="005B3C63" w14:paraId="087B75E4" w14:textId="77777777" w:rsidTr="00D31508">
        <w:trPr>
          <w:jc w:val="right"/>
        </w:trPr>
        <w:tc>
          <w:tcPr>
            <w:tcW w:w="2970" w:type="dxa"/>
          </w:tcPr>
          <w:p w14:paraId="271C4E12" w14:textId="77777777" w:rsidR="00BF08C1" w:rsidRPr="005B3C63" w:rsidRDefault="00BF08C1" w:rsidP="0076212A">
            <w:pPr>
              <w:spacing w:before="40" w:after="80"/>
              <w:rPr>
                <w:b/>
                <w:color w:val="000000"/>
                <w:lang w:val="en-GB"/>
              </w:rPr>
            </w:pPr>
            <w:r w:rsidRPr="005B3C63">
              <w:rPr>
                <w:b/>
                <w:color w:val="000000"/>
                <w:lang w:val="en-GB"/>
              </w:rPr>
              <w:t>Prakash Kashwan</w:t>
            </w:r>
          </w:p>
        </w:tc>
        <w:tc>
          <w:tcPr>
            <w:tcW w:w="5400" w:type="dxa"/>
          </w:tcPr>
          <w:p w14:paraId="03EBCF46" w14:textId="77777777" w:rsidR="00BF08C1" w:rsidRPr="005B3C63" w:rsidRDefault="00BF08C1" w:rsidP="0076212A">
            <w:pPr>
              <w:spacing w:before="40" w:after="80"/>
              <w:rPr>
                <w:iCs/>
                <w:lang w:val="en-GB" w:eastAsia="en-CA" w:bidi="en-US"/>
              </w:rPr>
            </w:pPr>
            <w:r w:rsidRPr="005B3C63">
              <w:rPr>
                <w:iCs/>
                <w:lang w:val="en-GB" w:eastAsia="en-CA" w:bidi="en-US"/>
              </w:rPr>
              <w:t xml:space="preserve">University of Connecticut, United States of America </w:t>
            </w:r>
          </w:p>
        </w:tc>
      </w:tr>
      <w:tr w:rsidR="00BF08C1" w:rsidRPr="005B3C63" w14:paraId="36669FCC" w14:textId="77777777" w:rsidTr="00D31508">
        <w:trPr>
          <w:jc w:val="right"/>
        </w:trPr>
        <w:tc>
          <w:tcPr>
            <w:tcW w:w="2970" w:type="dxa"/>
          </w:tcPr>
          <w:p w14:paraId="03666DEB" w14:textId="77777777" w:rsidR="00BF08C1" w:rsidRPr="005B3C63" w:rsidRDefault="00BF08C1" w:rsidP="0076212A">
            <w:pPr>
              <w:spacing w:before="40" w:after="80"/>
              <w:rPr>
                <w:b/>
                <w:color w:val="000000"/>
                <w:lang w:val="en-GB"/>
              </w:rPr>
            </w:pPr>
            <w:r w:rsidRPr="005B3C63">
              <w:rPr>
                <w:b/>
                <w:color w:val="000000"/>
                <w:lang w:val="en-GB"/>
              </w:rPr>
              <w:t>Nicholas King</w:t>
            </w:r>
          </w:p>
        </w:tc>
        <w:tc>
          <w:tcPr>
            <w:tcW w:w="5400" w:type="dxa"/>
          </w:tcPr>
          <w:p w14:paraId="0B938BCB" w14:textId="77777777" w:rsidR="00BF08C1" w:rsidRPr="005B3C63" w:rsidRDefault="00BF08C1" w:rsidP="0076212A">
            <w:pPr>
              <w:spacing w:before="40" w:after="80"/>
              <w:rPr>
                <w:iCs/>
                <w:lang w:val="en-GB" w:eastAsia="en-CA" w:bidi="en-US"/>
              </w:rPr>
            </w:pPr>
            <w:r w:rsidRPr="005B3C63">
              <w:rPr>
                <w:iCs/>
                <w:lang w:val="en-GB" w:eastAsia="en-CA" w:bidi="en-US"/>
              </w:rPr>
              <w:t>Independent researcher/consultant, South Africa</w:t>
            </w:r>
          </w:p>
        </w:tc>
      </w:tr>
      <w:tr w:rsidR="00BF08C1" w:rsidRPr="005B3C63" w14:paraId="6C086EF8" w14:textId="77777777" w:rsidTr="00D31508">
        <w:trPr>
          <w:jc w:val="right"/>
        </w:trPr>
        <w:tc>
          <w:tcPr>
            <w:tcW w:w="2970" w:type="dxa"/>
          </w:tcPr>
          <w:p w14:paraId="1A0D1FAA" w14:textId="77777777" w:rsidR="00BF08C1" w:rsidRPr="005B3C63" w:rsidRDefault="00BF08C1" w:rsidP="0076212A">
            <w:pPr>
              <w:spacing w:before="40" w:after="80"/>
              <w:rPr>
                <w:b/>
                <w:color w:val="000000"/>
                <w:lang w:val="en-GB"/>
              </w:rPr>
            </w:pPr>
            <w:r w:rsidRPr="005B3C63">
              <w:rPr>
                <w:b/>
                <w:color w:val="000000"/>
                <w:lang w:val="en-GB"/>
              </w:rPr>
              <w:t>Oluwatoyin Kolawole</w:t>
            </w:r>
          </w:p>
        </w:tc>
        <w:tc>
          <w:tcPr>
            <w:tcW w:w="5400" w:type="dxa"/>
          </w:tcPr>
          <w:p w14:paraId="04848C56" w14:textId="77777777" w:rsidR="00BF08C1" w:rsidRPr="005B3C63" w:rsidRDefault="00BF08C1" w:rsidP="0076212A">
            <w:pPr>
              <w:spacing w:before="40" w:after="80"/>
              <w:rPr>
                <w:iCs/>
                <w:lang w:val="en-GB" w:eastAsia="en-CA" w:bidi="en-US"/>
              </w:rPr>
            </w:pPr>
            <w:r w:rsidRPr="005B3C63">
              <w:rPr>
                <w:iCs/>
                <w:lang w:val="en-GB" w:eastAsia="en-CA" w:bidi="en-US"/>
              </w:rPr>
              <w:t>University of Botswana, Nigeria</w:t>
            </w:r>
          </w:p>
        </w:tc>
      </w:tr>
      <w:tr w:rsidR="00BF08C1" w:rsidRPr="005B3C63" w14:paraId="14B78F0F" w14:textId="77777777" w:rsidTr="00D31508">
        <w:trPr>
          <w:jc w:val="right"/>
        </w:trPr>
        <w:tc>
          <w:tcPr>
            <w:tcW w:w="2970" w:type="dxa"/>
          </w:tcPr>
          <w:p w14:paraId="1A9614FC" w14:textId="77777777" w:rsidR="00BF08C1" w:rsidRPr="005B3C63" w:rsidRDefault="00BF08C1" w:rsidP="0076212A">
            <w:pPr>
              <w:spacing w:before="40" w:after="80"/>
              <w:rPr>
                <w:b/>
                <w:color w:val="000000"/>
                <w:lang w:val="en-GB"/>
              </w:rPr>
            </w:pPr>
            <w:r w:rsidRPr="005B3C63">
              <w:rPr>
                <w:b/>
                <w:color w:val="000000"/>
                <w:lang w:val="en-GB"/>
              </w:rPr>
              <w:t>Mahendra Kumar</w:t>
            </w:r>
          </w:p>
        </w:tc>
        <w:tc>
          <w:tcPr>
            <w:tcW w:w="5400" w:type="dxa"/>
          </w:tcPr>
          <w:p w14:paraId="0AAFC8D0" w14:textId="77777777" w:rsidR="00BF08C1" w:rsidRPr="005B3C63" w:rsidRDefault="00BF08C1" w:rsidP="0076212A">
            <w:pPr>
              <w:spacing w:before="40" w:after="80"/>
              <w:rPr>
                <w:iCs/>
                <w:lang w:val="en-GB" w:eastAsia="en-CA" w:bidi="en-US"/>
              </w:rPr>
            </w:pPr>
            <w:r w:rsidRPr="005B3C63">
              <w:rPr>
                <w:iCs/>
                <w:lang w:val="en-GB" w:eastAsia="en-CA" w:bidi="en-US"/>
              </w:rPr>
              <w:t>Australian National University, Fiji</w:t>
            </w:r>
          </w:p>
        </w:tc>
      </w:tr>
      <w:tr w:rsidR="00BF08C1" w:rsidRPr="005B3C63" w14:paraId="4566347E" w14:textId="77777777" w:rsidTr="00D31508">
        <w:trPr>
          <w:jc w:val="right"/>
        </w:trPr>
        <w:tc>
          <w:tcPr>
            <w:tcW w:w="2970" w:type="dxa"/>
          </w:tcPr>
          <w:p w14:paraId="60F7EE77" w14:textId="77777777" w:rsidR="00BF08C1" w:rsidRPr="005B3C63" w:rsidRDefault="00BF08C1" w:rsidP="0076212A">
            <w:pPr>
              <w:spacing w:before="40" w:after="80"/>
              <w:rPr>
                <w:b/>
                <w:color w:val="000000"/>
                <w:lang w:val="en-GB"/>
              </w:rPr>
            </w:pPr>
            <w:r w:rsidRPr="005B3C63">
              <w:rPr>
                <w:b/>
                <w:color w:val="000000"/>
                <w:lang w:val="en-GB"/>
              </w:rPr>
              <w:t>Diana Gabriela Lope Alzina</w:t>
            </w:r>
          </w:p>
        </w:tc>
        <w:tc>
          <w:tcPr>
            <w:tcW w:w="5400" w:type="dxa"/>
          </w:tcPr>
          <w:p w14:paraId="22843807" w14:textId="77777777" w:rsidR="00BF08C1" w:rsidRPr="005B3C63" w:rsidRDefault="00BF08C1" w:rsidP="0076212A">
            <w:pPr>
              <w:spacing w:before="40" w:after="80"/>
              <w:rPr>
                <w:iCs/>
                <w:lang w:val="en-GB" w:eastAsia="en-CA" w:bidi="en-US"/>
              </w:rPr>
            </w:pPr>
            <w:proofErr w:type="spellStart"/>
            <w:r w:rsidRPr="005B3C63">
              <w:rPr>
                <w:iCs/>
                <w:lang w:val="en-GB" w:eastAsia="en-CA" w:bidi="en-US"/>
              </w:rPr>
              <w:t>Tecnológico</w:t>
            </w:r>
            <w:proofErr w:type="spellEnd"/>
            <w:r w:rsidRPr="005B3C63">
              <w:rPr>
                <w:iCs/>
                <w:lang w:val="en-GB" w:eastAsia="en-CA" w:bidi="en-US"/>
              </w:rPr>
              <w:t xml:space="preserve"> Nacional de México / Instituto </w:t>
            </w:r>
            <w:proofErr w:type="spellStart"/>
            <w:r w:rsidRPr="005B3C63">
              <w:rPr>
                <w:iCs/>
                <w:lang w:val="en-GB" w:eastAsia="en-CA" w:bidi="en-US"/>
              </w:rPr>
              <w:t>Tecnológico</w:t>
            </w:r>
            <w:proofErr w:type="spellEnd"/>
            <w:r w:rsidRPr="005B3C63">
              <w:rPr>
                <w:iCs/>
                <w:lang w:val="en-GB" w:eastAsia="en-CA" w:bidi="en-US"/>
              </w:rPr>
              <w:t xml:space="preserve"> de </w:t>
            </w:r>
            <w:proofErr w:type="spellStart"/>
            <w:r w:rsidRPr="005B3C63">
              <w:rPr>
                <w:iCs/>
                <w:lang w:val="en-GB" w:eastAsia="en-CA" w:bidi="en-US"/>
              </w:rPr>
              <w:t>Tlalpan</w:t>
            </w:r>
            <w:proofErr w:type="spellEnd"/>
            <w:r w:rsidRPr="005B3C63">
              <w:rPr>
                <w:iCs/>
                <w:lang w:val="en-GB" w:eastAsia="en-CA" w:bidi="en-US"/>
              </w:rPr>
              <w:t>, Mexico</w:t>
            </w:r>
          </w:p>
        </w:tc>
      </w:tr>
      <w:tr w:rsidR="00BF08C1" w:rsidRPr="005B3C63" w14:paraId="6155A8D2" w14:textId="77777777" w:rsidTr="00D31508">
        <w:trPr>
          <w:jc w:val="right"/>
        </w:trPr>
        <w:tc>
          <w:tcPr>
            <w:tcW w:w="2970" w:type="dxa"/>
          </w:tcPr>
          <w:p w14:paraId="7CF89857" w14:textId="77777777" w:rsidR="00BF08C1" w:rsidRPr="005B3C63" w:rsidRDefault="00BF08C1" w:rsidP="0076212A">
            <w:pPr>
              <w:spacing w:before="40" w:after="80"/>
              <w:rPr>
                <w:b/>
                <w:color w:val="000000"/>
                <w:lang w:val="en-GB"/>
              </w:rPr>
            </w:pPr>
            <w:r w:rsidRPr="005B3C63">
              <w:rPr>
                <w:b/>
                <w:color w:val="000000"/>
                <w:lang w:val="en-GB"/>
              </w:rPr>
              <w:t>Diana Mangalagiu</w:t>
            </w:r>
          </w:p>
        </w:tc>
        <w:tc>
          <w:tcPr>
            <w:tcW w:w="5400" w:type="dxa"/>
          </w:tcPr>
          <w:p w14:paraId="67F94840" w14:textId="77777777" w:rsidR="00BF08C1" w:rsidRPr="005B3C63" w:rsidRDefault="00BF08C1" w:rsidP="0076212A">
            <w:pPr>
              <w:spacing w:before="40" w:after="80"/>
              <w:rPr>
                <w:iCs/>
                <w:lang w:val="en-GB" w:eastAsia="en-CA" w:bidi="en-US"/>
              </w:rPr>
            </w:pPr>
            <w:r w:rsidRPr="005B3C63">
              <w:rPr>
                <w:iCs/>
                <w:lang w:val="en-GB" w:eastAsia="en-CA" w:bidi="en-US"/>
              </w:rPr>
              <w:t>University of Oxford, United Kingdom</w:t>
            </w:r>
          </w:p>
        </w:tc>
      </w:tr>
      <w:tr w:rsidR="00BF08C1" w:rsidRPr="005B3C63" w14:paraId="1301FBA2" w14:textId="77777777" w:rsidTr="00D31508">
        <w:trPr>
          <w:jc w:val="right"/>
        </w:trPr>
        <w:tc>
          <w:tcPr>
            <w:tcW w:w="2970" w:type="dxa"/>
          </w:tcPr>
          <w:p w14:paraId="2E3A7DDF" w14:textId="77777777" w:rsidR="00BF08C1" w:rsidRPr="005B3C63" w:rsidRDefault="00BF08C1" w:rsidP="0076212A">
            <w:pPr>
              <w:spacing w:before="40" w:after="80"/>
              <w:rPr>
                <w:b/>
                <w:color w:val="000000"/>
                <w:lang w:val="en-GB"/>
              </w:rPr>
            </w:pPr>
            <w:r w:rsidRPr="005B3C63">
              <w:rPr>
                <w:b/>
                <w:color w:val="000000"/>
                <w:lang w:val="en-GB"/>
              </w:rPr>
              <w:t>Karen O’Brien</w:t>
            </w:r>
          </w:p>
        </w:tc>
        <w:tc>
          <w:tcPr>
            <w:tcW w:w="5400" w:type="dxa"/>
          </w:tcPr>
          <w:p w14:paraId="14FB97FA" w14:textId="77777777" w:rsidR="00BF08C1" w:rsidRPr="005B3C63" w:rsidRDefault="00BF08C1" w:rsidP="0076212A">
            <w:pPr>
              <w:spacing w:before="40" w:after="80"/>
              <w:rPr>
                <w:iCs/>
                <w:lang w:val="en-GB" w:eastAsia="en-CA" w:bidi="en-US"/>
              </w:rPr>
            </w:pPr>
            <w:r w:rsidRPr="005B3C63">
              <w:rPr>
                <w:iCs/>
                <w:lang w:val="en-GB" w:eastAsia="en-CA" w:bidi="en-US"/>
              </w:rPr>
              <w:t>University of Oslo, Norway</w:t>
            </w:r>
          </w:p>
        </w:tc>
      </w:tr>
      <w:tr w:rsidR="00BF08C1" w:rsidRPr="005B3C63" w14:paraId="0D8A4BEE" w14:textId="77777777" w:rsidTr="00D31508">
        <w:trPr>
          <w:jc w:val="right"/>
        </w:trPr>
        <w:tc>
          <w:tcPr>
            <w:tcW w:w="2970" w:type="dxa"/>
          </w:tcPr>
          <w:p w14:paraId="4E1F36F7" w14:textId="77777777" w:rsidR="00BF08C1" w:rsidRPr="005B3C63" w:rsidRDefault="00BF08C1" w:rsidP="0076212A">
            <w:pPr>
              <w:spacing w:before="40" w:after="80"/>
              <w:rPr>
                <w:b/>
                <w:color w:val="000000"/>
                <w:lang w:val="en-GB"/>
              </w:rPr>
            </w:pPr>
            <w:r w:rsidRPr="005B3C63">
              <w:rPr>
                <w:b/>
                <w:color w:val="000000"/>
                <w:lang w:val="en-GB"/>
              </w:rPr>
              <w:lastRenderedPageBreak/>
              <w:t>Alex Pfaff</w:t>
            </w:r>
          </w:p>
        </w:tc>
        <w:tc>
          <w:tcPr>
            <w:tcW w:w="5400" w:type="dxa"/>
          </w:tcPr>
          <w:p w14:paraId="1E8C75A7" w14:textId="77777777" w:rsidR="00BF08C1" w:rsidRPr="005B3C63" w:rsidRDefault="00BF08C1" w:rsidP="0076212A">
            <w:pPr>
              <w:spacing w:before="40" w:after="80"/>
              <w:rPr>
                <w:iCs/>
                <w:lang w:val="en-GB" w:eastAsia="en-CA" w:bidi="en-US"/>
              </w:rPr>
            </w:pPr>
            <w:r w:rsidRPr="005B3C63">
              <w:rPr>
                <w:iCs/>
                <w:lang w:val="en-GB" w:eastAsia="en-CA" w:bidi="en-US"/>
              </w:rPr>
              <w:t>Duke University, United States of America</w:t>
            </w:r>
          </w:p>
        </w:tc>
      </w:tr>
      <w:tr w:rsidR="00BF08C1" w:rsidRPr="005B3C63" w14:paraId="765A78BD" w14:textId="77777777" w:rsidTr="00D31508">
        <w:trPr>
          <w:jc w:val="right"/>
        </w:trPr>
        <w:tc>
          <w:tcPr>
            <w:tcW w:w="2970" w:type="dxa"/>
          </w:tcPr>
          <w:p w14:paraId="0D8FAF26" w14:textId="77777777" w:rsidR="00BF08C1" w:rsidRPr="005B3C63" w:rsidRDefault="00BF08C1" w:rsidP="0076212A">
            <w:pPr>
              <w:spacing w:before="40" w:after="80"/>
              <w:rPr>
                <w:b/>
                <w:color w:val="000000"/>
                <w:lang w:val="en-GB"/>
              </w:rPr>
            </w:pPr>
            <w:r w:rsidRPr="005B3C63">
              <w:rPr>
                <w:b/>
                <w:color w:val="000000"/>
                <w:lang w:val="en-GB"/>
              </w:rPr>
              <w:t>André Francisco Pilon</w:t>
            </w:r>
          </w:p>
        </w:tc>
        <w:tc>
          <w:tcPr>
            <w:tcW w:w="5400" w:type="dxa"/>
          </w:tcPr>
          <w:p w14:paraId="5C3EF56F" w14:textId="77777777" w:rsidR="00BF08C1" w:rsidRPr="005B3C63" w:rsidRDefault="00BF08C1" w:rsidP="0076212A">
            <w:pPr>
              <w:spacing w:before="40" w:after="80"/>
              <w:rPr>
                <w:iCs/>
                <w:lang w:val="en-GB" w:eastAsia="en-CA" w:bidi="en-US"/>
              </w:rPr>
            </w:pPr>
            <w:r w:rsidRPr="005B3C63">
              <w:rPr>
                <w:iCs/>
                <w:lang w:val="en-GB" w:eastAsia="en-CA" w:bidi="en-US"/>
              </w:rPr>
              <w:t>University of São Paulo, Brazil</w:t>
            </w:r>
          </w:p>
        </w:tc>
      </w:tr>
      <w:tr w:rsidR="00BF08C1" w:rsidRPr="005B3C63" w14:paraId="36C4E154" w14:textId="77777777" w:rsidTr="00D31508">
        <w:trPr>
          <w:jc w:val="right"/>
        </w:trPr>
        <w:tc>
          <w:tcPr>
            <w:tcW w:w="2970" w:type="dxa"/>
          </w:tcPr>
          <w:p w14:paraId="07D6ED90" w14:textId="77777777" w:rsidR="00BF08C1" w:rsidRPr="005B3C63" w:rsidRDefault="00BF08C1" w:rsidP="0076212A">
            <w:pPr>
              <w:spacing w:before="40" w:after="80"/>
              <w:rPr>
                <w:b/>
                <w:color w:val="000000"/>
                <w:lang w:val="en-GB"/>
              </w:rPr>
            </w:pPr>
            <w:r w:rsidRPr="005B3C63">
              <w:rPr>
                <w:b/>
                <w:color w:val="000000"/>
                <w:lang w:val="en-GB"/>
              </w:rPr>
              <w:t>Archi Rastogi</w:t>
            </w:r>
          </w:p>
        </w:tc>
        <w:tc>
          <w:tcPr>
            <w:tcW w:w="5400" w:type="dxa"/>
          </w:tcPr>
          <w:p w14:paraId="5B646D60" w14:textId="77777777" w:rsidR="00BF08C1" w:rsidRPr="005B3C63" w:rsidRDefault="00BF08C1" w:rsidP="0076212A">
            <w:pPr>
              <w:spacing w:before="40" w:after="80"/>
              <w:rPr>
                <w:iCs/>
                <w:lang w:val="en-GB" w:eastAsia="en-CA" w:bidi="en-US"/>
              </w:rPr>
            </w:pPr>
            <w:r w:rsidRPr="005B3C63">
              <w:rPr>
                <w:iCs/>
                <w:lang w:val="en-GB" w:eastAsia="en-CA" w:bidi="en-US"/>
              </w:rPr>
              <w:t>Green Climate Fund</w:t>
            </w:r>
          </w:p>
        </w:tc>
      </w:tr>
      <w:tr w:rsidR="00BF08C1" w:rsidRPr="005B3C63" w14:paraId="6805EF9A" w14:textId="77777777" w:rsidTr="00D31508">
        <w:trPr>
          <w:jc w:val="right"/>
        </w:trPr>
        <w:tc>
          <w:tcPr>
            <w:tcW w:w="2970" w:type="dxa"/>
          </w:tcPr>
          <w:p w14:paraId="3A052B1C" w14:textId="77777777" w:rsidR="00BF08C1" w:rsidRPr="005B3C63" w:rsidRDefault="00BF08C1" w:rsidP="0076212A">
            <w:pPr>
              <w:spacing w:before="40" w:after="80"/>
              <w:rPr>
                <w:b/>
                <w:color w:val="000000"/>
                <w:lang w:val="en-GB"/>
              </w:rPr>
            </w:pPr>
            <w:r w:rsidRPr="005B3C63">
              <w:rPr>
                <w:b/>
                <w:color w:val="000000"/>
                <w:lang w:val="en-GB"/>
              </w:rPr>
              <w:t>Belinda Reyers</w:t>
            </w:r>
          </w:p>
        </w:tc>
        <w:tc>
          <w:tcPr>
            <w:tcW w:w="5400" w:type="dxa"/>
          </w:tcPr>
          <w:p w14:paraId="7353919B" w14:textId="77777777" w:rsidR="00BF08C1" w:rsidRPr="005B3C63" w:rsidRDefault="00BF08C1" w:rsidP="0076212A">
            <w:pPr>
              <w:spacing w:before="40" w:after="80"/>
              <w:rPr>
                <w:iCs/>
                <w:lang w:val="en-GB" w:eastAsia="en-CA" w:bidi="en-US"/>
              </w:rPr>
            </w:pPr>
            <w:r w:rsidRPr="005B3C63">
              <w:rPr>
                <w:iCs/>
                <w:lang w:val="en-GB" w:eastAsia="en-CA" w:bidi="en-US"/>
              </w:rPr>
              <w:t>University of Pretoria, South Africa</w:t>
            </w:r>
          </w:p>
        </w:tc>
      </w:tr>
      <w:tr w:rsidR="00BF08C1" w:rsidRPr="005B3C63" w14:paraId="429A58F3" w14:textId="77777777" w:rsidTr="00D31508">
        <w:trPr>
          <w:jc w:val="right"/>
        </w:trPr>
        <w:tc>
          <w:tcPr>
            <w:tcW w:w="2970" w:type="dxa"/>
          </w:tcPr>
          <w:p w14:paraId="46C5D05F" w14:textId="77777777" w:rsidR="00BF08C1" w:rsidRPr="005B3C63" w:rsidRDefault="00BF08C1" w:rsidP="0076212A">
            <w:pPr>
              <w:spacing w:before="40" w:after="80"/>
              <w:rPr>
                <w:b/>
                <w:color w:val="000000"/>
                <w:lang w:val="en-GB"/>
              </w:rPr>
            </w:pPr>
            <w:r w:rsidRPr="005B3C63">
              <w:rPr>
                <w:b/>
                <w:color w:val="000000"/>
                <w:lang w:val="en-GB"/>
              </w:rPr>
              <w:t>Catherine Sabinot</w:t>
            </w:r>
          </w:p>
        </w:tc>
        <w:tc>
          <w:tcPr>
            <w:tcW w:w="5400" w:type="dxa"/>
          </w:tcPr>
          <w:p w14:paraId="2DD795CB" w14:textId="77777777" w:rsidR="00BF08C1" w:rsidRPr="005B3C63" w:rsidRDefault="00BF08C1" w:rsidP="0076212A">
            <w:pPr>
              <w:spacing w:before="40" w:after="80"/>
              <w:rPr>
                <w:iCs/>
                <w:lang w:val="en-GB" w:eastAsia="en-CA" w:bidi="en-US"/>
              </w:rPr>
            </w:pPr>
            <w:r w:rsidRPr="005B3C63">
              <w:rPr>
                <w:iCs/>
                <w:lang w:val="en-GB" w:eastAsia="en-CA" w:bidi="en-US"/>
              </w:rPr>
              <w:t>Institute of Research for the Development, France</w:t>
            </w:r>
          </w:p>
        </w:tc>
      </w:tr>
      <w:tr w:rsidR="00BF08C1" w:rsidRPr="005B3C63" w14:paraId="00B767A1" w14:textId="77777777" w:rsidTr="00D31508">
        <w:trPr>
          <w:jc w:val="right"/>
        </w:trPr>
        <w:tc>
          <w:tcPr>
            <w:tcW w:w="2970" w:type="dxa"/>
          </w:tcPr>
          <w:p w14:paraId="365331B4" w14:textId="77777777" w:rsidR="00BF08C1" w:rsidRPr="005B3C63" w:rsidRDefault="00BF08C1" w:rsidP="0076212A">
            <w:pPr>
              <w:spacing w:before="40" w:after="80"/>
              <w:rPr>
                <w:b/>
                <w:color w:val="000000"/>
                <w:lang w:val="en-GB"/>
              </w:rPr>
            </w:pPr>
            <w:r w:rsidRPr="005B3C63">
              <w:rPr>
                <w:b/>
                <w:color w:val="000000"/>
                <w:lang w:val="en-GB"/>
              </w:rPr>
              <w:t>Maria Schultz</w:t>
            </w:r>
          </w:p>
        </w:tc>
        <w:tc>
          <w:tcPr>
            <w:tcW w:w="5400" w:type="dxa"/>
          </w:tcPr>
          <w:p w14:paraId="30A68E8C" w14:textId="77777777" w:rsidR="00BF08C1" w:rsidRPr="005B3C63" w:rsidRDefault="00BF08C1" w:rsidP="0076212A">
            <w:pPr>
              <w:spacing w:before="40" w:after="80"/>
              <w:rPr>
                <w:iCs/>
                <w:lang w:val="en-GB" w:eastAsia="en-CA" w:bidi="en-US"/>
              </w:rPr>
            </w:pPr>
            <w:r w:rsidRPr="005B3C63">
              <w:rPr>
                <w:iCs/>
                <w:lang w:val="en-GB" w:eastAsia="en-CA" w:bidi="en-US"/>
              </w:rPr>
              <w:t>Vi Agroforestry, Sweden</w:t>
            </w:r>
          </w:p>
        </w:tc>
      </w:tr>
      <w:tr w:rsidR="00BF08C1" w:rsidRPr="005B3C63" w14:paraId="736E5C48" w14:textId="77777777" w:rsidTr="00D31508">
        <w:trPr>
          <w:jc w:val="right"/>
        </w:trPr>
        <w:tc>
          <w:tcPr>
            <w:tcW w:w="2970" w:type="dxa"/>
          </w:tcPr>
          <w:p w14:paraId="170F4C01" w14:textId="77777777" w:rsidR="00BF08C1" w:rsidRPr="005B3C63" w:rsidRDefault="00BF08C1" w:rsidP="0076212A">
            <w:pPr>
              <w:spacing w:before="40" w:after="80"/>
              <w:rPr>
                <w:b/>
                <w:color w:val="000000"/>
                <w:lang w:val="en-GB"/>
              </w:rPr>
            </w:pPr>
            <w:r w:rsidRPr="005B3C63">
              <w:rPr>
                <w:b/>
                <w:color w:val="000000"/>
                <w:lang w:val="en-GB"/>
              </w:rPr>
              <w:t>Esther Turnhout</w:t>
            </w:r>
          </w:p>
        </w:tc>
        <w:tc>
          <w:tcPr>
            <w:tcW w:w="5400" w:type="dxa"/>
          </w:tcPr>
          <w:p w14:paraId="40E384E7" w14:textId="77777777" w:rsidR="00BF08C1" w:rsidRPr="005B3C63" w:rsidRDefault="00BF08C1" w:rsidP="0076212A">
            <w:pPr>
              <w:spacing w:before="40" w:after="80"/>
              <w:rPr>
                <w:iCs/>
                <w:lang w:val="en-GB" w:eastAsia="en-CA" w:bidi="en-US"/>
              </w:rPr>
            </w:pPr>
            <w:r w:rsidRPr="005B3C63">
              <w:rPr>
                <w:iCs/>
                <w:lang w:val="en-GB" w:eastAsia="en-CA" w:bidi="en-US"/>
              </w:rPr>
              <w:t>Wageningen University, Netherlands</w:t>
            </w:r>
          </w:p>
        </w:tc>
      </w:tr>
      <w:tr w:rsidR="00BF08C1" w:rsidRPr="005B3C63" w14:paraId="12852948" w14:textId="77777777" w:rsidTr="00D31508">
        <w:trPr>
          <w:jc w:val="right"/>
        </w:trPr>
        <w:tc>
          <w:tcPr>
            <w:tcW w:w="2970" w:type="dxa"/>
          </w:tcPr>
          <w:p w14:paraId="6BD72DE4" w14:textId="77777777" w:rsidR="00BF08C1" w:rsidRPr="005B3C63" w:rsidRDefault="00BF08C1" w:rsidP="0076212A">
            <w:pPr>
              <w:spacing w:before="40" w:after="80"/>
              <w:rPr>
                <w:b/>
                <w:color w:val="000000"/>
                <w:lang w:val="en-GB"/>
              </w:rPr>
            </w:pPr>
            <w:r w:rsidRPr="005B3C63">
              <w:rPr>
                <w:b/>
                <w:color w:val="000000"/>
                <w:lang w:val="en-GB"/>
              </w:rPr>
              <w:t>Sebastian Villasante</w:t>
            </w:r>
          </w:p>
        </w:tc>
        <w:tc>
          <w:tcPr>
            <w:tcW w:w="5400" w:type="dxa"/>
          </w:tcPr>
          <w:p w14:paraId="390867DC" w14:textId="77777777" w:rsidR="00BF08C1" w:rsidRPr="005B3C63" w:rsidRDefault="00BF08C1" w:rsidP="0076212A">
            <w:pPr>
              <w:spacing w:before="40" w:after="80"/>
              <w:rPr>
                <w:iCs/>
                <w:lang w:val="en-GB" w:eastAsia="en-CA" w:bidi="en-US"/>
              </w:rPr>
            </w:pPr>
            <w:r w:rsidRPr="005B3C63">
              <w:rPr>
                <w:iCs/>
                <w:lang w:val="en-GB" w:eastAsia="en-CA" w:bidi="en-US"/>
              </w:rPr>
              <w:t>University of Santiago de Compostela, Spain</w:t>
            </w:r>
          </w:p>
        </w:tc>
      </w:tr>
      <w:tr w:rsidR="00BF08C1" w:rsidRPr="005B3C63" w14:paraId="29774EB1" w14:textId="77777777" w:rsidTr="00D31508">
        <w:trPr>
          <w:jc w:val="right"/>
        </w:trPr>
        <w:tc>
          <w:tcPr>
            <w:tcW w:w="2970" w:type="dxa"/>
          </w:tcPr>
          <w:p w14:paraId="198D7824" w14:textId="77777777" w:rsidR="00BF08C1" w:rsidRPr="005B3C63" w:rsidRDefault="00BF08C1" w:rsidP="0076212A">
            <w:pPr>
              <w:spacing w:before="40" w:after="80"/>
              <w:rPr>
                <w:b/>
                <w:color w:val="000000"/>
                <w:lang w:val="en-GB"/>
              </w:rPr>
            </w:pPr>
            <w:r w:rsidRPr="005B3C63">
              <w:rPr>
                <w:b/>
                <w:color w:val="000000"/>
                <w:lang w:val="en-GB"/>
              </w:rPr>
              <w:t>Lun Yin</w:t>
            </w:r>
          </w:p>
        </w:tc>
        <w:tc>
          <w:tcPr>
            <w:tcW w:w="5400" w:type="dxa"/>
          </w:tcPr>
          <w:p w14:paraId="6346AD68" w14:textId="77777777" w:rsidR="00BF08C1" w:rsidRPr="005B3C63" w:rsidRDefault="00BF08C1" w:rsidP="0076212A">
            <w:pPr>
              <w:spacing w:before="40" w:after="80"/>
              <w:rPr>
                <w:iCs/>
                <w:lang w:val="en-GB" w:eastAsia="en-CA" w:bidi="en-US"/>
              </w:rPr>
            </w:pPr>
            <w:r w:rsidRPr="005B3C63">
              <w:rPr>
                <w:iCs/>
                <w:lang w:val="en-GB" w:eastAsia="en-CA" w:bidi="en-US"/>
              </w:rPr>
              <w:t>Yunnan University, China</w:t>
            </w:r>
          </w:p>
        </w:tc>
      </w:tr>
      <w:tr w:rsidR="00BF08C1" w:rsidRPr="005B3C63" w14:paraId="30703F22" w14:textId="77777777" w:rsidTr="00D31508">
        <w:trPr>
          <w:jc w:val="right"/>
        </w:trPr>
        <w:tc>
          <w:tcPr>
            <w:tcW w:w="2970" w:type="dxa"/>
          </w:tcPr>
          <w:p w14:paraId="6112A2F5" w14:textId="77777777" w:rsidR="00BF08C1" w:rsidRPr="005B3C63" w:rsidRDefault="00BF08C1" w:rsidP="0076212A">
            <w:pPr>
              <w:spacing w:before="40" w:after="80"/>
              <w:rPr>
                <w:b/>
                <w:color w:val="000000"/>
                <w:lang w:val="en-GB"/>
              </w:rPr>
            </w:pPr>
            <w:r w:rsidRPr="005B3C63">
              <w:rPr>
                <w:b/>
                <w:color w:val="000000"/>
                <w:lang w:val="en-GB"/>
              </w:rPr>
              <w:t>Yeo Chang Youn</w:t>
            </w:r>
          </w:p>
        </w:tc>
        <w:tc>
          <w:tcPr>
            <w:tcW w:w="5400" w:type="dxa"/>
          </w:tcPr>
          <w:p w14:paraId="230275DC" w14:textId="77777777" w:rsidR="00BF08C1" w:rsidRPr="005B3C63" w:rsidRDefault="00BF08C1" w:rsidP="0076212A">
            <w:pPr>
              <w:spacing w:before="40" w:after="80"/>
              <w:rPr>
                <w:iCs/>
                <w:lang w:val="en-GB" w:eastAsia="en-CA" w:bidi="en-US"/>
              </w:rPr>
            </w:pPr>
            <w:r w:rsidRPr="005B3C63">
              <w:rPr>
                <w:iCs/>
                <w:lang w:val="en-GB" w:eastAsia="en-CA" w:bidi="en-US"/>
              </w:rPr>
              <w:t>Seoul National University, Republic of Korea</w:t>
            </w:r>
          </w:p>
        </w:tc>
      </w:tr>
      <w:tr w:rsidR="00BF08C1" w:rsidRPr="005B3C63" w14:paraId="03A61C4A" w14:textId="77777777" w:rsidTr="00D31508">
        <w:trPr>
          <w:jc w:val="right"/>
        </w:trPr>
        <w:tc>
          <w:tcPr>
            <w:tcW w:w="2970" w:type="dxa"/>
          </w:tcPr>
          <w:p w14:paraId="5D32B665" w14:textId="77777777" w:rsidR="00BF08C1" w:rsidRPr="005B3C63" w:rsidRDefault="00BF08C1" w:rsidP="0076212A">
            <w:pPr>
              <w:spacing w:before="40" w:after="80"/>
              <w:rPr>
                <w:b/>
                <w:color w:val="000000"/>
                <w:lang w:val="en-GB"/>
              </w:rPr>
            </w:pPr>
            <w:r w:rsidRPr="005B3C63">
              <w:rPr>
                <w:b/>
                <w:color w:val="000000"/>
                <w:lang w:val="en-GB"/>
              </w:rPr>
              <w:t>Juliette Young</w:t>
            </w:r>
          </w:p>
        </w:tc>
        <w:tc>
          <w:tcPr>
            <w:tcW w:w="5400" w:type="dxa"/>
          </w:tcPr>
          <w:p w14:paraId="7D8C1F9F" w14:textId="77777777" w:rsidR="00BF08C1" w:rsidRPr="005B3C63" w:rsidRDefault="00BF08C1" w:rsidP="0076212A">
            <w:pPr>
              <w:spacing w:before="40" w:after="80"/>
              <w:rPr>
                <w:iCs/>
                <w:lang w:val="en-GB" w:eastAsia="en-CA" w:bidi="en-US"/>
              </w:rPr>
            </w:pPr>
            <w:r w:rsidRPr="005B3C63">
              <w:rPr>
                <w:iCs/>
                <w:lang w:val="en-GB" w:eastAsia="en-CA" w:bidi="en-US"/>
              </w:rPr>
              <w:t>UBFC/INRA, United Kingdom</w:t>
            </w:r>
          </w:p>
        </w:tc>
      </w:tr>
      <w:tr w:rsidR="00BF08C1" w:rsidRPr="005B3C63" w14:paraId="72A8B899" w14:textId="77777777" w:rsidTr="00D31508">
        <w:trPr>
          <w:jc w:val="right"/>
        </w:trPr>
        <w:tc>
          <w:tcPr>
            <w:tcW w:w="2970" w:type="dxa"/>
          </w:tcPr>
          <w:p w14:paraId="1697EA5F" w14:textId="77777777" w:rsidR="00BF08C1" w:rsidRPr="005B3C63" w:rsidRDefault="00BF08C1" w:rsidP="0076212A">
            <w:pPr>
              <w:spacing w:before="40" w:after="80"/>
              <w:rPr>
                <w:b/>
                <w:color w:val="000000"/>
                <w:lang w:val="en-GB"/>
              </w:rPr>
            </w:pPr>
            <w:r w:rsidRPr="005B3C63">
              <w:rPr>
                <w:b/>
                <w:color w:val="000000"/>
                <w:lang w:val="en-GB"/>
              </w:rPr>
              <w:t>Erika Zavaleta</w:t>
            </w:r>
          </w:p>
        </w:tc>
        <w:tc>
          <w:tcPr>
            <w:tcW w:w="5400" w:type="dxa"/>
          </w:tcPr>
          <w:p w14:paraId="5D070DC9" w14:textId="77777777" w:rsidR="00BF08C1" w:rsidRPr="005B3C63" w:rsidRDefault="00BF08C1" w:rsidP="0076212A">
            <w:pPr>
              <w:spacing w:before="40" w:after="80"/>
              <w:rPr>
                <w:iCs/>
                <w:lang w:val="en-GB" w:eastAsia="en-CA" w:bidi="en-US"/>
              </w:rPr>
            </w:pPr>
            <w:r w:rsidRPr="005B3C63">
              <w:rPr>
                <w:iCs/>
                <w:lang w:val="en-GB" w:eastAsia="en-CA" w:bidi="en-US"/>
              </w:rPr>
              <w:t>University of California at Santa Cruz, United States of America</w:t>
            </w:r>
          </w:p>
        </w:tc>
      </w:tr>
    </w:tbl>
    <w:p w14:paraId="4DBECAF4" w14:textId="77777777" w:rsidR="00BF08C1" w:rsidRPr="005B3C63" w:rsidRDefault="00BF08C1" w:rsidP="00BF08C1">
      <w:pPr>
        <w:rPr>
          <w:sz w:val="10"/>
          <w:szCs w:val="10"/>
          <w:lang w:val="en-GB"/>
        </w:rPr>
      </w:pPr>
    </w:p>
    <w:tbl>
      <w:tblPr>
        <w:tblW w:w="8307" w:type="dxa"/>
        <w:jc w:val="right"/>
        <w:tblLook w:val="04A0" w:firstRow="1" w:lastRow="0" w:firstColumn="1" w:lastColumn="0" w:noHBand="0" w:noVBand="1"/>
      </w:tblPr>
      <w:tblGrid>
        <w:gridCol w:w="2949"/>
        <w:gridCol w:w="5358"/>
      </w:tblGrid>
      <w:tr w:rsidR="00BF08C1" w:rsidRPr="005B3C63" w14:paraId="6F94C725" w14:textId="77777777" w:rsidTr="00D31508">
        <w:trPr>
          <w:tblHeader/>
          <w:jc w:val="right"/>
        </w:trPr>
        <w:tc>
          <w:tcPr>
            <w:tcW w:w="8370" w:type="dxa"/>
            <w:gridSpan w:val="2"/>
            <w:tcBorders>
              <w:top w:val="single" w:sz="4" w:space="0" w:color="auto"/>
              <w:bottom w:val="single" w:sz="12" w:space="0" w:color="auto"/>
            </w:tcBorders>
          </w:tcPr>
          <w:p w14:paraId="2B7CD8C5" w14:textId="77777777" w:rsidR="00BF08C1" w:rsidRPr="005B3C63" w:rsidRDefault="00BF08C1" w:rsidP="0076212A">
            <w:pPr>
              <w:spacing w:before="40" w:after="40"/>
              <w:rPr>
                <w:b/>
                <w:lang w:val="en-GB" w:eastAsia="en-CA" w:bidi="en-US"/>
              </w:rPr>
            </w:pPr>
            <w:r w:rsidRPr="005B3C63">
              <w:rPr>
                <w:b/>
                <w:lang w:val="en-GB" w:eastAsia="en-CA" w:bidi="en-US"/>
              </w:rPr>
              <w:t>RESOURCE PERSONS</w:t>
            </w:r>
          </w:p>
        </w:tc>
      </w:tr>
      <w:tr w:rsidR="00BF08C1" w:rsidRPr="005B3C63" w14:paraId="6B699480" w14:textId="77777777" w:rsidTr="00D31508">
        <w:trPr>
          <w:jc w:val="right"/>
        </w:trPr>
        <w:tc>
          <w:tcPr>
            <w:tcW w:w="2970" w:type="dxa"/>
          </w:tcPr>
          <w:p w14:paraId="39A8BE84" w14:textId="77777777" w:rsidR="00BF08C1" w:rsidRPr="005B3C63" w:rsidRDefault="00BF08C1" w:rsidP="0076212A">
            <w:pPr>
              <w:spacing w:before="40" w:after="80"/>
              <w:rPr>
                <w:b/>
                <w:lang w:val="en-GB" w:eastAsia="en-CA" w:bidi="en-US"/>
              </w:rPr>
            </w:pPr>
            <w:r w:rsidRPr="005B3C63">
              <w:rPr>
                <w:b/>
                <w:lang w:val="en-GB" w:bidi="en-US"/>
              </w:rPr>
              <w:t>David Cooper</w:t>
            </w:r>
          </w:p>
        </w:tc>
        <w:tc>
          <w:tcPr>
            <w:tcW w:w="5400" w:type="dxa"/>
          </w:tcPr>
          <w:p w14:paraId="19A1B355" w14:textId="77777777" w:rsidR="00BF08C1" w:rsidRPr="005B3C63" w:rsidRDefault="00BF08C1" w:rsidP="0076212A">
            <w:pPr>
              <w:spacing w:after="80"/>
              <w:rPr>
                <w:lang w:val="en-GB" w:eastAsia="en-CA" w:bidi="en-US"/>
              </w:rPr>
            </w:pPr>
            <w:r w:rsidRPr="005B3C63">
              <w:rPr>
                <w:lang w:val="en-GB" w:bidi="en-US"/>
              </w:rPr>
              <w:t>Secretariat of the Convention on Biological Diversity</w:t>
            </w:r>
          </w:p>
        </w:tc>
      </w:tr>
    </w:tbl>
    <w:p w14:paraId="3E6F0086" w14:textId="412F1C4C" w:rsidR="00A54604" w:rsidRPr="005B3C63" w:rsidRDefault="00A54604" w:rsidP="00BF08C1">
      <w:pPr>
        <w:pStyle w:val="Normal-pool"/>
        <w:rPr>
          <w:sz w:val="4"/>
          <w:szCs w:val="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A54604" w:rsidRPr="005B3C63" w14:paraId="519E080F" w14:textId="77777777" w:rsidTr="00700AD7">
        <w:tc>
          <w:tcPr>
            <w:tcW w:w="1897" w:type="dxa"/>
          </w:tcPr>
          <w:p w14:paraId="0AE5CAA8" w14:textId="77777777" w:rsidR="00A54604" w:rsidRPr="005B3C63" w:rsidRDefault="00A54604" w:rsidP="00BF08C1">
            <w:pPr>
              <w:pStyle w:val="Normal-pool"/>
              <w:spacing w:before="520" w:line="240" w:lineRule="auto"/>
              <w:rPr>
                <w:rFonts w:ascii="Times New Roman" w:hAnsi="Times New Roman" w:cs="Times New Roman"/>
                <w:lang w:val="en-GB"/>
              </w:rPr>
            </w:pPr>
          </w:p>
        </w:tc>
        <w:tc>
          <w:tcPr>
            <w:tcW w:w="1897" w:type="dxa"/>
          </w:tcPr>
          <w:p w14:paraId="2C9C4462" w14:textId="77777777" w:rsidR="00A54604" w:rsidRPr="005B3C63" w:rsidRDefault="00A54604" w:rsidP="00BF08C1">
            <w:pPr>
              <w:pStyle w:val="Normal-pool"/>
              <w:spacing w:before="520" w:line="240" w:lineRule="auto"/>
              <w:rPr>
                <w:rFonts w:ascii="Times New Roman" w:hAnsi="Times New Roman" w:cs="Times New Roman"/>
                <w:lang w:val="en-GB"/>
              </w:rPr>
            </w:pPr>
          </w:p>
        </w:tc>
        <w:tc>
          <w:tcPr>
            <w:tcW w:w="1897" w:type="dxa"/>
            <w:tcBorders>
              <w:bottom w:val="single" w:sz="4" w:space="0" w:color="auto"/>
            </w:tcBorders>
          </w:tcPr>
          <w:p w14:paraId="01F823AB" w14:textId="77777777" w:rsidR="00A54604" w:rsidRPr="005B3C63" w:rsidRDefault="00A54604" w:rsidP="00BF08C1">
            <w:pPr>
              <w:pStyle w:val="Normal-pool"/>
              <w:spacing w:before="520" w:line="240" w:lineRule="auto"/>
              <w:rPr>
                <w:rFonts w:ascii="Times New Roman" w:hAnsi="Times New Roman" w:cs="Times New Roman"/>
                <w:lang w:val="en-GB"/>
              </w:rPr>
            </w:pPr>
          </w:p>
        </w:tc>
        <w:tc>
          <w:tcPr>
            <w:tcW w:w="1897" w:type="dxa"/>
          </w:tcPr>
          <w:p w14:paraId="277D1636" w14:textId="77777777" w:rsidR="00A54604" w:rsidRPr="005B3C63" w:rsidRDefault="00A54604" w:rsidP="00BF08C1">
            <w:pPr>
              <w:pStyle w:val="Normal-pool"/>
              <w:spacing w:before="520" w:line="240" w:lineRule="auto"/>
              <w:rPr>
                <w:rFonts w:ascii="Times New Roman" w:hAnsi="Times New Roman" w:cs="Times New Roman"/>
                <w:lang w:val="en-GB"/>
              </w:rPr>
            </w:pPr>
          </w:p>
        </w:tc>
        <w:tc>
          <w:tcPr>
            <w:tcW w:w="1898" w:type="dxa"/>
          </w:tcPr>
          <w:p w14:paraId="04C9ED37" w14:textId="77777777" w:rsidR="00A54604" w:rsidRPr="005B3C63" w:rsidRDefault="00A54604" w:rsidP="00BF08C1">
            <w:pPr>
              <w:pStyle w:val="Normal-pool"/>
              <w:spacing w:before="520" w:line="240" w:lineRule="auto"/>
              <w:rPr>
                <w:rFonts w:ascii="Times New Roman" w:hAnsi="Times New Roman" w:cs="Times New Roman"/>
                <w:lang w:val="en-GB"/>
              </w:rPr>
            </w:pPr>
          </w:p>
        </w:tc>
      </w:tr>
    </w:tbl>
    <w:p w14:paraId="0594FF6A" w14:textId="77777777" w:rsidR="00A54604" w:rsidRPr="005B3C63" w:rsidRDefault="00A54604" w:rsidP="00700AD7">
      <w:pPr>
        <w:tabs>
          <w:tab w:val="left" w:pos="4082"/>
        </w:tabs>
        <w:rPr>
          <w:lang w:val="en-GB"/>
        </w:rPr>
      </w:pPr>
    </w:p>
    <w:sectPr w:rsidR="00A54604" w:rsidRPr="005B3C63" w:rsidSect="004E6CC8">
      <w:headerReference w:type="first" r:id="rId21"/>
      <w:footerReference w:type="first" r:id="rId22"/>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5F4AA" w14:textId="77777777" w:rsidR="001E2B99" w:rsidRDefault="001E2B99">
      <w:r>
        <w:separator/>
      </w:r>
    </w:p>
  </w:endnote>
  <w:endnote w:type="continuationSeparator" w:id="0">
    <w:p w14:paraId="5AF9434E" w14:textId="77777777" w:rsidR="001E2B99" w:rsidRDefault="001E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4657671"/>
      <w:docPartObj>
        <w:docPartGallery w:val="Page Numbers (Bottom of Page)"/>
        <w:docPartUnique/>
      </w:docPartObj>
    </w:sdtPr>
    <w:sdtEndPr>
      <w:rPr>
        <w:b/>
        <w:noProof/>
      </w:rPr>
    </w:sdtEndPr>
    <w:sdtContent>
      <w:p w14:paraId="42031D2A" w14:textId="7746A1B0" w:rsidR="00BF08C1" w:rsidRPr="00396960" w:rsidRDefault="00BF08C1">
        <w:pPr>
          <w:pStyle w:val="Footer"/>
          <w:rPr>
            <w:b/>
          </w:rPr>
        </w:pPr>
        <w:r w:rsidRPr="00396960">
          <w:rPr>
            <w:b/>
          </w:rPr>
          <w:fldChar w:fldCharType="begin"/>
        </w:r>
        <w:r w:rsidRPr="00396960">
          <w:rPr>
            <w:b/>
          </w:rPr>
          <w:instrText xml:space="preserve"> PAGE   \* MERGEFORMAT </w:instrText>
        </w:r>
        <w:r w:rsidRPr="00396960">
          <w:rPr>
            <w:b/>
          </w:rPr>
          <w:fldChar w:fldCharType="separate"/>
        </w:r>
        <w:r w:rsidR="00CB0B36">
          <w:rPr>
            <w:b/>
            <w:noProof/>
          </w:rPr>
          <w:t>6</w:t>
        </w:r>
        <w:r w:rsidRPr="00396960">
          <w:rPr>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1DB73" w14:textId="77777777" w:rsidR="00BF08C1" w:rsidRPr="00396960" w:rsidRDefault="00BF08C1" w:rsidP="00D616DB">
    <w:pPr>
      <w:pStyle w:val="Footer"/>
      <w:jc w:val="right"/>
      <w:rPr>
        <w:b/>
        <w:bCs/>
      </w:rPr>
    </w:pPr>
    <w:r w:rsidRPr="00396960">
      <w:rPr>
        <w:b/>
        <w:bCs/>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709A5" w14:textId="7EAEE6E3" w:rsidR="00BF08C1" w:rsidRPr="00BF08C1" w:rsidRDefault="00BF08C1" w:rsidP="00BF08C1">
    <w:pPr>
      <w:pStyle w:val="Normal-pool"/>
    </w:pPr>
    <w:r>
      <w:t>K2101295</w:t>
    </w:r>
    <w:r>
      <w:tab/>
    </w:r>
    <w:r w:rsidR="00EC4978">
      <w:t>19</w:t>
    </w:r>
    <w:r>
      <w:t>0521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11272" w14:textId="262A21B0" w:rsidR="00761E49" w:rsidRPr="00761E49" w:rsidRDefault="00761E49" w:rsidP="00D46DB8">
    <w:pPr>
      <w:pStyle w:val="Footer"/>
      <w:rPr>
        <w:b/>
        <w:bCs/>
      </w:rPr>
    </w:pPr>
    <w:r w:rsidRPr="00761E49">
      <w:rPr>
        <w:b/>
        <w:bCs/>
      </w:rPr>
      <w:fldChar w:fldCharType="begin"/>
    </w:r>
    <w:r w:rsidRPr="00761E49">
      <w:rPr>
        <w:b/>
        <w:bCs/>
      </w:rPr>
      <w:instrText xml:space="preserve"> PAGE   \* MERGEFORMAT </w:instrText>
    </w:r>
    <w:r w:rsidRPr="00761E49">
      <w:rPr>
        <w:b/>
        <w:bCs/>
      </w:rPr>
      <w:fldChar w:fldCharType="separate"/>
    </w:r>
    <w:r w:rsidR="00CB0B36">
      <w:rPr>
        <w:b/>
        <w:bCs/>
        <w:noProof/>
      </w:rPr>
      <w:t>2</w:t>
    </w:r>
    <w:r w:rsidRPr="00761E49">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A8036" w14:textId="77777777" w:rsidR="001E2B99" w:rsidRPr="00B332C6" w:rsidRDefault="001E2B99" w:rsidP="00B332C6">
      <w:pPr>
        <w:tabs>
          <w:tab w:val="clear" w:pos="1247"/>
          <w:tab w:val="clear" w:pos="1814"/>
          <w:tab w:val="clear" w:pos="2381"/>
          <w:tab w:val="clear" w:pos="2948"/>
          <w:tab w:val="clear" w:pos="3515"/>
          <w:tab w:val="left" w:pos="624"/>
        </w:tabs>
        <w:spacing w:before="60"/>
        <w:ind w:left="624"/>
        <w:rPr>
          <w:sz w:val="18"/>
          <w:szCs w:val="18"/>
        </w:rPr>
      </w:pPr>
      <w:r w:rsidRPr="00B332C6">
        <w:rPr>
          <w:sz w:val="18"/>
          <w:szCs w:val="18"/>
        </w:rPr>
        <w:separator/>
      </w:r>
    </w:p>
  </w:footnote>
  <w:footnote w:type="continuationSeparator" w:id="0">
    <w:p w14:paraId="1FB58B81" w14:textId="77777777" w:rsidR="001E2B99" w:rsidRDefault="001E2B99">
      <w:r>
        <w:continuationSeparator/>
      </w:r>
    </w:p>
  </w:footnote>
  <w:footnote w:id="1">
    <w:p w14:paraId="7E47D32E" w14:textId="77777777" w:rsidR="00A54604" w:rsidRPr="00B332C6" w:rsidRDefault="00A54604" w:rsidP="00B332C6">
      <w:pPr>
        <w:pStyle w:val="Normal-pool"/>
        <w:spacing w:before="20" w:after="40"/>
        <w:ind w:left="1247"/>
        <w:rPr>
          <w:sz w:val="18"/>
          <w:szCs w:val="18"/>
        </w:rPr>
      </w:pPr>
      <w:r w:rsidRPr="00B332C6">
        <w:rPr>
          <w:rStyle w:val="FootnoteReference"/>
          <w:sz w:val="18"/>
          <w:vertAlign w:val="baseline"/>
        </w:rPr>
        <w:t>*</w:t>
      </w:r>
      <w:r w:rsidRPr="00B332C6">
        <w:rPr>
          <w:sz w:val="18"/>
          <w:szCs w:val="18"/>
        </w:rPr>
        <w:t xml:space="preserve"> IPBES/8/1.</w:t>
      </w:r>
    </w:p>
  </w:footnote>
  <w:footnote w:id="2">
    <w:p w14:paraId="6DA559DD" w14:textId="77777777" w:rsidR="00BF08C1" w:rsidRPr="00B332C6" w:rsidRDefault="00BF08C1" w:rsidP="00B332C6">
      <w:pPr>
        <w:pStyle w:val="FootnoteText"/>
        <w:tabs>
          <w:tab w:val="left" w:pos="624"/>
        </w:tabs>
        <w:rPr>
          <w:szCs w:val="18"/>
          <w:lang w:val="en-GB"/>
        </w:rPr>
      </w:pPr>
      <w:r w:rsidRPr="00B332C6">
        <w:rPr>
          <w:rStyle w:val="FootnoteReference"/>
          <w:sz w:val="18"/>
        </w:rPr>
        <w:footnoteRef/>
      </w:r>
      <w:r w:rsidRPr="00B332C6">
        <w:rPr>
          <w:szCs w:val="18"/>
          <w:lang w:val="en-GB"/>
        </w:rPr>
        <w:t xml:space="preserve"> Transformative change refers to a fundamental, system-wide </w:t>
      </w:r>
      <w:r w:rsidRPr="00B332C6">
        <w:rPr>
          <w:rFonts w:eastAsia="Calibri"/>
          <w:bCs/>
          <w:szCs w:val="18"/>
          <w:lang w:val="en-GB"/>
        </w:rPr>
        <w:t>change that includes consideration of</w:t>
      </w:r>
      <w:r w:rsidRPr="00B332C6">
        <w:rPr>
          <w:szCs w:val="18"/>
          <w:lang w:val="en-GB"/>
        </w:rPr>
        <w:t xml:space="preserve"> technological, economic and social factors, including </w:t>
      </w:r>
      <w:r w:rsidRPr="00B332C6">
        <w:rPr>
          <w:rFonts w:eastAsia="Calibri"/>
          <w:bCs/>
          <w:szCs w:val="18"/>
          <w:lang w:val="en-GB"/>
        </w:rPr>
        <w:t xml:space="preserve">in terms of </w:t>
      </w:r>
      <w:r w:rsidRPr="00B332C6">
        <w:rPr>
          <w:szCs w:val="18"/>
          <w:lang w:val="en-GB"/>
        </w:rPr>
        <w:t>paradigms, goals and values.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5671F" w14:textId="77777777" w:rsidR="00BF08C1" w:rsidRPr="000B3B8F" w:rsidRDefault="00BF08C1" w:rsidP="00CB426D">
    <w:pPr>
      <w:pStyle w:val="Header"/>
      <w:tabs>
        <w:tab w:val="left" w:pos="624"/>
      </w:tabs>
      <w:rPr>
        <w:szCs w:val="18"/>
        <w:lang w:val="en-GB"/>
      </w:rPr>
    </w:pPr>
    <w:r>
      <w:rPr>
        <w:szCs w:val="18"/>
      </w:rPr>
      <w:t>IPBES/8/INF/6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602E1" w14:textId="77777777" w:rsidR="00BF08C1" w:rsidRPr="000B3B8F" w:rsidRDefault="00BF08C1" w:rsidP="00B420EB">
    <w:pPr>
      <w:pStyle w:val="Header"/>
      <w:tabs>
        <w:tab w:val="left" w:pos="624"/>
      </w:tabs>
      <w:jc w:val="right"/>
      <w:rPr>
        <w:szCs w:val="18"/>
        <w:lang w:val="en-GB"/>
      </w:rPr>
    </w:pPr>
    <w:r>
      <w:rPr>
        <w:szCs w:val="18"/>
      </w:rPr>
      <w:t>IPBES/8/INF/6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FC33F" w14:textId="77777777" w:rsidR="00BF08C1" w:rsidRDefault="00BF08C1" w:rsidP="00BF08C1">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E1361" w14:textId="5814E763" w:rsidR="00700AD7" w:rsidRPr="00700AD7" w:rsidRDefault="00700AD7" w:rsidP="00D46DB8">
    <w:pPr>
      <w:pStyle w:val="Header-pool"/>
      <w:rPr>
        <w:szCs w:val="18"/>
      </w:rPr>
    </w:pPr>
    <w:r w:rsidRPr="00700AD7">
      <w:rPr>
        <w:rFonts w:eastAsia="DengXian"/>
        <w:szCs w:val="18"/>
      </w:rPr>
      <w:t>IPBES/8/</w:t>
    </w:r>
    <w:r w:rsidR="00D46DB8">
      <w:rPr>
        <w:rFonts w:eastAsia="DengXian"/>
        <w:szCs w:val="18"/>
      </w:rPr>
      <w:t>INF/6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629E7"/>
    <w:multiLevelType w:val="multilevel"/>
    <w:tmpl w:val="BEDEBB48"/>
    <w:lvl w:ilvl="0">
      <w:start w:val="1"/>
      <w:numFmt w:val="decimal"/>
      <w:lvlText w:val="%1."/>
      <w:lvlJc w:val="left"/>
      <w:pPr>
        <w:tabs>
          <w:tab w:val="num" w:pos="1134"/>
        </w:tabs>
        <w:ind w:left="1247" w:firstLine="0"/>
      </w:pPr>
      <w:rPr>
        <w:rFonts w:hint="default"/>
        <w:i w:val="0"/>
        <w:iCs w: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2EA522A5"/>
    <w:multiLevelType w:val="multilevel"/>
    <w:tmpl w:val="851049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4C2747AC"/>
    <w:multiLevelType w:val="multilevel"/>
    <w:tmpl w:val="D2B8854E"/>
    <w:lvl w:ilvl="0">
      <w:start w:val="7"/>
      <w:numFmt w:val="decimal"/>
      <w:lvlText w:val="%1."/>
      <w:lvlJc w:val="left"/>
      <w:pPr>
        <w:tabs>
          <w:tab w:val="num" w:pos="567"/>
        </w:tabs>
        <w:ind w:left="1247" w:firstLine="0"/>
      </w:pPr>
      <w:rPr>
        <w:rFonts w:hint="default"/>
        <w:b w:val="0"/>
        <w:bCs/>
      </w:rPr>
    </w:lvl>
    <w:lvl w:ilvl="1">
      <w:start w:val="1"/>
      <w:numFmt w:val="lowerLetter"/>
      <w:lvlText w:val="(%2)"/>
      <w:lvlJc w:val="left"/>
      <w:pPr>
        <w:tabs>
          <w:tab w:val="num" w:pos="567"/>
        </w:tabs>
        <w:ind w:left="1247" w:firstLine="567"/>
      </w:pPr>
      <w:rPr>
        <w:rFonts w:hint="default"/>
      </w:rPr>
    </w:lvl>
    <w:lvl w:ilvl="2">
      <w:numFmt w:val="lowerRoman"/>
      <w:lvlText w:val="(%3)"/>
      <w:lvlJc w:val="left"/>
      <w:pPr>
        <w:tabs>
          <w:tab w:val="num" w:pos="567"/>
        </w:tabs>
        <w:ind w:left="2948" w:hanging="567"/>
      </w:pPr>
      <w:rPr>
        <w:rFonts w:hint="default"/>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5" w15:restartNumberingAfterBreak="0">
    <w:nsid w:val="4CAE722C"/>
    <w:multiLevelType w:val="multilevel"/>
    <w:tmpl w:val="D2B8854E"/>
    <w:lvl w:ilvl="0">
      <w:start w:val="7"/>
      <w:numFmt w:val="decimal"/>
      <w:lvlText w:val="%1."/>
      <w:lvlJc w:val="left"/>
      <w:pPr>
        <w:tabs>
          <w:tab w:val="num" w:pos="567"/>
        </w:tabs>
        <w:ind w:left="1247" w:firstLine="0"/>
      </w:pPr>
      <w:rPr>
        <w:rFonts w:hint="default"/>
        <w:b w:val="0"/>
        <w:bCs/>
      </w:rPr>
    </w:lvl>
    <w:lvl w:ilvl="1">
      <w:start w:val="1"/>
      <w:numFmt w:val="lowerLetter"/>
      <w:lvlText w:val="(%2)"/>
      <w:lvlJc w:val="left"/>
      <w:pPr>
        <w:tabs>
          <w:tab w:val="num" w:pos="567"/>
        </w:tabs>
        <w:ind w:left="1247" w:firstLine="567"/>
      </w:pPr>
      <w:rPr>
        <w:rFonts w:hint="default"/>
      </w:rPr>
    </w:lvl>
    <w:lvl w:ilvl="2">
      <w:numFmt w:val="lowerRoman"/>
      <w:lvlText w:val="(%3)"/>
      <w:lvlJc w:val="left"/>
      <w:pPr>
        <w:tabs>
          <w:tab w:val="num" w:pos="567"/>
        </w:tabs>
        <w:ind w:left="2948" w:hanging="567"/>
      </w:pPr>
      <w:rPr>
        <w:rFonts w:hint="default"/>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6" w15:restartNumberingAfterBreak="0">
    <w:nsid w:val="52A66A9D"/>
    <w:multiLevelType w:val="multilevel"/>
    <w:tmpl w:val="C43CB822"/>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
  </w:num>
  <w:num w:numId="2">
    <w:abstractNumId w:val="3"/>
  </w:num>
  <w:num w:numId="3">
    <w:abstractNumId w:val="6"/>
  </w:num>
  <w:num w:numId="4">
    <w:abstractNumId w:val="6"/>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5"/>
  </w:num>
  <w:num w:numId="6">
    <w:abstractNumId w:val="4"/>
  </w:num>
  <w:num w:numId="7">
    <w:abstractNumId w:val="0"/>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de-DE" w:vendorID="64" w:dllVersion="4096"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624"/>
  <w:hyphenationZone w:val="425"/>
  <w:evenAndOddHeaders/>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604"/>
    <w:rsid w:val="000149E6"/>
    <w:rsid w:val="000247B0"/>
    <w:rsid w:val="00026997"/>
    <w:rsid w:val="00033E0B"/>
    <w:rsid w:val="00034B68"/>
    <w:rsid w:val="00035EDE"/>
    <w:rsid w:val="000509B4"/>
    <w:rsid w:val="0006035B"/>
    <w:rsid w:val="00071886"/>
    <w:rsid w:val="000742BC"/>
    <w:rsid w:val="00082A0C"/>
    <w:rsid w:val="00083504"/>
    <w:rsid w:val="0009640C"/>
    <w:rsid w:val="000B22A2"/>
    <w:rsid w:val="000C2A52"/>
    <w:rsid w:val="000D33C0"/>
    <w:rsid w:val="000D6941"/>
    <w:rsid w:val="000F7448"/>
    <w:rsid w:val="001202E3"/>
    <w:rsid w:val="00123699"/>
    <w:rsid w:val="00123F79"/>
    <w:rsid w:val="0013059D"/>
    <w:rsid w:val="00141A55"/>
    <w:rsid w:val="001446A3"/>
    <w:rsid w:val="00155395"/>
    <w:rsid w:val="00160D74"/>
    <w:rsid w:val="00167D02"/>
    <w:rsid w:val="00181EC8"/>
    <w:rsid w:val="00184349"/>
    <w:rsid w:val="00195F33"/>
    <w:rsid w:val="001B1617"/>
    <w:rsid w:val="001B4760"/>
    <w:rsid w:val="001B504B"/>
    <w:rsid w:val="001C62C7"/>
    <w:rsid w:val="001D3874"/>
    <w:rsid w:val="001D7E75"/>
    <w:rsid w:val="001E2B99"/>
    <w:rsid w:val="001E56D2"/>
    <w:rsid w:val="001E7D56"/>
    <w:rsid w:val="001F75DE"/>
    <w:rsid w:val="00200D58"/>
    <w:rsid w:val="002013BE"/>
    <w:rsid w:val="002063A4"/>
    <w:rsid w:val="0021145B"/>
    <w:rsid w:val="00237C90"/>
    <w:rsid w:val="00243D36"/>
    <w:rsid w:val="00247707"/>
    <w:rsid w:val="002479DB"/>
    <w:rsid w:val="0026018E"/>
    <w:rsid w:val="00286740"/>
    <w:rsid w:val="002929D8"/>
    <w:rsid w:val="002A237D"/>
    <w:rsid w:val="002A4C53"/>
    <w:rsid w:val="002B0672"/>
    <w:rsid w:val="002B247F"/>
    <w:rsid w:val="002C145D"/>
    <w:rsid w:val="002C1B46"/>
    <w:rsid w:val="002C2C3E"/>
    <w:rsid w:val="002C4620"/>
    <w:rsid w:val="002C533E"/>
    <w:rsid w:val="002D027F"/>
    <w:rsid w:val="002D7A85"/>
    <w:rsid w:val="002D7B60"/>
    <w:rsid w:val="002F4761"/>
    <w:rsid w:val="002F5C79"/>
    <w:rsid w:val="003019E2"/>
    <w:rsid w:val="0031413F"/>
    <w:rsid w:val="003148BB"/>
    <w:rsid w:val="00317976"/>
    <w:rsid w:val="00355EA9"/>
    <w:rsid w:val="003578DE"/>
    <w:rsid w:val="003720F1"/>
    <w:rsid w:val="003814DA"/>
    <w:rsid w:val="00396257"/>
    <w:rsid w:val="00397EB8"/>
    <w:rsid w:val="003A4FD0"/>
    <w:rsid w:val="003A69D1"/>
    <w:rsid w:val="003A7705"/>
    <w:rsid w:val="003A77F1"/>
    <w:rsid w:val="003B1545"/>
    <w:rsid w:val="003B3431"/>
    <w:rsid w:val="003B40F8"/>
    <w:rsid w:val="003B5537"/>
    <w:rsid w:val="003C409D"/>
    <w:rsid w:val="003C5BA6"/>
    <w:rsid w:val="003F0E85"/>
    <w:rsid w:val="00410C55"/>
    <w:rsid w:val="00416854"/>
    <w:rsid w:val="00417725"/>
    <w:rsid w:val="00437F26"/>
    <w:rsid w:val="00444097"/>
    <w:rsid w:val="00445487"/>
    <w:rsid w:val="00454769"/>
    <w:rsid w:val="00466991"/>
    <w:rsid w:val="0047064C"/>
    <w:rsid w:val="004A42E1"/>
    <w:rsid w:val="004B162C"/>
    <w:rsid w:val="004C0E77"/>
    <w:rsid w:val="004C3DBE"/>
    <w:rsid w:val="004C5C96"/>
    <w:rsid w:val="004C6732"/>
    <w:rsid w:val="004D06A4"/>
    <w:rsid w:val="004D7086"/>
    <w:rsid w:val="004E6CC8"/>
    <w:rsid w:val="004F1A81"/>
    <w:rsid w:val="005017D4"/>
    <w:rsid w:val="0050666D"/>
    <w:rsid w:val="005218D9"/>
    <w:rsid w:val="00536186"/>
    <w:rsid w:val="00544CBB"/>
    <w:rsid w:val="0057315F"/>
    <w:rsid w:val="00576104"/>
    <w:rsid w:val="005A6F8B"/>
    <w:rsid w:val="005B3C63"/>
    <w:rsid w:val="005C67C8"/>
    <w:rsid w:val="005D0249"/>
    <w:rsid w:val="005D6E8C"/>
    <w:rsid w:val="005F100C"/>
    <w:rsid w:val="005F68DA"/>
    <w:rsid w:val="005F7361"/>
    <w:rsid w:val="0060773B"/>
    <w:rsid w:val="006157B5"/>
    <w:rsid w:val="00626FC6"/>
    <w:rsid w:val="006303B4"/>
    <w:rsid w:val="00633D3D"/>
    <w:rsid w:val="00635A9A"/>
    <w:rsid w:val="00641703"/>
    <w:rsid w:val="006431A6"/>
    <w:rsid w:val="006459F6"/>
    <w:rsid w:val="006501AD"/>
    <w:rsid w:val="00651BFA"/>
    <w:rsid w:val="00654475"/>
    <w:rsid w:val="00665A4B"/>
    <w:rsid w:val="00692E2A"/>
    <w:rsid w:val="006A76F2"/>
    <w:rsid w:val="006D7EFB"/>
    <w:rsid w:val="006E6672"/>
    <w:rsid w:val="006E6722"/>
    <w:rsid w:val="006F431C"/>
    <w:rsid w:val="00700AD7"/>
    <w:rsid w:val="00702331"/>
    <w:rsid w:val="007027B9"/>
    <w:rsid w:val="00715E88"/>
    <w:rsid w:val="00734CAA"/>
    <w:rsid w:val="0075533C"/>
    <w:rsid w:val="00757581"/>
    <w:rsid w:val="007611A0"/>
    <w:rsid w:val="00761E49"/>
    <w:rsid w:val="00796D3F"/>
    <w:rsid w:val="007A1683"/>
    <w:rsid w:val="007A5C12"/>
    <w:rsid w:val="007A7CB0"/>
    <w:rsid w:val="007B68A3"/>
    <w:rsid w:val="007C2541"/>
    <w:rsid w:val="007D1E93"/>
    <w:rsid w:val="007D66A8"/>
    <w:rsid w:val="007E003F"/>
    <w:rsid w:val="00814B5B"/>
    <w:rsid w:val="008164F2"/>
    <w:rsid w:val="00821395"/>
    <w:rsid w:val="00830E26"/>
    <w:rsid w:val="00843576"/>
    <w:rsid w:val="00843B64"/>
    <w:rsid w:val="008478FC"/>
    <w:rsid w:val="00867BFF"/>
    <w:rsid w:val="0088480A"/>
    <w:rsid w:val="0088757A"/>
    <w:rsid w:val="008957DD"/>
    <w:rsid w:val="00897D98"/>
    <w:rsid w:val="008A6DF2"/>
    <w:rsid w:val="008A7807"/>
    <w:rsid w:val="008B4CC9"/>
    <w:rsid w:val="008D2C27"/>
    <w:rsid w:val="008D7C99"/>
    <w:rsid w:val="008E0FCB"/>
    <w:rsid w:val="0092178C"/>
    <w:rsid w:val="00930B88"/>
    <w:rsid w:val="009366CA"/>
    <w:rsid w:val="00940DCC"/>
    <w:rsid w:val="0094179A"/>
    <w:rsid w:val="0094459E"/>
    <w:rsid w:val="00944DBC"/>
    <w:rsid w:val="00950977"/>
    <w:rsid w:val="00951A7B"/>
    <w:rsid w:val="009564A6"/>
    <w:rsid w:val="00967621"/>
    <w:rsid w:val="00967E6A"/>
    <w:rsid w:val="009B4A0F"/>
    <w:rsid w:val="009C11D2"/>
    <w:rsid w:val="009C3C35"/>
    <w:rsid w:val="009C6C70"/>
    <w:rsid w:val="009D0B63"/>
    <w:rsid w:val="009E307E"/>
    <w:rsid w:val="00A07870"/>
    <w:rsid w:val="00A07F19"/>
    <w:rsid w:val="00A1348D"/>
    <w:rsid w:val="00A232EE"/>
    <w:rsid w:val="00A4175F"/>
    <w:rsid w:val="00A44411"/>
    <w:rsid w:val="00A469FA"/>
    <w:rsid w:val="00A54604"/>
    <w:rsid w:val="00A55B01"/>
    <w:rsid w:val="00A56B5B"/>
    <w:rsid w:val="00A603FF"/>
    <w:rsid w:val="00A60F0F"/>
    <w:rsid w:val="00A657DD"/>
    <w:rsid w:val="00A666A6"/>
    <w:rsid w:val="00A675FD"/>
    <w:rsid w:val="00A72437"/>
    <w:rsid w:val="00A741CF"/>
    <w:rsid w:val="00A80611"/>
    <w:rsid w:val="00AA7FA6"/>
    <w:rsid w:val="00AB5340"/>
    <w:rsid w:val="00AC0A89"/>
    <w:rsid w:val="00AC7C96"/>
    <w:rsid w:val="00AE237D"/>
    <w:rsid w:val="00AE502A"/>
    <w:rsid w:val="00AF7C07"/>
    <w:rsid w:val="00B22C93"/>
    <w:rsid w:val="00B27589"/>
    <w:rsid w:val="00B332C6"/>
    <w:rsid w:val="00B33F41"/>
    <w:rsid w:val="00B405B7"/>
    <w:rsid w:val="00B447C0"/>
    <w:rsid w:val="00B52222"/>
    <w:rsid w:val="00B54FE7"/>
    <w:rsid w:val="00B66901"/>
    <w:rsid w:val="00B71E6D"/>
    <w:rsid w:val="00B72070"/>
    <w:rsid w:val="00B779E1"/>
    <w:rsid w:val="00B91EE1"/>
    <w:rsid w:val="00BA0090"/>
    <w:rsid w:val="00BA1A67"/>
    <w:rsid w:val="00BD12C0"/>
    <w:rsid w:val="00BE5B5F"/>
    <w:rsid w:val="00BF08C1"/>
    <w:rsid w:val="00C00E3F"/>
    <w:rsid w:val="00C02176"/>
    <w:rsid w:val="00C26F55"/>
    <w:rsid w:val="00C30C63"/>
    <w:rsid w:val="00C36B8B"/>
    <w:rsid w:val="00C415C1"/>
    <w:rsid w:val="00C47DBF"/>
    <w:rsid w:val="00C552FF"/>
    <w:rsid w:val="00C558DA"/>
    <w:rsid w:val="00C55AF3"/>
    <w:rsid w:val="00C84759"/>
    <w:rsid w:val="00CA6C7F"/>
    <w:rsid w:val="00CB0B36"/>
    <w:rsid w:val="00CC10A6"/>
    <w:rsid w:val="00CD5EB8"/>
    <w:rsid w:val="00CD7044"/>
    <w:rsid w:val="00CE08B9"/>
    <w:rsid w:val="00CE524C"/>
    <w:rsid w:val="00CF141F"/>
    <w:rsid w:val="00CF4777"/>
    <w:rsid w:val="00D067BB"/>
    <w:rsid w:val="00D1352A"/>
    <w:rsid w:val="00D169AF"/>
    <w:rsid w:val="00D231FD"/>
    <w:rsid w:val="00D25249"/>
    <w:rsid w:val="00D31508"/>
    <w:rsid w:val="00D44172"/>
    <w:rsid w:val="00D46DB8"/>
    <w:rsid w:val="00D63B8C"/>
    <w:rsid w:val="00D739CC"/>
    <w:rsid w:val="00D8093D"/>
    <w:rsid w:val="00D8108C"/>
    <w:rsid w:val="00D842AE"/>
    <w:rsid w:val="00D9211C"/>
    <w:rsid w:val="00D92DE0"/>
    <w:rsid w:val="00D92FEF"/>
    <w:rsid w:val="00D93A0F"/>
    <w:rsid w:val="00DA1BCA"/>
    <w:rsid w:val="00DC46FF"/>
    <w:rsid w:val="00DC5254"/>
    <w:rsid w:val="00DD1A4F"/>
    <w:rsid w:val="00DD3107"/>
    <w:rsid w:val="00DD7C2C"/>
    <w:rsid w:val="00E06797"/>
    <w:rsid w:val="00E07236"/>
    <w:rsid w:val="00E1265B"/>
    <w:rsid w:val="00E13B48"/>
    <w:rsid w:val="00E1404F"/>
    <w:rsid w:val="00E21C83"/>
    <w:rsid w:val="00E24ADA"/>
    <w:rsid w:val="00E32F59"/>
    <w:rsid w:val="00E46D9A"/>
    <w:rsid w:val="00E565FF"/>
    <w:rsid w:val="00E65388"/>
    <w:rsid w:val="00E85B7D"/>
    <w:rsid w:val="00E9121B"/>
    <w:rsid w:val="00EA0AE2"/>
    <w:rsid w:val="00EA39E5"/>
    <w:rsid w:val="00EC4978"/>
    <w:rsid w:val="00EC5A46"/>
    <w:rsid w:val="00EC63E2"/>
    <w:rsid w:val="00ED3CD2"/>
    <w:rsid w:val="00EF22B3"/>
    <w:rsid w:val="00F009E1"/>
    <w:rsid w:val="00F01DB5"/>
    <w:rsid w:val="00F03B69"/>
    <w:rsid w:val="00F07A50"/>
    <w:rsid w:val="00F113DA"/>
    <w:rsid w:val="00F37DC8"/>
    <w:rsid w:val="00F439B3"/>
    <w:rsid w:val="00F46532"/>
    <w:rsid w:val="00F650C3"/>
    <w:rsid w:val="00F65D85"/>
    <w:rsid w:val="00F8091E"/>
    <w:rsid w:val="00F8615C"/>
    <w:rsid w:val="00F969E5"/>
    <w:rsid w:val="00FA6BB0"/>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35CC2"/>
  <w15:chartTrackingRefBased/>
  <w15:docId w15:val="{26D0D788-6334-4C81-B15E-05D888C3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941"/>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next w:val="NormalNonumber"/>
    <w:rsid w:val="005017D4"/>
    <w:pPr>
      <w:tabs>
        <w:tab w:val="left" w:pos="624"/>
      </w:tabs>
    </w:pPr>
    <w:rPr>
      <w:b/>
      <w:lang w:eastAsia="en-US"/>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next w:val="CH2"/>
    <w:qFormat/>
    <w:rsid w:val="004C6732"/>
    <w:pPr>
      <w:keepNext/>
      <w:keepLines/>
      <w:tabs>
        <w:tab w:val="right" w:pos="851"/>
        <w:tab w:val="left" w:pos="1247"/>
      </w:tabs>
      <w:suppressAutoHyphens/>
      <w:spacing w:before="240" w:after="120"/>
      <w:ind w:left="1247" w:right="284" w:hanging="1247"/>
    </w:pPr>
    <w:rPr>
      <w:b/>
      <w:sz w:val="28"/>
      <w:szCs w:val="28"/>
      <w:lang w:eastAsia="en-US"/>
    </w:rPr>
  </w:style>
  <w:style w:type="paragraph" w:customStyle="1" w:styleId="CH2">
    <w:name w:val="CH2"/>
    <w:next w:val="Normalnumber"/>
    <w:link w:val="CH2Char"/>
    <w:rsid w:val="002C1B46"/>
    <w:pPr>
      <w:keepNext/>
      <w:keepLines/>
      <w:tabs>
        <w:tab w:val="right" w:pos="851"/>
        <w:tab w:val="left" w:pos="1247"/>
      </w:tabs>
      <w:suppressAutoHyphens/>
      <w:spacing w:before="240" w:after="120"/>
      <w:ind w:left="1247" w:right="284" w:hanging="1247"/>
    </w:pPr>
    <w:rPr>
      <w:b/>
      <w:sz w:val="24"/>
      <w:szCs w:val="24"/>
      <w:lang w:eastAsia="en-US"/>
    </w:rPr>
  </w:style>
  <w:style w:type="paragraph" w:customStyle="1" w:styleId="CH3">
    <w:name w:val="CH3"/>
    <w:next w:val="Normalnumber"/>
    <w:rsid w:val="002C1B46"/>
    <w:pPr>
      <w:keepNext/>
      <w:keepLines/>
      <w:tabs>
        <w:tab w:val="right" w:pos="851"/>
        <w:tab w:val="left" w:pos="1247"/>
      </w:tabs>
      <w:suppressAutoHyphens/>
      <w:spacing w:before="240" w:after="120"/>
      <w:ind w:left="1247" w:right="284" w:hanging="1247"/>
    </w:pPr>
    <w:rPr>
      <w:b/>
      <w:lang w:eastAsia="en-US"/>
    </w:rPr>
  </w:style>
  <w:style w:type="paragraph" w:customStyle="1" w:styleId="CH4">
    <w:name w:val="CH4"/>
    <w:next w:val="Normalnumber"/>
    <w:rsid w:val="004C6732"/>
    <w:pPr>
      <w:keepNext/>
      <w:keepLines/>
      <w:tabs>
        <w:tab w:val="right" w:pos="851"/>
        <w:tab w:val="left" w:pos="1247"/>
      </w:tabs>
      <w:suppressAutoHyphens/>
      <w:spacing w:before="120" w:after="120"/>
      <w:ind w:left="1247" w:right="284" w:hanging="1247"/>
    </w:pPr>
    <w:rPr>
      <w:b/>
      <w:lang w:eastAsia="en-US"/>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next w:val="Normalnumber"/>
    <w:rsid w:val="002C1B46"/>
    <w:pPr>
      <w:keepNext/>
      <w:keepLines/>
      <w:tabs>
        <w:tab w:val="right" w:pos="851"/>
        <w:tab w:val="left" w:pos="1247"/>
      </w:tabs>
      <w:suppressAutoHyphens/>
      <w:spacing w:before="120" w:after="120"/>
      <w:ind w:left="1247" w:right="284" w:hanging="1247"/>
    </w:pPr>
    <w:rPr>
      <w:b/>
      <w:lang w:eastAsia="en-US"/>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next w:val="Normal-pool"/>
    <w:rsid w:val="005017D4"/>
    <w:pPr>
      <w:tabs>
        <w:tab w:val="left" w:pos="624"/>
      </w:tabs>
      <w:spacing w:before="60" w:after="120"/>
    </w:pPr>
    <w:rPr>
      <w:b/>
      <w:sz w:val="18"/>
      <w:lang w:eastAsia="en-US"/>
    </w:rPr>
  </w:style>
  <w:style w:type="paragraph" w:customStyle="1" w:styleId="Header-pool">
    <w:name w:val="Header-pool"/>
    <w:next w:val="Normal-pool"/>
    <w:rsid w:val="005017D4"/>
    <w:pPr>
      <w:pBdr>
        <w:bottom w:val="single" w:sz="4" w:space="1" w:color="auto"/>
      </w:pBdr>
      <w:tabs>
        <w:tab w:val="left" w:pos="624"/>
      </w:tabs>
      <w:spacing w:after="120"/>
    </w:pPr>
    <w:rPr>
      <w:b/>
      <w:sz w:val="18"/>
      <w:lang w:eastAsia="en-US"/>
    </w:rPr>
  </w:style>
  <w:style w:type="paragraph" w:customStyle="1" w:styleId="Normal-pool">
    <w:name w:val="Normal-pool"/>
    <w:link w:val="Normal-poolChar"/>
    <w:qFormat/>
    <w:rsid w:val="005017D4"/>
    <w:pPr>
      <w:tabs>
        <w:tab w:val="left" w:pos="624"/>
      </w:tabs>
    </w:pPr>
    <w:rPr>
      <w:lang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
    <w:basedOn w:val="DefaultParagraphFont"/>
    <w:qForma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uiPriority w:val="99"/>
    <w:semiHidden/>
    <w:rsid w:val="000D6941"/>
    <w:pPr>
      <w:spacing w:before="20" w:after="40"/>
      <w:ind w:left="1247"/>
    </w:pPr>
    <w:rPr>
      <w:sz w:val="18"/>
    </w:rPr>
  </w:style>
  <w:style w:type="paragraph" w:styleId="BalloonText">
    <w:name w:val="Balloon Text"/>
    <w:basedOn w:val="Normal"/>
    <w:link w:val="BalloonTextChar"/>
    <w:rsid w:val="00A54604"/>
    <w:rPr>
      <w:rFonts w:ascii="Segoe UI" w:hAnsi="Segoe UI" w:cs="Segoe UI"/>
      <w:sz w:val="18"/>
      <w:szCs w:val="18"/>
    </w:rPr>
  </w:style>
  <w:style w:type="character" w:customStyle="1" w:styleId="BalloonTextChar">
    <w:name w:val="Balloon Text Char"/>
    <w:basedOn w:val="DefaultParagraphFont"/>
    <w:link w:val="BalloonText"/>
    <w:rsid w:val="00A54604"/>
    <w:rPr>
      <w:rFonts w:ascii="Segoe UI" w:hAnsi="Segoe UI" w:cs="Segoe UI"/>
      <w:sz w:val="18"/>
      <w:szCs w:val="18"/>
      <w:lang w:val="fr-FR" w:eastAsia="en-US"/>
    </w:rPr>
  </w:style>
  <w:style w:type="character" w:customStyle="1" w:styleId="Normal-poolChar">
    <w:name w:val="Normal-pool Char"/>
    <w:link w:val="Normal-pool"/>
    <w:rsid w:val="005017D4"/>
    <w:rPr>
      <w:lang w:eastAsia="en-US"/>
    </w:rPr>
  </w:style>
  <w:style w:type="table" w:styleId="TableGrid">
    <w:name w:val="Table Grid"/>
    <w:basedOn w:val="TableNormal"/>
    <w:uiPriority w:val="59"/>
    <w:rsid w:val="00A54604"/>
    <w:pPr>
      <w:spacing w:after="120" w:line="264" w:lineRule="auto"/>
    </w:pPr>
    <w:rPr>
      <w:rFonts w:ascii="Calibri" w:eastAsia="DengXian" w:hAnsi="Calibri" w:cs="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rsid w:val="005017D4"/>
    <w:pPr>
      <w:keepNext/>
      <w:keepLines/>
      <w:tabs>
        <w:tab w:val="left" w:pos="624"/>
      </w:tabs>
      <w:suppressAutoHyphens/>
      <w:ind w:right="5103"/>
    </w:pPr>
    <w:rPr>
      <w:b/>
      <w:lang w:eastAsia="en-US"/>
    </w:rPr>
  </w:style>
  <w:style w:type="paragraph" w:customStyle="1" w:styleId="AATitle2">
    <w:name w:val="AA_Title2"/>
    <w:rsid w:val="003814DA"/>
    <w:pPr>
      <w:keepNext/>
      <w:keepLines/>
      <w:tabs>
        <w:tab w:val="left" w:pos="624"/>
      </w:tabs>
      <w:spacing w:before="60"/>
      <w:ind w:right="4536"/>
    </w:pPr>
    <w:rPr>
      <w:b/>
      <w:lang w:eastAsia="en-US"/>
    </w:rPr>
  </w:style>
  <w:style w:type="paragraph" w:customStyle="1" w:styleId="BBTitle">
    <w:name w:val="BB_Title"/>
    <w:rsid w:val="005017D4"/>
    <w:pPr>
      <w:keepNext/>
      <w:keepLines/>
      <w:tabs>
        <w:tab w:val="left" w:pos="851"/>
        <w:tab w:val="left" w:pos="1247"/>
      </w:tabs>
      <w:suppressAutoHyphens/>
      <w:spacing w:before="320" w:after="240"/>
      <w:ind w:left="1247" w:right="567"/>
    </w:pPr>
    <w:rPr>
      <w:b/>
      <w:sz w:val="28"/>
      <w:szCs w:val="28"/>
      <w:lang w:eastAsia="en-US"/>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rsid w:val="002C1B46"/>
    <w:pPr>
      <w:tabs>
        <w:tab w:val="left" w:pos="624"/>
      </w:tabs>
      <w:spacing w:after="120"/>
      <w:ind w:left="1247"/>
    </w:pPr>
    <w:rPr>
      <w:lang w:eastAsia="en-US"/>
    </w:rPr>
  </w:style>
  <w:style w:type="paragraph" w:customStyle="1" w:styleId="Normalnumber">
    <w:name w:val="Normal_number"/>
    <w:link w:val="NormalnumberChar"/>
    <w:uiPriority w:val="99"/>
    <w:qFormat/>
    <w:rsid w:val="005017D4"/>
    <w:pPr>
      <w:numPr>
        <w:numId w:val="4"/>
      </w:numPr>
      <w:tabs>
        <w:tab w:val="left" w:pos="624"/>
      </w:tabs>
      <w:spacing w:after="120"/>
    </w:pPr>
    <w:rPr>
      <w:lang w:eastAsia="en-US"/>
    </w:rPr>
  </w:style>
  <w:style w:type="paragraph" w:customStyle="1" w:styleId="Titletable">
    <w:name w:val="Title_table"/>
    <w:rsid w:val="005017D4"/>
    <w:pPr>
      <w:keepNext/>
      <w:keepLines/>
      <w:tabs>
        <w:tab w:val="left" w:pos="624"/>
      </w:tabs>
      <w:suppressAutoHyphens/>
      <w:spacing w:after="60"/>
      <w:ind w:left="1247"/>
    </w:pPr>
    <w:rPr>
      <w:bCs/>
      <w:lang w:eastAsia="en-U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rsid w:val="005017D4"/>
    <w:pPr>
      <w:tabs>
        <w:tab w:val="left" w:pos="624"/>
      </w:tabs>
    </w:pPr>
    <w:rPr>
      <w:b/>
      <w:bCs/>
      <w:sz w:val="28"/>
      <w:szCs w:val="22"/>
      <w:lang w:eastAsia="en-US"/>
    </w:rPr>
  </w:style>
  <w:style w:type="paragraph" w:customStyle="1" w:styleId="ZZAnxtitle">
    <w:name w:val="ZZ_Anx_title"/>
    <w:rsid w:val="005017D4"/>
    <w:pPr>
      <w:tabs>
        <w:tab w:val="left" w:pos="624"/>
      </w:tabs>
      <w:spacing w:before="360" w:after="120"/>
      <w:ind w:left="1247"/>
    </w:pPr>
    <w:rPr>
      <w:b/>
      <w:bCs/>
      <w:sz w:val="28"/>
      <w:szCs w:val="26"/>
      <w:lang w:eastAsia="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uiPriority w:val="99"/>
    <w:semiHidden/>
    <w:rsid w:val="00BF08C1"/>
    <w:rPr>
      <w:sz w:val="18"/>
      <w:lang w:val="fr-FR" w:eastAsia="en-US"/>
    </w:rPr>
  </w:style>
  <w:style w:type="character" w:customStyle="1" w:styleId="FooterChar">
    <w:name w:val="Footer Char"/>
    <w:basedOn w:val="DefaultParagraphFont"/>
    <w:link w:val="Footer"/>
    <w:uiPriority w:val="99"/>
    <w:rsid w:val="00BF08C1"/>
    <w:rPr>
      <w:sz w:val="18"/>
      <w:lang w:val="fr-FR" w:eastAsia="en-US"/>
    </w:rPr>
  </w:style>
  <w:style w:type="character" w:customStyle="1" w:styleId="HeaderChar">
    <w:name w:val="Header Char"/>
    <w:basedOn w:val="DefaultParagraphFont"/>
    <w:link w:val="Header"/>
    <w:uiPriority w:val="99"/>
    <w:rsid w:val="00BF08C1"/>
    <w:rPr>
      <w:b/>
      <w:sz w:val="18"/>
      <w:lang w:val="fr-FR" w:eastAsia="en-US"/>
    </w:rPr>
  </w:style>
  <w:style w:type="character" w:customStyle="1" w:styleId="NormalnumberChar">
    <w:name w:val="Normal_number Char"/>
    <w:link w:val="Normalnumber"/>
    <w:uiPriority w:val="99"/>
    <w:locked/>
    <w:rsid w:val="00BF08C1"/>
    <w:rPr>
      <w:lang w:eastAsia="en-US"/>
    </w:rPr>
  </w:style>
  <w:style w:type="character" w:customStyle="1" w:styleId="CH2Char">
    <w:name w:val="CH2 Char"/>
    <w:link w:val="CH2"/>
    <w:locked/>
    <w:rsid w:val="00BF08C1"/>
    <w:rPr>
      <w:b/>
      <w:sz w:val="24"/>
      <w:szCs w:val="24"/>
      <w:lang w:eastAsia="en-US"/>
    </w:rPr>
  </w:style>
  <w:style w:type="character" w:styleId="CommentReference">
    <w:name w:val="annotation reference"/>
    <w:basedOn w:val="DefaultParagraphFont"/>
    <w:rsid w:val="002C4620"/>
    <w:rPr>
      <w:sz w:val="16"/>
      <w:szCs w:val="16"/>
    </w:rPr>
  </w:style>
  <w:style w:type="paragraph" w:styleId="CommentText">
    <w:name w:val="annotation text"/>
    <w:basedOn w:val="Normal"/>
    <w:link w:val="CommentTextChar"/>
    <w:rsid w:val="002C4620"/>
  </w:style>
  <w:style w:type="character" w:customStyle="1" w:styleId="CommentTextChar">
    <w:name w:val="Comment Text Char"/>
    <w:basedOn w:val="DefaultParagraphFont"/>
    <w:link w:val="CommentText"/>
    <w:rsid w:val="002C4620"/>
    <w:rPr>
      <w:lang w:val="fr-FR" w:eastAsia="en-US"/>
    </w:rPr>
  </w:style>
  <w:style w:type="paragraph" w:styleId="CommentSubject">
    <w:name w:val="annotation subject"/>
    <w:basedOn w:val="CommentText"/>
    <w:next w:val="CommentText"/>
    <w:link w:val="CommentSubjectChar"/>
    <w:rsid w:val="002C4620"/>
    <w:rPr>
      <w:b/>
      <w:bCs/>
    </w:rPr>
  </w:style>
  <w:style w:type="character" w:customStyle="1" w:styleId="CommentSubjectChar">
    <w:name w:val="Comment Subject Char"/>
    <w:basedOn w:val="CommentTextChar"/>
    <w:link w:val="CommentSubject"/>
    <w:rsid w:val="002C4620"/>
    <w:rPr>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pbes.net/sites/default/files/call_for_nominations_nexus_assessment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pbes.net/sites/default/files/em_2019_17_notification_online_conferences_scoping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2021-05-20T11:37:29Z</Uploaded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521A7-918C-4A4B-A191-DE623701D7C9}">
  <ds:schemaRefs>
    <ds:schemaRef ds:uri="http://schemas.microsoft.com/sharepoint/v3/contenttype/forms"/>
  </ds:schemaRefs>
</ds:datastoreItem>
</file>

<file path=customXml/itemProps2.xml><?xml version="1.0" encoding="utf-8"?>
<ds:datastoreItem xmlns:ds="http://schemas.openxmlformats.org/officeDocument/2006/customXml" ds:itemID="{D42D528E-BBA8-44DA-B886-5B0BA59A0671}"/>
</file>

<file path=customXml/itemProps3.xml><?xml version="1.0" encoding="utf-8"?>
<ds:datastoreItem xmlns:ds="http://schemas.openxmlformats.org/officeDocument/2006/customXml" ds:itemID="{E88DC013-7EF5-4385-B352-88BD4A6FE9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4CCDE8-E601-47B9-B071-6E64FEF6F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2550</Words>
  <Characters>14539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2010-07-07T11:56:00Z</cp:lastPrinted>
  <dcterms:created xsi:type="dcterms:W3CDTF">2021-05-20T09:35:00Z</dcterms:created>
  <dcterms:modified xsi:type="dcterms:W3CDTF">2021-05-20T09:35:00Z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